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08D96" w14:textId="4B0EFAA0" w:rsidR="00D42204" w:rsidRDefault="004E439D">
      <w:pPr>
        <w:rPr>
          <w:vanish/>
        </w:rPr>
      </w:pPr>
      <w:r>
        <w:rPr>
          <w:rFonts w:ascii="宋体" w:eastAsia="宋体" w:hAnsi="宋体" w:cs="宋体"/>
        </w:rPr>
        <w:t xml:space="preserve"> </w:t>
      </w:r>
      <w:r>
        <w:rPr>
          <w:rFonts w:ascii="宋体" w:eastAsia="宋体" w:hAnsi="宋体" w:cs="宋体"/>
          <w:vanish/>
        </w:rPr>
        <w:t>00001041692022FYfalseP4YP1YP5YP5Y00001041692021-02-012022-01-310000104169wmt:CommonStockparvalue0.10pershareMember2021-02-012022-01-310000104169wmt:A1.900NotesDue2022Member2021-02-012022-01-310000104169wmt:A2.550NotesDue2026Member2021-02-012022-01-31000010</w:t>
      </w:r>
      <w:r>
        <w:rPr>
          <w:rFonts w:ascii="宋体" w:eastAsia="宋体" w:hAnsi="宋体" w:cs="宋体"/>
          <w:vanish/>
        </w:rPr>
        <w:t>41692021-07-30iso4217:USD00001041692022-03-16xbrli:shares00001041692020-02-012021-01-3100001041692019-02-012020-01-31iso4217:USDxbrli:shares00001041692022-01-3100001041692021-01-310000104169us-gaap:CommonStockMember2019-01-310000104169us-gaap:AdditionalPai</w:t>
      </w:r>
      <w:r>
        <w:rPr>
          <w:rFonts w:ascii="宋体" w:eastAsia="宋体" w:hAnsi="宋体" w:cs="宋体"/>
          <w:vanish/>
        </w:rPr>
        <w:t>dInCapitalMember2019-01-310000104169us-gaap:RetainedEarningsMember2019-01-310000104169us-gaap:AccumulatedOtherComprehensiveIncomeMember2019-01-310000104169us-gaap:ParentMember2019-01-310000104169us-gaap:NoncontrollingInterestMember2019-01-3100001041692019-</w:t>
      </w:r>
      <w:r>
        <w:rPr>
          <w:rFonts w:ascii="宋体" w:eastAsia="宋体" w:hAnsi="宋体" w:cs="宋体"/>
          <w:vanish/>
        </w:rPr>
        <w:t>01-310000104169us-gaap:RetainedEarningsMembersrt:CumulativeEffectPeriodOfAdoptionAdjustmentMember2019-01-310000104169us-gaap:ParentMembersrt:CumulativeEffectPeriodOfAdoptionAdjustmentMember2019-01-310000104169us-gaap:NoncontrollingInterestMembersrt:Cumulat</w:t>
      </w:r>
      <w:r>
        <w:rPr>
          <w:rFonts w:ascii="宋体" w:eastAsia="宋体" w:hAnsi="宋体" w:cs="宋体"/>
          <w:vanish/>
        </w:rPr>
        <w:t>iveEffectPeriodOfAdoptionAdjustmentMember2019-01-310000104169srt:CumulativeEffectPeriodOfAdoptionAdjustmentMember2019-01-310000104169us-gaap:RetainedEarningsMember2019-02-012020-01-310000104169us-gaap:ParentMember2019-02-012020-01-310000104169us-gaap:Nonco</w:t>
      </w:r>
      <w:r>
        <w:rPr>
          <w:rFonts w:ascii="宋体" w:eastAsia="宋体" w:hAnsi="宋体" w:cs="宋体"/>
          <w:vanish/>
        </w:rPr>
        <w:t>ntrollingInterestMember2019-02-012020-01-310000104169us-gaap:AccumulatedOtherComprehensiveIncomeMember2019-02-012020-01-310000104169us-gaap:CommonStockMember2019-02-012020-01-310000104169us-gaap:AdditionalPaidInCapitalMember2019-02-012020-01-310000104169us</w:t>
      </w:r>
      <w:r>
        <w:rPr>
          <w:rFonts w:ascii="宋体" w:eastAsia="宋体" w:hAnsi="宋体" w:cs="宋体"/>
          <w:vanish/>
        </w:rPr>
        <w:t>-gaap:CommonStockMember2020-01-310000104169us-gaap:AdditionalPaidInCapitalMember2020-01-310000104169us-gaap:RetainedEarningsMember2020-01-310000104169us-gaap:AccumulatedOtherComprehensiveIncomeMember2020-01-310000104169us-gaap:ParentMember2020-01-310000104</w:t>
      </w:r>
      <w:r>
        <w:rPr>
          <w:rFonts w:ascii="宋体" w:eastAsia="宋体" w:hAnsi="宋体" w:cs="宋体"/>
          <w:vanish/>
        </w:rPr>
        <w:t>169us-gaap:NoncontrollingInterestMember2020-01-3100001041692020-01-310000104169us-gaap:RetainedEarningsMember2020-02-012021-01-310000104169us-gaap:ParentMember2020-02-012021-01-310000104169us-gaap:NoncontrollingInterestMember2020-02-012021-01-310000104169u</w:t>
      </w:r>
      <w:r>
        <w:rPr>
          <w:rFonts w:ascii="宋体" w:eastAsia="宋体" w:hAnsi="宋体" w:cs="宋体"/>
          <w:vanish/>
        </w:rPr>
        <w:t>s-gaap:AccumulatedOtherComprehensiveIncomeMember2020-02-012021-01-310000104169us-gaap:CommonStockMember2020-02-012021-01-310000104169us-gaap:AdditionalPaidInCapitalMember2020-02-012021-01-310000104169us-gaap:CommonStockMember2021-01-310000104169us-gaap:Add</w:t>
      </w:r>
      <w:r>
        <w:rPr>
          <w:rFonts w:ascii="宋体" w:eastAsia="宋体" w:hAnsi="宋体" w:cs="宋体"/>
          <w:vanish/>
        </w:rPr>
        <w:t>itionalPaidInCapitalMember2021-01-310000104169us-gaap:RetainedEarningsMember2021-01-310000104169us-gaap:AccumulatedOtherComprehensiveIncomeMember2021-01-310000104169us-gaap:ParentMember2021-01-310000104169us-gaap:NoncontrollingInterestMember2021-01-3100001</w:t>
      </w:r>
      <w:r>
        <w:rPr>
          <w:rFonts w:ascii="宋体" w:eastAsia="宋体" w:hAnsi="宋体" w:cs="宋体"/>
          <w:vanish/>
        </w:rPr>
        <w:t>04169us-gaap:RetainedEarningsMember2021-02-012022-01-310000104169us-gaap:ParentMember2021-02-012022-01-310000104169us-gaap:NoncontrollingInterestMember2021-02-012022-01-310000104169us-gaap:AccumulatedOtherComprehensiveIncomeMember2021-02-012022-01-31000010</w:t>
      </w:r>
      <w:r>
        <w:rPr>
          <w:rFonts w:ascii="宋体" w:eastAsia="宋体" w:hAnsi="宋体" w:cs="宋体"/>
          <w:vanish/>
        </w:rPr>
        <w:t>4169us-gaap:CommonStockMember2021-02-012022-01-310000104169us-gaap:AdditionalPaidInCapitalMember2021-02-012022-01-310000104169us-gaap:CommonStockMember2022-01-310000104169us-gaap:AdditionalPaidInCapitalMember2022-01-310000104169us-gaap:RetainedEarningsMemb</w:t>
      </w:r>
      <w:r>
        <w:rPr>
          <w:rFonts w:ascii="宋体" w:eastAsia="宋体" w:hAnsi="宋体" w:cs="宋体"/>
          <w:vanish/>
        </w:rPr>
        <w:t>er2022-01-310000104169us-gaap:AccumulatedOtherComprehensiveIncomeMember2022-01-310000104169us-gaap:ParentMember2022-01-310000104169us-gaap:NoncontrollingInterestMember2022-01-31wmt:segment0000104169wmt:AmountsDuefromBanksMember2022-01-310000104169wmt:Amoun</w:t>
      </w:r>
      <w:r>
        <w:rPr>
          <w:rFonts w:ascii="宋体" w:eastAsia="宋体" w:hAnsi="宋体" w:cs="宋体"/>
          <w:vanish/>
        </w:rPr>
        <w:t>tsDuefromBanksMember2021-01-31xbrli:pure0000104169wmt:NonrepatriableCashAndCashEquivalentsMember2022-01-310000104169wmt:NonrepatriableCashAndCashEquivalentsMember2021-01-310000104169wmt:NonrepatriableCashAndCashEquivalentsFlipkartMemberwmt:FlipkartMember20</w:t>
      </w:r>
      <w:r>
        <w:rPr>
          <w:rFonts w:ascii="宋体" w:eastAsia="宋体" w:hAnsi="宋体" w:cs="宋体"/>
          <w:vanish/>
        </w:rPr>
        <w:t>22-01-310000104169us-gaap:PrepaidExpensesAndOtherCurrentAssetsMember2022-01-310000104169us-gaap:AccruedLiabilitiesMember2022-01-310000104169us-gaap:LandMember2022-01-310000104169us-gaap:LandMember2021-01-310000104169us-gaap:BuildingAndBuildingImprovementsM</w:t>
      </w:r>
      <w:r>
        <w:rPr>
          <w:rFonts w:ascii="宋体" w:eastAsia="宋体" w:hAnsi="宋体" w:cs="宋体"/>
          <w:vanish/>
        </w:rPr>
        <w:t>embersrt:MinimumMember2021-02-012022-01-310000104169srt:MaximumMemberus-gaap:BuildingAndBuildingImprovementsMember2021-02-012022-01-310000104169us-gaap:BuildingAndBuildingImprovementsMember2022-01-310000104169us-gaap:BuildingAndBuildingImprovementsMember20</w:t>
      </w:r>
      <w:r>
        <w:rPr>
          <w:rFonts w:ascii="宋体" w:eastAsia="宋体" w:hAnsi="宋体" w:cs="宋体"/>
          <w:vanish/>
        </w:rPr>
        <w:t>21-01-310000104169us-gaap:FurnitureAndFixturesMembersrt:MinimumMember2021-02-012022-01-310000104169us-gaap:FurnitureAndFixturesMembersrt:MaximumMember2021-02-012022-01-310000104169us-gaap:FurnitureAndFixturesMember2022-01-310000104169us-gaap:FurnitureAndFi</w:t>
      </w:r>
      <w:r>
        <w:rPr>
          <w:rFonts w:ascii="宋体" w:eastAsia="宋体" w:hAnsi="宋体" w:cs="宋体"/>
          <w:vanish/>
        </w:rPr>
        <w:t>xturesMember2021-01-310000104169us-gaap:TransportationEquipmentMembersrt:MinimumMember2021-02-012022-01-310000104169us-gaap:TransportationEquipmentMembersrt:MaximumMember2021-02-012022-01-310000104169us-gaap:TransportationEquipmentMember2022-01-31000010416</w:t>
      </w:r>
      <w:r>
        <w:rPr>
          <w:rFonts w:ascii="宋体" w:eastAsia="宋体" w:hAnsi="宋体" w:cs="宋体"/>
          <w:vanish/>
        </w:rPr>
        <w:t>9us-gaap:TransportationEquipmentMember2021-01-310000104169us-gaap:ConstructionInProgressMember2022-01-310000104169us-gaap:ConstructionInProgressMember2021-01-310000104169wmt:WalmartUSMember2020-01-310000104169wmt:WalmartInternationalMember2020-01-310000104</w:t>
      </w:r>
      <w:r>
        <w:rPr>
          <w:rFonts w:ascii="宋体" w:eastAsia="宋体" w:hAnsi="宋体" w:cs="宋体"/>
          <w:vanish/>
        </w:rPr>
        <w:t>169wmt:SamsClubMember2020-01-310000104169wmt:WalmartUSMember2020-02-012021-01-310000104169wmt:WalmartInternationalMember2020-02-012021-01-310000104169wmt:SamsClubMember2020-02-012021-01-310000104169wmt:WalmartUSMember2021-01-310000104169wmt:WalmartInternat</w:t>
      </w:r>
      <w:r>
        <w:rPr>
          <w:rFonts w:ascii="宋体" w:eastAsia="宋体" w:hAnsi="宋体" w:cs="宋体"/>
          <w:vanish/>
        </w:rPr>
        <w:t>ionalMember2021-01-310000104169wmt:SamsClubMember2021-01-310000104169wmt:WalmartUSMember2021-02-012022-01-310000104169wmt:WalmartInternationalMember2021-02-012022-01-310000104169wmt:SamsClubMember2021-02-012022-01-310000104169wmt:WalmartUSMember2022-01-310</w:t>
      </w:r>
      <w:r>
        <w:rPr>
          <w:rFonts w:ascii="宋体" w:eastAsia="宋体" w:hAnsi="宋体" w:cs="宋体"/>
          <w:vanish/>
        </w:rPr>
        <w:t>000104169wmt:WalmartInternationalMember2022-01-310000104169wmt:SamsClubMember2022-01-310000104169us-gaap:IndemnificationGuaranteeMember2022-01-310000104169us-gaap:IndemnificationGuaranteeMember2021-01-310000104169us-gaap:LongTermDebtMemberus-gaap:NetInvest</w:t>
      </w:r>
      <w:r>
        <w:rPr>
          <w:rFonts w:ascii="宋体" w:eastAsia="宋体" w:hAnsi="宋体" w:cs="宋体"/>
          <w:vanish/>
        </w:rPr>
        <w:t>mentHedgingMember2021-01-310000104169wmt:MembershipFeesMember2021-02-012022-01-310000104169wmt:MembershipFeesMember2020-02-012021-01-310000104169wmt:MembershipFeesMember2019-02-012020-01-310000104169us-gaap:CommonStockMember2021-01-310000104169us-gaap:Comm</w:t>
      </w:r>
      <w:r>
        <w:rPr>
          <w:rFonts w:ascii="宋体" w:eastAsia="宋体" w:hAnsi="宋体" w:cs="宋体"/>
          <w:vanish/>
        </w:rPr>
        <w:t>onStockMember2022-01-310000104169wmt:FlipkartMember2021-01-310000104169wmt:FlipkartMember2021-02-012022-01-310000104169us-gaap:RestrictedStockMember2021-02-012022-01-310000104169us-gaap:RestrictedStockMember2020-02-012021-01-310000104169us-gaap:RestrictedS</w:t>
      </w:r>
      <w:r>
        <w:rPr>
          <w:rFonts w:ascii="宋体" w:eastAsia="宋体" w:hAnsi="宋体" w:cs="宋体"/>
          <w:vanish/>
        </w:rPr>
        <w:t>tockMember2019-02-012020-01-310000104169wmt:RestrictedStockAndPerformanceShareAwardsMember2021-02-012022-01-310000104169wmt:RestrictedStockAndPerformanceShareAwardsMember2020-02-012021-01-310000104169wmt:RestrictedStockAndPerformanceShareAwardsMember2019-0</w:t>
      </w:r>
      <w:r>
        <w:rPr>
          <w:rFonts w:ascii="宋体" w:eastAsia="宋体" w:hAnsi="宋体" w:cs="宋体"/>
          <w:vanish/>
        </w:rPr>
        <w:t>2-012020-01-310000104169us-gaap:StockOptionMember2021-02-012022-01-310000104169us-gaap:StockOptionMember2020-02-012021-01-310000104169us-gaap:StockOptionMember2019-02-012020-01-3100001041692018-02-010000104169wmt:AnnualMemberus-gaap:RestrictedStockMember20</w:t>
      </w:r>
      <w:r>
        <w:rPr>
          <w:rFonts w:ascii="宋体" w:eastAsia="宋体" w:hAnsi="宋体" w:cs="宋体"/>
          <w:vanish/>
        </w:rPr>
        <w:t>19-02-012020-01-310000104169wmt:ThreeYearsfromGrantDateMemberus-gaap:RestrictedStockMember2018-02-012019-01-310000104169srt:MinimumMemberus-gaap:RestrictedStockMember2018-02-012019-01-310000104169us-gaap:RestrictedStockMemberwmt:FiveYearsfromGrantDateMembe</w:t>
      </w:r>
      <w:r>
        <w:rPr>
          <w:rFonts w:ascii="宋体" w:eastAsia="宋体" w:hAnsi="宋体" w:cs="宋体"/>
          <w:vanish/>
        </w:rPr>
        <w:t>rMember2018-02-012019-01-310000104169srt:MaximumMemberus-gaap:RestrictedStockMember2018-02-012019-01-310000104169srt:MinimumMemberus-gaap:PerformanceSharesMember2021-02-012022-01-310000104169srt:MaximumMemberus-gaap:PerformanceSharesMember2021-02-012022-01</w:t>
      </w:r>
      <w:r>
        <w:rPr>
          <w:rFonts w:ascii="宋体" w:eastAsia="宋体" w:hAnsi="宋体" w:cs="宋体"/>
          <w:vanish/>
        </w:rPr>
        <w:t>-310000104169srt:MinimumMemberwmt:RestrictedStockAndPerformanceShareAwardsMember2021-02-012022-01-310000104169srt:MaximumMemberwmt:RestrictedStockAndPerformanceShareAwardsMember2021-02-012022-01-310000104169us-gaap:PerformanceSharesMember2021-02-012022-01-</w:t>
      </w:r>
      <w:r>
        <w:rPr>
          <w:rFonts w:ascii="宋体" w:eastAsia="宋体" w:hAnsi="宋体" w:cs="宋体"/>
          <w:vanish/>
        </w:rPr>
        <w:t>310000104169us-gaap:PerformanceSharesMember2020-02-012021-01-310000104169us-gaap:PerformanceSharesMember2019-02-012020-01-310000104169us-gaap:RestrictedStockMember2021-01-310000104169wmt:RestrictedStockAndPerformanceShareAwardsMember2021-01-310000104169us-</w:t>
      </w:r>
      <w:r>
        <w:rPr>
          <w:rFonts w:ascii="宋体" w:eastAsia="宋体" w:hAnsi="宋体" w:cs="宋体"/>
          <w:vanish/>
        </w:rPr>
        <w:t>gaap:RestrictedStockMember2022-01-310000104169wmt:RestrictedStockAndPerformanceShareAwardsMember2022-01-310000104169us-gaap:RestrictedStockMember2020-01-310000104169wmt:RestrictedStockAndPerformanceShareAwardsMember2020-01-310000104169wmt:ShareRepurchasePr</w:t>
      </w:r>
      <w:r>
        <w:rPr>
          <w:rFonts w:ascii="宋体" w:eastAsia="宋体" w:hAnsi="宋体" w:cs="宋体"/>
          <w:vanish/>
        </w:rPr>
        <w:t>ogram2021Member2021-02-180000104169us-gaap:AccumulatedForeignCurrencyAdjustmentIncludingPortionAttributableToNoncontrollingInterestMember2019-01-310000104169wmt:AccumulatedNetInvestmentGainOrLossIncludingPortionAttributableToNoncontrollingInterestMember201</w:t>
      </w:r>
      <w:r>
        <w:rPr>
          <w:rFonts w:ascii="宋体" w:eastAsia="宋体" w:hAnsi="宋体" w:cs="宋体"/>
          <w:vanish/>
        </w:rPr>
        <w:t>9-01-310000104169us-gaap:AccumulatedGainLossCashFlowHedgeIncludingNoncontrollingInterestMember2019-01-310000104169us-gaap:AccumulatedDefinedBenefitPlansAdjustmentIncludingPortionAttributableToNoncontrollingInterestMember2019-01-310000104169us-gaap:AociIncl</w:t>
      </w:r>
      <w:r>
        <w:rPr>
          <w:rFonts w:ascii="宋体" w:eastAsia="宋体" w:hAnsi="宋体" w:cs="宋体"/>
          <w:vanish/>
        </w:rPr>
        <w:t>udingPortionAttributableToNoncontrollingInterestMember2019-01-310000104169us-gaap:AccumulatedForeignCurrencyAdjustmentIncludingPortionAttributableToNoncontrollingInterestMember2019-02-012020-01-310000104169wmt:AccumulatedNetInvestmentGainOrLossIncludingPor</w:t>
      </w:r>
      <w:r>
        <w:rPr>
          <w:rFonts w:ascii="宋体" w:eastAsia="宋体" w:hAnsi="宋体" w:cs="宋体"/>
          <w:vanish/>
        </w:rPr>
        <w:t>tionAttributableToNoncontrollingInterestMember2019-02-012020-01-310000104169us-gaap:AccumulatedGainLossCashFlowHedgeIncludingNoncontrollingInterestMember2019-02-012020-01-310000104169us-gaap:AccumulatedDefinedBenefitPlansAdjustmentIncludingPortionAttributa</w:t>
      </w:r>
      <w:r>
        <w:rPr>
          <w:rFonts w:ascii="宋体" w:eastAsia="宋体" w:hAnsi="宋体" w:cs="宋体"/>
          <w:vanish/>
        </w:rPr>
        <w:t>bleToNoncontrollingInterestMember2019-02-012020-01-310000104169us-gaap:AccumulatedForeignCurrencyAdjustmentIncludingPortionAttributableToNoncontrollingInterestMember2020-01-310000104169wmt:AccumulatedNetInvestmentGainOrLossIncludingPortionAttributableToNon</w:t>
      </w:r>
      <w:r>
        <w:rPr>
          <w:rFonts w:ascii="宋体" w:eastAsia="宋体" w:hAnsi="宋体" w:cs="宋体"/>
          <w:vanish/>
        </w:rPr>
        <w:t>controllingInterestMember2020-01-310000104169us-gaap:AccumulatedGainLossCashFlowHedgeIncludingNoncontrollingInterestMember2020-01-310000104169us-gaap:AccumulatedDefinedBenefitPlansAdjustmentIncludingPortionAttributableToNoncontrollingInterestMember2020-01-</w:t>
      </w:r>
      <w:r>
        <w:rPr>
          <w:rFonts w:ascii="宋体" w:eastAsia="宋体" w:hAnsi="宋体" w:cs="宋体"/>
          <w:vanish/>
        </w:rPr>
        <w:t>310000104169us-gaap:AociIncludingPortionAttributableToNoncontrollingInterestMember2020-01-310000104169us-gaap:AccumulatedForeignCurrencyAdjustmentIncludingPortionAttributableToNoncontrollingInterestMember2020-02-012021-01-310000104169wmt:AccumulatedNetInve</w:t>
      </w:r>
      <w:r>
        <w:rPr>
          <w:rFonts w:ascii="宋体" w:eastAsia="宋体" w:hAnsi="宋体" w:cs="宋体"/>
          <w:vanish/>
        </w:rPr>
        <w:t>stmentGainOrLossIncludingPortionAttributableToNoncontrollingInterestMember2020-02-012021-01-310000104169us-gaap:AccumulatedGainLossCashFlowHedgeIncludingNoncontrollingInterestMember2020-02-012021-01-310000104169us-gaap:AccumulatedDefinedBenefitPlansAdjustm</w:t>
      </w:r>
      <w:r>
        <w:rPr>
          <w:rFonts w:ascii="宋体" w:eastAsia="宋体" w:hAnsi="宋体" w:cs="宋体"/>
          <w:vanish/>
        </w:rPr>
        <w:t>entIncludingPortionAttributableToNoncontrollingInterestMember2020-02-012021-01-310000104169us-gaap:AccumulatedForeignCurrencyAdjustmentIncludingPortionAttributableToNoncontrollingInterestMember2021-01-310000104169wmt:AccumulatedNetInvestmentGainOrLossInclu</w:t>
      </w:r>
      <w:r>
        <w:rPr>
          <w:rFonts w:ascii="宋体" w:eastAsia="宋体" w:hAnsi="宋体" w:cs="宋体"/>
          <w:vanish/>
        </w:rPr>
        <w:t>dingPortionAttributableToNoncontrollingInterestMember2021-01-310000104169us-gaap:AccumulatedGainLossCashFlowHedgeIncludingNoncontrollingInterestMember2021-01-310000104169us-gaap:AccumulatedDefinedBenefitPlansAdjustmentIncludingPortionAttributableToNoncontr</w:t>
      </w:r>
      <w:r>
        <w:rPr>
          <w:rFonts w:ascii="宋体" w:eastAsia="宋体" w:hAnsi="宋体" w:cs="宋体"/>
          <w:vanish/>
        </w:rPr>
        <w:t>ollingInterestMember2021-01-310000104169us-gaap:AociIncludingPortionAttributableToNoncontrollingInterestMember2021-01-310000104169us-gaap:AccumulatedForeignCurrencyAdjustmentIncludingPortionAttributableToNoncontrollingInterestMember2021-02-012022-01-310000</w:t>
      </w:r>
      <w:r>
        <w:rPr>
          <w:rFonts w:ascii="宋体" w:eastAsia="宋体" w:hAnsi="宋体" w:cs="宋体"/>
          <w:vanish/>
        </w:rPr>
        <w:t>104169wmt:AccumulatedNetInvestmentGainOrLossIncludingPortionAttributableToNoncontrollingInterestMember2021-02-012022-01-310000104169us-gaap:AccumulatedGainLossCashFlowHedgeIncludingNoncontrollingInterestMember2021-02-012022-01-310000104169us-gaap:Accumulat</w:t>
      </w:r>
      <w:r>
        <w:rPr>
          <w:rFonts w:ascii="宋体" w:eastAsia="宋体" w:hAnsi="宋体" w:cs="宋体"/>
          <w:vanish/>
        </w:rPr>
        <w:t>edDefinedBenefitPlansAdjustmentIncludingPortionAttributableToNoncontrollingInterestMember2021-02-012022-01-310000104169us-gaap:AccumulatedForeignCurrencyAdjustmentIncludingPortionAttributableToNoncontrollingInterestMember2022-01-310000104169wmt:Accumulated</w:t>
      </w:r>
      <w:r>
        <w:rPr>
          <w:rFonts w:ascii="宋体" w:eastAsia="宋体" w:hAnsi="宋体" w:cs="宋体"/>
          <w:vanish/>
        </w:rPr>
        <w:t>NetInvestmentGainOrLossIncludingPortionAttributableToNoncontrollingInterestMember2022-01-310000104169us-gaap:AccumulatedGainLossCashFlowHedgeIncludingNoncontrollingInterestMember2022-01-310000104169us-gaap:AccumulatedDefinedBenefitPlansAdjustmentIncludingP</w:t>
      </w:r>
      <w:r>
        <w:rPr>
          <w:rFonts w:ascii="宋体" w:eastAsia="宋体" w:hAnsi="宋体" w:cs="宋体"/>
          <w:vanish/>
        </w:rPr>
        <w:t>ortionAttributableToNoncontrollingInterestMember2022-01-310000104169us-gaap:AociIncludingPortionAttributableToNoncontrollingInterestMember2022-01-310000104169us-gaap:AccumulatedForeignCurrencyAdjustmentIncludingPortionAttributableToNoncontrollingInterestMe</w:t>
      </w:r>
      <w:r>
        <w:rPr>
          <w:rFonts w:ascii="宋体" w:eastAsia="宋体" w:hAnsi="宋体" w:cs="宋体"/>
          <w:vanish/>
        </w:rPr>
        <w:t>mberwmt:WalmartArgentinaMember2020-02-012021-01-310000104169us-gaap:DomesticLineOfCreditMemberwmt:FiveYearCreditFacilityMember2021-02-012022-01-310000104169us-gaap:DomesticLineOfCreditMemberwmt:FiveYearCreditFacilityMember2022-01-310000104169us-gaap:Domest</w:t>
      </w:r>
      <w:r>
        <w:rPr>
          <w:rFonts w:ascii="宋体" w:eastAsia="宋体" w:hAnsi="宋体" w:cs="宋体"/>
          <w:vanish/>
        </w:rPr>
        <w:t>icLineOfCreditMemberwmt:FiveYearCreditFacilityMember2021-01-310000104169us-gaap:DomesticLineOfCreditMemberus-gaap:RevolvingCreditFacilityMember2021-04-012021-04-300000104169us-gaap:DomesticLineOfCreditMemberus-gaap:RevolvingCreditFacilityMember2022-01-3100</w:t>
      </w:r>
      <w:r>
        <w:rPr>
          <w:rFonts w:ascii="宋体" w:eastAsia="宋体" w:hAnsi="宋体" w:cs="宋体"/>
          <w:vanish/>
        </w:rPr>
        <w:t>00104169us-gaap:DomesticLineOfCreditMemberus-gaap:RevolvingCreditFacilityMember2021-01-310000104169us-gaap:DomesticLineOfCreditMember2022-01-310000104169us-gaap:DomesticLineOfCreditMember2021-01-310000104169srt:MinimumMemberwmt:CommittedLinesOfCreditMember</w:t>
      </w:r>
      <w:r>
        <w:rPr>
          <w:rFonts w:ascii="宋体" w:eastAsia="宋体" w:hAnsi="宋体" w:cs="宋体"/>
          <w:vanish/>
        </w:rPr>
        <w:t>us-gaap:LondonInterbankOfferedRateLIBORMember2022-01-310000104169srt:MinimumMemberwmt:CommittedLinesOfCreditMember2022-01-310000104169srt:MaximumMemberwmt:CommittedLinesOfCreditMember2022-01-310000104169us-gaap:LetterOfCreditMember2021-01-310000104169us-ga</w:t>
      </w:r>
      <w:r>
        <w:rPr>
          <w:rFonts w:ascii="宋体" w:eastAsia="宋体" w:hAnsi="宋体" w:cs="宋体"/>
          <w:vanish/>
        </w:rPr>
        <w:t>ap:LetterOfCreditMember2022-01-310000104169wmt:DenominatedUSDollarwithFixedRateMember2022-01-310000104169wmt:DenominatedUSDollarwithFixedRateMemberus-gaap:UnsecuredDebtMember2022-01-310000104169wmt:DenominatedUSDollarwithFixedRateMember2021-01-310000104169</w:t>
      </w:r>
      <w:r>
        <w:rPr>
          <w:rFonts w:ascii="宋体" w:eastAsia="宋体" w:hAnsi="宋体" w:cs="宋体"/>
          <w:vanish/>
        </w:rPr>
        <w:t>wmt:DenominatedUSDollarwithFixedRateMemberus-gaap:UnsecuredDebtMember2021-01-310000104169wmt:DenominatedUSDollarwithVariableRateMember2022-01-310000104169wmt:DenominatedUSDollarwithVariableRateMemberus-gaap:UnsecuredDebtMember2022-01-310000104169wmt:Denomi</w:t>
      </w:r>
      <w:r>
        <w:rPr>
          <w:rFonts w:ascii="宋体" w:eastAsia="宋体" w:hAnsi="宋体" w:cs="宋体"/>
          <w:vanish/>
        </w:rPr>
        <w:t>natedUSDollarwithVariableRateMember2021-01-310000104169wmt:DenominatedUSDollarwithVariableRateMemberus-gaap:UnsecuredDebtMember2021-01-310000104169wmt:DenominatedUSDollarMember2022-01-310000104169wmt:DenominatedUSDollarMember2021-01-310000104169wmt:Denomin</w:t>
      </w:r>
      <w:r>
        <w:rPr>
          <w:rFonts w:ascii="宋体" w:eastAsia="宋体" w:hAnsi="宋体" w:cs="宋体"/>
          <w:vanish/>
        </w:rPr>
        <w:t>atedEurowithFixedRateMember2022-01-310000104169us-gaap:UnsecuredDebtMemberwmt:DenominatedEurowithFixedRateMember2022-01-310000104169wmt:DenominatedEurowithFixedRateMember2021-01-310000104169us-gaap:UnsecuredDebtMemberwmt:DenominatedEurowithFixedRateMember2</w:t>
      </w:r>
      <w:r>
        <w:rPr>
          <w:rFonts w:ascii="宋体" w:eastAsia="宋体" w:hAnsi="宋体" w:cs="宋体"/>
          <w:vanish/>
        </w:rPr>
        <w:t>021-01-310000104169wmt:DenominatedEurowithVariableRateMember2022-01-310000104169wmt:DenominatedEurowithVariableRateMember2021-01-310000104169wmt:DenominatedEuroMember2022-01-310000104169wmt:DenominatedEuroMember2021-01-310000104169wmt:DenominatedSterlingwi</w:t>
      </w:r>
      <w:r>
        <w:rPr>
          <w:rFonts w:ascii="宋体" w:eastAsia="宋体" w:hAnsi="宋体" w:cs="宋体"/>
          <w:vanish/>
        </w:rPr>
        <w:t>thFixedRateMember2022-01-310000104169wmt:DenominatedSterlingwithFixedRateMemberus-gaap:UnsecuredDebtMember2022-01-310000104169wmt:DenominatedSterlingwithFixedRateMember2021-01-310000104169wmt:DenominatedSterlingwithFixedRateMemberus-gaap:UnsecuredDebtMembe</w:t>
      </w:r>
      <w:r>
        <w:rPr>
          <w:rFonts w:ascii="宋体" w:eastAsia="宋体" w:hAnsi="宋体" w:cs="宋体"/>
          <w:vanish/>
        </w:rPr>
        <w:t>r2021-01-310000104169wmt:DenominatedSterlingwithVariableRateMember2022-01-310000104169wmt:DenominatedSterlingwithVariableRateMember2021-01-310000104169wmt:DenominatedSterlingMember2022-01-310000104169wmt:DenominatedSterlingMember2021-01-310000104169wmt:Den</w:t>
      </w:r>
      <w:r>
        <w:rPr>
          <w:rFonts w:ascii="宋体" w:eastAsia="宋体" w:hAnsi="宋体" w:cs="宋体"/>
          <w:vanish/>
        </w:rPr>
        <w:t>ominatedYenwithFixedRateMember2022-01-310000104169wmt:DenominatedYenwithFixedRateMemberus-gaap:UnsecuredDebtMember2022-01-310000104169wmt:DenominatedYenwithFixedRateMember2021-01-310000104169wmt:DenominatedYenwithFixedRateMemberus-gaap:UnsecuredDebtMember2</w:t>
      </w:r>
      <w:r>
        <w:rPr>
          <w:rFonts w:ascii="宋体" w:eastAsia="宋体" w:hAnsi="宋体" w:cs="宋体"/>
          <w:vanish/>
        </w:rPr>
        <w:t>021-01-310000104169wmt:DenominatedYenwithVariableRateMember2022-01-310000104169wmt:DenominatedYenwithVariableRateMember2021-01-310000104169wmt:DenominatedYenMember2022-01-310000104169wmt:DenominatedYenMember2021-01-310000104169us-gaap:OtherDebtSecuritiesMe</w:t>
      </w:r>
      <w:r>
        <w:rPr>
          <w:rFonts w:ascii="宋体" w:eastAsia="宋体" w:hAnsi="宋体" w:cs="宋体"/>
          <w:vanish/>
        </w:rPr>
        <w:t>mber2022-01-310000104169us-gaap:OtherDebtSecuritiesMember2021-01-310000104169us-gaap:UnsecuredDebtMember2022-01-310000104169wmt:SeniorUnsecuredNotesMemberwmt:A1050DebtDue2026Member2021-09-170000104169wmt:SeniorUnsecuredNotesMemberwmt:A1050DebtDue2026Member</w:t>
      </w:r>
      <w:r>
        <w:rPr>
          <w:rFonts w:ascii="宋体" w:eastAsia="宋体" w:hAnsi="宋体" w:cs="宋体"/>
          <w:vanish/>
        </w:rPr>
        <w:t>2021-02-012022-01-310000104169wmt:SeniorUnsecuredNotesMemberwmt:A1500DebtDue2028Member2021-09-220000104169wmt:SeniorUnsecuredNotesMemberwmt:A1500DebtDue2028Member2021-02-012022-01-310000104169wmt:SeniorUnsecuredNotesMemberwmt:A1800DebtDue2031Member2021-09-</w:t>
      </w:r>
      <w:r>
        <w:rPr>
          <w:rFonts w:ascii="宋体" w:eastAsia="宋体" w:hAnsi="宋体" w:cs="宋体"/>
          <w:vanish/>
        </w:rPr>
        <w:t>220000104169wmt:SeniorUnsecuredNotesMemberwmt:A1800DebtDue2031Member2021-02-012022-01-310000104169wmt:SeniorUnsecuredNotesMemberwmt:A2500DebtDue2041Member2021-09-220000104169wmt:SeniorUnsecuredNotesMemberwmt:A2500DebtDue2041Member2021-02-012022-01-31000010</w:t>
      </w:r>
      <w:r>
        <w:rPr>
          <w:rFonts w:ascii="宋体" w:eastAsia="宋体" w:hAnsi="宋体" w:cs="宋体"/>
          <w:vanish/>
        </w:rPr>
        <w:t>4169wmt:A2650DebtDue2051Memberwmt:SeniorUnsecuredNotesMember2021-09-220000104169wmt:A2650DebtDue2051Memberwmt:SeniorUnsecuredNotesMember2021-02-012022-01-310000104169wmt:SeniorUnsecuredNotesMember2021-02-012022-01-310000104169us-gaap:UnsecuredDebtMember202</w:t>
      </w:r>
      <w:r>
        <w:rPr>
          <w:rFonts w:ascii="宋体" w:eastAsia="宋体" w:hAnsi="宋体" w:cs="宋体"/>
          <w:vanish/>
        </w:rPr>
        <w:t>1-02-012022-01-310000104169wmt:A4250DebtDue2021Member2021-04-150000104169wmt:A4250DebtDue2021Member2021-02-012022-01-310000104169wmt:FloatingRateDebtDue2021Member2021-06-230000104169wmt:FloatingRateDebtDue2021Member2021-02-012022-01-310000104169wmt:A3125De</w:t>
      </w:r>
      <w:r>
        <w:rPr>
          <w:rFonts w:ascii="宋体" w:eastAsia="宋体" w:hAnsi="宋体" w:cs="宋体"/>
          <w:vanish/>
        </w:rPr>
        <w:t>btDue2021Member2021-06-230000104169wmt:A3125DebtDue2021Member2021-02-012022-01-310000104169wmt:A3400DebtDue2023Member2021-09-230000104169wmt:A3400DebtDue2023Member2021-02-012022-01-310000104169wmt:A6750DebtDue2023Member2021-09-230000104169wmt:A6750DebtDue2</w:t>
      </w:r>
      <w:r>
        <w:rPr>
          <w:rFonts w:ascii="宋体" w:eastAsia="宋体" w:hAnsi="宋体" w:cs="宋体"/>
          <w:vanish/>
        </w:rPr>
        <w:t>023Member2021-02-012022-01-310000104169wmt:A2850DebtDue2024Member2021-09-230000104169wmt:A2850DebtDue2024Member2021-02-012022-01-310000104169wmt:A2650DebtDue2024Member2021-09-230000104169wmt:A2650DebtDue2024Member2021-02-012022-01-310000104169wmt:A3550Debt</w:t>
      </w:r>
      <w:r>
        <w:rPr>
          <w:rFonts w:ascii="宋体" w:eastAsia="宋体" w:hAnsi="宋体" w:cs="宋体"/>
          <w:vanish/>
        </w:rPr>
        <w:t>Due2025Member2021-09-230000104169wmt:A3550DebtDue2025Member2021-02-012022-01-310000104169wmt:A3050DebtDue2026Member2021-09-230000104169wmt:A3050DebtDue2026Member2021-02-012022-01-310000104169wmt:A5875DebtDue2027Member2021-09-230000104169wmt:A5875DebtDue202</w:t>
      </w:r>
      <w:r>
        <w:rPr>
          <w:rFonts w:ascii="宋体" w:eastAsia="宋体" w:hAnsi="宋体" w:cs="宋体"/>
          <w:vanish/>
        </w:rPr>
        <w:t>7Member2021-02-012022-01-310000104169wmt:A3700DebtDue2028Member2021-09-230000104169wmt:A3700DebtDue2028Member2021-02-012022-01-310000104169wmt:A3250DebtDue2029Member2021-09-230000104169wmt:A3250DebtDue2029Member2021-02-012022-01-310000104169wmt:A2375DebtDu</w:t>
      </w:r>
      <w:r>
        <w:rPr>
          <w:rFonts w:ascii="宋体" w:eastAsia="宋体" w:hAnsi="宋体" w:cs="宋体"/>
          <w:vanish/>
        </w:rPr>
        <w:t>e2029Member2021-09-230000104169wmt:A2375DebtDue2029Member2021-02-012022-01-310000104169wmt:A7550DebtDue2030Member2021-09-230000104169wmt:A7550DebtDue2030Member2021-02-012022-01-310000104169wmt:A5250DebtDue2035Member2021-09-230000104169wmt:A5250DebtDue2035M</w:t>
      </w:r>
      <w:r>
        <w:rPr>
          <w:rFonts w:ascii="宋体" w:eastAsia="宋体" w:hAnsi="宋体" w:cs="宋体"/>
          <w:vanish/>
        </w:rPr>
        <w:t>ember2021-02-012022-01-310000104169wmt:A6500DebtDue2037Member2021-09-230000104169wmt:A6500DebtDue2037Member2021-02-012022-01-310000104169wmt:A6200DebtDue2038Member2021-09-230000104169wmt:A6200DebtDue2038Member2021-02-012022-01-310000104169wmt:A3950DebtDue2</w:t>
      </w:r>
      <w:r>
        <w:rPr>
          <w:rFonts w:ascii="宋体" w:eastAsia="宋体" w:hAnsi="宋体" w:cs="宋体"/>
          <w:vanish/>
        </w:rPr>
        <w:t>038Member2021-09-230000104169wmt:A3950DebtDue2038Member2021-02-012022-01-310000104169wmt:A5625DebtDue2040Member2021-09-230000104169wmt:A5625DebtDue2040Member2021-02-012022-01-310000104169wmt:A4875DebtDue2040Member2021-09-230000104169wmt:A4875DebtDue2040Mem</w:t>
      </w:r>
      <w:r>
        <w:rPr>
          <w:rFonts w:ascii="宋体" w:eastAsia="宋体" w:hAnsi="宋体" w:cs="宋体"/>
          <w:vanish/>
        </w:rPr>
        <w:t>ber2021-02-012022-01-310000104169wmt:A5000DebtDue2040Member2021-09-230000104169wmt:A5000DebtDue2040Member2021-02-012022-01-310000104169wmt:A5625DebtDue2041Member2021-09-230000104169wmt:A5625DebtDue2041Member2021-02-012022-01-310000104169wmt:A4000DebtDue204</w:t>
      </w:r>
      <w:r>
        <w:rPr>
          <w:rFonts w:ascii="宋体" w:eastAsia="宋体" w:hAnsi="宋体" w:cs="宋体"/>
          <w:vanish/>
        </w:rPr>
        <w:t>3Member2021-09-230000104169wmt:A4000DebtDue2043Member2021-02-012022-01-310000104169wmt:A4750DebtDue2043Member2021-09-230000104169wmt:A4750DebtDue2043Member2021-02-012022-01-310000104169wmt:A4300DebtDue2044Member2021-09-230000104169wmt:A4300DebtDue2044Membe</w:t>
      </w:r>
      <w:r>
        <w:rPr>
          <w:rFonts w:ascii="宋体" w:eastAsia="宋体" w:hAnsi="宋体" w:cs="宋体"/>
          <w:vanish/>
        </w:rPr>
        <w:t>r2021-02-012022-01-310000104169wmt:A3625DebtDue2047Member2021-09-230000104169wmt:A3625DebtDue2047Member2021-02-012022-01-310000104169wmt:A4050DebtDue2048Member2021-09-230000104169wmt:A4050DebtDue2048Member2021-02-012022-01-310000104169wmt:A2950DebtDue2049M</w:t>
      </w:r>
      <w:r>
        <w:rPr>
          <w:rFonts w:ascii="宋体" w:eastAsia="宋体" w:hAnsi="宋体" w:cs="宋体"/>
          <w:vanish/>
        </w:rPr>
        <w:t>ember2021-09-230000104169wmt:A2950DebtDue2049Member2021-02-012022-01-310000104169wmt:FloatingRateDebtDue2020Memberus-gaap:UnsecuredDebtMember2020-06-230000104169wmt:FloatingRateDebtDue2020Memberus-gaap:UnsecuredDebtMember2020-02-012021-01-310000104169us-ga</w:t>
      </w:r>
      <w:r>
        <w:rPr>
          <w:rFonts w:ascii="宋体" w:eastAsia="宋体" w:hAnsi="宋体" w:cs="宋体"/>
          <w:vanish/>
        </w:rPr>
        <w:t>ap:UnsecuredDebtMemberwmt:A2.850DebtDue2020Member2020-06-230000104169us-gaap:UnsecuredDebtMemberwmt:A2.850DebtDue2020Member2020-02-012021-01-310000104169us-gaap:UnsecuredDebtMemberwmt:A3630DebtDue2020Member2020-07-080000104169us-gaap:UnsecuredDebtMemberwmt</w:t>
      </w:r>
      <w:r>
        <w:rPr>
          <w:rFonts w:ascii="宋体" w:eastAsia="宋体" w:hAnsi="宋体" w:cs="宋体"/>
          <w:vanish/>
        </w:rPr>
        <w:t>:A3630DebtDue2020Member2020-02-012021-01-310000104169wmt:A1600DebtDue2020Memberus-gaap:UnsecuredDebtMember2020-07-28iso4217:JPY0000104169wmt:A1600DebtDue2020Memberus-gaap:UnsecuredDebtMember2020-02-012021-01-310000104169wmt:A3250DebtDue2020Memberus-gaap:Un</w:t>
      </w:r>
      <w:r>
        <w:rPr>
          <w:rFonts w:ascii="宋体" w:eastAsia="宋体" w:hAnsi="宋体" w:cs="宋体"/>
          <w:vanish/>
        </w:rPr>
        <w:t>securedDebtMember2020-10-250000104169wmt:A3250DebtDue2020Memberus-gaap:UnsecuredDebtMember2020-02-012021-01-310000104169wmt:A1900DebtDue2020Memberus-gaap:UnsecuredDebtMember2020-12-150000104169wmt:A1900DebtDue2020Memberus-gaap:UnsecuredDebtMember2020-02-01</w:t>
      </w:r>
      <w:r>
        <w:rPr>
          <w:rFonts w:ascii="宋体" w:eastAsia="宋体" w:hAnsi="宋体" w:cs="宋体"/>
          <w:vanish/>
        </w:rPr>
        <w:t>2021-01-310000104169us-gaap:UnsecuredDebtMember2020-02-012021-01-310000104169us-gaap:FairValueMeasurementsRecurringMemberus-gaap:FairValueInputsLevel1Member2022-01-310000104169us-gaap:FairValueMeasurementsRecurringMemberus-gaap:FairValueInputsLevel1Member2</w:t>
      </w:r>
      <w:r>
        <w:rPr>
          <w:rFonts w:ascii="宋体" w:eastAsia="宋体" w:hAnsi="宋体" w:cs="宋体"/>
          <w:vanish/>
        </w:rPr>
        <w:t>021-01-310000104169us-gaap:FairValueMeasurementsRecurringMemberus-gaap:FairValueInputsLevel2Member2022-01-310000104169us-gaap:FairValueMeasurementsRecurringMemberus-gaap:FairValueInputsLevel2Member2021-01-310000104169us-gaap:FairValueHedgingMemberus-gaap:I</w:t>
      </w:r>
      <w:r>
        <w:rPr>
          <w:rFonts w:ascii="宋体" w:eastAsia="宋体" w:hAnsi="宋体" w:cs="宋体"/>
          <w:vanish/>
        </w:rPr>
        <w:t>nterestRateSwapMember2022-01-310000104169us-gaap:FairValueMeasurementsRecurringMemberus-gaap:FairValueHedgingMemberus-gaap:InterestRateSwapMemberus-gaap:FairValueInputsLevel2Member2022-01-310000104169us-gaap:FairValueHedgingMemberus-gaap:InterestRateSwapMe</w:t>
      </w:r>
      <w:r>
        <w:rPr>
          <w:rFonts w:ascii="宋体" w:eastAsia="宋体" w:hAnsi="宋体" w:cs="宋体"/>
          <w:vanish/>
        </w:rPr>
        <w:t>mber2021-01-310000104169us-gaap:FairValueMeasurementsRecurringMemberus-gaap:FairValueHedgingMemberus-gaap:InterestRateSwapMemberus-gaap:FairValueInputsLevel2Member2021-01-310000104169us-gaap:CrossCurrencyInterestRateContractMemberus-gaap:NetInvestmentHedgi</w:t>
      </w:r>
      <w:r>
        <w:rPr>
          <w:rFonts w:ascii="宋体" w:eastAsia="宋体" w:hAnsi="宋体" w:cs="宋体"/>
          <w:vanish/>
        </w:rPr>
        <w:t>ngMember2022-01-310000104169us-gaap:FairValueMeasurementsRecurringMemberus-gaap:CrossCurrencyInterestRateContractMemberus-gaap:NetInvestmentHedgingMemberus-gaap:FairValueInputsLevel2Member2022-01-310000104169us-gaap:CrossCurrencyInterestRateContractMemberu</w:t>
      </w:r>
      <w:r>
        <w:rPr>
          <w:rFonts w:ascii="宋体" w:eastAsia="宋体" w:hAnsi="宋体" w:cs="宋体"/>
          <w:vanish/>
        </w:rPr>
        <w:t>s-gaap:NetInvestmentHedgingMember2021-01-310000104169us-gaap:FairValueMeasurementsRecurringMemberus-gaap:CrossCurrencyInterestRateContractMemberus-gaap:NetInvestmentHedgingMemberus-gaap:FairValueInputsLevel2Member2021-01-310000104169us-gaap:CrossCurrencyIn</w:t>
      </w:r>
      <w:r>
        <w:rPr>
          <w:rFonts w:ascii="宋体" w:eastAsia="宋体" w:hAnsi="宋体" w:cs="宋体"/>
          <w:vanish/>
        </w:rPr>
        <w:t>terestRateContractMemberus-gaap:CashFlowHedgingMember2022-01-310000104169us-gaap:FairValueMeasurementsRecurringMemberus-gaap:CrossCurrencyInterestRateContractMemberus-gaap:CashFlowHedgingMemberus-gaap:FairValueInputsLevel2Member2022-01-310000104169us-gaap:</w:t>
      </w:r>
      <w:r>
        <w:rPr>
          <w:rFonts w:ascii="宋体" w:eastAsia="宋体" w:hAnsi="宋体" w:cs="宋体"/>
          <w:vanish/>
        </w:rPr>
        <w:t>CrossCurrencyInterestRateContractMemberus-gaap:CashFlowHedgingMember2021-01-310000104169us-gaap:FairValueMeasurementsRecurringMemberus-gaap:CrossCurrencyInterestRateContractMemberus-gaap:CashFlowHedgingMemberus-gaap:FairValueInputsLevel2Member2021-01-31000</w:t>
      </w:r>
      <w:r>
        <w:rPr>
          <w:rFonts w:ascii="宋体" w:eastAsia="宋体" w:hAnsi="宋体" w:cs="宋体"/>
          <w:vanish/>
        </w:rPr>
        <w:t>0104169us-gaap:DisposalGroupHeldforsaleNotDiscontinuedOperationsMemberwmt:AsdaMember2020-02-012021-01-310000104169wmt:WalmartUSMember2019-02-012020-01-310000104169wmt:WalmartInternationalMember2019-02-012020-01-310000104169us-gaap:CarryingReportedAmountFai</w:t>
      </w:r>
      <w:r>
        <w:rPr>
          <w:rFonts w:ascii="宋体" w:eastAsia="宋体" w:hAnsi="宋体" w:cs="宋体"/>
          <w:vanish/>
        </w:rPr>
        <w:t>rValueDisclosureMember2022-01-310000104169us-gaap:FairValueInputsLevel2Memberus-gaap:EstimateOfFairValueFairValueDisclosureMember2022-01-310000104169us-gaap:CarryingReportedAmountFairValueDisclosureMember2021-01-310000104169us-gaap:FairValueInputsLevel2Mem</w:t>
      </w:r>
      <w:r>
        <w:rPr>
          <w:rFonts w:ascii="宋体" w:eastAsia="宋体" w:hAnsi="宋体" w:cs="宋体"/>
          <w:vanish/>
        </w:rPr>
        <w:t>berus-gaap:EstimateOfFairValueFairValueDisclosureMember2021-01-310000104169wmt:OtherlongtermassetsMember2022-01-310000104169wmt:OtherlongtermassetsMember2021-01-310000104169wmt:DeferredIncomeTaxesandOtherMember2022-01-310000104169wmt:DeferredIncomeTaxesand</w:t>
      </w:r>
      <w:r>
        <w:rPr>
          <w:rFonts w:ascii="宋体" w:eastAsia="宋体" w:hAnsi="宋体" w:cs="宋体"/>
          <w:vanish/>
        </w:rPr>
        <w:t>OtherMember2021-01-310000104169wmt:OperatingLossAndCapitalLossCarryforwardExpiringBy2042Member2022-01-310000104169wmt:OpioidsLitigationMember2021-11-19wmt:Case0000104169wmt:OpioidsLitigationMember2022-01-31wmt:securitiesClassActionwmt:numberOfShareholders0</w:t>
      </w:r>
      <w:r>
        <w:rPr>
          <w:rFonts w:ascii="宋体" w:eastAsia="宋体" w:hAnsi="宋体" w:cs="宋体"/>
          <w:vanish/>
        </w:rPr>
        <w:t>000104169wmt:OpioidsLitigationMember2021-09-270000104169country:US2021-02-012022-01-310000104169country:US2020-02-012021-01-310000104169country:US2019-02-012020-01-310000104169us-gaap:ForeignPlanMember2021-02-012022-01-310000104169us-gaap:ForeignPlanMember</w:t>
      </w:r>
      <w:r>
        <w:rPr>
          <w:rFonts w:ascii="宋体" w:eastAsia="宋体" w:hAnsi="宋体" w:cs="宋体"/>
          <w:vanish/>
        </w:rPr>
        <w:t>2020-02-012021-01-310000104169us-gaap:ForeignPlanMember2019-02-012020-01-310000104169wmt:AsdaGroupPensionSchemeMemberus-gaap:PensionPlansDefinedBenefitMember2019-02-012020-01-310000104169us-gaap:DisposalGroupDisposedOfBySaleNotDiscontinuedOperationsMemberw</w:t>
      </w:r>
      <w:r>
        <w:rPr>
          <w:rFonts w:ascii="宋体" w:eastAsia="宋体" w:hAnsi="宋体" w:cs="宋体"/>
          <w:vanish/>
        </w:rPr>
        <w:t>mt:AsdaMember2021-02-280000104169us-gaap:DisposalGroupDisposedOfBySaleNotDiscontinuedOperationsMemberwmt:AsdaMember2021-02-012022-01-310000104169us-gaap:DisposalGroupHeldforsaleNotDiscontinuedOperationsMemberwmt:AsdaMember2021-01-310000104169wmt:SeiyuMembe</w:t>
      </w:r>
      <w:r>
        <w:rPr>
          <w:rFonts w:ascii="宋体" w:eastAsia="宋体" w:hAnsi="宋体" w:cs="宋体"/>
          <w:vanish/>
        </w:rPr>
        <w:t>rus-gaap:DisposalGroupHeldforsaleNotDiscontinuedOperationsMember2021-03-310000104169wmt:SeiyuMemberus-gaap:DisposalGroupDisposedOfBySaleNotDiscontinuedOperationsMember2021-02-012022-01-310000104169wmt:SeiyuMember2022-01-310000104169wmt:SeiyuMemberus-gaap:D</w:t>
      </w:r>
      <w:r>
        <w:rPr>
          <w:rFonts w:ascii="宋体" w:eastAsia="宋体" w:hAnsi="宋体" w:cs="宋体"/>
          <w:vanish/>
        </w:rPr>
        <w:t>isposalGroupHeldforsaleNotDiscontinuedOperationsMember2020-02-012021-01-310000104169us-gaap:DisposalGroupHeldforsaleNotDiscontinuedOperationsMemberwmt:AsdaAndSeiyuMember2021-01-310000104169us-gaap:DisposalGroupHeldforsaleNotDiscontinuedOperationsMemberwmt:</w:t>
      </w:r>
      <w:r>
        <w:rPr>
          <w:rFonts w:ascii="宋体" w:eastAsia="宋体" w:hAnsi="宋体" w:cs="宋体"/>
          <w:vanish/>
        </w:rPr>
        <w:t>AsdaAndSeiyuMember2020-02-012021-01-310000104169wmt:WalmartArgentinaMemberus-gaap:DisposalGroupDisposedOfBySaleNotDiscontinuedOperationsMember2020-02-012021-01-310000104169wmt:CorporateAndSupportMember2021-02-012022-01-310000104169wmt:CorporateAndSupportMe</w:t>
      </w:r>
      <w:r>
        <w:rPr>
          <w:rFonts w:ascii="宋体" w:eastAsia="宋体" w:hAnsi="宋体" w:cs="宋体"/>
          <w:vanish/>
        </w:rPr>
        <w:t>mber2022-01-310000104169wmt:CorporateAndSupportMember2020-02-012021-01-310000104169wmt:CorporateAndSupportMember2021-01-310000104169wmt:SamsClubMember2019-02-012020-01-310000104169wmt:CorporateAndSupportMember2019-02-012020-01-310000104169wmt:CorporateAndS</w:t>
      </w:r>
      <w:r>
        <w:rPr>
          <w:rFonts w:ascii="宋体" w:eastAsia="宋体" w:hAnsi="宋体" w:cs="宋体"/>
          <w:vanish/>
        </w:rPr>
        <w:t>upportMember2020-01-310000104169country:US2021-02-012022-01-310000104169country:US2020-02-012021-01-310000104169country:US2019-02-012020-01-310000104169wmt:WalmartInternationalMember2021-02-012022-01-310000104169wmt:WalmartInternationalMember2020-02-012021</w:t>
      </w:r>
      <w:r>
        <w:rPr>
          <w:rFonts w:ascii="宋体" w:eastAsia="宋体" w:hAnsi="宋体" w:cs="宋体"/>
          <w:vanish/>
        </w:rPr>
        <w:t>-01-310000104169wmt:WalmartInternationalMember2019-02-012020-01-310000104169country:US2022-01-310000104169country:US2021-01-310000104169country:US2020-01-310000104169wmt:WalmartInternationalMember2022-01-310000104169wmt:WalmartInternationalMember2021-01-31</w:t>
      </w:r>
      <w:r>
        <w:rPr>
          <w:rFonts w:ascii="宋体" w:eastAsia="宋体" w:hAnsi="宋体" w:cs="宋体"/>
          <w:vanish/>
        </w:rPr>
        <w:t>0000104169wmt:WalmartInternationalMember2020-01-310000104169wmt:GroceryMemberwmt:WalmartUSMember2021-02-012022-01-310000104169wmt:GroceryMemberwmt:WalmartUSMember2020-02-012021-01-310000104169wmt:GroceryMemberwmt:WalmartUSMember2019-02-012020-01-3100001041</w:t>
      </w:r>
      <w:r>
        <w:rPr>
          <w:rFonts w:ascii="宋体" w:eastAsia="宋体" w:hAnsi="宋体" w:cs="宋体"/>
          <w:vanish/>
        </w:rPr>
        <w:t>69wmt:GeneralMerchandiseMemberwmt:WalmartUSMember2021-02-012022-01-310000104169wmt:GeneralMerchandiseMemberwmt:WalmartUSMember2020-02-012021-01-310000104169wmt:GeneralMerchandiseMemberwmt:WalmartUSMember2019-02-012020-01-310000104169wmt:HealthandWellnessMe</w:t>
      </w:r>
      <w:r>
        <w:rPr>
          <w:rFonts w:ascii="宋体" w:eastAsia="宋体" w:hAnsi="宋体" w:cs="宋体"/>
          <w:vanish/>
        </w:rPr>
        <w:t>mberwmt:WalmartUSMember2021-02-012022-01-310000104169wmt:HealthandWellnessMemberwmt:WalmartUSMember2020-02-012021-01-310000104169wmt:HealthandWellnessMemberwmt:WalmartUSMember2019-02-012020-01-310000104169wmt:OtherCategoriesMemberwmt:WalmartUSMember2021-02</w:t>
      </w:r>
      <w:r>
        <w:rPr>
          <w:rFonts w:ascii="宋体" w:eastAsia="宋体" w:hAnsi="宋体" w:cs="宋体"/>
          <w:vanish/>
        </w:rPr>
        <w:t>-012022-01-310000104169wmt:OtherCategoriesMemberwmt:WalmartUSMember2020-02-012021-01-310000104169wmt:OtherCategoriesMemberwmt:WalmartUSMember2019-02-012020-01-310000104169wmt:ECommerceMemberwmt:WalmartUSMember2021-02-012022-01-310000104169wmt:ECommerceMemb</w:t>
      </w:r>
      <w:r>
        <w:rPr>
          <w:rFonts w:ascii="宋体" w:eastAsia="宋体" w:hAnsi="宋体" w:cs="宋体"/>
          <w:vanish/>
        </w:rPr>
        <w:t>erwmt:WalmartUSMember2020-02-012021-01-310000104169wmt:ECommerceMemberwmt:WalmartUSMember2019-02-012020-01-310000104169wmt:WalmartInternationalMemberwmt:MexicoandCentralAmericaMember2021-02-012022-01-310000104169wmt:WalmartInternationalMemberwmt:MexicoandC</w:t>
      </w:r>
      <w:r>
        <w:rPr>
          <w:rFonts w:ascii="宋体" w:eastAsia="宋体" w:hAnsi="宋体" w:cs="宋体"/>
          <w:vanish/>
        </w:rPr>
        <w:t>entralAmericaMember2020-02-012021-01-310000104169wmt:WalmartInternationalMemberwmt:MexicoandCentralAmericaMember2019-02-012020-01-310000104169wmt:WalmartInternationalMembercountry:CA2021-02-012022-01-310000104169wmt:WalmartInternationalMembercountry:CA2020</w:t>
      </w:r>
      <w:r>
        <w:rPr>
          <w:rFonts w:ascii="宋体" w:eastAsia="宋体" w:hAnsi="宋体" w:cs="宋体"/>
          <w:vanish/>
        </w:rPr>
        <w:t>-02-012021-01-310000104169wmt:WalmartInternationalMembercountry:CA2019-02-012020-01-310000104169wmt:WalmartInternationalMembercountry:CN2021-02-012022-01-310000104169wmt:WalmartInternationalMembercountry:CN2020-02-012021-01-310000104169wmt:WalmartInternati</w:t>
      </w:r>
      <w:r>
        <w:rPr>
          <w:rFonts w:ascii="宋体" w:eastAsia="宋体" w:hAnsi="宋体" w:cs="宋体"/>
          <w:vanish/>
        </w:rPr>
        <w:t>onalMembercountry:CN2019-02-012020-01-310000104169wmt:WalmartInternationalMembercountry:GB2021-02-012022-01-310000104169wmt:WalmartInternationalMembercountry:GB2020-02-012021-01-310000104169wmt:WalmartInternationalMembercountry:GB2019-02-012020-01-31000010</w:t>
      </w:r>
      <w:r>
        <w:rPr>
          <w:rFonts w:ascii="宋体" w:eastAsia="宋体" w:hAnsi="宋体" w:cs="宋体"/>
          <w:vanish/>
        </w:rPr>
        <w:t>4169wmt:WalmartInternationalMemberwmt:OtherMember2021-02-012022-01-310000104169wmt:WalmartInternationalMemberwmt:OtherMember2020-02-012021-01-310000104169wmt:WalmartInternationalMemberwmt:OtherMember2019-02-012020-01-310000104169wmt:WalmartInternationalMem</w:t>
      </w:r>
      <w:r>
        <w:rPr>
          <w:rFonts w:ascii="宋体" w:eastAsia="宋体" w:hAnsi="宋体" w:cs="宋体"/>
          <w:vanish/>
        </w:rPr>
        <w:t>berwmt:ECommerceMember2021-02-012022-01-310000104169wmt:WalmartInternationalMemberwmt:ECommerceMember2020-02-012021-01-310000104169wmt:WalmartInternationalMemberwmt:ECommerceMember2019-02-012020-01-310000104169wmt:GroceryandconsumablesMemberwmt:SamsClubMem</w:t>
      </w:r>
      <w:r>
        <w:rPr>
          <w:rFonts w:ascii="宋体" w:eastAsia="宋体" w:hAnsi="宋体" w:cs="宋体"/>
          <w:vanish/>
        </w:rPr>
        <w:t>ber2021-02-012022-01-310000104169wmt:GroceryandconsumablesMemberwmt:SamsClubMember2020-02-012021-01-310000104169wmt:GroceryandconsumablesMemberwmt:SamsClubMember2019-02-012020-01-310000104169wmt:SamsClubMemberwmt:FueltobaccoandothercategoriesMember2021-02-</w:t>
      </w:r>
      <w:r>
        <w:rPr>
          <w:rFonts w:ascii="宋体" w:eastAsia="宋体" w:hAnsi="宋体" w:cs="宋体"/>
          <w:vanish/>
        </w:rPr>
        <w:t>012022-01-310000104169wmt:SamsClubMemberwmt:FueltobaccoandothercategoriesMember2020-02-012021-01-310000104169wmt:SamsClubMemberwmt:FueltobaccoandothercategoriesMember2019-02-012020-01-310000104169wmt:SamsClubMemberwmt:HomeandapparelMember2021-02-012022-01-</w:t>
      </w:r>
      <w:r>
        <w:rPr>
          <w:rFonts w:ascii="宋体" w:eastAsia="宋体" w:hAnsi="宋体" w:cs="宋体"/>
          <w:vanish/>
        </w:rPr>
        <w:t>310000104169wmt:SamsClubMemberwmt:HomeandapparelMember2020-02-012021-01-310000104169wmt:SamsClubMemberwmt:HomeandapparelMember2019-02-012020-01-310000104169wmt:SamsClubMemberwmt:HealthandWellnessMember2021-02-012022-01-310000104169wmt:SamsClubMemberwmt:Hea</w:t>
      </w:r>
      <w:r>
        <w:rPr>
          <w:rFonts w:ascii="宋体" w:eastAsia="宋体" w:hAnsi="宋体" w:cs="宋体"/>
          <w:vanish/>
        </w:rPr>
        <w:t>lthandWellnessMember2020-02-012021-01-310000104169wmt:SamsClubMemberwmt:HealthandWellnessMember2019-02-012020-01-310000104169wmt:TechnologyofficesandentertainmentMemberwmt:SamsClubMember2021-02-012022-01-310000104169wmt:TechnologyofficesandentertainmentMem</w:t>
      </w:r>
      <w:r>
        <w:rPr>
          <w:rFonts w:ascii="宋体" w:eastAsia="宋体" w:hAnsi="宋体" w:cs="宋体"/>
          <w:vanish/>
        </w:rPr>
        <w:t>berwmt:SamsClubMember2020-02-012021-01-310000104169wmt:TechnologyofficesandentertainmentMemberwmt:SamsClubMember2019-02-012020-01-310000104169wmt:SamsClubMemberwmt:ECommerceMember2021-02-012022-01-310000104169wmt:SamsClubMemberwmt:ECommerceMember2020-02-01</w:t>
      </w:r>
      <w:r>
        <w:rPr>
          <w:rFonts w:ascii="宋体" w:eastAsia="宋体" w:hAnsi="宋体" w:cs="宋体"/>
          <w:vanish/>
        </w:rPr>
        <w:t>2021-01-310000104169wmt:SamsClubMemberwmt:ECommerceMember2019-02-012020-01-310000104169us-gaap:SubsequentEventMember2022-02-172022-02-170000104169us-gaap:SubsequentEventMember2022-02-17</w:t>
      </w:r>
    </w:p>
    <w:p w14:paraId="35D08D97" w14:textId="77777777" w:rsidR="00D42204" w:rsidRDefault="00D42204"/>
    <w:p w14:paraId="35D08D98" w14:textId="77777777" w:rsidR="00D42204" w:rsidRDefault="004E439D">
      <w:pPr>
        <w:jc w:val="center"/>
      </w:pPr>
      <w:r>
        <w:rPr>
          <w:rFonts w:ascii="Times New Roman" w:eastAsia="宋体" w:hAnsi="Times New Roman"/>
          <w:b/>
          <w:bCs/>
          <w:color w:val="000000"/>
          <w:sz w:val="32"/>
          <w:szCs w:val="32"/>
        </w:rPr>
        <w:t>UNITED STATES</w:t>
      </w:r>
    </w:p>
    <w:p w14:paraId="35D08D99" w14:textId="77777777" w:rsidR="00D42204" w:rsidRDefault="004E439D">
      <w:pPr>
        <w:jc w:val="center"/>
      </w:pPr>
      <w:r>
        <w:rPr>
          <w:rFonts w:ascii="Times New Roman" w:eastAsia="宋体" w:hAnsi="Times New Roman"/>
          <w:b/>
          <w:bCs/>
          <w:color w:val="000000"/>
          <w:sz w:val="32"/>
          <w:szCs w:val="32"/>
        </w:rPr>
        <w:t>SECURITIES AND EXCHANGE COMMISSION</w:t>
      </w:r>
    </w:p>
    <w:p w14:paraId="35D08D9A" w14:textId="77777777" w:rsidR="00D42204" w:rsidRDefault="004E439D">
      <w:pPr>
        <w:jc w:val="center"/>
      </w:pPr>
      <w:r>
        <w:rPr>
          <w:rFonts w:ascii="Times New Roman" w:eastAsia="宋体" w:hAnsi="Times New Roman"/>
          <w:b/>
          <w:bCs/>
          <w:color w:val="000000"/>
          <w:sz w:val="22"/>
          <w:szCs w:val="22"/>
        </w:rPr>
        <w:t>Washington, D.C. 205</w:t>
      </w:r>
      <w:r>
        <w:rPr>
          <w:rFonts w:ascii="Times New Roman" w:eastAsia="宋体" w:hAnsi="Times New Roman"/>
          <w:b/>
          <w:bCs/>
          <w:color w:val="000000"/>
          <w:sz w:val="22"/>
          <w:szCs w:val="22"/>
        </w:rPr>
        <w:t>49</w:t>
      </w:r>
    </w:p>
    <w:p w14:paraId="35D08D9B" w14:textId="77777777" w:rsidR="00D42204" w:rsidRDefault="004E439D">
      <w:pPr>
        <w:spacing w:after="120"/>
        <w:jc w:val="center"/>
      </w:pPr>
      <w:r>
        <w:rPr>
          <w:rFonts w:ascii="Times New Roman" w:eastAsia="宋体" w:hAnsi="Times New Roman"/>
          <w:b/>
          <w:bCs/>
          <w:color w:val="000000"/>
          <w:sz w:val="16"/>
          <w:szCs w:val="16"/>
        </w:rPr>
        <w:t>___________________________________________</w:t>
      </w:r>
    </w:p>
    <w:p w14:paraId="35D08D9C" w14:textId="77777777" w:rsidR="00D42204" w:rsidRDefault="004E439D">
      <w:pPr>
        <w:jc w:val="center"/>
      </w:pPr>
      <w:r>
        <w:rPr>
          <w:rFonts w:ascii="Times New Roman" w:eastAsia="宋体" w:hAnsi="Times New Roman"/>
          <w:b/>
          <w:bCs/>
          <w:color w:val="000000"/>
          <w:sz w:val="36"/>
          <w:szCs w:val="36"/>
        </w:rPr>
        <w:t>FORM 10-K</w:t>
      </w:r>
    </w:p>
    <w:p w14:paraId="35D08D9D" w14:textId="77777777" w:rsidR="00D42204" w:rsidRDefault="004E439D">
      <w:pPr>
        <w:spacing w:after="120"/>
        <w:jc w:val="center"/>
      </w:pPr>
      <w:r>
        <w:rPr>
          <w:rFonts w:ascii="Times New Roman" w:eastAsia="宋体" w:hAnsi="Times New Roman"/>
          <w:b/>
          <w:bCs/>
          <w:color w:val="000000"/>
          <w:sz w:val="16"/>
          <w:szCs w:val="16"/>
        </w:rPr>
        <w:t>___________________________________________</w:t>
      </w:r>
      <w:r>
        <w:rPr>
          <w:rFonts w:ascii="Times New Roman" w:eastAsia="宋体" w:hAnsi="Times New Roman"/>
          <w:color w:val="000000"/>
          <w:sz w:val="20"/>
          <w:szCs w:val="20"/>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74"/>
        <w:gridCol w:w="36"/>
        <w:gridCol w:w="70"/>
        <w:gridCol w:w="7951"/>
        <w:gridCol w:w="36"/>
      </w:tblGrid>
      <w:tr w:rsidR="00D42204" w14:paraId="35D08DA4" w14:textId="77777777">
        <w:trPr>
          <w:jc w:val="center"/>
        </w:trPr>
        <w:tc>
          <w:tcPr>
            <w:tcW w:w="50" w:type="pct"/>
            <w:shd w:val="clear" w:color="auto" w:fill="auto"/>
            <w:vAlign w:val="bottom"/>
          </w:tcPr>
          <w:p w14:paraId="35D08D9E" w14:textId="77777777" w:rsidR="00D42204" w:rsidRDefault="00D42204">
            <w:pPr>
              <w:rPr>
                <w:rFonts w:ascii="宋体"/>
              </w:rPr>
            </w:pPr>
          </w:p>
        </w:tc>
        <w:tc>
          <w:tcPr>
            <w:tcW w:w="113" w:type="pct"/>
            <w:shd w:val="clear" w:color="auto" w:fill="auto"/>
            <w:vAlign w:val="bottom"/>
          </w:tcPr>
          <w:p w14:paraId="35D08D9F" w14:textId="77777777" w:rsidR="00D42204" w:rsidRDefault="00D42204">
            <w:pPr>
              <w:rPr>
                <w:rFonts w:ascii="宋体"/>
              </w:rPr>
            </w:pPr>
          </w:p>
        </w:tc>
        <w:tc>
          <w:tcPr>
            <w:tcW w:w="5" w:type="pct"/>
            <w:shd w:val="clear" w:color="auto" w:fill="auto"/>
            <w:vAlign w:val="bottom"/>
          </w:tcPr>
          <w:p w14:paraId="35D08DA0" w14:textId="77777777" w:rsidR="00D42204" w:rsidRDefault="00D42204">
            <w:pPr>
              <w:rPr>
                <w:rFonts w:ascii="宋体"/>
              </w:rPr>
            </w:pPr>
          </w:p>
        </w:tc>
        <w:tc>
          <w:tcPr>
            <w:tcW w:w="50" w:type="pct"/>
            <w:shd w:val="clear" w:color="auto" w:fill="auto"/>
            <w:vAlign w:val="bottom"/>
          </w:tcPr>
          <w:p w14:paraId="35D08DA1" w14:textId="77777777" w:rsidR="00D42204" w:rsidRDefault="00D42204">
            <w:pPr>
              <w:rPr>
                <w:rFonts w:ascii="宋体"/>
              </w:rPr>
            </w:pPr>
          </w:p>
        </w:tc>
        <w:tc>
          <w:tcPr>
            <w:tcW w:w="4776" w:type="pct"/>
            <w:shd w:val="clear" w:color="auto" w:fill="auto"/>
            <w:vAlign w:val="bottom"/>
          </w:tcPr>
          <w:p w14:paraId="35D08DA2" w14:textId="77777777" w:rsidR="00D42204" w:rsidRDefault="00D42204">
            <w:pPr>
              <w:rPr>
                <w:rFonts w:ascii="宋体"/>
              </w:rPr>
            </w:pPr>
          </w:p>
        </w:tc>
        <w:tc>
          <w:tcPr>
            <w:tcW w:w="5" w:type="pct"/>
            <w:shd w:val="clear" w:color="auto" w:fill="auto"/>
            <w:vAlign w:val="bottom"/>
          </w:tcPr>
          <w:p w14:paraId="35D08DA3" w14:textId="77777777" w:rsidR="00D42204" w:rsidRDefault="00D42204">
            <w:pPr>
              <w:rPr>
                <w:rFonts w:ascii="宋体"/>
              </w:rPr>
            </w:pPr>
          </w:p>
        </w:tc>
      </w:tr>
      <w:tr w:rsidR="00D42204" w14:paraId="35D08DA7" w14:textId="77777777">
        <w:trPr>
          <w:jc w:val="center"/>
        </w:trPr>
        <w:tc>
          <w:tcPr>
            <w:tcW w:w="0" w:type="auto"/>
            <w:gridSpan w:val="3"/>
            <w:shd w:val="clear" w:color="auto" w:fill="auto"/>
            <w:tcMar>
              <w:top w:w="40" w:type="dxa"/>
              <w:left w:w="20" w:type="dxa"/>
              <w:bottom w:w="40" w:type="dxa"/>
              <w:right w:w="20" w:type="dxa"/>
            </w:tcMar>
            <w:vAlign w:val="bottom"/>
          </w:tcPr>
          <w:p w14:paraId="35D08DA5" w14:textId="77777777" w:rsidR="00D42204" w:rsidRDefault="004E439D">
            <w:pPr>
              <w:jc w:val="center"/>
              <w:textAlignment w:val="bottom"/>
            </w:pPr>
            <w:r>
              <w:rPr>
                <w:rFonts w:ascii="Arial Unicode MS" w:eastAsia="Arial Unicode MS" w:hAnsi="Arial Unicode MS" w:cs="Arial Unicode MS"/>
                <w:color w:val="000000"/>
                <w:sz w:val="20"/>
                <w:szCs w:val="20"/>
              </w:rPr>
              <w:t>☒</w:t>
            </w:r>
          </w:p>
        </w:tc>
        <w:tc>
          <w:tcPr>
            <w:tcW w:w="0" w:type="auto"/>
            <w:gridSpan w:val="3"/>
            <w:shd w:val="clear" w:color="auto" w:fill="auto"/>
            <w:tcMar>
              <w:top w:w="40" w:type="dxa"/>
              <w:left w:w="20" w:type="dxa"/>
              <w:bottom w:w="40" w:type="dxa"/>
              <w:right w:w="20" w:type="dxa"/>
            </w:tcMar>
          </w:tcPr>
          <w:p w14:paraId="35D08DA6" w14:textId="77777777" w:rsidR="00D42204" w:rsidRDefault="004E439D">
            <w:pPr>
              <w:textAlignment w:val="top"/>
            </w:pPr>
            <w:r>
              <w:rPr>
                <w:rFonts w:ascii="Times New Roman" w:eastAsia="宋体" w:hAnsi="Times New Roman"/>
                <w:b/>
                <w:bCs/>
                <w:color w:val="000000"/>
                <w:sz w:val="20"/>
                <w:szCs w:val="20"/>
              </w:rPr>
              <w:t>Annual report pursuant to section 13 or 15(d) of the Securities Exchange Act of 1934</w:t>
            </w:r>
          </w:p>
        </w:tc>
      </w:tr>
    </w:tbl>
    <w:p w14:paraId="35D08DA8" w14:textId="77777777" w:rsidR="00D42204" w:rsidRDefault="004E439D">
      <w:pPr>
        <w:jc w:val="center"/>
      </w:pPr>
      <w:r>
        <w:rPr>
          <w:rFonts w:ascii="Times New Roman" w:eastAsia="宋体" w:hAnsi="Times New Roman"/>
          <w:color w:val="000000"/>
          <w:sz w:val="20"/>
          <w:szCs w:val="20"/>
        </w:rPr>
        <w:t>For the fiscal year ended January 31, 2022, 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74"/>
        <w:gridCol w:w="36"/>
        <w:gridCol w:w="70"/>
        <w:gridCol w:w="7951"/>
        <w:gridCol w:w="36"/>
      </w:tblGrid>
      <w:tr w:rsidR="00D42204" w14:paraId="35D08DAF" w14:textId="77777777">
        <w:trPr>
          <w:jc w:val="center"/>
        </w:trPr>
        <w:tc>
          <w:tcPr>
            <w:tcW w:w="50" w:type="pct"/>
            <w:shd w:val="clear" w:color="auto" w:fill="auto"/>
            <w:vAlign w:val="bottom"/>
          </w:tcPr>
          <w:p w14:paraId="35D08DA9" w14:textId="77777777" w:rsidR="00D42204" w:rsidRDefault="00D42204">
            <w:pPr>
              <w:rPr>
                <w:rFonts w:ascii="宋体"/>
              </w:rPr>
            </w:pPr>
          </w:p>
        </w:tc>
        <w:tc>
          <w:tcPr>
            <w:tcW w:w="113" w:type="pct"/>
            <w:shd w:val="clear" w:color="auto" w:fill="auto"/>
            <w:vAlign w:val="bottom"/>
          </w:tcPr>
          <w:p w14:paraId="35D08DAA" w14:textId="77777777" w:rsidR="00D42204" w:rsidRDefault="00D42204">
            <w:pPr>
              <w:rPr>
                <w:rFonts w:ascii="宋体"/>
              </w:rPr>
            </w:pPr>
          </w:p>
        </w:tc>
        <w:tc>
          <w:tcPr>
            <w:tcW w:w="5" w:type="pct"/>
            <w:shd w:val="clear" w:color="auto" w:fill="auto"/>
            <w:vAlign w:val="bottom"/>
          </w:tcPr>
          <w:p w14:paraId="35D08DAB" w14:textId="77777777" w:rsidR="00D42204" w:rsidRDefault="00D42204">
            <w:pPr>
              <w:rPr>
                <w:rFonts w:ascii="宋体"/>
              </w:rPr>
            </w:pPr>
          </w:p>
        </w:tc>
        <w:tc>
          <w:tcPr>
            <w:tcW w:w="50" w:type="pct"/>
            <w:shd w:val="clear" w:color="auto" w:fill="auto"/>
            <w:vAlign w:val="bottom"/>
          </w:tcPr>
          <w:p w14:paraId="35D08DAC" w14:textId="77777777" w:rsidR="00D42204" w:rsidRDefault="00D42204">
            <w:pPr>
              <w:rPr>
                <w:rFonts w:ascii="宋体"/>
              </w:rPr>
            </w:pPr>
          </w:p>
        </w:tc>
        <w:tc>
          <w:tcPr>
            <w:tcW w:w="4776" w:type="pct"/>
            <w:shd w:val="clear" w:color="auto" w:fill="auto"/>
            <w:vAlign w:val="bottom"/>
          </w:tcPr>
          <w:p w14:paraId="35D08DAD" w14:textId="77777777" w:rsidR="00D42204" w:rsidRDefault="00D42204">
            <w:pPr>
              <w:rPr>
                <w:rFonts w:ascii="宋体"/>
              </w:rPr>
            </w:pPr>
          </w:p>
        </w:tc>
        <w:tc>
          <w:tcPr>
            <w:tcW w:w="5" w:type="pct"/>
            <w:shd w:val="clear" w:color="auto" w:fill="auto"/>
            <w:vAlign w:val="bottom"/>
          </w:tcPr>
          <w:p w14:paraId="35D08DAE" w14:textId="77777777" w:rsidR="00D42204" w:rsidRDefault="00D42204">
            <w:pPr>
              <w:rPr>
                <w:rFonts w:ascii="宋体"/>
              </w:rPr>
            </w:pPr>
          </w:p>
        </w:tc>
      </w:tr>
      <w:tr w:rsidR="00D42204" w14:paraId="35D08DB2" w14:textId="77777777">
        <w:trPr>
          <w:jc w:val="center"/>
        </w:trPr>
        <w:tc>
          <w:tcPr>
            <w:tcW w:w="0" w:type="auto"/>
            <w:gridSpan w:val="3"/>
            <w:shd w:val="clear" w:color="auto" w:fill="auto"/>
            <w:tcMar>
              <w:top w:w="40" w:type="dxa"/>
              <w:left w:w="20" w:type="dxa"/>
              <w:bottom w:w="40" w:type="dxa"/>
              <w:right w:w="20" w:type="dxa"/>
            </w:tcMar>
          </w:tcPr>
          <w:p w14:paraId="35D08DB0" w14:textId="77777777" w:rsidR="00D42204" w:rsidRDefault="004E439D">
            <w:pPr>
              <w:jc w:val="center"/>
              <w:textAlignment w:val="top"/>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tcPr>
          <w:p w14:paraId="35D08DB1" w14:textId="77777777" w:rsidR="00D42204" w:rsidRDefault="004E439D">
            <w:pPr>
              <w:textAlignment w:val="top"/>
            </w:pPr>
            <w:r>
              <w:rPr>
                <w:rFonts w:ascii="Times New Roman" w:eastAsia="宋体" w:hAnsi="Times New Roman"/>
                <w:b/>
                <w:bCs/>
                <w:color w:val="000000"/>
                <w:sz w:val="20"/>
                <w:szCs w:val="20"/>
              </w:rPr>
              <w:t>Transition report pursuant to section 13 or 15(d) of the Securities Exchange Act of 1934</w:t>
            </w:r>
          </w:p>
        </w:tc>
      </w:tr>
    </w:tbl>
    <w:p w14:paraId="35D08DB3" w14:textId="77777777" w:rsidR="00D42204" w:rsidRDefault="004E439D">
      <w:pPr>
        <w:spacing w:before="80"/>
        <w:jc w:val="center"/>
      </w:pPr>
      <w:r>
        <w:rPr>
          <w:rFonts w:ascii="Times New Roman" w:eastAsia="宋体" w:hAnsi="Times New Roman"/>
          <w:color w:val="000000"/>
          <w:sz w:val="20"/>
          <w:szCs w:val="20"/>
        </w:rPr>
        <w:t>Commission file number 001-06991.</w:t>
      </w:r>
    </w:p>
    <w:p w14:paraId="35D08DB4" w14:textId="77777777" w:rsidR="00D42204" w:rsidRDefault="004E439D">
      <w:pPr>
        <w:jc w:val="center"/>
      </w:pPr>
      <w:r>
        <w:rPr>
          <w:rFonts w:ascii="Times New Roman" w:eastAsia="宋体" w:hAnsi="Times New Roman"/>
          <w:color w:val="000000"/>
          <w:sz w:val="18"/>
          <w:szCs w:val="18"/>
        </w:rPr>
        <w:t> </w:t>
      </w:r>
      <w:r>
        <w:rPr>
          <w:rFonts w:ascii="Times New Roman" w:eastAsia="宋体" w:hAnsi="Times New Roman"/>
          <w:b/>
          <w:bCs/>
          <w:color w:val="000000"/>
          <w:sz w:val="16"/>
          <w:szCs w:val="16"/>
        </w:rPr>
        <w:t>___________________________________________</w:t>
      </w:r>
      <w:r>
        <w:rPr>
          <w:rFonts w:ascii="Times New Roman" w:eastAsia="宋体" w:hAnsi="Times New Roman"/>
          <w:color w:val="000000"/>
          <w:sz w:val="20"/>
          <w:szCs w:val="20"/>
        </w:rPr>
        <w:t> </w:t>
      </w:r>
    </w:p>
    <w:p w14:paraId="35D08DB5" w14:textId="77777777" w:rsidR="00D42204" w:rsidRDefault="004E439D">
      <w:pPr>
        <w:jc w:val="center"/>
      </w:pPr>
      <w:r>
        <w:rPr>
          <w:rFonts w:ascii="Times New Roman" w:eastAsia="宋体" w:hAnsi="Times New Roman"/>
          <w:color w:val="000000"/>
          <w:sz w:val="20"/>
          <w:szCs w:val="20"/>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/Walmart/./Inline XBRL Viewer3_files/wmt-20220131_g1.jpg"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5D0C358" wp14:editId="35D0C359">
            <wp:extent cx="304800" cy="304800"/>
            <wp:effectExtent l="0" t="0" r="0" b="0"/>
            <wp:docPr id="26"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35D08DB6" w14:textId="77777777" w:rsidR="00D42204" w:rsidRDefault="004E439D">
      <w:pPr>
        <w:jc w:val="center"/>
      </w:pPr>
      <w:r>
        <w:rPr>
          <w:rFonts w:ascii="Times New Roman" w:eastAsia="宋体" w:hAnsi="Times New Roman"/>
          <w:b/>
          <w:bCs/>
          <w:color w:val="000000"/>
          <w:sz w:val="48"/>
          <w:szCs w:val="48"/>
        </w:rPr>
        <w:t>WALMART INC.</w:t>
      </w:r>
    </w:p>
    <w:p w14:paraId="35D08DB7" w14:textId="77777777" w:rsidR="00D42204" w:rsidRDefault="004E439D">
      <w:pPr>
        <w:jc w:val="center"/>
      </w:pPr>
      <w:r>
        <w:rPr>
          <w:rFonts w:ascii="Times New Roman" w:eastAsia="宋体" w:hAnsi="Times New Roman"/>
          <w:b/>
          <w:bCs/>
          <w:color w:val="000000"/>
          <w:sz w:val="20"/>
          <w:szCs w:val="20"/>
        </w:rPr>
        <w:t>(Exact name of registrant as specified in its charter)</w:t>
      </w:r>
    </w:p>
    <w:p w14:paraId="35D08DB8" w14:textId="77777777" w:rsidR="00D42204" w:rsidRDefault="004E439D">
      <w:pPr>
        <w:spacing w:after="120"/>
        <w:jc w:val="center"/>
      </w:pPr>
      <w:r>
        <w:rPr>
          <w:rFonts w:ascii="Times New Roman" w:eastAsia="宋体" w:hAnsi="Times New Roman"/>
          <w:b/>
          <w:bCs/>
          <w:color w:val="000000"/>
          <w:sz w:val="16"/>
          <w:szCs w:val="16"/>
        </w:rPr>
        <w:t>_________________________________________</w:t>
      </w:r>
      <w:r>
        <w:rPr>
          <w:rFonts w:ascii="Times New Roman" w:eastAsia="宋体" w:hAnsi="Times New Roman"/>
          <w:b/>
          <w:bCs/>
          <w:color w:val="000000"/>
          <w:sz w:val="16"/>
          <w:szCs w:val="16"/>
        </w:rPr>
        <w:t>__</w:t>
      </w:r>
      <w:r>
        <w:rPr>
          <w:rFonts w:ascii="Times New Roman" w:eastAsia="宋体" w:hAnsi="Times New Roman"/>
          <w:color w:val="000000"/>
          <w:sz w:val="20"/>
          <w:szCs w:val="20"/>
        </w:rPr>
        <w:t> </w:t>
      </w:r>
    </w:p>
    <w:tbl>
      <w:tblPr>
        <w:tblW w:w="4912" w:type="pct"/>
        <w:tblCellMar>
          <w:top w:w="15" w:type="dxa"/>
          <w:left w:w="15" w:type="dxa"/>
          <w:bottom w:w="15" w:type="dxa"/>
          <w:right w:w="15" w:type="dxa"/>
        </w:tblCellMar>
        <w:tblLook w:val="04A0" w:firstRow="1" w:lastRow="0" w:firstColumn="1" w:lastColumn="0" w:noHBand="0" w:noVBand="1"/>
      </w:tblPr>
      <w:tblGrid>
        <w:gridCol w:w="61"/>
        <w:gridCol w:w="2315"/>
        <w:gridCol w:w="38"/>
        <w:gridCol w:w="62"/>
        <w:gridCol w:w="1754"/>
        <w:gridCol w:w="36"/>
        <w:gridCol w:w="36"/>
        <w:gridCol w:w="36"/>
        <w:gridCol w:w="36"/>
        <w:gridCol w:w="50"/>
        <w:gridCol w:w="3729"/>
        <w:gridCol w:w="36"/>
      </w:tblGrid>
      <w:tr w:rsidR="00D42204" w14:paraId="35D08DC5" w14:textId="77777777">
        <w:tc>
          <w:tcPr>
            <w:tcW w:w="50" w:type="pct"/>
            <w:shd w:val="clear" w:color="auto" w:fill="auto"/>
            <w:vAlign w:val="bottom"/>
          </w:tcPr>
          <w:p w14:paraId="35D08DB9" w14:textId="77777777" w:rsidR="00D42204" w:rsidRDefault="00D42204">
            <w:pPr>
              <w:rPr>
                <w:rFonts w:ascii="宋体"/>
              </w:rPr>
            </w:pPr>
          </w:p>
        </w:tc>
        <w:tc>
          <w:tcPr>
            <w:tcW w:w="1425" w:type="pct"/>
            <w:shd w:val="clear" w:color="auto" w:fill="auto"/>
            <w:vAlign w:val="bottom"/>
          </w:tcPr>
          <w:p w14:paraId="35D08DBA" w14:textId="77777777" w:rsidR="00D42204" w:rsidRDefault="00D42204">
            <w:pPr>
              <w:rPr>
                <w:rFonts w:ascii="宋体"/>
              </w:rPr>
            </w:pPr>
          </w:p>
        </w:tc>
        <w:tc>
          <w:tcPr>
            <w:tcW w:w="5" w:type="pct"/>
            <w:shd w:val="clear" w:color="auto" w:fill="auto"/>
            <w:vAlign w:val="bottom"/>
          </w:tcPr>
          <w:p w14:paraId="35D08DBB" w14:textId="77777777" w:rsidR="00D42204" w:rsidRDefault="00D42204">
            <w:pPr>
              <w:rPr>
                <w:rFonts w:ascii="宋体"/>
              </w:rPr>
            </w:pPr>
          </w:p>
        </w:tc>
        <w:tc>
          <w:tcPr>
            <w:tcW w:w="50" w:type="pct"/>
            <w:shd w:val="clear" w:color="auto" w:fill="auto"/>
            <w:vAlign w:val="bottom"/>
          </w:tcPr>
          <w:p w14:paraId="35D08DBC" w14:textId="77777777" w:rsidR="00D42204" w:rsidRDefault="00D42204">
            <w:pPr>
              <w:rPr>
                <w:rFonts w:ascii="宋体"/>
              </w:rPr>
            </w:pPr>
          </w:p>
        </w:tc>
        <w:tc>
          <w:tcPr>
            <w:tcW w:w="1083" w:type="pct"/>
            <w:shd w:val="clear" w:color="auto" w:fill="auto"/>
            <w:vAlign w:val="bottom"/>
          </w:tcPr>
          <w:p w14:paraId="35D08DBD" w14:textId="77777777" w:rsidR="00D42204" w:rsidRDefault="00D42204">
            <w:pPr>
              <w:rPr>
                <w:rFonts w:ascii="宋体"/>
              </w:rPr>
            </w:pPr>
          </w:p>
        </w:tc>
        <w:tc>
          <w:tcPr>
            <w:tcW w:w="5" w:type="pct"/>
            <w:shd w:val="clear" w:color="auto" w:fill="auto"/>
            <w:vAlign w:val="bottom"/>
          </w:tcPr>
          <w:p w14:paraId="35D08DBE" w14:textId="77777777" w:rsidR="00D42204" w:rsidRDefault="00D42204">
            <w:pPr>
              <w:rPr>
                <w:rFonts w:ascii="宋体"/>
              </w:rPr>
            </w:pPr>
          </w:p>
        </w:tc>
        <w:tc>
          <w:tcPr>
            <w:tcW w:w="5" w:type="pct"/>
            <w:shd w:val="clear" w:color="auto" w:fill="auto"/>
            <w:vAlign w:val="bottom"/>
          </w:tcPr>
          <w:p w14:paraId="35D08DBF" w14:textId="77777777" w:rsidR="00D42204" w:rsidRDefault="00D42204">
            <w:pPr>
              <w:rPr>
                <w:rFonts w:ascii="宋体"/>
              </w:rPr>
            </w:pPr>
          </w:p>
        </w:tc>
        <w:tc>
          <w:tcPr>
            <w:tcW w:w="27" w:type="pct"/>
            <w:shd w:val="clear" w:color="auto" w:fill="auto"/>
            <w:vAlign w:val="bottom"/>
          </w:tcPr>
          <w:p w14:paraId="35D08DC0" w14:textId="77777777" w:rsidR="00D42204" w:rsidRDefault="00D42204">
            <w:pPr>
              <w:rPr>
                <w:rFonts w:ascii="宋体"/>
              </w:rPr>
            </w:pPr>
          </w:p>
        </w:tc>
        <w:tc>
          <w:tcPr>
            <w:tcW w:w="5" w:type="pct"/>
            <w:shd w:val="clear" w:color="auto" w:fill="auto"/>
            <w:vAlign w:val="bottom"/>
          </w:tcPr>
          <w:p w14:paraId="35D08DC1" w14:textId="77777777" w:rsidR="00D42204" w:rsidRDefault="00D42204">
            <w:pPr>
              <w:rPr>
                <w:rFonts w:ascii="宋体"/>
              </w:rPr>
            </w:pPr>
          </w:p>
        </w:tc>
        <w:tc>
          <w:tcPr>
            <w:tcW w:w="50" w:type="pct"/>
            <w:shd w:val="clear" w:color="auto" w:fill="auto"/>
            <w:vAlign w:val="bottom"/>
          </w:tcPr>
          <w:p w14:paraId="35D08DC2" w14:textId="77777777" w:rsidR="00D42204" w:rsidRDefault="00D42204">
            <w:pPr>
              <w:rPr>
                <w:rFonts w:ascii="宋体"/>
              </w:rPr>
            </w:pPr>
          </w:p>
        </w:tc>
        <w:tc>
          <w:tcPr>
            <w:tcW w:w="2288" w:type="pct"/>
            <w:shd w:val="clear" w:color="auto" w:fill="auto"/>
            <w:vAlign w:val="bottom"/>
          </w:tcPr>
          <w:p w14:paraId="35D08DC3" w14:textId="77777777" w:rsidR="00D42204" w:rsidRDefault="00D42204">
            <w:pPr>
              <w:rPr>
                <w:rFonts w:ascii="宋体"/>
              </w:rPr>
            </w:pPr>
          </w:p>
        </w:tc>
        <w:tc>
          <w:tcPr>
            <w:tcW w:w="5" w:type="pct"/>
            <w:shd w:val="clear" w:color="auto" w:fill="auto"/>
            <w:vAlign w:val="bottom"/>
          </w:tcPr>
          <w:p w14:paraId="35D08DC4" w14:textId="77777777" w:rsidR="00D42204" w:rsidRDefault="00D42204">
            <w:pPr>
              <w:rPr>
                <w:rFonts w:ascii="宋体"/>
              </w:rPr>
            </w:pPr>
          </w:p>
        </w:tc>
      </w:tr>
      <w:tr w:rsidR="00D42204" w14:paraId="35D08DC9" w14:textId="77777777">
        <w:tc>
          <w:tcPr>
            <w:tcW w:w="0" w:type="auto"/>
            <w:gridSpan w:val="6"/>
            <w:shd w:val="clear" w:color="auto" w:fill="auto"/>
            <w:tcMar>
              <w:top w:w="40" w:type="dxa"/>
              <w:left w:w="20" w:type="dxa"/>
              <w:bottom w:w="40" w:type="dxa"/>
              <w:right w:w="20" w:type="dxa"/>
            </w:tcMar>
          </w:tcPr>
          <w:p w14:paraId="35D08DC6" w14:textId="77777777" w:rsidR="00D42204" w:rsidRDefault="004E439D">
            <w:pPr>
              <w:jc w:val="center"/>
              <w:textAlignment w:val="top"/>
            </w:pPr>
            <w:r>
              <w:rPr>
                <w:rFonts w:ascii="Times New Roman" w:eastAsia="宋体" w:hAnsi="Times New Roman"/>
                <w:b/>
                <w:bCs/>
                <w:color w:val="000000"/>
                <w:sz w:val="20"/>
                <w:szCs w:val="20"/>
              </w:rPr>
              <w:t>DE</w:t>
            </w:r>
          </w:p>
        </w:tc>
        <w:tc>
          <w:tcPr>
            <w:tcW w:w="0" w:type="auto"/>
            <w:gridSpan w:val="3"/>
            <w:shd w:val="clear" w:color="auto" w:fill="auto"/>
            <w:tcMar>
              <w:top w:w="0" w:type="dxa"/>
              <w:left w:w="20" w:type="dxa"/>
              <w:bottom w:w="0" w:type="dxa"/>
              <w:right w:w="20" w:type="dxa"/>
            </w:tcMar>
            <w:vAlign w:val="bottom"/>
          </w:tcPr>
          <w:p w14:paraId="35D08DC7"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8DC8" w14:textId="77777777" w:rsidR="00D42204" w:rsidRDefault="004E439D">
            <w:pPr>
              <w:jc w:val="center"/>
              <w:textAlignment w:val="top"/>
            </w:pPr>
            <w:r>
              <w:rPr>
                <w:rFonts w:ascii="Times New Roman" w:eastAsia="宋体" w:hAnsi="Times New Roman"/>
                <w:b/>
                <w:bCs/>
                <w:color w:val="000000"/>
                <w:sz w:val="20"/>
                <w:szCs w:val="20"/>
              </w:rPr>
              <w:t>71-0415188</w:t>
            </w:r>
          </w:p>
        </w:tc>
      </w:tr>
      <w:tr w:rsidR="00D42204" w14:paraId="35D08DCD" w14:textId="77777777">
        <w:tc>
          <w:tcPr>
            <w:tcW w:w="0" w:type="auto"/>
            <w:gridSpan w:val="6"/>
            <w:shd w:val="clear" w:color="auto" w:fill="auto"/>
            <w:tcMar>
              <w:top w:w="40" w:type="dxa"/>
              <w:left w:w="20" w:type="dxa"/>
              <w:bottom w:w="40" w:type="dxa"/>
              <w:right w:w="20" w:type="dxa"/>
            </w:tcMar>
          </w:tcPr>
          <w:p w14:paraId="35D08DCA" w14:textId="77777777" w:rsidR="00D42204" w:rsidRDefault="004E439D">
            <w:pPr>
              <w:jc w:val="center"/>
              <w:textAlignment w:val="top"/>
            </w:pPr>
            <w:r>
              <w:rPr>
                <w:rFonts w:ascii="Times New Roman" w:eastAsia="宋体" w:hAnsi="Times New Roman"/>
                <w:color w:val="000000"/>
                <w:sz w:val="16"/>
                <w:szCs w:val="16"/>
              </w:rPr>
              <w:t>(State or other jurisdiction of</w:t>
            </w:r>
            <w:r>
              <w:rPr>
                <w:rFonts w:ascii="Times New Roman" w:eastAsia="宋体" w:hAnsi="Times New Roman"/>
                <w:color w:val="000000"/>
                <w:sz w:val="16"/>
                <w:szCs w:val="16"/>
              </w:rPr>
              <w:br/>
              <w:t>incorporation or organization)</w:t>
            </w:r>
          </w:p>
        </w:tc>
        <w:tc>
          <w:tcPr>
            <w:tcW w:w="0" w:type="auto"/>
            <w:gridSpan w:val="3"/>
            <w:shd w:val="clear" w:color="auto" w:fill="auto"/>
            <w:tcMar>
              <w:top w:w="0" w:type="dxa"/>
              <w:left w:w="20" w:type="dxa"/>
              <w:bottom w:w="0" w:type="dxa"/>
              <w:right w:w="20" w:type="dxa"/>
            </w:tcMar>
            <w:vAlign w:val="bottom"/>
          </w:tcPr>
          <w:p w14:paraId="35D08DCB"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8DCC" w14:textId="77777777" w:rsidR="00D42204" w:rsidRDefault="004E439D">
            <w:pPr>
              <w:jc w:val="center"/>
              <w:textAlignment w:val="top"/>
            </w:pPr>
            <w:r>
              <w:rPr>
                <w:rFonts w:ascii="Times New Roman" w:eastAsia="宋体" w:hAnsi="Times New Roman"/>
                <w:color w:val="000000"/>
                <w:sz w:val="16"/>
                <w:szCs w:val="16"/>
              </w:rPr>
              <w:t>(IRS Employer Identification No.)</w:t>
            </w:r>
          </w:p>
        </w:tc>
      </w:tr>
      <w:tr w:rsidR="00D42204" w14:paraId="35D08DD2" w14:textId="77777777">
        <w:trPr>
          <w:trHeight w:val="100"/>
        </w:trPr>
        <w:tc>
          <w:tcPr>
            <w:tcW w:w="0" w:type="auto"/>
            <w:gridSpan w:val="3"/>
            <w:shd w:val="clear" w:color="auto" w:fill="auto"/>
            <w:tcMar>
              <w:top w:w="0" w:type="dxa"/>
              <w:left w:w="20" w:type="dxa"/>
              <w:bottom w:w="0" w:type="dxa"/>
              <w:right w:w="20" w:type="dxa"/>
            </w:tcMar>
            <w:vAlign w:val="bottom"/>
          </w:tcPr>
          <w:p w14:paraId="35D08DCE"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DCF"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DD0"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DD1" w14:textId="77777777" w:rsidR="00D42204" w:rsidRDefault="00D42204">
            <w:pPr>
              <w:rPr>
                <w:rFonts w:ascii="宋体"/>
              </w:rPr>
            </w:pPr>
          </w:p>
        </w:tc>
      </w:tr>
      <w:tr w:rsidR="00D42204" w14:paraId="35D08DD6" w14:textId="77777777">
        <w:trPr>
          <w:trHeight w:val="240"/>
        </w:trPr>
        <w:tc>
          <w:tcPr>
            <w:tcW w:w="0" w:type="auto"/>
            <w:gridSpan w:val="6"/>
            <w:shd w:val="clear" w:color="auto" w:fill="auto"/>
            <w:tcMar>
              <w:top w:w="40" w:type="dxa"/>
              <w:left w:w="20" w:type="dxa"/>
              <w:bottom w:w="40" w:type="dxa"/>
              <w:right w:w="20" w:type="dxa"/>
            </w:tcMar>
            <w:vAlign w:val="bottom"/>
          </w:tcPr>
          <w:p w14:paraId="35D08DD3" w14:textId="77777777" w:rsidR="00D42204" w:rsidRDefault="004E439D">
            <w:pPr>
              <w:jc w:val="center"/>
              <w:textAlignment w:val="bottom"/>
            </w:pPr>
            <w:r>
              <w:rPr>
                <w:rFonts w:ascii="Times New Roman" w:eastAsia="宋体" w:hAnsi="Times New Roman"/>
                <w:b/>
                <w:bCs/>
                <w:color w:val="000000"/>
                <w:sz w:val="20"/>
                <w:szCs w:val="20"/>
              </w:rPr>
              <w:t>702 S.W. 8th Street</w:t>
            </w:r>
          </w:p>
        </w:tc>
        <w:tc>
          <w:tcPr>
            <w:tcW w:w="0" w:type="auto"/>
            <w:gridSpan w:val="3"/>
            <w:shd w:val="clear" w:color="auto" w:fill="auto"/>
            <w:tcMar>
              <w:top w:w="0" w:type="dxa"/>
              <w:left w:w="20" w:type="dxa"/>
              <w:bottom w:w="0" w:type="dxa"/>
              <w:right w:w="20" w:type="dxa"/>
            </w:tcMar>
            <w:vAlign w:val="bottom"/>
          </w:tcPr>
          <w:p w14:paraId="35D08DD4" w14:textId="77777777" w:rsidR="00D42204" w:rsidRDefault="00D42204">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35D08DD5" w14:textId="77777777" w:rsidR="00D42204" w:rsidRDefault="004E439D">
            <w:pPr>
              <w:jc w:val="center"/>
              <w:textAlignment w:val="bottom"/>
            </w:pPr>
            <w:r>
              <w:rPr>
                <w:rFonts w:ascii="Times New Roman" w:eastAsia="宋体" w:hAnsi="Times New Roman"/>
                <w:b/>
                <w:bCs/>
                <w:color w:val="000000"/>
                <w:sz w:val="20"/>
                <w:szCs w:val="20"/>
              </w:rPr>
              <w:t>72716</w:t>
            </w:r>
          </w:p>
        </w:tc>
      </w:tr>
      <w:tr w:rsidR="00D42204" w14:paraId="35D08DDB" w14:textId="77777777">
        <w:trPr>
          <w:trHeight w:val="240"/>
        </w:trPr>
        <w:tc>
          <w:tcPr>
            <w:tcW w:w="0" w:type="auto"/>
            <w:gridSpan w:val="3"/>
            <w:shd w:val="clear" w:color="auto" w:fill="auto"/>
            <w:tcMar>
              <w:top w:w="40" w:type="dxa"/>
              <w:left w:w="20" w:type="dxa"/>
              <w:bottom w:w="40" w:type="dxa"/>
              <w:right w:w="20" w:type="dxa"/>
            </w:tcMar>
            <w:vAlign w:val="bottom"/>
          </w:tcPr>
          <w:p w14:paraId="35D08DD7" w14:textId="77777777" w:rsidR="00D42204" w:rsidRDefault="004E439D">
            <w:pPr>
              <w:spacing w:after="20"/>
              <w:jc w:val="right"/>
              <w:textAlignment w:val="bottom"/>
            </w:pPr>
            <w:r>
              <w:rPr>
                <w:rFonts w:ascii="Times New Roman" w:eastAsia="宋体" w:hAnsi="Times New Roman"/>
                <w:b/>
                <w:bCs/>
                <w:color w:val="000000"/>
                <w:sz w:val="20"/>
                <w:szCs w:val="20"/>
              </w:rPr>
              <w:t>Bentonville,</w:t>
            </w:r>
          </w:p>
        </w:tc>
        <w:tc>
          <w:tcPr>
            <w:tcW w:w="0" w:type="auto"/>
            <w:gridSpan w:val="3"/>
            <w:shd w:val="clear" w:color="auto" w:fill="auto"/>
            <w:tcMar>
              <w:top w:w="40" w:type="dxa"/>
              <w:left w:w="20" w:type="dxa"/>
              <w:bottom w:w="40" w:type="dxa"/>
              <w:right w:w="20" w:type="dxa"/>
            </w:tcMar>
            <w:vAlign w:val="bottom"/>
          </w:tcPr>
          <w:p w14:paraId="35D08DD8" w14:textId="77777777" w:rsidR="00D42204" w:rsidRDefault="004E439D">
            <w:pPr>
              <w:textAlignment w:val="bottom"/>
            </w:pPr>
            <w:r>
              <w:rPr>
                <w:rFonts w:ascii="Times New Roman" w:eastAsia="宋体" w:hAnsi="Times New Roman"/>
                <w:b/>
                <w:bCs/>
                <w:color w:val="000000"/>
                <w:sz w:val="20"/>
                <w:szCs w:val="20"/>
              </w:rPr>
              <w:t>AR</w:t>
            </w:r>
          </w:p>
        </w:tc>
        <w:tc>
          <w:tcPr>
            <w:tcW w:w="0" w:type="auto"/>
            <w:gridSpan w:val="3"/>
            <w:shd w:val="clear" w:color="auto" w:fill="auto"/>
            <w:tcMar>
              <w:top w:w="0" w:type="dxa"/>
              <w:left w:w="20" w:type="dxa"/>
              <w:bottom w:w="0" w:type="dxa"/>
              <w:right w:w="20" w:type="dxa"/>
            </w:tcMar>
            <w:vAlign w:val="bottom"/>
          </w:tcPr>
          <w:p w14:paraId="35D08DD9" w14:textId="77777777" w:rsidR="00D42204" w:rsidRDefault="00D42204">
            <w:pPr>
              <w:rPr>
                <w:rFonts w:ascii="宋体"/>
              </w:rPr>
            </w:pPr>
          </w:p>
        </w:tc>
        <w:tc>
          <w:tcPr>
            <w:tcW w:w="0" w:type="auto"/>
            <w:gridSpan w:val="3"/>
            <w:vMerge/>
            <w:shd w:val="clear" w:color="auto" w:fill="auto"/>
            <w:tcMar>
              <w:top w:w="40" w:type="dxa"/>
              <w:left w:w="20" w:type="dxa"/>
              <w:bottom w:w="40" w:type="dxa"/>
              <w:right w:w="20" w:type="dxa"/>
            </w:tcMar>
            <w:vAlign w:val="bottom"/>
          </w:tcPr>
          <w:p w14:paraId="35D08DDA" w14:textId="77777777" w:rsidR="00D42204" w:rsidRDefault="00D42204">
            <w:pPr>
              <w:jc w:val="center"/>
              <w:rPr>
                <w:rFonts w:ascii="宋体"/>
              </w:rPr>
            </w:pPr>
          </w:p>
        </w:tc>
      </w:tr>
      <w:tr w:rsidR="00D42204" w14:paraId="35D08DDF" w14:textId="77777777">
        <w:tc>
          <w:tcPr>
            <w:tcW w:w="0" w:type="auto"/>
            <w:gridSpan w:val="6"/>
            <w:shd w:val="clear" w:color="auto" w:fill="auto"/>
            <w:tcMar>
              <w:top w:w="40" w:type="dxa"/>
              <w:left w:w="20" w:type="dxa"/>
              <w:bottom w:w="40" w:type="dxa"/>
              <w:right w:w="20" w:type="dxa"/>
            </w:tcMar>
          </w:tcPr>
          <w:p w14:paraId="35D08DDC" w14:textId="77777777" w:rsidR="00D42204" w:rsidRDefault="004E439D">
            <w:pPr>
              <w:jc w:val="center"/>
              <w:textAlignment w:val="top"/>
            </w:pPr>
            <w:r>
              <w:rPr>
                <w:rFonts w:ascii="Times New Roman" w:eastAsia="宋体" w:hAnsi="Times New Roman"/>
                <w:color w:val="000000"/>
                <w:sz w:val="16"/>
                <w:szCs w:val="16"/>
              </w:rPr>
              <w:t>(Address of principal executive offices)</w:t>
            </w:r>
          </w:p>
        </w:tc>
        <w:tc>
          <w:tcPr>
            <w:tcW w:w="0" w:type="auto"/>
            <w:gridSpan w:val="3"/>
            <w:shd w:val="clear" w:color="auto" w:fill="auto"/>
            <w:tcMar>
              <w:top w:w="0" w:type="dxa"/>
              <w:left w:w="20" w:type="dxa"/>
              <w:bottom w:w="0" w:type="dxa"/>
              <w:right w:w="20" w:type="dxa"/>
            </w:tcMar>
            <w:vAlign w:val="bottom"/>
          </w:tcPr>
          <w:p w14:paraId="35D08DDD"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8DDE" w14:textId="77777777" w:rsidR="00D42204" w:rsidRDefault="004E439D">
            <w:pPr>
              <w:jc w:val="center"/>
              <w:textAlignment w:val="top"/>
            </w:pPr>
            <w:r>
              <w:rPr>
                <w:rFonts w:ascii="Times New Roman" w:eastAsia="宋体" w:hAnsi="Times New Roman"/>
                <w:color w:val="000000"/>
                <w:sz w:val="16"/>
                <w:szCs w:val="16"/>
              </w:rPr>
              <w:t>(Zip Code)</w:t>
            </w:r>
          </w:p>
        </w:tc>
      </w:tr>
    </w:tbl>
    <w:p w14:paraId="35D08DE0" w14:textId="77777777" w:rsidR="00D42204" w:rsidRDefault="004E439D">
      <w:pPr>
        <w:spacing w:before="80"/>
        <w:jc w:val="center"/>
      </w:pPr>
      <w:r>
        <w:rPr>
          <w:rFonts w:ascii="Times New Roman" w:eastAsia="宋体" w:hAnsi="Times New Roman"/>
          <w:b/>
          <w:bCs/>
          <w:color w:val="000000"/>
          <w:sz w:val="20"/>
          <w:szCs w:val="20"/>
        </w:rPr>
        <w:t xml:space="preserve">Registrant's telephone number, including area code: (479) 273-4000 </w:t>
      </w:r>
    </w:p>
    <w:p w14:paraId="35D08DE1" w14:textId="77777777" w:rsidR="00D42204" w:rsidRDefault="004E439D">
      <w:pPr>
        <w:spacing w:before="180"/>
        <w:jc w:val="center"/>
      </w:pPr>
      <w:r>
        <w:rPr>
          <w:rFonts w:ascii="Times New Roman" w:eastAsia="宋体" w:hAnsi="Times New Roman"/>
          <w:color w:val="000000"/>
          <w:sz w:val="20"/>
          <w:szCs w:val="20"/>
        </w:rPr>
        <w:t>Securities registered pursuant to Section 12(b) of the Act:</w:t>
      </w:r>
    </w:p>
    <w:tbl>
      <w:tblPr>
        <w:tblW w:w="4993" w:type="pct"/>
        <w:tblCellMar>
          <w:top w:w="15" w:type="dxa"/>
          <w:left w:w="15" w:type="dxa"/>
          <w:bottom w:w="15" w:type="dxa"/>
          <w:right w:w="15" w:type="dxa"/>
        </w:tblCellMar>
        <w:tblLook w:val="04A0" w:firstRow="1" w:lastRow="0" w:firstColumn="1" w:lastColumn="0" w:noHBand="0" w:noVBand="1"/>
      </w:tblPr>
      <w:tblGrid>
        <w:gridCol w:w="58"/>
        <w:gridCol w:w="3005"/>
        <w:gridCol w:w="37"/>
        <w:gridCol w:w="36"/>
        <w:gridCol w:w="36"/>
        <w:gridCol w:w="36"/>
        <w:gridCol w:w="42"/>
        <w:gridCol w:w="2237"/>
        <w:gridCol w:w="36"/>
        <w:gridCol w:w="36"/>
        <w:gridCol w:w="36"/>
        <w:gridCol w:w="36"/>
        <w:gridCol w:w="42"/>
        <w:gridCol w:w="2615"/>
        <w:gridCol w:w="36"/>
      </w:tblGrid>
      <w:tr w:rsidR="00D42204" w14:paraId="35D08DF1" w14:textId="77777777">
        <w:tc>
          <w:tcPr>
            <w:tcW w:w="50" w:type="pct"/>
            <w:shd w:val="clear" w:color="auto" w:fill="auto"/>
            <w:vAlign w:val="bottom"/>
          </w:tcPr>
          <w:p w14:paraId="35D08DE2" w14:textId="77777777" w:rsidR="00D42204" w:rsidRDefault="00D42204">
            <w:pPr>
              <w:rPr>
                <w:rFonts w:ascii="宋体"/>
              </w:rPr>
            </w:pPr>
          </w:p>
        </w:tc>
        <w:tc>
          <w:tcPr>
            <w:tcW w:w="1819" w:type="pct"/>
            <w:shd w:val="clear" w:color="auto" w:fill="auto"/>
            <w:vAlign w:val="bottom"/>
          </w:tcPr>
          <w:p w14:paraId="35D08DE3" w14:textId="77777777" w:rsidR="00D42204" w:rsidRDefault="00D42204">
            <w:pPr>
              <w:rPr>
                <w:rFonts w:ascii="宋体"/>
              </w:rPr>
            </w:pPr>
          </w:p>
        </w:tc>
        <w:tc>
          <w:tcPr>
            <w:tcW w:w="5" w:type="pct"/>
            <w:shd w:val="clear" w:color="auto" w:fill="auto"/>
            <w:vAlign w:val="bottom"/>
          </w:tcPr>
          <w:p w14:paraId="35D08DE4" w14:textId="77777777" w:rsidR="00D42204" w:rsidRDefault="00D42204">
            <w:pPr>
              <w:rPr>
                <w:rFonts w:ascii="宋体"/>
              </w:rPr>
            </w:pPr>
          </w:p>
        </w:tc>
        <w:tc>
          <w:tcPr>
            <w:tcW w:w="5" w:type="pct"/>
            <w:shd w:val="clear" w:color="auto" w:fill="auto"/>
            <w:vAlign w:val="bottom"/>
          </w:tcPr>
          <w:p w14:paraId="35D08DE5" w14:textId="77777777" w:rsidR="00D42204" w:rsidRDefault="00D42204">
            <w:pPr>
              <w:rPr>
                <w:rFonts w:ascii="宋体"/>
              </w:rPr>
            </w:pPr>
          </w:p>
        </w:tc>
        <w:tc>
          <w:tcPr>
            <w:tcW w:w="26" w:type="pct"/>
            <w:shd w:val="clear" w:color="auto" w:fill="auto"/>
            <w:vAlign w:val="bottom"/>
          </w:tcPr>
          <w:p w14:paraId="35D08DE6" w14:textId="77777777" w:rsidR="00D42204" w:rsidRDefault="00D42204">
            <w:pPr>
              <w:rPr>
                <w:rFonts w:ascii="宋体"/>
              </w:rPr>
            </w:pPr>
          </w:p>
        </w:tc>
        <w:tc>
          <w:tcPr>
            <w:tcW w:w="5" w:type="pct"/>
            <w:shd w:val="clear" w:color="auto" w:fill="auto"/>
            <w:vAlign w:val="bottom"/>
          </w:tcPr>
          <w:p w14:paraId="35D08DE7" w14:textId="77777777" w:rsidR="00D42204" w:rsidRDefault="00D42204">
            <w:pPr>
              <w:rPr>
                <w:rFonts w:ascii="宋体"/>
              </w:rPr>
            </w:pPr>
          </w:p>
        </w:tc>
        <w:tc>
          <w:tcPr>
            <w:tcW w:w="50" w:type="pct"/>
            <w:shd w:val="clear" w:color="auto" w:fill="auto"/>
            <w:vAlign w:val="bottom"/>
          </w:tcPr>
          <w:p w14:paraId="35D08DE8" w14:textId="77777777" w:rsidR="00D42204" w:rsidRDefault="00D42204">
            <w:pPr>
              <w:rPr>
                <w:rFonts w:ascii="宋体"/>
              </w:rPr>
            </w:pPr>
          </w:p>
        </w:tc>
        <w:tc>
          <w:tcPr>
            <w:tcW w:w="1357" w:type="pct"/>
            <w:shd w:val="clear" w:color="auto" w:fill="auto"/>
            <w:vAlign w:val="bottom"/>
          </w:tcPr>
          <w:p w14:paraId="35D08DE9" w14:textId="77777777" w:rsidR="00D42204" w:rsidRDefault="00D42204">
            <w:pPr>
              <w:rPr>
                <w:rFonts w:ascii="宋体"/>
              </w:rPr>
            </w:pPr>
          </w:p>
        </w:tc>
        <w:tc>
          <w:tcPr>
            <w:tcW w:w="5" w:type="pct"/>
            <w:shd w:val="clear" w:color="auto" w:fill="auto"/>
            <w:vAlign w:val="bottom"/>
          </w:tcPr>
          <w:p w14:paraId="35D08DEA" w14:textId="77777777" w:rsidR="00D42204" w:rsidRDefault="00D42204">
            <w:pPr>
              <w:rPr>
                <w:rFonts w:ascii="宋体"/>
              </w:rPr>
            </w:pPr>
          </w:p>
        </w:tc>
        <w:tc>
          <w:tcPr>
            <w:tcW w:w="5" w:type="pct"/>
            <w:shd w:val="clear" w:color="auto" w:fill="auto"/>
            <w:vAlign w:val="bottom"/>
          </w:tcPr>
          <w:p w14:paraId="35D08DEB" w14:textId="77777777" w:rsidR="00D42204" w:rsidRDefault="00D42204">
            <w:pPr>
              <w:rPr>
                <w:rFonts w:ascii="宋体"/>
              </w:rPr>
            </w:pPr>
          </w:p>
        </w:tc>
        <w:tc>
          <w:tcPr>
            <w:tcW w:w="26" w:type="pct"/>
            <w:shd w:val="clear" w:color="auto" w:fill="auto"/>
            <w:vAlign w:val="bottom"/>
          </w:tcPr>
          <w:p w14:paraId="35D08DEC" w14:textId="77777777" w:rsidR="00D42204" w:rsidRDefault="00D42204">
            <w:pPr>
              <w:rPr>
                <w:rFonts w:ascii="宋体"/>
              </w:rPr>
            </w:pPr>
          </w:p>
        </w:tc>
        <w:tc>
          <w:tcPr>
            <w:tcW w:w="5" w:type="pct"/>
            <w:shd w:val="clear" w:color="auto" w:fill="auto"/>
            <w:vAlign w:val="bottom"/>
          </w:tcPr>
          <w:p w14:paraId="35D08DED" w14:textId="77777777" w:rsidR="00D42204" w:rsidRDefault="00D42204">
            <w:pPr>
              <w:rPr>
                <w:rFonts w:ascii="宋体"/>
              </w:rPr>
            </w:pPr>
          </w:p>
        </w:tc>
        <w:tc>
          <w:tcPr>
            <w:tcW w:w="50" w:type="pct"/>
            <w:shd w:val="clear" w:color="auto" w:fill="auto"/>
            <w:vAlign w:val="bottom"/>
          </w:tcPr>
          <w:p w14:paraId="35D08DEE" w14:textId="77777777" w:rsidR="00D42204" w:rsidRDefault="00D42204">
            <w:pPr>
              <w:rPr>
                <w:rFonts w:ascii="宋体"/>
              </w:rPr>
            </w:pPr>
          </w:p>
        </w:tc>
        <w:tc>
          <w:tcPr>
            <w:tcW w:w="1584" w:type="pct"/>
            <w:shd w:val="clear" w:color="auto" w:fill="auto"/>
            <w:vAlign w:val="bottom"/>
          </w:tcPr>
          <w:p w14:paraId="35D08DEF" w14:textId="77777777" w:rsidR="00D42204" w:rsidRDefault="00D42204">
            <w:pPr>
              <w:rPr>
                <w:rFonts w:ascii="宋体"/>
              </w:rPr>
            </w:pPr>
          </w:p>
        </w:tc>
        <w:tc>
          <w:tcPr>
            <w:tcW w:w="5" w:type="pct"/>
            <w:shd w:val="clear" w:color="auto" w:fill="auto"/>
            <w:vAlign w:val="bottom"/>
          </w:tcPr>
          <w:p w14:paraId="35D08DF0" w14:textId="77777777" w:rsidR="00D42204" w:rsidRDefault="00D42204">
            <w:pPr>
              <w:rPr>
                <w:rFonts w:ascii="宋体"/>
              </w:rPr>
            </w:pPr>
          </w:p>
        </w:tc>
      </w:tr>
      <w:tr w:rsidR="00D42204" w14:paraId="35D08DF7" w14:textId="77777777">
        <w:tc>
          <w:tcPr>
            <w:tcW w:w="0" w:type="auto"/>
            <w:gridSpan w:val="3"/>
            <w:shd w:val="clear" w:color="auto" w:fill="auto"/>
            <w:tcMar>
              <w:top w:w="40" w:type="dxa"/>
              <w:left w:w="20" w:type="dxa"/>
              <w:bottom w:w="40" w:type="dxa"/>
              <w:right w:w="20" w:type="dxa"/>
            </w:tcMar>
            <w:vAlign w:val="bottom"/>
          </w:tcPr>
          <w:p w14:paraId="35D08DF2" w14:textId="77777777" w:rsidR="00D42204" w:rsidRDefault="004E439D">
            <w:pPr>
              <w:jc w:val="center"/>
              <w:textAlignment w:val="bottom"/>
            </w:pPr>
            <w:r>
              <w:rPr>
                <w:rFonts w:ascii="Times New Roman" w:eastAsia="宋体" w:hAnsi="Times New Roman"/>
                <w:color w:val="000000"/>
                <w:sz w:val="16"/>
                <w:szCs w:val="16"/>
              </w:rPr>
              <w:t>Title of each class</w:t>
            </w:r>
          </w:p>
        </w:tc>
        <w:tc>
          <w:tcPr>
            <w:tcW w:w="0" w:type="auto"/>
            <w:gridSpan w:val="3"/>
            <w:shd w:val="clear" w:color="auto" w:fill="auto"/>
            <w:tcMar>
              <w:top w:w="0" w:type="dxa"/>
              <w:left w:w="20" w:type="dxa"/>
              <w:bottom w:w="0" w:type="dxa"/>
              <w:right w:w="20" w:type="dxa"/>
            </w:tcMar>
            <w:vAlign w:val="bottom"/>
          </w:tcPr>
          <w:p w14:paraId="35D08DF3"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8DF4" w14:textId="77777777" w:rsidR="00D42204" w:rsidRDefault="004E439D">
            <w:pPr>
              <w:jc w:val="center"/>
              <w:textAlignment w:val="bottom"/>
            </w:pPr>
            <w:r>
              <w:rPr>
                <w:rFonts w:ascii="Times New Roman" w:eastAsia="宋体" w:hAnsi="Times New Roman"/>
                <w:color w:val="000000"/>
                <w:sz w:val="16"/>
                <w:szCs w:val="16"/>
              </w:rPr>
              <w:t>Trading Symbol(s)</w:t>
            </w:r>
          </w:p>
        </w:tc>
        <w:tc>
          <w:tcPr>
            <w:tcW w:w="0" w:type="auto"/>
            <w:gridSpan w:val="3"/>
            <w:shd w:val="clear" w:color="auto" w:fill="auto"/>
            <w:tcMar>
              <w:top w:w="0" w:type="dxa"/>
              <w:left w:w="20" w:type="dxa"/>
              <w:bottom w:w="0" w:type="dxa"/>
              <w:right w:w="20" w:type="dxa"/>
            </w:tcMar>
            <w:vAlign w:val="bottom"/>
          </w:tcPr>
          <w:p w14:paraId="35D08DF5"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8DF6" w14:textId="77777777" w:rsidR="00D42204" w:rsidRDefault="004E439D">
            <w:pPr>
              <w:jc w:val="center"/>
              <w:textAlignment w:val="bottom"/>
            </w:pPr>
            <w:r>
              <w:rPr>
                <w:rFonts w:ascii="Times New Roman" w:eastAsia="宋体" w:hAnsi="Times New Roman"/>
                <w:color w:val="000000"/>
                <w:sz w:val="16"/>
                <w:szCs w:val="16"/>
              </w:rPr>
              <w:t>Name of each exchange on which registered</w:t>
            </w:r>
          </w:p>
        </w:tc>
      </w:tr>
      <w:tr w:rsidR="00D42204" w14:paraId="35D08DFD" w14:textId="77777777">
        <w:tc>
          <w:tcPr>
            <w:tcW w:w="0" w:type="auto"/>
            <w:gridSpan w:val="3"/>
            <w:tcBorders>
              <w:top w:val="single" w:sz="8" w:space="0" w:color="000000"/>
            </w:tcBorders>
            <w:shd w:val="clear" w:color="auto" w:fill="auto"/>
            <w:tcMar>
              <w:top w:w="40" w:type="dxa"/>
              <w:left w:w="20" w:type="dxa"/>
              <w:bottom w:w="40" w:type="dxa"/>
              <w:right w:w="20" w:type="dxa"/>
            </w:tcMar>
          </w:tcPr>
          <w:p w14:paraId="35D08DF8" w14:textId="77777777" w:rsidR="00D42204" w:rsidRDefault="004E439D">
            <w:pPr>
              <w:jc w:val="center"/>
              <w:textAlignment w:val="top"/>
            </w:pPr>
            <w:r>
              <w:rPr>
                <w:rFonts w:ascii="Times New Roman" w:eastAsia="宋体" w:hAnsi="Times New Roman"/>
                <w:color w:val="000000"/>
                <w:sz w:val="20"/>
                <w:szCs w:val="20"/>
              </w:rPr>
              <w:t xml:space="preserve">Common Stock, par value </w:t>
            </w:r>
            <w:r>
              <w:rPr>
                <w:rFonts w:ascii="Times New Roman" w:eastAsia="宋体" w:hAnsi="Times New Roman"/>
                <w:color w:val="000000"/>
                <w:sz w:val="20"/>
                <w:szCs w:val="20"/>
              </w:rPr>
              <w:t>$0.10 per share</w:t>
            </w:r>
          </w:p>
        </w:tc>
        <w:tc>
          <w:tcPr>
            <w:tcW w:w="0" w:type="auto"/>
            <w:gridSpan w:val="3"/>
            <w:shd w:val="clear" w:color="auto" w:fill="auto"/>
            <w:tcMar>
              <w:top w:w="0" w:type="dxa"/>
              <w:left w:w="20" w:type="dxa"/>
              <w:bottom w:w="0" w:type="dxa"/>
              <w:right w:w="20" w:type="dxa"/>
            </w:tcMar>
            <w:vAlign w:val="bottom"/>
          </w:tcPr>
          <w:p w14:paraId="35D08DF9"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35D08DFA" w14:textId="77777777" w:rsidR="00D42204" w:rsidRDefault="004E439D">
            <w:pPr>
              <w:jc w:val="center"/>
              <w:textAlignment w:val="top"/>
            </w:pPr>
            <w:r>
              <w:rPr>
                <w:rFonts w:ascii="Times New Roman" w:eastAsia="宋体" w:hAnsi="Times New Roman"/>
                <w:color w:val="000000"/>
                <w:sz w:val="20"/>
                <w:szCs w:val="20"/>
              </w:rPr>
              <w:t>WMT</w:t>
            </w:r>
          </w:p>
        </w:tc>
        <w:tc>
          <w:tcPr>
            <w:tcW w:w="0" w:type="auto"/>
            <w:gridSpan w:val="3"/>
            <w:shd w:val="clear" w:color="auto" w:fill="auto"/>
            <w:tcMar>
              <w:top w:w="0" w:type="dxa"/>
              <w:left w:w="20" w:type="dxa"/>
              <w:bottom w:w="0" w:type="dxa"/>
              <w:right w:w="20" w:type="dxa"/>
            </w:tcMar>
            <w:vAlign w:val="bottom"/>
          </w:tcPr>
          <w:p w14:paraId="35D08DFB"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35D08DFC" w14:textId="77777777" w:rsidR="00D42204" w:rsidRDefault="004E439D">
            <w:pPr>
              <w:jc w:val="center"/>
              <w:textAlignment w:val="top"/>
            </w:pPr>
            <w:r>
              <w:rPr>
                <w:rFonts w:ascii="Times New Roman" w:eastAsia="宋体" w:hAnsi="Times New Roman"/>
                <w:color w:val="000000"/>
                <w:sz w:val="20"/>
                <w:szCs w:val="20"/>
              </w:rPr>
              <w:t>NYSE</w:t>
            </w:r>
          </w:p>
        </w:tc>
      </w:tr>
      <w:tr w:rsidR="00D42204" w14:paraId="35D08E03" w14:textId="77777777">
        <w:tc>
          <w:tcPr>
            <w:tcW w:w="0" w:type="auto"/>
            <w:gridSpan w:val="3"/>
            <w:shd w:val="clear" w:color="auto" w:fill="auto"/>
            <w:tcMar>
              <w:top w:w="40" w:type="dxa"/>
              <w:left w:w="20" w:type="dxa"/>
              <w:bottom w:w="40" w:type="dxa"/>
              <w:right w:w="20" w:type="dxa"/>
            </w:tcMar>
          </w:tcPr>
          <w:p w14:paraId="35D08DFE" w14:textId="77777777" w:rsidR="00D42204" w:rsidRDefault="004E439D">
            <w:pPr>
              <w:jc w:val="center"/>
              <w:textAlignment w:val="top"/>
            </w:pPr>
            <w:r>
              <w:rPr>
                <w:rFonts w:ascii="Times New Roman" w:eastAsia="宋体" w:hAnsi="Times New Roman"/>
                <w:color w:val="000000"/>
                <w:sz w:val="20"/>
                <w:szCs w:val="20"/>
              </w:rPr>
              <w:t>1.900% Notes Due 2022</w:t>
            </w:r>
          </w:p>
        </w:tc>
        <w:tc>
          <w:tcPr>
            <w:tcW w:w="0" w:type="auto"/>
            <w:gridSpan w:val="3"/>
            <w:shd w:val="clear" w:color="auto" w:fill="auto"/>
            <w:tcMar>
              <w:top w:w="0" w:type="dxa"/>
              <w:left w:w="20" w:type="dxa"/>
              <w:bottom w:w="0" w:type="dxa"/>
              <w:right w:w="20" w:type="dxa"/>
            </w:tcMar>
            <w:vAlign w:val="bottom"/>
          </w:tcPr>
          <w:p w14:paraId="35D08DFF"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8E00" w14:textId="77777777" w:rsidR="00D42204" w:rsidRDefault="004E439D">
            <w:pPr>
              <w:jc w:val="center"/>
              <w:textAlignment w:val="top"/>
            </w:pPr>
            <w:r>
              <w:rPr>
                <w:rFonts w:ascii="Times New Roman" w:eastAsia="宋体" w:hAnsi="Times New Roman"/>
                <w:color w:val="000000"/>
                <w:sz w:val="20"/>
                <w:szCs w:val="20"/>
              </w:rPr>
              <w:t>WMT22</w:t>
            </w:r>
          </w:p>
        </w:tc>
        <w:tc>
          <w:tcPr>
            <w:tcW w:w="0" w:type="auto"/>
            <w:gridSpan w:val="3"/>
            <w:shd w:val="clear" w:color="auto" w:fill="auto"/>
            <w:tcMar>
              <w:top w:w="0" w:type="dxa"/>
              <w:left w:w="20" w:type="dxa"/>
              <w:bottom w:w="0" w:type="dxa"/>
              <w:right w:w="20" w:type="dxa"/>
            </w:tcMar>
            <w:vAlign w:val="bottom"/>
          </w:tcPr>
          <w:p w14:paraId="35D08E0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8E02" w14:textId="77777777" w:rsidR="00D42204" w:rsidRDefault="004E439D">
            <w:pPr>
              <w:jc w:val="center"/>
              <w:textAlignment w:val="top"/>
            </w:pPr>
            <w:r>
              <w:rPr>
                <w:rFonts w:ascii="Times New Roman" w:eastAsia="宋体" w:hAnsi="Times New Roman"/>
                <w:color w:val="000000"/>
                <w:sz w:val="20"/>
                <w:szCs w:val="20"/>
              </w:rPr>
              <w:t>NYSE</w:t>
            </w:r>
          </w:p>
        </w:tc>
      </w:tr>
      <w:tr w:rsidR="00D42204" w14:paraId="35D08E09" w14:textId="77777777">
        <w:tc>
          <w:tcPr>
            <w:tcW w:w="0" w:type="auto"/>
            <w:gridSpan w:val="3"/>
            <w:shd w:val="clear" w:color="auto" w:fill="auto"/>
            <w:tcMar>
              <w:top w:w="40" w:type="dxa"/>
              <w:left w:w="20" w:type="dxa"/>
              <w:bottom w:w="40" w:type="dxa"/>
              <w:right w:w="20" w:type="dxa"/>
            </w:tcMar>
          </w:tcPr>
          <w:p w14:paraId="35D08E04" w14:textId="77777777" w:rsidR="00D42204" w:rsidRDefault="004E439D">
            <w:pPr>
              <w:jc w:val="center"/>
              <w:textAlignment w:val="top"/>
            </w:pPr>
            <w:r>
              <w:rPr>
                <w:rFonts w:ascii="Times New Roman" w:eastAsia="宋体" w:hAnsi="Times New Roman"/>
                <w:color w:val="000000"/>
                <w:sz w:val="20"/>
                <w:szCs w:val="20"/>
              </w:rPr>
              <w:t>2.550% Notes Due 2026</w:t>
            </w:r>
          </w:p>
        </w:tc>
        <w:tc>
          <w:tcPr>
            <w:tcW w:w="0" w:type="auto"/>
            <w:gridSpan w:val="3"/>
            <w:shd w:val="clear" w:color="auto" w:fill="auto"/>
            <w:tcMar>
              <w:top w:w="0" w:type="dxa"/>
              <w:left w:w="20" w:type="dxa"/>
              <w:bottom w:w="0" w:type="dxa"/>
              <w:right w:w="20" w:type="dxa"/>
            </w:tcMar>
            <w:vAlign w:val="bottom"/>
          </w:tcPr>
          <w:p w14:paraId="35D08E05"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8E06" w14:textId="77777777" w:rsidR="00D42204" w:rsidRDefault="004E439D">
            <w:pPr>
              <w:jc w:val="center"/>
              <w:textAlignment w:val="top"/>
            </w:pPr>
            <w:r>
              <w:rPr>
                <w:rFonts w:ascii="Times New Roman" w:eastAsia="宋体" w:hAnsi="Times New Roman"/>
                <w:color w:val="000000"/>
                <w:sz w:val="20"/>
                <w:szCs w:val="20"/>
              </w:rPr>
              <w:t>WMT26</w:t>
            </w:r>
          </w:p>
        </w:tc>
        <w:tc>
          <w:tcPr>
            <w:tcW w:w="0" w:type="auto"/>
            <w:gridSpan w:val="3"/>
            <w:shd w:val="clear" w:color="auto" w:fill="auto"/>
            <w:tcMar>
              <w:top w:w="0" w:type="dxa"/>
              <w:left w:w="20" w:type="dxa"/>
              <w:bottom w:w="0" w:type="dxa"/>
              <w:right w:w="20" w:type="dxa"/>
            </w:tcMar>
            <w:vAlign w:val="bottom"/>
          </w:tcPr>
          <w:p w14:paraId="35D08E07"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8E08" w14:textId="77777777" w:rsidR="00D42204" w:rsidRDefault="004E439D">
            <w:pPr>
              <w:jc w:val="center"/>
              <w:textAlignment w:val="top"/>
            </w:pPr>
            <w:r>
              <w:rPr>
                <w:rFonts w:ascii="Times New Roman" w:eastAsia="宋体" w:hAnsi="Times New Roman"/>
                <w:color w:val="000000"/>
                <w:sz w:val="20"/>
                <w:szCs w:val="20"/>
              </w:rPr>
              <w:t>NYSE</w:t>
            </w:r>
          </w:p>
        </w:tc>
      </w:tr>
    </w:tbl>
    <w:p w14:paraId="35D08E0A" w14:textId="77777777" w:rsidR="00D42204" w:rsidRDefault="004E439D">
      <w:pPr>
        <w:spacing w:before="80"/>
        <w:jc w:val="center"/>
      </w:pPr>
      <w:r>
        <w:rPr>
          <w:rFonts w:ascii="Times New Roman" w:eastAsia="宋体" w:hAnsi="Times New Roman"/>
          <w:color w:val="000000"/>
          <w:sz w:val="20"/>
          <w:szCs w:val="20"/>
        </w:rPr>
        <w:t>Securities registered pursuant to Section 12(g) of the Act: None</w:t>
      </w:r>
    </w:p>
    <w:p w14:paraId="35D08E0B" w14:textId="77777777" w:rsidR="00D42204" w:rsidRDefault="004E439D">
      <w:pPr>
        <w:spacing w:after="120"/>
        <w:jc w:val="center"/>
      </w:pPr>
      <w:r>
        <w:rPr>
          <w:rFonts w:ascii="Times New Roman" w:eastAsia="宋体" w:hAnsi="Times New Roman"/>
          <w:b/>
          <w:bCs/>
          <w:color w:val="000000"/>
          <w:sz w:val="16"/>
          <w:szCs w:val="16"/>
        </w:rPr>
        <w:t>___________________________________________</w:t>
      </w:r>
      <w:r>
        <w:rPr>
          <w:rFonts w:ascii="Times New Roman" w:eastAsia="宋体" w:hAnsi="Times New Roman"/>
          <w:color w:val="000000"/>
          <w:sz w:val="20"/>
          <w:szCs w:val="20"/>
        </w:rPr>
        <w:t> </w:t>
      </w:r>
    </w:p>
    <w:p w14:paraId="35D08E0C" w14:textId="77777777" w:rsidR="00D42204" w:rsidRDefault="004E439D">
      <w:pPr>
        <w:spacing w:before="180"/>
      </w:pPr>
      <w:r>
        <w:rPr>
          <w:rFonts w:ascii="Times New Roman" w:eastAsia="宋体" w:hAnsi="Times New Roman"/>
          <w:color w:val="000000"/>
          <w:sz w:val="20"/>
          <w:szCs w:val="20"/>
        </w:rPr>
        <w:t xml:space="preserve">Indicate by check mark if the </w:t>
      </w:r>
      <w:r>
        <w:rPr>
          <w:rFonts w:ascii="Times New Roman" w:eastAsia="宋体" w:hAnsi="Times New Roman"/>
          <w:color w:val="000000"/>
          <w:sz w:val="20"/>
          <w:szCs w:val="20"/>
        </w:rPr>
        <w:t>registrant is a well-known seasoned issuer, as defined in Rule 405 of the Securities Act.    </w:t>
      </w:r>
    </w:p>
    <w:p w14:paraId="35D08E0D" w14:textId="77777777" w:rsidR="00D42204" w:rsidRDefault="004E439D">
      <w:pPr>
        <w:spacing w:before="60"/>
      </w:pPr>
      <w:r>
        <w:rPr>
          <w:rFonts w:ascii="Times New Roman" w:eastAsia="宋体" w:hAnsi="Times New Roman"/>
          <w:color w:val="000000"/>
          <w:sz w:val="20"/>
          <w:szCs w:val="20"/>
        </w:rPr>
        <w:t>Yes  </w:t>
      </w:r>
      <w:r>
        <w:rPr>
          <w:rFonts w:ascii="Wingdings" w:eastAsia="宋体" w:hAnsi="Wingdings" w:cs="Wingdings"/>
          <w:color w:val="000000"/>
          <w:sz w:val="20"/>
          <w:szCs w:val="20"/>
        </w:rPr>
        <w:t>ý</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35D08E0E" w14:textId="77777777" w:rsidR="00D42204" w:rsidRDefault="004E439D">
      <w:pPr>
        <w:spacing w:before="180"/>
      </w:pPr>
      <w:r>
        <w:rPr>
          <w:rFonts w:ascii="Times New Roman" w:eastAsia="宋体" w:hAnsi="Times New Roman"/>
          <w:color w:val="000000"/>
          <w:sz w:val="20"/>
          <w:szCs w:val="20"/>
        </w:rPr>
        <w:t xml:space="preserve">Indicate by check mark if the registrant is not required to file reports pursuant to Section 13 or Section 15(d) of the </w:t>
      </w:r>
      <w:r>
        <w:rPr>
          <w:rFonts w:ascii="Times New Roman" w:eastAsia="宋体" w:hAnsi="Times New Roman"/>
          <w:color w:val="000000"/>
          <w:sz w:val="20"/>
          <w:szCs w:val="20"/>
        </w:rPr>
        <w:t>Exchange Act.    </w:t>
      </w:r>
    </w:p>
    <w:p w14:paraId="35D08E0F" w14:textId="77777777" w:rsidR="00D42204" w:rsidRDefault="004E439D">
      <w:pPr>
        <w:spacing w:before="60"/>
      </w:pPr>
      <w:r>
        <w:rPr>
          <w:rFonts w:ascii="Times New Roman" w:eastAsia="宋体" w:hAnsi="Times New Roman"/>
          <w:color w:val="000000"/>
          <w:sz w:val="20"/>
          <w:szCs w:val="20"/>
        </w:rPr>
        <w:lastRenderedPageBreak/>
        <w:t>Yes  </w:t>
      </w:r>
      <w:r>
        <w:rPr>
          <w:rFonts w:ascii="Wingdings" w:eastAsia="宋体" w:hAnsi="Wingdings" w:cs="Wingdings"/>
          <w:color w:val="000000"/>
          <w:sz w:val="20"/>
          <w:szCs w:val="20"/>
        </w:rPr>
        <w:t>¨</w:t>
      </w:r>
      <w:r>
        <w:rPr>
          <w:rFonts w:ascii="Times New Roman" w:eastAsia="宋体" w:hAnsi="Times New Roman"/>
          <w:color w:val="000000"/>
          <w:sz w:val="20"/>
          <w:szCs w:val="20"/>
        </w:rPr>
        <w:t>    No  </w:t>
      </w:r>
      <w:r>
        <w:rPr>
          <w:rFonts w:ascii="Wingdings" w:eastAsia="宋体" w:hAnsi="Wingdings" w:cs="Wingdings"/>
          <w:color w:val="000000"/>
          <w:sz w:val="20"/>
          <w:szCs w:val="20"/>
        </w:rPr>
        <w:t>ý</w:t>
      </w:r>
    </w:p>
    <w:p w14:paraId="35D08E10" w14:textId="77777777" w:rsidR="00D42204" w:rsidRDefault="00D42204"/>
    <w:p w14:paraId="35D08E11" w14:textId="77777777" w:rsidR="00D42204" w:rsidRDefault="004E439D">
      <w:r>
        <w:pict w14:anchorId="35D0C35A">
          <v:rect id="_x0000_i1025" style="width:415.3pt;height:1.5pt" o:hralign="center" o:hrstd="t" o:hr="t" fillcolor="#a0a0a0" stroked="f"/>
        </w:pict>
      </w:r>
    </w:p>
    <w:p w14:paraId="35D08E12" w14:textId="77777777" w:rsidR="00D42204" w:rsidRDefault="00D42204"/>
    <w:p w14:paraId="35D08E13" w14:textId="77777777" w:rsidR="00D42204" w:rsidRDefault="004E439D">
      <w:r>
        <w:rPr>
          <w:rFonts w:ascii="Times New Roman" w:eastAsia="宋体" w:hAnsi="Times New Roman"/>
          <w:color w:val="000000"/>
          <w:sz w:val="20"/>
          <w:szCs w:val="20"/>
        </w:rPr>
        <w:t>Indicate by check mark whether the registrant (1) has filed all reports required to be filed by Section 13 or 15(d) of the Securities Exchange Act of 1934 during the preceding 12 months (or for such shorter period that</w:t>
      </w:r>
      <w:r>
        <w:rPr>
          <w:rFonts w:ascii="Times New Roman" w:eastAsia="宋体" w:hAnsi="Times New Roman"/>
          <w:color w:val="000000"/>
          <w:sz w:val="20"/>
          <w:szCs w:val="20"/>
        </w:rPr>
        <w:t xml:space="preserve"> the registrant was required to file such reports), and (2) has been subject to such filing requirements for at least the past 90 days.    </w:t>
      </w:r>
    </w:p>
    <w:p w14:paraId="35D08E14" w14:textId="77777777" w:rsidR="00D42204" w:rsidRDefault="004E439D">
      <w:pPr>
        <w:spacing w:before="60"/>
      </w:pPr>
      <w:r>
        <w:rPr>
          <w:rFonts w:ascii="Times New Roman" w:eastAsia="宋体" w:hAnsi="Times New Roman"/>
          <w:color w:val="000000"/>
          <w:sz w:val="20"/>
          <w:szCs w:val="20"/>
        </w:rPr>
        <w:t>Yes  </w:t>
      </w:r>
      <w:r>
        <w:rPr>
          <w:rFonts w:ascii="Wingdings" w:eastAsia="宋体" w:hAnsi="Wingdings" w:cs="Wingdings"/>
          <w:color w:val="000000"/>
          <w:sz w:val="20"/>
          <w:szCs w:val="20"/>
        </w:rPr>
        <w:t>ý</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35D08E15" w14:textId="77777777" w:rsidR="00D42204" w:rsidRDefault="004E439D">
      <w:pPr>
        <w:spacing w:before="180"/>
      </w:pPr>
      <w:r>
        <w:rPr>
          <w:rFonts w:ascii="Times New Roman" w:eastAsia="宋体" w:hAnsi="Times New Roman"/>
          <w:color w:val="000000"/>
          <w:sz w:val="20"/>
          <w:szCs w:val="20"/>
        </w:rPr>
        <w:t>Indicate by check mark whether the registrant has submitted electronically every Interactive Data Fi</w:t>
      </w:r>
      <w:r>
        <w:rPr>
          <w:rFonts w:ascii="Times New Roman" w:eastAsia="宋体" w:hAnsi="Times New Roman"/>
          <w:color w:val="000000"/>
          <w:sz w:val="20"/>
          <w:szCs w:val="20"/>
        </w:rPr>
        <w:t>le required to be submitted pursuant to Rule 405 of Regulation S-T (§232.405 of this chapter) during the preceding 12 months (or for such shorter period that the registrant was required to submit such files).    </w:t>
      </w:r>
    </w:p>
    <w:p w14:paraId="35D08E16" w14:textId="77777777" w:rsidR="00D42204" w:rsidRDefault="004E439D">
      <w:pPr>
        <w:spacing w:before="60"/>
      </w:pPr>
      <w:r>
        <w:rPr>
          <w:rFonts w:ascii="Times New Roman" w:eastAsia="宋体" w:hAnsi="Times New Roman"/>
          <w:color w:val="000000"/>
          <w:sz w:val="20"/>
          <w:szCs w:val="20"/>
        </w:rPr>
        <w:t>Yes  </w:t>
      </w:r>
      <w:r>
        <w:rPr>
          <w:rFonts w:ascii="Wingdings" w:eastAsia="宋体" w:hAnsi="Wingdings" w:cs="Wingdings"/>
          <w:color w:val="000000"/>
          <w:sz w:val="20"/>
          <w:szCs w:val="20"/>
        </w:rPr>
        <w:t>ý</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35D08E17" w14:textId="77777777" w:rsidR="00D42204" w:rsidRDefault="004E439D">
      <w:pPr>
        <w:spacing w:before="180"/>
      </w:pPr>
      <w:r>
        <w:rPr>
          <w:rFonts w:ascii="Times New Roman" w:eastAsia="宋体" w:hAnsi="Times New Roman"/>
          <w:color w:val="000000"/>
          <w:sz w:val="20"/>
          <w:szCs w:val="20"/>
        </w:rPr>
        <w:t>Indicate by check mark whet</w:t>
      </w:r>
      <w:r>
        <w:rPr>
          <w:rFonts w:ascii="Times New Roman" w:eastAsia="宋体" w:hAnsi="Times New Roman"/>
          <w:color w:val="000000"/>
          <w:sz w:val="20"/>
          <w:szCs w:val="20"/>
        </w:rPr>
        <w:t>her the registrant is a large accelerated filer, an accelerated filer, a non-accelerated filer, a smaller reporting company or an emerging growth company. See the definitions of "large accelerated filer," "accelerated filer," "smaller reporting company" an</w:t>
      </w:r>
      <w:r>
        <w:rPr>
          <w:rFonts w:ascii="Times New Roman" w:eastAsia="宋体" w:hAnsi="Times New Roman"/>
          <w:color w:val="000000"/>
          <w:sz w:val="20"/>
          <w:szCs w:val="20"/>
        </w:rPr>
        <w:t>d "emerging growth company" in Rule 12b-2 of the Exchange Act.</w:t>
      </w:r>
    </w:p>
    <w:tbl>
      <w:tblPr>
        <w:tblW w:w="3999" w:type="pct"/>
        <w:jc w:val="center"/>
        <w:tblCellMar>
          <w:top w:w="15" w:type="dxa"/>
          <w:left w:w="15" w:type="dxa"/>
          <w:bottom w:w="15" w:type="dxa"/>
          <w:right w:w="15" w:type="dxa"/>
        </w:tblCellMar>
        <w:tblLook w:val="04A0" w:firstRow="1" w:lastRow="0" w:firstColumn="1" w:lastColumn="0" w:noHBand="0" w:noVBand="1"/>
      </w:tblPr>
      <w:tblGrid>
        <w:gridCol w:w="43"/>
        <w:gridCol w:w="2065"/>
        <w:gridCol w:w="37"/>
        <w:gridCol w:w="36"/>
        <w:gridCol w:w="133"/>
        <w:gridCol w:w="36"/>
        <w:gridCol w:w="37"/>
        <w:gridCol w:w="1221"/>
        <w:gridCol w:w="36"/>
        <w:gridCol w:w="39"/>
        <w:gridCol w:w="132"/>
        <w:gridCol w:w="36"/>
        <w:gridCol w:w="72"/>
        <w:gridCol w:w="2261"/>
        <w:gridCol w:w="36"/>
        <w:gridCol w:w="36"/>
        <w:gridCol w:w="131"/>
        <w:gridCol w:w="36"/>
        <w:gridCol w:w="59"/>
        <w:gridCol w:w="149"/>
        <w:gridCol w:w="36"/>
      </w:tblGrid>
      <w:tr w:rsidR="00D42204" w14:paraId="35D08E2D" w14:textId="77777777">
        <w:trPr>
          <w:jc w:val="center"/>
        </w:trPr>
        <w:tc>
          <w:tcPr>
            <w:tcW w:w="50" w:type="pct"/>
            <w:shd w:val="clear" w:color="auto" w:fill="auto"/>
            <w:vAlign w:val="bottom"/>
          </w:tcPr>
          <w:p w14:paraId="35D08E18" w14:textId="77777777" w:rsidR="00D42204" w:rsidRDefault="00D42204">
            <w:pPr>
              <w:rPr>
                <w:rFonts w:ascii="宋体"/>
              </w:rPr>
            </w:pPr>
          </w:p>
        </w:tc>
        <w:tc>
          <w:tcPr>
            <w:tcW w:w="1581" w:type="pct"/>
            <w:shd w:val="clear" w:color="auto" w:fill="auto"/>
            <w:vAlign w:val="bottom"/>
          </w:tcPr>
          <w:p w14:paraId="35D08E19" w14:textId="77777777" w:rsidR="00D42204" w:rsidRDefault="00D42204">
            <w:pPr>
              <w:rPr>
                <w:rFonts w:ascii="宋体"/>
              </w:rPr>
            </w:pPr>
          </w:p>
        </w:tc>
        <w:tc>
          <w:tcPr>
            <w:tcW w:w="5" w:type="pct"/>
            <w:shd w:val="clear" w:color="auto" w:fill="auto"/>
            <w:vAlign w:val="bottom"/>
          </w:tcPr>
          <w:p w14:paraId="35D08E1A" w14:textId="77777777" w:rsidR="00D42204" w:rsidRDefault="00D42204">
            <w:pPr>
              <w:rPr>
                <w:rFonts w:ascii="宋体"/>
              </w:rPr>
            </w:pPr>
          </w:p>
        </w:tc>
        <w:tc>
          <w:tcPr>
            <w:tcW w:w="50" w:type="pct"/>
            <w:shd w:val="clear" w:color="auto" w:fill="auto"/>
            <w:vAlign w:val="bottom"/>
          </w:tcPr>
          <w:p w14:paraId="35D08E1B" w14:textId="77777777" w:rsidR="00D42204" w:rsidRDefault="00D42204">
            <w:pPr>
              <w:rPr>
                <w:rFonts w:ascii="宋体"/>
              </w:rPr>
            </w:pPr>
          </w:p>
        </w:tc>
        <w:tc>
          <w:tcPr>
            <w:tcW w:w="127" w:type="pct"/>
            <w:shd w:val="clear" w:color="auto" w:fill="auto"/>
            <w:vAlign w:val="bottom"/>
          </w:tcPr>
          <w:p w14:paraId="35D08E1C" w14:textId="77777777" w:rsidR="00D42204" w:rsidRDefault="00D42204">
            <w:pPr>
              <w:rPr>
                <w:rFonts w:ascii="宋体"/>
              </w:rPr>
            </w:pPr>
          </w:p>
        </w:tc>
        <w:tc>
          <w:tcPr>
            <w:tcW w:w="5" w:type="pct"/>
            <w:shd w:val="clear" w:color="auto" w:fill="auto"/>
            <w:vAlign w:val="bottom"/>
          </w:tcPr>
          <w:p w14:paraId="35D08E1D" w14:textId="77777777" w:rsidR="00D42204" w:rsidRDefault="00D42204">
            <w:pPr>
              <w:rPr>
                <w:rFonts w:ascii="宋体"/>
              </w:rPr>
            </w:pPr>
          </w:p>
        </w:tc>
        <w:tc>
          <w:tcPr>
            <w:tcW w:w="50" w:type="pct"/>
            <w:shd w:val="clear" w:color="auto" w:fill="auto"/>
            <w:vAlign w:val="bottom"/>
          </w:tcPr>
          <w:p w14:paraId="35D08E1E" w14:textId="77777777" w:rsidR="00D42204" w:rsidRDefault="00D42204">
            <w:pPr>
              <w:rPr>
                <w:rFonts w:ascii="宋体"/>
              </w:rPr>
            </w:pPr>
          </w:p>
        </w:tc>
        <w:tc>
          <w:tcPr>
            <w:tcW w:w="941" w:type="pct"/>
            <w:shd w:val="clear" w:color="auto" w:fill="auto"/>
            <w:vAlign w:val="bottom"/>
          </w:tcPr>
          <w:p w14:paraId="35D08E1F" w14:textId="77777777" w:rsidR="00D42204" w:rsidRDefault="00D42204">
            <w:pPr>
              <w:rPr>
                <w:rFonts w:ascii="宋体"/>
              </w:rPr>
            </w:pPr>
          </w:p>
        </w:tc>
        <w:tc>
          <w:tcPr>
            <w:tcW w:w="5" w:type="pct"/>
            <w:shd w:val="clear" w:color="auto" w:fill="auto"/>
            <w:vAlign w:val="bottom"/>
          </w:tcPr>
          <w:p w14:paraId="35D08E20" w14:textId="77777777" w:rsidR="00D42204" w:rsidRDefault="00D42204">
            <w:pPr>
              <w:rPr>
                <w:rFonts w:ascii="宋体"/>
              </w:rPr>
            </w:pPr>
          </w:p>
        </w:tc>
        <w:tc>
          <w:tcPr>
            <w:tcW w:w="50" w:type="pct"/>
            <w:shd w:val="clear" w:color="auto" w:fill="auto"/>
            <w:vAlign w:val="bottom"/>
          </w:tcPr>
          <w:p w14:paraId="35D08E21" w14:textId="77777777" w:rsidR="00D42204" w:rsidRDefault="00D42204">
            <w:pPr>
              <w:rPr>
                <w:rFonts w:ascii="宋体"/>
              </w:rPr>
            </w:pPr>
          </w:p>
        </w:tc>
        <w:tc>
          <w:tcPr>
            <w:tcW w:w="127" w:type="pct"/>
            <w:shd w:val="clear" w:color="auto" w:fill="auto"/>
            <w:vAlign w:val="bottom"/>
          </w:tcPr>
          <w:p w14:paraId="35D08E22" w14:textId="77777777" w:rsidR="00D42204" w:rsidRDefault="00D42204">
            <w:pPr>
              <w:rPr>
                <w:rFonts w:ascii="宋体"/>
              </w:rPr>
            </w:pPr>
          </w:p>
        </w:tc>
        <w:tc>
          <w:tcPr>
            <w:tcW w:w="5" w:type="pct"/>
            <w:shd w:val="clear" w:color="auto" w:fill="auto"/>
            <w:vAlign w:val="bottom"/>
          </w:tcPr>
          <w:p w14:paraId="35D08E23" w14:textId="77777777" w:rsidR="00D42204" w:rsidRDefault="00D42204">
            <w:pPr>
              <w:rPr>
                <w:rFonts w:ascii="宋体"/>
              </w:rPr>
            </w:pPr>
          </w:p>
        </w:tc>
        <w:tc>
          <w:tcPr>
            <w:tcW w:w="50" w:type="pct"/>
            <w:shd w:val="clear" w:color="auto" w:fill="auto"/>
            <w:vAlign w:val="bottom"/>
          </w:tcPr>
          <w:p w14:paraId="35D08E24" w14:textId="77777777" w:rsidR="00D42204" w:rsidRDefault="00D42204">
            <w:pPr>
              <w:rPr>
                <w:rFonts w:ascii="宋体"/>
              </w:rPr>
            </w:pPr>
          </w:p>
        </w:tc>
        <w:tc>
          <w:tcPr>
            <w:tcW w:w="1581" w:type="pct"/>
            <w:shd w:val="clear" w:color="auto" w:fill="auto"/>
            <w:vAlign w:val="bottom"/>
          </w:tcPr>
          <w:p w14:paraId="35D08E25" w14:textId="77777777" w:rsidR="00D42204" w:rsidRDefault="00D42204">
            <w:pPr>
              <w:rPr>
                <w:rFonts w:ascii="宋体"/>
              </w:rPr>
            </w:pPr>
          </w:p>
        </w:tc>
        <w:tc>
          <w:tcPr>
            <w:tcW w:w="5" w:type="pct"/>
            <w:shd w:val="clear" w:color="auto" w:fill="auto"/>
            <w:vAlign w:val="bottom"/>
          </w:tcPr>
          <w:p w14:paraId="35D08E26" w14:textId="77777777" w:rsidR="00D42204" w:rsidRDefault="00D42204">
            <w:pPr>
              <w:rPr>
                <w:rFonts w:ascii="宋体"/>
              </w:rPr>
            </w:pPr>
          </w:p>
        </w:tc>
        <w:tc>
          <w:tcPr>
            <w:tcW w:w="50" w:type="pct"/>
            <w:shd w:val="clear" w:color="auto" w:fill="auto"/>
            <w:vAlign w:val="bottom"/>
          </w:tcPr>
          <w:p w14:paraId="35D08E27" w14:textId="77777777" w:rsidR="00D42204" w:rsidRDefault="00D42204">
            <w:pPr>
              <w:rPr>
                <w:rFonts w:ascii="宋体"/>
              </w:rPr>
            </w:pPr>
          </w:p>
        </w:tc>
        <w:tc>
          <w:tcPr>
            <w:tcW w:w="127" w:type="pct"/>
            <w:shd w:val="clear" w:color="auto" w:fill="auto"/>
            <w:vAlign w:val="bottom"/>
          </w:tcPr>
          <w:p w14:paraId="35D08E28" w14:textId="77777777" w:rsidR="00D42204" w:rsidRDefault="00D42204">
            <w:pPr>
              <w:rPr>
                <w:rFonts w:ascii="宋体"/>
              </w:rPr>
            </w:pPr>
          </w:p>
        </w:tc>
        <w:tc>
          <w:tcPr>
            <w:tcW w:w="5" w:type="pct"/>
            <w:shd w:val="clear" w:color="auto" w:fill="auto"/>
            <w:vAlign w:val="bottom"/>
          </w:tcPr>
          <w:p w14:paraId="35D08E29" w14:textId="77777777" w:rsidR="00D42204" w:rsidRDefault="00D42204">
            <w:pPr>
              <w:rPr>
                <w:rFonts w:ascii="宋体"/>
              </w:rPr>
            </w:pPr>
          </w:p>
        </w:tc>
        <w:tc>
          <w:tcPr>
            <w:tcW w:w="50" w:type="pct"/>
            <w:shd w:val="clear" w:color="auto" w:fill="auto"/>
            <w:vAlign w:val="bottom"/>
          </w:tcPr>
          <w:p w14:paraId="35D08E2A" w14:textId="77777777" w:rsidR="00D42204" w:rsidRDefault="00D42204">
            <w:pPr>
              <w:rPr>
                <w:rFonts w:ascii="宋体"/>
              </w:rPr>
            </w:pPr>
          </w:p>
        </w:tc>
        <w:tc>
          <w:tcPr>
            <w:tcW w:w="128" w:type="pct"/>
            <w:shd w:val="clear" w:color="auto" w:fill="auto"/>
            <w:vAlign w:val="bottom"/>
          </w:tcPr>
          <w:p w14:paraId="35D08E2B" w14:textId="77777777" w:rsidR="00D42204" w:rsidRDefault="00D42204">
            <w:pPr>
              <w:rPr>
                <w:rFonts w:ascii="宋体"/>
              </w:rPr>
            </w:pPr>
          </w:p>
        </w:tc>
        <w:tc>
          <w:tcPr>
            <w:tcW w:w="5" w:type="pct"/>
            <w:shd w:val="clear" w:color="auto" w:fill="auto"/>
            <w:vAlign w:val="bottom"/>
          </w:tcPr>
          <w:p w14:paraId="35D08E2C" w14:textId="77777777" w:rsidR="00D42204" w:rsidRDefault="00D42204">
            <w:pPr>
              <w:rPr>
                <w:rFonts w:ascii="宋体"/>
              </w:rPr>
            </w:pPr>
          </w:p>
        </w:tc>
      </w:tr>
      <w:tr w:rsidR="00D42204" w14:paraId="35D08E35" w14:textId="77777777">
        <w:trPr>
          <w:jc w:val="center"/>
        </w:trPr>
        <w:tc>
          <w:tcPr>
            <w:tcW w:w="0" w:type="auto"/>
            <w:gridSpan w:val="3"/>
            <w:shd w:val="clear" w:color="auto" w:fill="auto"/>
            <w:tcMar>
              <w:top w:w="40" w:type="dxa"/>
              <w:left w:w="20" w:type="dxa"/>
              <w:bottom w:w="40" w:type="dxa"/>
              <w:right w:w="20" w:type="dxa"/>
            </w:tcMar>
            <w:vAlign w:val="bottom"/>
          </w:tcPr>
          <w:p w14:paraId="35D08E2E" w14:textId="77777777" w:rsidR="00D42204" w:rsidRDefault="004E439D">
            <w:pPr>
              <w:textAlignment w:val="bottom"/>
            </w:pPr>
            <w:r>
              <w:rPr>
                <w:rFonts w:ascii="Times New Roman" w:eastAsia="宋体" w:hAnsi="Times New Roman"/>
                <w:color w:val="000000"/>
                <w:sz w:val="20"/>
                <w:szCs w:val="20"/>
              </w:rPr>
              <w:t>Large Accelerated Filer</w:t>
            </w:r>
          </w:p>
        </w:tc>
        <w:tc>
          <w:tcPr>
            <w:tcW w:w="0" w:type="auto"/>
            <w:gridSpan w:val="3"/>
            <w:shd w:val="clear" w:color="auto" w:fill="auto"/>
            <w:tcMar>
              <w:top w:w="40" w:type="dxa"/>
              <w:left w:w="20" w:type="dxa"/>
              <w:bottom w:w="40" w:type="dxa"/>
              <w:right w:w="20" w:type="dxa"/>
            </w:tcMar>
            <w:vAlign w:val="bottom"/>
          </w:tcPr>
          <w:p w14:paraId="35D08E2F" w14:textId="77777777" w:rsidR="00D42204" w:rsidRDefault="004E439D">
            <w:pP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35D08E30" w14:textId="77777777" w:rsidR="00D42204" w:rsidRDefault="004E439D">
            <w:pP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40" w:type="dxa"/>
              <w:left w:w="20" w:type="dxa"/>
              <w:bottom w:w="40" w:type="dxa"/>
              <w:right w:w="20" w:type="dxa"/>
            </w:tcMar>
            <w:vAlign w:val="bottom"/>
          </w:tcPr>
          <w:p w14:paraId="35D08E31" w14:textId="77777777" w:rsidR="00D42204" w:rsidRDefault="004E439D">
            <w:pP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35D08E32" w14:textId="77777777" w:rsidR="00D42204" w:rsidRDefault="004E439D">
            <w:pPr>
              <w:textAlignment w:val="bottom"/>
            </w:pPr>
            <w:r>
              <w:rPr>
                <w:rFonts w:ascii="Times New Roman" w:eastAsia="宋体" w:hAnsi="Times New Roman"/>
                <w:color w:val="000000"/>
                <w:sz w:val="20"/>
                <w:szCs w:val="20"/>
              </w:rPr>
              <w:t>Accelerated Filer</w:t>
            </w:r>
          </w:p>
        </w:tc>
        <w:tc>
          <w:tcPr>
            <w:tcW w:w="0" w:type="auto"/>
            <w:gridSpan w:val="3"/>
            <w:shd w:val="clear" w:color="auto" w:fill="auto"/>
            <w:tcMar>
              <w:top w:w="40" w:type="dxa"/>
              <w:left w:w="20" w:type="dxa"/>
              <w:bottom w:w="40" w:type="dxa"/>
              <w:right w:w="20" w:type="dxa"/>
            </w:tcMar>
            <w:vAlign w:val="bottom"/>
          </w:tcPr>
          <w:p w14:paraId="35D08E33" w14:textId="77777777" w:rsidR="00D42204" w:rsidRDefault="004E439D">
            <w:pP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35D08E34" w14:textId="77777777" w:rsidR="00D42204" w:rsidRDefault="004E439D">
            <w:pPr>
              <w:textAlignment w:val="bottom"/>
            </w:pPr>
            <w:r>
              <w:rPr>
                <w:rFonts w:ascii="Arial Unicode MS" w:eastAsia="Arial Unicode MS" w:hAnsi="Arial Unicode MS" w:cs="Arial Unicode MS" w:hint="eastAsia"/>
                <w:b/>
                <w:bCs/>
                <w:color w:val="000000"/>
                <w:sz w:val="20"/>
                <w:szCs w:val="20"/>
              </w:rPr>
              <w:t>☐</w:t>
            </w:r>
          </w:p>
        </w:tc>
      </w:tr>
      <w:tr w:rsidR="00D42204" w14:paraId="35D08E3D" w14:textId="77777777">
        <w:trPr>
          <w:jc w:val="center"/>
        </w:trPr>
        <w:tc>
          <w:tcPr>
            <w:tcW w:w="0" w:type="auto"/>
            <w:gridSpan w:val="3"/>
            <w:shd w:val="clear" w:color="auto" w:fill="auto"/>
            <w:tcMar>
              <w:top w:w="40" w:type="dxa"/>
              <w:left w:w="20" w:type="dxa"/>
              <w:bottom w:w="40" w:type="dxa"/>
              <w:right w:w="20" w:type="dxa"/>
            </w:tcMar>
            <w:vAlign w:val="bottom"/>
          </w:tcPr>
          <w:p w14:paraId="35D08E36" w14:textId="77777777" w:rsidR="00D42204" w:rsidRDefault="004E439D">
            <w:pPr>
              <w:textAlignment w:val="bottom"/>
            </w:pPr>
            <w:r>
              <w:rPr>
                <w:rFonts w:ascii="Times New Roman" w:eastAsia="宋体" w:hAnsi="Times New Roman"/>
                <w:color w:val="000000"/>
                <w:sz w:val="20"/>
                <w:szCs w:val="20"/>
              </w:rPr>
              <w:t>Non-Accelerated Filer</w:t>
            </w:r>
          </w:p>
        </w:tc>
        <w:tc>
          <w:tcPr>
            <w:tcW w:w="0" w:type="auto"/>
            <w:gridSpan w:val="3"/>
            <w:shd w:val="clear" w:color="auto" w:fill="auto"/>
            <w:tcMar>
              <w:top w:w="40" w:type="dxa"/>
              <w:left w:w="20" w:type="dxa"/>
              <w:bottom w:w="40" w:type="dxa"/>
              <w:right w:w="20" w:type="dxa"/>
            </w:tcMar>
            <w:vAlign w:val="bottom"/>
          </w:tcPr>
          <w:p w14:paraId="35D08E37" w14:textId="77777777" w:rsidR="00D42204" w:rsidRDefault="004E439D">
            <w:pP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35D08E38" w14:textId="77777777" w:rsidR="00D42204" w:rsidRDefault="004E439D">
            <w:pPr>
              <w:textAlignment w:val="bottom"/>
            </w:pPr>
            <w:r>
              <w:rPr>
                <w:rFonts w:ascii="Arial Unicode MS" w:eastAsia="Arial Unicode MS" w:hAnsi="Arial Unicode MS" w:cs="Arial Unicode MS" w:hint="eastAsia"/>
                <w:b/>
                <w:bCs/>
                <w:color w:val="000000"/>
                <w:sz w:val="20"/>
                <w:szCs w:val="20"/>
              </w:rPr>
              <w:t>☐</w:t>
            </w:r>
          </w:p>
        </w:tc>
        <w:tc>
          <w:tcPr>
            <w:tcW w:w="0" w:type="auto"/>
            <w:gridSpan w:val="3"/>
            <w:shd w:val="clear" w:color="auto" w:fill="auto"/>
            <w:tcMar>
              <w:top w:w="40" w:type="dxa"/>
              <w:left w:w="20" w:type="dxa"/>
              <w:bottom w:w="40" w:type="dxa"/>
              <w:right w:w="20" w:type="dxa"/>
            </w:tcMar>
            <w:vAlign w:val="bottom"/>
          </w:tcPr>
          <w:p w14:paraId="35D08E39" w14:textId="77777777" w:rsidR="00D42204" w:rsidRDefault="004E439D">
            <w:pP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35D08E3A" w14:textId="77777777" w:rsidR="00D42204" w:rsidRDefault="004E439D">
            <w:pPr>
              <w:textAlignment w:val="bottom"/>
            </w:pPr>
            <w:r>
              <w:rPr>
                <w:rFonts w:ascii="Times New Roman" w:eastAsia="宋体" w:hAnsi="Times New Roman"/>
                <w:color w:val="000000"/>
                <w:sz w:val="20"/>
                <w:szCs w:val="20"/>
              </w:rPr>
              <w:t>Smaller Reporting Company</w:t>
            </w:r>
          </w:p>
        </w:tc>
        <w:tc>
          <w:tcPr>
            <w:tcW w:w="0" w:type="auto"/>
            <w:gridSpan w:val="3"/>
            <w:shd w:val="clear" w:color="auto" w:fill="auto"/>
            <w:tcMar>
              <w:top w:w="40" w:type="dxa"/>
              <w:left w:w="20" w:type="dxa"/>
              <w:bottom w:w="40" w:type="dxa"/>
              <w:right w:w="20" w:type="dxa"/>
            </w:tcMar>
            <w:vAlign w:val="bottom"/>
          </w:tcPr>
          <w:p w14:paraId="35D08E3B" w14:textId="77777777" w:rsidR="00D42204" w:rsidRDefault="004E439D">
            <w:pP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35D08E3C" w14:textId="77777777" w:rsidR="00D42204" w:rsidRDefault="004E439D">
            <w:pPr>
              <w:textAlignment w:val="bottom"/>
            </w:pPr>
            <w:r>
              <w:rPr>
                <w:rFonts w:ascii="Arial Unicode MS" w:eastAsia="Arial Unicode MS" w:hAnsi="Arial Unicode MS" w:cs="Arial Unicode MS" w:hint="eastAsia"/>
                <w:b/>
                <w:bCs/>
                <w:color w:val="000000"/>
                <w:sz w:val="20"/>
                <w:szCs w:val="20"/>
              </w:rPr>
              <w:t>☐</w:t>
            </w:r>
          </w:p>
        </w:tc>
      </w:tr>
      <w:tr w:rsidR="00D42204" w14:paraId="35D08E45" w14:textId="77777777">
        <w:trPr>
          <w:jc w:val="center"/>
        </w:trPr>
        <w:tc>
          <w:tcPr>
            <w:tcW w:w="0" w:type="auto"/>
            <w:gridSpan w:val="3"/>
            <w:shd w:val="clear" w:color="auto" w:fill="auto"/>
            <w:tcMar>
              <w:top w:w="0" w:type="dxa"/>
              <w:left w:w="20" w:type="dxa"/>
              <w:bottom w:w="0" w:type="dxa"/>
              <w:right w:w="20" w:type="dxa"/>
            </w:tcMar>
            <w:vAlign w:val="bottom"/>
          </w:tcPr>
          <w:p w14:paraId="35D08E3E"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E3F"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E40"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E4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8E42" w14:textId="77777777" w:rsidR="00D42204" w:rsidRDefault="004E439D">
            <w:pPr>
              <w:textAlignment w:val="bottom"/>
            </w:pPr>
            <w:r>
              <w:rPr>
                <w:rFonts w:ascii="Times New Roman" w:eastAsia="宋体" w:hAnsi="Times New Roman"/>
                <w:color w:val="000000"/>
                <w:sz w:val="20"/>
                <w:szCs w:val="20"/>
              </w:rPr>
              <w:t>Emerging Growth Company</w:t>
            </w:r>
          </w:p>
        </w:tc>
        <w:tc>
          <w:tcPr>
            <w:tcW w:w="0" w:type="auto"/>
            <w:gridSpan w:val="3"/>
            <w:shd w:val="clear" w:color="auto" w:fill="auto"/>
            <w:tcMar>
              <w:top w:w="0" w:type="dxa"/>
              <w:left w:w="20" w:type="dxa"/>
              <w:bottom w:w="0" w:type="dxa"/>
              <w:right w:w="20" w:type="dxa"/>
            </w:tcMar>
            <w:vAlign w:val="bottom"/>
          </w:tcPr>
          <w:p w14:paraId="35D08E43"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8E44" w14:textId="77777777" w:rsidR="00D42204" w:rsidRDefault="004E439D">
            <w:pPr>
              <w:textAlignment w:val="bottom"/>
            </w:pPr>
            <w:r>
              <w:rPr>
                <w:rFonts w:ascii="Arial Unicode MS" w:eastAsia="Arial Unicode MS" w:hAnsi="Arial Unicode MS" w:cs="Arial Unicode MS" w:hint="eastAsia"/>
                <w:color w:val="000000"/>
                <w:sz w:val="20"/>
                <w:szCs w:val="20"/>
              </w:rPr>
              <w:t>☐</w:t>
            </w:r>
          </w:p>
        </w:tc>
      </w:tr>
    </w:tbl>
    <w:p w14:paraId="35D08E46" w14:textId="77777777" w:rsidR="00D42204" w:rsidRDefault="004E439D">
      <w:r>
        <w:rPr>
          <w:rFonts w:ascii="Times New Roman" w:eastAsia="宋体" w:hAnsi="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20"/>
          <w:szCs w:val="20"/>
        </w:rPr>
        <w:t>☐</w:t>
      </w:r>
      <w:r>
        <w:rPr>
          <w:rFonts w:ascii="Wingdings" w:eastAsia="宋体" w:hAnsi="Wingdings" w:cs="Wingdings"/>
          <w:color w:val="000000"/>
          <w:sz w:val="20"/>
          <w:szCs w:val="20"/>
        </w:rPr>
        <w:t xml:space="preserve"> </w:t>
      </w:r>
    </w:p>
    <w:p w14:paraId="35D08E47" w14:textId="77777777" w:rsidR="00D42204" w:rsidRDefault="00D42204"/>
    <w:p w14:paraId="35D08E48" w14:textId="77777777" w:rsidR="00D42204" w:rsidRDefault="004E439D">
      <w:r>
        <w:rPr>
          <w:rFonts w:ascii="Times New Roman" w:eastAsia="宋体" w:hAnsi="Times New Roman"/>
          <w:color w:val="000000"/>
          <w:sz w:val="20"/>
          <w:szCs w:val="20"/>
        </w:rPr>
        <w:t>I</w:t>
      </w:r>
      <w:r>
        <w:rPr>
          <w:rFonts w:ascii="Times New Roman" w:eastAsia="宋体" w:hAnsi="Times New Roman"/>
          <w:color w:val="000000"/>
          <w:sz w:val="20"/>
          <w:szCs w:val="20"/>
        </w:rPr>
        <w:t>ndicate by check mark whether the registrant has filed a report on and attestation to its management's assessment of the effectiveness of its internal control over financial reporting under Section 404(b) of the Sarbanes-Oxley Act (15 U.S.C. 7262(b)) by th</w:t>
      </w:r>
      <w:r>
        <w:rPr>
          <w:rFonts w:ascii="Times New Roman" w:eastAsia="宋体" w:hAnsi="Times New Roman"/>
          <w:color w:val="000000"/>
          <w:sz w:val="20"/>
          <w:szCs w:val="20"/>
        </w:rPr>
        <w:t xml:space="preserve">e registered public accounting firm that prepared or issued its audit report. </w:t>
      </w:r>
      <w:r>
        <w:rPr>
          <w:rFonts w:ascii="Arial" w:eastAsia="宋体" w:hAnsi="Arial" w:cs="Arial"/>
          <w:b/>
          <w:bCs/>
          <w:color w:val="000000"/>
          <w:sz w:val="20"/>
          <w:szCs w:val="20"/>
        </w:rPr>
        <w:t>☒</w:t>
      </w:r>
    </w:p>
    <w:p w14:paraId="35D08E49" w14:textId="77777777" w:rsidR="00D42204" w:rsidRDefault="00D42204"/>
    <w:p w14:paraId="35D08E4A" w14:textId="77777777" w:rsidR="00D42204" w:rsidRDefault="004E439D">
      <w:r>
        <w:rPr>
          <w:rFonts w:ascii="Times New Roman" w:eastAsia="宋体" w:hAnsi="Times New Roman"/>
          <w:color w:val="000000"/>
          <w:sz w:val="20"/>
          <w:szCs w:val="20"/>
        </w:rPr>
        <w:t>Indicate by check mark whether the registrant is a shell company (as defined in Rule 12b-2 of the Exchange Act).    </w:t>
      </w:r>
    </w:p>
    <w:p w14:paraId="35D08E4B" w14:textId="77777777" w:rsidR="00D42204" w:rsidRDefault="004E439D">
      <w:pPr>
        <w:spacing w:before="60"/>
      </w:pPr>
      <w:r>
        <w:rPr>
          <w:rFonts w:ascii="Times New Roman" w:eastAsia="宋体" w:hAnsi="Times New Roman"/>
          <w:color w:val="000000"/>
          <w:sz w:val="20"/>
          <w:szCs w:val="20"/>
        </w:rPr>
        <w:t>Yes  </w:t>
      </w:r>
      <w:r>
        <w:rPr>
          <w:rFonts w:ascii="Arial Unicode MS" w:eastAsia="Arial Unicode MS" w:hAnsi="Arial Unicode MS" w:cs="Arial Unicode MS" w:hint="eastAsia"/>
          <w:color w:val="000000"/>
          <w:sz w:val="20"/>
          <w:szCs w:val="20"/>
        </w:rPr>
        <w:t>☐</w:t>
      </w:r>
      <w:r>
        <w:rPr>
          <w:rFonts w:ascii="Times New Roman" w:eastAsia="宋体" w:hAnsi="Times New Roman"/>
          <w:color w:val="000000"/>
          <w:sz w:val="20"/>
          <w:szCs w:val="20"/>
        </w:rPr>
        <w:t>    No  </w:t>
      </w:r>
      <w:r>
        <w:rPr>
          <w:rFonts w:ascii="Arial Unicode MS" w:eastAsia="Arial Unicode MS" w:hAnsi="Arial Unicode MS" w:cs="Arial Unicode MS" w:hint="eastAsia"/>
          <w:b/>
          <w:bCs/>
          <w:color w:val="000000"/>
          <w:sz w:val="20"/>
          <w:szCs w:val="20"/>
        </w:rPr>
        <w:t>☒</w:t>
      </w:r>
    </w:p>
    <w:p w14:paraId="35D08E4C" w14:textId="77777777" w:rsidR="00D42204" w:rsidRDefault="004E439D">
      <w:pPr>
        <w:spacing w:before="180"/>
      </w:pPr>
      <w:r>
        <w:rPr>
          <w:rFonts w:ascii="Times New Roman" w:eastAsia="宋体" w:hAnsi="Times New Roman"/>
          <w:color w:val="000000"/>
          <w:sz w:val="20"/>
          <w:szCs w:val="20"/>
        </w:rPr>
        <w:t xml:space="preserve">As of July 31, 2021, the aggregate market </w:t>
      </w:r>
      <w:r>
        <w:rPr>
          <w:rFonts w:ascii="Times New Roman" w:eastAsia="宋体" w:hAnsi="Times New Roman"/>
          <w:color w:val="000000"/>
          <w:sz w:val="20"/>
          <w:szCs w:val="20"/>
        </w:rPr>
        <w:t>value of the voting common stock of the registrant held by non-affiliates of the registrant, based on the closing sale price of those shares on the New York Stock Exchange reported on July 30, 2021, was $206,032,159,403. For the purposes of this disclosure</w:t>
      </w:r>
      <w:r>
        <w:rPr>
          <w:rFonts w:ascii="Times New Roman" w:eastAsia="宋体" w:hAnsi="Times New Roman"/>
          <w:color w:val="000000"/>
          <w:sz w:val="20"/>
          <w:szCs w:val="20"/>
        </w:rPr>
        <w:t xml:space="preserve"> only, the registrant has assumed that its directors, executive officers (as defined in Rule 3b-7 under the Exchange Act) and the beneficial owners of 5% or more of the registrant's outstanding common stock are the affiliates of the registrant.</w:t>
      </w:r>
    </w:p>
    <w:p w14:paraId="35D08E4D" w14:textId="77777777" w:rsidR="00D42204" w:rsidRDefault="004E439D">
      <w:pPr>
        <w:spacing w:before="180"/>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registrant had 2,751,779,629 shares of common stock outstanding as of March 16, 2022.</w:t>
      </w:r>
    </w:p>
    <w:p w14:paraId="35D08E4E" w14:textId="77777777" w:rsidR="00D42204" w:rsidRDefault="004E439D">
      <w:pPr>
        <w:spacing w:before="180"/>
        <w:jc w:val="center"/>
      </w:pPr>
      <w:r>
        <w:rPr>
          <w:rFonts w:ascii="Times New Roman" w:eastAsia="宋体" w:hAnsi="Times New Roman"/>
          <w:b/>
          <w:bCs/>
          <w:color w:val="000000"/>
          <w:sz w:val="20"/>
          <w:szCs w:val="20"/>
        </w:rPr>
        <w:t>DOCUMENTS INCORPORATED BY REFERENCE</w:t>
      </w:r>
    </w:p>
    <w:tbl>
      <w:tblPr>
        <w:tblW w:w="5000" w:type="pct"/>
        <w:tblCellMar>
          <w:top w:w="15" w:type="dxa"/>
          <w:left w:w="15" w:type="dxa"/>
          <w:bottom w:w="15" w:type="dxa"/>
          <w:right w:w="15" w:type="dxa"/>
        </w:tblCellMar>
        <w:tblLook w:val="04A0" w:firstRow="1" w:lastRow="0" w:firstColumn="1" w:lastColumn="0" w:noHBand="0" w:noVBand="1"/>
      </w:tblPr>
      <w:tblGrid>
        <w:gridCol w:w="69"/>
        <w:gridCol w:w="4294"/>
        <w:gridCol w:w="36"/>
        <w:gridCol w:w="69"/>
        <w:gridCol w:w="223"/>
        <w:gridCol w:w="36"/>
        <w:gridCol w:w="70"/>
        <w:gridCol w:w="3503"/>
        <w:gridCol w:w="36"/>
      </w:tblGrid>
      <w:tr w:rsidR="00D42204" w14:paraId="35D08E58" w14:textId="77777777">
        <w:tc>
          <w:tcPr>
            <w:tcW w:w="50" w:type="pct"/>
            <w:shd w:val="clear" w:color="auto" w:fill="auto"/>
            <w:vAlign w:val="bottom"/>
          </w:tcPr>
          <w:p w14:paraId="35D08E4F" w14:textId="77777777" w:rsidR="00D42204" w:rsidRDefault="00D42204">
            <w:pPr>
              <w:rPr>
                <w:rFonts w:ascii="宋体"/>
              </w:rPr>
            </w:pPr>
          </w:p>
        </w:tc>
        <w:tc>
          <w:tcPr>
            <w:tcW w:w="2583" w:type="pct"/>
            <w:shd w:val="clear" w:color="auto" w:fill="auto"/>
            <w:vAlign w:val="bottom"/>
          </w:tcPr>
          <w:p w14:paraId="35D08E50" w14:textId="77777777" w:rsidR="00D42204" w:rsidRDefault="00D42204">
            <w:pPr>
              <w:rPr>
                <w:rFonts w:ascii="宋体"/>
              </w:rPr>
            </w:pPr>
          </w:p>
        </w:tc>
        <w:tc>
          <w:tcPr>
            <w:tcW w:w="5" w:type="pct"/>
            <w:shd w:val="clear" w:color="auto" w:fill="auto"/>
            <w:vAlign w:val="bottom"/>
          </w:tcPr>
          <w:p w14:paraId="35D08E51" w14:textId="77777777" w:rsidR="00D42204" w:rsidRDefault="00D42204">
            <w:pPr>
              <w:rPr>
                <w:rFonts w:ascii="宋体"/>
              </w:rPr>
            </w:pPr>
          </w:p>
        </w:tc>
        <w:tc>
          <w:tcPr>
            <w:tcW w:w="50" w:type="pct"/>
            <w:shd w:val="clear" w:color="auto" w:fill="auto"/>
            <w:vAlign w:val="bottom"/>
          </w:tcPr>
          <w:p w14:paraId="35D08E52" w14:textId="77777777" w:rsidR="00D42204" w:rsidRDefault="00D42204">
            <w:pPr>
              <w:rPr>
                <w:rFonts w:ascii="宋体"/>
              </w:rPr>
            </w:pPr>
          </w:p>
        </w:tc>
        <w:tc>
          <w:tcPr>
            <w:tcW w:w="142" w:type="pct"/>
            <w:shd w:val="clear" w:color="auto" w:fill="auto"/>
            <w:vAlign w:val="bottom"/>
          </w:tcPr>
          <w:p w14:paraId="35D08E53" w14:textId="77777777" w:rsidR="00D42204" w:rsidRDefault="00D42204">
            <w:pPr>
              <w:rPr>
                <w:rFonts w:ascii="宋体"/>
              </w:rPr>
            </w:pPr>
          </w:p>
        </w:tc>
        <w:tc>
          <w:tcPr>
            <w:tcW w:w="5" w:type="pct"/>
            <w:shd w:val="clear" w:color="auto" w:fill="auto"/>
            <w:vAlign w:val="bottom"/>
          </w:tcPr>
          <w:p w14:paraId="35D08E54" w14:textId="77777777" w:rsidR="00D42204" w:rsidRDefault="00D42204">
            <w:pPr>
              <w:rPr>
                <w:rFonts w:ascii="宋体"/>
              </w:rPr>
            </w:pPr>
          </w:p>
        </w:tc>
        <w:tc>
          <w:tcPr>
            <w:tcW w:w="50" w:type="pct"/>
            <w:shd w:val="clear" w:color="auto" w:fill="auto"/>
            <w:vAlign w:val="bottom"/>
          </w:tcPr>
          <w:p w14:paraId="35D08E55" w14:textId="77777777" w:rsidR="00D42204" w:rsidRDefault="00D42204">
            <w:pPr>
              <w:rPr>
                <w:rFonts w:ascii="宋体"/>
              </w:rPr>
            </w:pPr>
          </w:p>
        </w:tc>
        <w:tc>
          <w:tcPr>
            <w:tcW w:w="2108" w:type="pct"/>
            <w:shd w:val="clear" w:color="auto" w:fill="auto"/>
            <w:vAlign w:val="bottom"/>
          </w:tcPr>
          <w:p w14:paraId="35D08E56" w14:textId="77777777" w:rsidR="00D42204" w:rsidRDefault="00D42204">
            <w:pPr>
              <w:rPr>
                <w:rFonts w:ascii="宋体"/>
              </w:rPr>
            </w:pPr>
          </w:p>
        </w:tc>
        <w:tc>
          <w:tcPr>
            <w:tcW w:w="5" w:type="pct"/>
            <w:shd w:val="clear" w:color="auto" w:fill="auto"/>
            <w:vAlign w:val="bottom"/>
          </w:tcPr>
          <w:p w14:paraId="35D08E57" w14:textId="77777777" w:rsidR="00D42204" w:rsidRDefault="00D42204">
            <w:pPr>
              <w:rPr>
                <w:rFonts w:ascii="宋体"/>
              </w:rPr>
            </w:pPr>
          </w:p>
        </w:tc>
      </w:tr>
      <w:tr w:rsidR="00D42204" w14:paraId="35D08E5C" w14:textId="77777777">
        <w:tc>
          <w:tcPr>
            <w:tcW w:w="0" w:type="auto"/>
            <w:gridSpan w:val="3"/>
            <w:shd w:val="clear" w:color="auto" w:fill="auto"/>
            <w:tcMar>
              <w:top w:w="40" w:type="dxa"/>
              <w:left w:w="20" w:type="dxa"/>
              <w:bottom w:w="40" w:type="dxa"/>
              <w:right w:w="20" w:type="dxa"/>
            </w:tcMar>
            <w:vAlign w:val="bottom"/>
          </w:tcPr>
          <w:p w14:paraId="35D08E59" w14:textId="77777777" w:rsidR="00D42204" w:rsidRDefault="004E439D">
            <w:pPr>
              <w:textAlignment w:val="bottom"/>
            </w:pPr>
            <w:r>
              <w:rPr>
                <w:rFonts w:ascii="Times New Roman" w:eastAsia="宋体" w:hAnsi="Times New Roman"/>
                <w:b/>
                <w:bCs/>
                <w:color w:val="000000"/>
                <w:sz w:val="16"/>
                <w:szCs w:val="16"/>
              </w:rPr>
              <w:t>Document</w:t>
            </w:r>
          </w:p>
        </w:tc>
        <w:tc>
          <w:tcPr>
            <w:tcW w:w="0" w:type="auto"/>
            <w:gridSpan w:val="3"/>
            <w:shd w:val="clear" w:color="auto" w:fill="auto"/>
            <w:tcMar>
              <w:top w:w="40" w:type="dxa"/>
              <w:left w:w="20" w:type="dxa"/>
              <w:bottom w:w="40" w:type="dxa"/>
              <w:right w:w="20" w:type="dxa"/>
            </w:tcMar>
            <w:vAlign w:val="bottom"/>
          </w:tcPr>
          <w:p w14:paraId="35D08E5A"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8E5B" w14:textId="77777777" w:rsidR="00D42204" w:rsidRDefault="004E439D">
            <w:pPr>
              <w:textAlignment w:val="bottom"/>
            </w:pPr>
            <w:r>
              <w:rPr>
                <w:rFonts w:ascii="Times New Roman" w:eastAsia="宋体" w:hAnsi="Times New Roman"/>
                <w:b/>
                <w:bCs/>
                <w:color w:val="000000"/>
                <w:sz w:val="16"/>
                <w:szCs w:val="16"/>
              </w:rPr>
              <w:t>Parts Into Which Incorporated</w:t>
            </w:r>
          </w:p>
        </w:tc>
      </w:tr>
      <w:tr w:rsidR="00D42204" w14:paraId="35D08E60" w14:textId="77777777">
        <w:tc>
          <w:tcPr>
            <w:tcW w:w="0" w:type="auto"/>
            <w:gridSpan w:val="3"/>
            <w:tcBorders>
              <w:top w:val="single" w:sz="8" w:space="0" w:color="000000"/>
            </w:tcBorders>
            <w:shd w:val="clear" w:color="auto" w:fill="auto"/>
            <w:tcMar>
              <w:top w:w="40" w:type="dxa"/>
              <w:left w:w="20" w:type="dxa"/>
              <w:bottom w:w="40" w:type="dxa"/>
              <w:right w:w="20" w:type="dxa"/>
            </w:tcMar>
          </w:tcPr>
          <w:p w14:paraId="35D08E5D" w14:textId="77777777" w:rsidR="00D42204" w:rsidRDefault="004E439D">
            <w:pPr>
              <w:textAlignment w:val="top"/>
            </w:pPr>
            <w:r>
              <w:rPr>
                <w:rFonts w:ascii="Times New Roman" w:eastAsia="宋体" w:hAnsi="Times New Roman"/>
                <w:color w:val="000000"/>
                <w:sz w:val="20"/>
                <w:szCs w:val="20"/>
              </w:rPr>
              <w:t xml:space="preserve">Portions of the registrant's Proxy Statement for the Annual Meeting of </w:t>
            </w:r>
            <w:r>
              <w:rPr>
                <w:rFonts w:ascii="Times New Roman" w:eastAsia="宋体" w:hAnsi="Times New Roman"/>
                <w:color w:val="000000"/>
                <w:sz w:val="20"/>
                <w:szCs w:val="20"/>
              </w:rPr>
              <w:t>Shareholders to be held June 1, 2022 (the "Proxy Statement")</w:t>
            </w:r>
          </w:p>
        </w:tc>
        <w:tc>
          <w:tcPr>
            <w:tcW w:w="0" w:type="auto"/>
            <w:gridSpan w:val="3"/>
            <w:shd w:val="clear" w:color="auto" w:fill="auto"/>
            <w:tcMar>
              <w:top w:w="40" w:type="dxa"/>
              <w:left w:w="20" w:type="dxa"/>
              <w:bottom w:w="40" w:type="dxa"/>
              <w:right w:w="20" w:type="dxa"/>
            </w:tcMar>
            <w:vAlign w:val="bottom"/>
          </w:tcPr>
          <w:p w14:paraId="35D08E5E" w14:textId="77777777" w:rsidR="00D42204" w:rsidRDefault="004E439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35D08E5F" w14:textId="77777777" w:rsidR="00D42204" w:rsidRDefault="004E439D">
            <w:pPr>
              <w:textAlignment w:val="top"/>
            </w:pPr>
            <w:r>
              <w:rPr>
                <w:rFonts w:ascii="Times New Roman" w:eastAsia="宋体" w:hAnsi="Times New Roman"/>
                <w:color w:val="000000"/>
                <w:sz w:val="20"/>
                <w:szCs w:val="20"/>
              </w:rPr>
              <w:t>Part III</w:t>
            </w:r>
          </w:p>
        </w:tc>
      </w:tr>
    </w:tbl>
    <w:p w14:paraId="35D08E61" w14:textId="77777777" w:rsidR="00D42204" w:rsidRDefault="00D42204"/>
    <w:p w14:paraId="35D08E62" w14:textId="77777777" w:rsidR="00D42204" w:rsidRDefault="00D42204"/>
    <w:p w14:paraId="35D08E63" w14:textId="77777777" w:rsidR="00D42204" w:rsidRDefault="004E439D">
      <w:r>
        <w:pict w14:anchorId="35D0C35B">
          <v:rect id="_x0000_i1026" style="width:415.3pt;height:1.5pt" o:hralign="center" o:hrstd="t" o:hr="t" fillcolor="#a0a0a0" stroked="f"/>
        </w:pict>
      </w:r>
    </w:p>
    <w:p w14:paraId="35D08E64" w14:textId="77777777" w:rsidR="00D42204" w:rsidRDefault="00D42204"/>
    <w:p w14:paraId="35D08E65" w14:textId="77777777" w:rsidR="00D42204" w:rsidRDefault="004E439D">
      <w:pPr>
        <w:jc w:val="center"/>
      </w:pPr>
      <w:r>
        <w:rPr>
          <w:rFonts w:ascii="Times New Roman" w:eastAsia="宋体" w:hAnsi="Times New Roman"/>
          <w:b/>
          <w:bCs/>
          <w:color w:val="000000"/>
          <w:sz w:val="20"/>
          <w:szCs w:val="20"/>
        </w:rPr>
        <w:t>Walmart Inc.</w:t>
      </w:r>
    </w:p>
    <w:p w14:paraId="35D08E66" w14:textId="77777777" w:rsidR="00D42204" w:rsidRDefault="004E439D">
      <w:pPr>
        <w:jc w:val="center"/>
      </w:pPr>
      <w:r>
        <w:rPr>
          <w:rFonts w:ascii="Times New Roman" w:eastAsia="宋体" w:hAnsi="Times New Roman"/>
          <w:b/>
          <w:bCs/>
          <w:color w:val="000000"/>
          <w:sz w:val="20"/>
          <w:szCs w:val="20"/>
        </w:rPr>
        <w:t>Form 10-K</w:t>
      </w:r>
    </w:p>
    <w:p w14:paraId="35D08E67" w14:textId="77777777" w:rsidR="00D42204" w:rsidRDefault="004E439D">
      <w:pPr>
        <w:jc w:val="center"/>
      </w:pPr>
      <w:r>
        <w:rPr>
          <w:rFonts w:ascii="Times New Roman" w:eastAsia="宋体" w:hAnsi="Times New Roman"/>
          <w:b/>
          <w:bCs/>
          <w:color w:val="000000"/>
          <w:sz w:val="20"/>
          <w:szCs w:val="20"/>
        </w:rPr>
        <w:t>For the Fiscal Year Ended January 31, 2022</w:t>
      </w:r>
    </w:p>
    <w:p w14:paraId="35D08E68" w14:textId="77777777" w:rsidR="00D42204" w:rsidRDefault="00D42204">
      <w:pPr>
        <w:jc w:val="center"/>
      </w:pPr>
    </w:p>
    <w:p w14:paraId="35D08E69" w14:textId="77777777" w:rsidR="00D42204" w:rsidRDefault="00D42204">
      <w:pPr>
        <w:jc w:val="center"/>
      </w:pPr>
    </w:p>
    <w:p w14:paraId="35D08E6A" w14:textId="77777777" w:rsidR="00D42204" w:rsidRDefault="00D42204">
      <w:pPr>
        <w:jc w:val="center"/>
      </w:pPr>
    </w:p>
    <w:p w14:paraId="35D08E6B" w14:textId="77777777" w:rsidR="00D42204" w:rsidRDefault="004E439D">
      <w:pPr>
        <w:jc w:val="center"/>
      </w:pPr>
      <w:r>
        <w:rPr>
          <w:rFonts w:ascii="Times New Roman" w:eastAsia="宋体" w:hAnsi="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636"/>
        <w:gridCol w:w="36"/>
        <w:gridCol w:w="69"/>
        <w:gridCol w:w="6855"/>
        <w:gridCol w:w="38"/>
        <w:gridCol w:w="69"/>
        <w:gridCol w:w="528"/>
        <w:gridCol w:w="36"/>
      </w:tblGrid>
      <w:tr w:rsidR="00D42204" w14:paraId="35D08E75" w14:textId="77777777">
        <w:trPr>
          <w:jc w:val="center"/>
        </w:trPr>
        <w:tc>
          <w:tcPr>
            <w:tcW w:w="50" w:type="pct"/>
            <w:shd w:val="clear" w:color="auto" w:fill="auto"/>
            <w:vAlign w:val="bottom"/>
          </w:tcPr>
          <w:p w14:paraId="35D08E6C" w14:textId="77777777" w:rsidR="00D42204" w:rsidRDefault="00D42204">
            <w:pPr>
              <w:rPr>
                <w:rFonts w:ascii="宋体"/>
              </w:rPr>
            </w:pPr>
          </w:p>
        </w:tc>
        <w:tc>
          <w:tcPr>
            <w:tcW w:w="390" w:type="pct"/>
            <w:shd w:val="clear" w:color="auto" w:fill="auto"/>
            <w:vAlign w:val="bottom"/>
          </w:tcPr>
          <w:p w14:paraId="35D08E6D" w14:textId="77777777" w:rsidR="00D42204" w:rsidRDefault="00D42204">
            <w:pPr>
              <w:rPr>
                <w:rFonts w:ascii="宋体"/>
              </w:rPr>
            </w:pPr>
          </w:p>
        </w:tc>
        <w:tc>
          <w:tcPr>
            <w:tcW w:w="5" w:type="pct"/>
            <w:shd w:val="clear" w:color="auto" w:fill="auto"/>
            <w:vAlign w:val="bottom"/>
          </w:tcPr>
          <w:p w14:paraId="35D08E6E" w14:textId="77777777" w:rsidR="00D42204" w:rsidRDefault="00D42204">
            <w:pPr>
              <w:rPr>
                <w:rFonts w:ascii="宋体"/>
              </w:rPr>
            </w:pPr>
          </w:p>
        </w:tc>
        <w:tc>
          <w:tcPr>
            <w:tcW w:w="50" w:type="pct"/>
            <w:shd w:val="clear" w:color="auto" w:fill="auto"/>
            <w:vAlign w:val="bottom"/>
          </w:tcPr>
          <w:p w14:paraId="35D08E6F" w14:textId="77777777" w:rsidR="00D42204" w:rsidRDefault="00D42204">
            <w:pPr>
              <w:rPr>
                <w:rFonts w:ascii="宋体"/>
              </w:rPr>
            </w:pPr>
          </w:p>
        </w:tc>
        <w:tc>
          <w:tcPr>
            <w:tcW w:w="4118" w:type="pct"/>
            <w:shd w:val="clear" w:color="auto" w:fill="auto"/>
            <w:vAlign w:val="bottom"/>
          </w:tcPr>
          <w:p w14:paraId="35D08E70" w14:textId="77777777" w:rsidR="00D42204" w:rsidRDefault="00D42204">
            <w:pPr>
              <w:rPr>
                <w:rFonts w:ascii="宋体"/>
              </w:rPr>
            </w:pPr>
          </w:p>
        </w:tc>
        <w:tc>
          <w:tcPr>
            <w:tcW w:w="5" w:type="pct"/>
            <w:shd w:val="clear" w:color="auto" w:fill="auto"/>
            <w:vAlign w:val="bottom"/>
          </w:tcPr>
          <w:p w14:paraId="35D08E71" w14:textId="77777777" w:rsidR="00D42204" w:rsidRDefault="00D42204">
            <w:pPr>
              <w:rPr>
                <w:rFonts w:ascii="宋体"/>
              </w:rPr>
            </w:pPr>
          </w:p>
        </w:tc>
        <w:tc>
          <w:tcPr>
            <w:tcW w:w="50" w:type="pct"/>
            <w:shd w:val="clear" w:color="auto" w:fill="auto"/>
            <w:vAlign w:val="bottom"/>
          </w:tcPr>
          <w:p w14:paraId="35D08E72" w14:textId="77777777" w:rsidR="00D42204" w:rsidRDefault="00D42204">
            <w:pPr>
              <w:rPr>
                <w:rFonts w:ascii="宋体"/>
              </w:rPr>
            </w:pPr>
          </w:p>
        </w:tc>
        <w:tc>
          <w:tcPr>
            <w:tcW w:w="325" w:type="pct"/>
            <w:shd w:val="clear" w:color="auto" w:fill="auto"/>
            <w:vAlign w:val="bottom"/>
          </w:tcPr>
          <w:p w14:paraId="35D08E73" w14:textId="77777777" w:rsidR="00D42204" w:rsidRDefault="00D42204">
            <w:pPr>
              <w:rPr>
                <w:rFonts w:ascii="宋体"/>
              </w:rPr>
            </w:pPr>
          </w:p>
        </w:tc>
        <w:tc>
          <w:tcPr>
            <w:tcW w:w="5" w:type="pct"/>
            <w:shd w:val="clear" w:color="auto" w:fill="auto"/>
            <w:vAlign w:val="bottom"/>
          </w:tcPr>
          <w:p w14:paraId="35D08E74" w14:textId="77777777" w:rsidR="00D42204" w:rsidRDefault="00D42204">
            <w:pPr>
              <w:rPr>
                <w:rFonts w:ascii="宋体"/>
              </w:rPr>
            </w:pPr>
          </w:p>
        </w:tc>
      </w:tr>
      <w:tr w:rsidR="00D42204" w14:paraId="35D08E79" w14:textId="77777777">
        <w:trPr>
          <w:jc w:val="center"/>
        </w:trPr>
        <w:tc>
          <w:tcPr>
            <w:tcW w:w="0" w:type="auto"/>
            <w:gridSpan w:val="3"/>
            <w:shd w:val="clear" w:color="auto" w:fill="auto"/>
            <w:tcMar>
              <w:top w:w="0" w:type="dxa"/>
              <w:left w:w="20" w:type="dxa"/>
              <w:bottom w:w="0" w:type="dxa"/>
              <w:right w:w="20" w:type="dxa"/>
            </w:tcMar>
            <w:vAlign w:val="bottom"/>
          </w:tcPr>
          <w:p w14:paraId="35D08E76"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E77"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center"/>
          </w:tcPr>
          <w:p w14:paraId="35D08E78" w14:textId="77777777" w:rsidR="00D42204" w:rsidRDefault="004E439D">
            <w:pPr>
              <w:jc w:val="center"/>
              <w:textAlignment w:val="center"/>
            </w:pPr>
            <w:r>
              <w:rPr>
                <w:rFonts w:ascii="Times New Roman" w:eastAsia="宋体" w:hAnsi="Times New Roman"/>
                <w:b/>
                <w:bCs/>
                <w:color w:val="000000"/>
                <w:sz w:val="18"/>
                <w:szCs w:val="18"/>
              </w:rPr>
              <w:t>Page</w:t>
            </w:r>
          </w:p>
        </w:tc>
      </w:tr>
      <w:tr w:rsidR="00D42204" w14:paraId="35D08E7D" w14:textId="77777777">
        <w:trPr>
          <w:jc w:val="center"/>
        </w:trPr>
        <w:tc>
          <w:tcPr>
            <w:tcW w:w="0" w:type="auto"/>
            <w:gridSpan w:val="3"/>
            <w:shd w:val="clear" w:color="auto" w:fill="auto"/>
            <w:tcMar>
              <w:top w:w="40" w:type="dxa"/>
              <w:left w:w="20" w:type="dxa"/>
              <w:bottom w:w="40" w:type="dxa"/>
              <w:right w:w="20" w:type="dxa"/>
            </w:tcMar>
            <w:vAlign w:val="bottom"/>
          </w:tcPr>
          <w:p w14:paraId="35D08E7A" w14:textId="77777777" w:rsidR="00D42204" w:rsidRDefault="004E439D">
            <w:pPr>
              <w:textAlignment w:val="bottom"/>
            </w:pPr>
            <w:hyperlink r:id="rId7" w:anchor="i1ba69ebb72ec48f9b754a5e96c4cdf3f_10" w:history="1">
              <w:r>
                <w:rPr>
                  <w:rStyle w:val="a5"/>
                  <w:rFonts w:ascii="Times New Roman" w:eastAsia="宋体" w:hAnsi="Times New Roman"/>
                  <w:b/>
                  <w:bCs/>
                  <w:sz w:val="18"/>
                  <w:szCs w:val="18"/>
                </w:rPr>
                <w:t>Part I</w:t>
              </w:r>
            </w:hyperlink>
          </w:p>
        </w:tc>
        <w:tc>
          <w:tcPr>
            <w:tcW w:w="0" w:type="auto"/>
            <w:gridSpan w:val="3"/>
            <w:shd w:val="clear" w:color="auto" w:fill="auto"/>
            <w:tcMar>
              <w:top w:w="0" w:type="dxa"/>
              <w:left w:w="20" w:type="dxa"/>
              <w:bottom w:w="0" w:type="dxa"/>
              <w:right w:w="20" w:type="dxa"/>
            </w:tcMar>
            <w:vAlign w:val="bottom"/>
          </w:tcPr>
          <w:p w14:paraId="35D08E7B" w14:textId="77777777" w:rsidR="00D42204" w:rsidRDefault="00D4220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8E7C" w14:textId="77777777" w:rsidR="00D42204" w:rsidRDefault="00D42204">
            <w:pPr>
              <w:rPr>
                <w:rFonts w:ascii="宋体"/>
              </w:rPr>
            </w:pPr>
          </w:p>
        </w:tc>
      </w:tr>
      <w:tr w:rsidR="00D42204" w14:paraId="35D08E81" w14:textId="77777777">
        <w:trPr>
          <w:jc w:val="center"/>
        </w:trPr>
        <w:tc>
          <w:tcPr>
            <w:tcW w:w="0" w:type="auto"/>
            <w:gridSpan w:val="3"/>
            <w:shd w:val="clear" w:color="auto" w:fill="auto"/>
            <w:tcMar>
              <w:top w:w="40" w:type="dxa"/>
              <w:left w:w="20" w:type="dxa"/>
              <w:bottom w:w="40" w:type="dxa"/>
              <w:right w:w="20" w:type="dxa"/>
            </w:tcMar>
            <w:vAlign w:val="bottom"/>
          </w:tcPr>
          <w:p w14:paraId="35D08E7E" w14:textId="77777777" w:rsidR="00D42204" w:rsidRDefault="004E439D">
            <w:pPr>
              <w:textAlignment w:val="bottom"/>
            </w:pPr>
            <w:hyperlink r:id="rId8" w:anchor="i1ba69ebb72ec48f9b754a5e96c4cdf3f_16" w:history="1">
              <w:r>
                <w:rPr>
                  <w:rStyle w:val="a5"/>
                  <w:rFonts w:ascii="Times New Roman" w:eastAsia="宋体" w:hAnsi="Times New Roman"/>
                  <w:sz w:val="18"/>
                  <w:szCs w:val="18"/>
                </w:rPr>
                <w:t>Item 1</w:t>
              </w:r>
            </w:hyperlink>
          </w:p>
        </w:tc>
        <w:tc>
          <w:tcPr>
            <w:tcW w:w="0" w:type="auto"/>
            <w:gridSpan w:val="3"/>
            <w:shd w:val="clear" w:color="auto" w:fill="auto"/>
            <w:tcMar>
              <w:top w:w="40" w:type="dxa"/>
              <w:left w:w="20" w:type="dxa"/>
              <w:bottom w:w="40" w:type="dxa"/>
              <w:right w:w="20" w:type="dxa"/>
            </w:tcMar>
            <w:vAlign w:val="bottom"/>
          </w:tcPr>
          <w:p w14:paraId="35D08E7F" w14:textId="77777777" w:rsidR="00D42204" w:rsidRDefault="004E439D">
            <w:pPr>
              <w:textAlignment w:val="bottom"/>
            </w:pPr>
            <w:hyperlink r:id="rId9" w:anchor="i1ba69ebb72ec48f9b754a5e96c4cdf3f_16" w:history="1">
              <w:r>
                <w:rPr>
                  <w:rStyle w:val="a5"/>
                  <w:rFonts w:ascii="Times New Roman" w:eastAsia="宋体" w:hAnsi="Times New Roman"/>
                  <w:sz w:val="18"/>
                  <w:szCs w:val="18"/>
                </w:rPr>
                <w:t>Business</w:t>
              </w:r>
            </w:hyperlink>
          </w:p>
        </w:tc>
        <w:tc>
          <w:tcPr>
            <w:tcW w:w="0" w:type="auto"/>
            <w:gridSpan w:val="3"/>
            <w:shd w:val="clear" w:color="auto" w:fill="auto"/>
            <w:tcMar>
              <w:top w:w="40" w:type="dxa"/>
              <w:left w:w="20" w:type="dxa"/>
              <w:bottom w:w="40" w:type="dxa"/>
              <w:right w:w="20" w:type="dxa"/>
            </w:tcMar>
            <w:vAlign w:val="bottom"/>
          </w:tcPr>
          <w:p w14:paraId="35D08E80" w14:textId="77777777" w:rsidR="00D42204" w:rsidRDefault="004E439D">
            <w:pPr>
              <w:jc w:val="center"/>
              <w:textAlignment w:val="bottom"/>
            </w:pPr>
            <w:hyperlink r:id="rId10" w:anchor="i1ba69ebb72ec48f9b754a5e96c4cdf3f_16" w:history="1">
              <w:r>
                <w:rPr>
                  <w:rStyle w:val="a5"/>
                  <w:rFonts w:ascii="Times New Roman" w:eastAsia="宋体" w:hAnsi="Times New Roman"/>
                  <w:sz w:val="18"/>
                  <w:szCs w:val="18"/>
                </w:rPr>
                <w:t>6</w:t>
              </w:r>
            </w:hyperlink>
          </w:p>
        </w:tc>
      </w:tr>
      <w:tr w:rsidR="00D42204" w14:paraId="35D08E85" w14:textId="77777777">
        <w:trPr>
          <w:jc w:val="center"/>
        </w:trPr>
        <w:tc>
          <w:tcPr>
            <w:tcW w:w="0" w:type="auto"/>
            <w:gridSpan w:val="3"/>
            <w:shd w:val="clear" w:color="auto" w:fill="auto"/>
            <w:tcMar>
              <w:top w:w="40" w:type="dxa"/>
              <w:left w:w="20" w:type="dxa"/>
              <w:bottom w:w="40" w:type="dxa"/>
              <w:right w:w="20" w:type="dxa"/>
            </w:tcMar>
            <w:vAlign w:val="bottom"/>
          </w:tcPr>
          <w:p w14:paraId="35D08E82" w14:textId="77777777" w:rsidR="00D42204" w:rsidRDefault="004E439D">
            <w:pPr>
              <w:textAlignment w:val="bottom"/>
            </w:pPr>
            <w:hyperlink r:id="rId11" w:anchor="i1ba69ebb72ec48f9b754a5e96c4cdf3f_37" w:history="1">
              <w:r>
                <w:rPr>
                  <w:rStyle w:val="a5"/>
                  <w:rFonts w:ascii="Times New Roman" w:eastAsia="宋体" w:hAnsi="Times New Roman"/>
                  <w:sz w:val="18"/>
                  <w:szCs w:val="18"/>
                </w:rPr>
                <w:t>Item 1A</w:t>
              </w:r>
            </w:hyperlink>
          </w:p>
        </w:tc>
        <w:tc>
          <w:tcPr>
            <w:tcW w:w="0" w:type="auto"/>
            <w:gridSpan w:val="3"/>
            <w:shd w:val="clear" w:color="auto" w:fill="auto"/>
            <w:tcMar>
              <w:top w:w="40" w:type="dxa"/>
              <w:left w:w="20" w:type="dxa"/>
              <w:bottom w:w="40" w:type="dxa"/>
              <w:right w:w="20" w:type="dxa"/>
            </w:tcMar>
            <w:vAlign w:val="bottom"/>
          </w:tcPr>
          <w:p w14:paraId="35D08E83" w14:textId="77777777" w:rsidR="00D42204" w:rsidRDefault="004E439D">
            <w:pPr>
              <w:textAlignment w:val="bottom"/>
            </w:pPr>
            <w:hyperlink r:id="rId12" w:anchor="i1ba69ebb72ec48f9b754a5e96c4cdf3f_37" w:history="1">
              <w:r>
                <w:rPr>
                  <w:rStyle w:val="a5"/>
                  <w:rFonts w:ascii="Times New Roman" w:eastAsia="宋体" w:hAnsi="Times New Roman"/>
                  <w:sz w:val="18"/>
                  <w:szCs w:val="18"/>
                </w:rPr>
                <w:t>Risk Factors</w:t>
              </w:r>
            </w:hyperlink>
          </w:p>
        </w:tc>
        <w:tc>
          <w:tcPr>
            <w:tcW w:w="0" w:type="auto"/>
            <w:gridSpan w:val="3"/>
            <w:shd w:val="clear" w:color="auto" w:fill="auto"/>
            <w:tcMar>
              <w:top w:w="40" w:type="dxa"/>
              <w:left w:w="20" w:type="dxa"/>
              <w:bottom w:w="40" w:type="dxa"/>
              <w:right w:w="20" w:type="dxa"/>
            </w:tcMar>
            <w:vAlign w:val="bottom"/>
          </w:tcPr>
          <w:p w14:paraId="35D08E84" w14:textId="77777777" w:rsidR="00D42204" w:rsidRDefault="004E439D">
            <w:pPr>
              <w:jc w:val="center"/>
              <w:textAlignment w:val="bottom"/>
            </w:pPr>
            <w:hyperlink r:id="rId13" w:anchor="i1ba69ebb72ec48f9b754a5e96c4cdf3f_37" w:history="1">
              <w:r>
                <w:rPr>
                  <w:rStyle w:val="a5"/>
                  <w:rFonts w:ascii="Times New Roman" w:eastAsia="宋体" w:hAnsi="Times New Roman"/>
                  <w:sz w:val="18"/>
                  <w:szCs w:val="18"/>
                </w:rPr>
                <w:t>15</w:t>
              </w:r>
            </w:hyperlink>
          </w:p>
        </w:tc>
      </w:tr>
      <w:tr w:rsidR="00D42204" w14:paraId="35D08E89" w14:textId="77777777">
        <w:trPr>
          <w:jc w:val="center"/>
        </w:trPr>
        <w:tc>
          <w:tcPr>
            <w:tcW w:w="0" w:type="auto"/>
            <w:gridSpan w:val="3"/>
            <w:shd w:val="clear" w:color="auto" w:fill="auto"/>
            <w:tcMar>
              <w:top w:w="40" w:type="dxa"/>
              <w:left w:w="20" w:type="dxa"/>
              <w:bottom w:w="40" w:type="dxa"/>
              <w:right w:w="20" w:type="dxa"/>
            </w:tcMar>
            <w:vAlign w:val="bottom"/>
          </w:tcPr>
          <w:p w14:paraId="35D08E86" w14:textId="77777777" w:rsidR="00D42204" w:rsidRDefault="004E439D">
            <w:pPr>
              <w:textAlignment w:val="bottom"/>
            </w:pPr>
            <w:hyperlink r:id="rId14" w:anchor="i1ba69ebb72ec48f9b754a5e96c4cdf3f_43" w:history="1">
              <w:r>
                <w:rPr>
                  <w:rStyle w:val="a5"/>
                  <w:rFonts w:ascii="Times New Roman" w:eastAsia="宋体" w:hAnsi="Times New Roman"/>
                  <w:sz w:val="18"/>
                  <w:szCs w:val="18"/>
                </w:rPr>
                <w:t>Item 1B</w:t>
              </w:r>
            </w:hyperlink>
          </w:p>
        </w:tc>
        <w:tc>
          <w:tcPr>
            <w:tcW w:w="0" w:type="auto"/>
            <w:gridSpan w:val="3"/>
            <w:shd w:val="clear" w:color="auto" w:fill="auto"/>
            <w:tcMar>
              <w:top w:w="40" w:type="dxa"/>
              <w:left w:w="20" w:type="dxa"/>
              <w:bottom w:w="40" w:type="dxa"/>
              <w:right w:w="20" w:type="dxa"/>
            </w:tcMar>
            <w:vAlign w:val="bottom"/>
          </w:tcPr>
          <w:p w14:paraId="35D08E87" w14:textId="77777777" w:rsidR="00D42204" w:rsidRDefault="004E439D">
            <w:pPr>
              <w:textAlignment w:val="bottom"/>
            </w:pPr>
            <w:hyperlink r:id="rId15" w:anchor="i1ba69ebb72ec48f9b754a5e96c4cdf3f_43" w:history="1">
              <w:r>
                <w:rPr>
                  <w:rStyle w:val="a5"/>
                  <w:rFonts w:ascii="Times New Roman" w:eastAsia="宋体" w:hAnsi="Times New Roman"/>
                  <w:sz w:val="18"/>
                  <w:szCs w:val="18"/>
                </w:rPr>
                <w:t>Unresolved Staff Comments</w:t>
              </w:r>
            </w:hyperlink>
          </w:p>
        </w:tc>
        <w:tc>
          <w:tcPr>
            <w:tcW w:w="0" w:type="auto"/>
            <w:gridSpan w:val="3"/>
            <w:shd w:val="clear" w:color="auto" w:fill="auto"/>
            <w:tcMar>
              <w:top w:w="40" w:type="dxa"/>
              <w:left w:w="20" w:type="dxa"/>
              <w:bottom w:w="40" w:type="dxa"/>
              <w:right w:w="20" w:type="dxa"/>
            </w:tcMar>
            <w:vAlign w:val="bottom"/>
          </w:tcPr>
          <w:p w14:paraId="35D08E88" w14:textId="77777777" w:rsidR="00D42204" w:rsidRDefault="004E439D">
            <w:pPr>
              <w:jc w:val="center"/>
              <w:textAlignment w:val="bottom"/>
            </w:pPr>
            <w:hyperlink r:id="rId16" w:anchor="i1ba69ebb72ec48f9b754a5e96c4cdf3f_43" w:history="1">
              <w:r>
                <w:rPr>
                  <w:rStyle w:val="a5"/>
                  <w:rFonts w:ascii="Times New Roman" w:eastAsia="宋体" w:hAnsi="Times New Roman"/>
                  <w:sz w:val="18"/>
                  <w:szCs w:val="18"/>
                </w:rPr>
                <w:t>26</w:t>
              </w:r>
            </w:hyperlink>
          </w:p>
        </w:tc>
      </w:tr>
      <w:tr w:rsidR="00D42204" w14:paraId="35D08E8D" w14:textId="77777777">
        <w:trPr>
          <w:jc w:val="center"/>
        </w:trPr>
        <w:tc>
          <w:tcPr>
            <w:tcW w:w="0" w:type="auto"/>
            <w:gridSpan w:val="3"/>
            <w:shd w:val="clear" w:color="auto" w:fill="auto"/>
            <w:tcMar>
              <w:top w:w="40" w:type="dxa"/>
              <w:left w:w="20" w:type="dxa"/>
              <w:bottom w:w="40" w:type="dxa"/>
              <w:right w:w="20" w:type="dxa"/>
            </w:tcMar>
            <w:vAlign w:val="bottom"/>
          </w:tcPr>
          <w:p w14:paraId="35D08E8A" w14:textId="77777777" w:rsidR="00D42204" w:rsidRDefault="004E439D">
            <w:pPr>
              <w:textAlignment w:val="bottom"/>
            </w:pPr>
            <w:hyperlink r:id="rId17" w:anchor="i1ba69ebb72ec48f9b754a5e96c4cdf3f_46" w:history="1">
              <w:r>
                <w:rPr>
                  <w:rStyle w:val="a5"/>
                  <w:rFonts w:ascii="Times New Roman" w:eastAsia="宋体" w:hAnsi="Times New Roman"/>
                  <w:sz w:val="18"/>
                  <w:szCs w:val="18"/>
                </w:rPr>
                <w:t xml:space="preserve">Item 2 </w:t>
              </w:r>
            </w:hyperlink>
          </w:p>
        </w:tc>
        <w:tc>
          <w:tcPr>
            <w:tcW w:w="0" w:type="auto"/>
            <w:gridSpan w:val="3"/>
            <w:shd w:val="clear" w:color="auto" w:fill="auto"/>
            <w:tcMar>
              <w:top w:w="40" w:type="dxa"/>
              <w:left w:w="20" w:type="dxa"/>
              <w:bottom w:w="40" w:type="dxa"/>
              <w:right w:w="20" w:type="dxa"/>
            </w:tcMar>
            <w:vAlign w:val="bottom"/>
          </w:tcPr>
          <w:p w14:paraId="35D08E8B" w14:textId="77777777" w:rsidR="00D42204" w:rsidRDefault="004E439D">
            <w:pPr>
              <w:textAlignment w:val="bottom"/>
            </w:pPr>
            <w:hyperlink r:id="rId18" w:anchor="i1ba69ebb72ec48f9b754a5e96c4cdf3f_46" w:history="1">
              <w:r>
                <w:rPr>
                  <w:rStyle w:val="a5"/>
                  <w:rFonts w:ascii="Times New Roman" w:eastAsia="宋体" w:hAnsi="Times New Roman"/>
                  <w:sz w:val="18"/>
                  <w:szCs w:val="18"/>
                </w:rPr>
                <w:t>Properties</w:t>
              </w:r>
            </w:hyperlink>
          </w:p>
        </w:tc>
        <w:tc>
          <w:tcPr>
            <w:tcW w:w="0" w:type="auto"/>
            <w:gridSpan w:val="3"/>
            <w:shd w:val="clear" w:color="auto" w:fill="auto"/>
            <w:tcMar>
              <w:top w:w="40" w:type="dxa"/>
              <w:left w:w="20" w:type="dxa"/>
              <w:bottom w:w="40" w:type="dxa"/>
              <w:right w:w="20" w:type="dxa"/>
            </w:tcMar>
            <w:vAlign w:val="bottom"/>
          </w:tcPr>
          <w:p w14:paraId="35D08E8C" w14:textId="77777777" w:rsidR="00D42204" w:rsidRDefault="004E439D">
            <w:pPr>
              <w:jc w:val="center"/>
              <w:textAlignment w:val="bottom"/>
            </w:pPr>
            <w:hyperlink r:id="rId19" w:anchor="i1ba69ebb72ec48f9b754a5e96c4cdf3f_46" w:history="1">
              <w:r>
                <w:rPr>
                  <w:rStyle w:val="a5"/>
                  <w:rFonts w:ascii="Times New Roman" w:eastAsia="宋体" w:hAnsi="Times New Roman"/>
                  <w:sz w:val="18"/>
                  <w:szCs w:val="18"/>
                </w:rPr>
                <w:t>27</w:t>
              </w:r>
            </w:hyperlink>
          </w:p>
        </w:tc>
      </w:tr>
      <w:tr w:rsidR="00D42204" w14:paraId="35D08E91" w14:textId="77777777">
        <w:trPr>
          <w:jc w:val="center"/>
        </w:trPr>
        <w:tc>
          <w:tcPr>
            <w:tcW w:w="0" w:type="auto"/>
            <w:gridSpan w:val="3"/>
            <w:shd w:val="clear" w:color="auto" w:fill="auto"/>
            <w:tcMar>
              <w:top w:w="40" w:type="dxa"/>
              <w:left w:w="20" w:type="dxa"/>
              <w:bottom w:w="40" w:type="dxa"/>
              <w:right w:w="20" w:type="dxa"/>
            </w:tcMar>
            <w:vAlign w:val="bottom"/>
          </w:tcPr>
          <w:p w14:paraId="35D08E8E" w14:textId="77777777" w:rsidR="00D42204" w:rsidRDefault="004E439D">
            <w:pPr>
              <w:textAlignment w:val="bottom"/>
            </w:pPr>
            <w:hyperlink r:id="rId20" w:anchor="i1ba69ebb72ec48f9b754a5e96c4cdf3f_49" w:history="1">
              <w:r>
                <w:rPr>
                  <w:rStyle w:val="a5"/>
                  <w:rFonts w:ascii="Times New Roman" w:eastAsia="宋体" w:hAnsi="Times New Roman"/>
                  <w:sz w:val="18"/>
                  <w:szCs w:val="18"/>
                </w:rPr>
                <w:t>Item 3</w:t>
              </w:r>
            </w:hyperlink>
          </w:p>
        </w:tc>
        <w:tc>
          <w:tcPr>
            <w:tcW w:w="0" w:type="auto"/>
            <w:gridSpan w:val="3"/>
            <w:shd w:val="clear" w:color="auto" w:fill="auto"/>
            <w:tcMar>
              <w:top w:w="40" w:type="dxa"/>
              <w:left w:w="20" w:type="dxa"/>
              <w:bottom w:w="40" w:type="dxa"/>
              <w:right w:w="20" w:type="dxa"/>
            </w:tcMar>
            <w:vAlign w:val="bottom"/>
          </w:tcPr>
          <w:p w14:paraId="35D08E8F" w14:textId="77777777" w:rsidR="00D42204" w:rsidRDefault="004E439D">
            <w:pPr>
              <w:textAlignment w:val="bottom"/>
            </w:pPr>
            <w:hyperlink r:id="rId21" w:anchor="i1ba69ebb72ec48f9b754a5e96c4cdf3f_49" w:history="1">
              <w:r>
                <w:rPr>
                  <w:rStyle w:val="a5"/>
                  <w:rFonts w:ascii="Times New Roman" w:eastAsia="宋体" w:hAnsi="Times New Roman"/>
                  <w:sz w:val="18"/>
                  <w:szCs w:val="18"/>
                </w:rPr>
                <w:t>Legal Proceedings</w:t>
              </w:r>
            </w:hyperlink>
          </w:p>
        </w:tc>
        <w:tc>
          <w:tcPr>
            <w:tcW w:w="0" w:type="auto"/>
            <w:gridSpan w:val="3"/>
            <w:shd w:val="clear" w:color="auto" w:fill="auto"/>
            <w:tcMar>
              <w:top w:w="40" w:type="dxa"/>
              <w:left w:w="20" w:type="dxa"/>
              <w:bottom w:w="40" w:type="dxa"/>
              <w:right w:w="20" w:type="dxa"/>
            </w:tcMar>
            <w:vAlign w:val="bottom"/>
          </w:tcPr>
          <w:p w14:paraId="35D08E90" w14:textId="77777777" w:rsidR="00D42204" w:rsidRDefault="004E439D">
            <w:pPr>
              <w:jc w:val="center"/>
              <w:textAlignment w:val="bottom"/>
            </w:pPr>
            <w:hyperlink r:id="rId22" w:anchor="i1ba69ebb72ec48f9b754a5e96c4cdf3f_49" w:history="1">
              <w:r>
                <w:rPr>
                  <w:rStyle w:val="a5"/>
                  <w:rFonts w:ascii="Times New Roman" w:eastAsia="宋体" w:hAnsi="Times New Roman"/>
                  <w:sz w:val="18"/>
                  <w:szCs w:val="18"/>
                </w:rPr>
                <w:t>30</w:t>
              </w:r>
            </w:hyperlink>
          </w:p>
        </w:tc>
      </w:tr>
      <w:tr w:rsidR="00D42204" w14:paraId="35D08E95" w14:textId="77777777">
        <w:trPr>
          <w:jc w:val="center"/>
        </w:trPr>
        <w:tc>
          <w:tcPr>
            <w:tcW w:w="0" w:type="auto"/>
            <w:gridSpan w:val="3"/>
            <w:shd w:val="clear" w:color="auto" w:fill="auto"/>
            <w:tcMar>
              <w:top w:w="40" w:type="dxa"/>
              <w:left w:w="20" w:type="dxa"/>
              <w:bottom w:w="40" w:type="dxa"/>
              <w:right w:w="20" w:type="dxa"/>
            </w:tcMar>
            <w:vAlign w:val="bottom"/>
          </w:tcPr>
          <w:p w14:paraId="35D08E92" w14:textId="77777777" w:rsidR="00D42204" w:rsidRDefault="004E439D">
            <w:pPr>
              <w:textAlignment w:val="bottom"/>
            </w:pPr>
            <w:hyperlink r:id="rId23" w:anchor="i1ba69ebb72ec48f9b754a5e96c4cdf3f_52" w:history="1">
              <w:r>
                <w:rPr>
                  <w:rStyle w:val="a5"/>
                  <w:rFonts w:ascii="Times New Roman" w:eastAsia="宋体" w:hAnsi="Times New Roman"/>
                  <w:sz w:val="18"/>
                  <w:szCs w:val="18"/>
                </w:rPr>
                <w:t>Item 4</w:t>
              </w:r>
            </w:hyperlink>
          </w:p>
        </w:tc>
        <w:tc>
          <w:tcPr>
            <w:tcW w:w="0" w:type="auto"/>
            <w:gridSpan w:val="3"/>
            <w:shd w:val="clear" w:color="auto" w:fill="auto"/>
            <w:tcMar>
              <w:top w:w="40" w:type="dxa"/>
              <w:left w:w="20" w:type="dxa"/>
              <w:bottom w:w="40" w:type="dxa"/>
              <w:right w:w="20" w:type="dxa"/>
            </w:tcMar>
            <w:vAlign w:val="bottom"/>
          </w:tcPr>
          <w:p w14:paraId="35D08E93" w14:textId="77777777" w:rsidR="00D42204" w:rsidRDefault="004E439D">
            <w:pPr>
              <w:textAlignment w:val="bottom"/>
            </w:pPr>
            <w:hyperlink r:id="rId24" w:anchor="i1ba69ebb72ec48f9b754a5e96c4cdf3f_52" w:history="1">
              <w:r>
                <w:rPr>
                  <w:rStyle w:val="a5"/>
                  <w:rFonts w:ascii="Times New Roman" w:eastAsia="宋体" w:hAnsi="Times New Roman"/>
                  <w:sz w:val="18"/>
                  <w:szCs w:val="18"/>
                </w:rPr>
                <w:t>Mine Safety Disclosures</w:t>
              </w:r>
            </w:hyperlink>
          </w:p>
        </w:tc>
        <w:tc>
          <w:tcPr>
            <w:tcW w:w="0" w:type="auto"/>
            <w:gridSpan w:val="3"/>
            <w:shd w:val="clear" w:color="auto" w:fill="auto"/>
            <w:tcMar>
              <w:top w:w="40" w:type="dxa"/>
              <w:left w:w="20" w:type="dxa"/>
              <w:bottom w:w="40" w:type="dxa"/>
              <w:right w:w="20" w:type="dxa"/>
            </w:tcMar>
            <w:vAlign w:val="bottom"/>
          </w:tcPr>
          <w:p w14:paraId="35D08E94" w14:textId="77777777" w:rsidR="00D42204" w:rsidRDefault="004E439D">
            <w:pPr>
              <w:jc w:val="center"/>
              <w:textAlignment w:val="bottom"/>
            </w:pPr>
            <w:hyperlink r:id="rId25" w:anchor="i1ba69ebb72ec48f9b754a5e96c4cdf3f_52" w:history="1">
              <w:r>
                <w:rPr>
                  <w:rStyle w:val="a5"/>
                  <w:rFonts w:ascii="Times New Roman" w:eastAsia="宋体" w:hAnsi="Times New Roman"/>
                  <w:sz w:val="18"/>
                  <w:szCs w:val="18"/>
                </w:rPr>
                <w:t>31</w:t>
              </w:r>
            </w:hyperlink>
          </w:p>
        </w:tc>
      </w:tr>
      <w:tr w:rsidR="00D42204" w14:paraId="35D08E99" w14:textId="77777777">
        <w:trPr>
          <w:trHeight w:val="240"/>
          <w:jc w:val="center"/>
        </w:trPr>
        <w:tc>
          <w:tcPr>
            <w:tcW w:w="0" w:type="auto"/>
            <w:gridSpan w:val="3"/>
            <w:shd w:val="clear" w:color="auto" w:fill="auto"/>
            <w:tcMar>
              <w:top w:w="0" w:type="dxa"/>
              <w:left w:w="20" w:type="dxa"/>
              <w:bottom w:w="0" w:type="dxa"/>
              <w:right w:w="20" w:type="dxa"/>
            </w:tcMar>
            <w:vAlign w:val="bottom"/>
          </w:tcPr>
          <w:p w14:paraId="35D08E96"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E97"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E98" w14:textId="77777777" w:rsidR="00D42204" w:rsidRDefault="00D42204">
            <w:pPr>
              <w:rPr>
                <w:rFonts w:ascii="宋体"/>
              </w:rPr>
            </w:pPr>
          </w:p>
        </w:tc>
      </w:tr>
      <w:tr w:rsidR="00D42204" w14:paraId="35D08E9D" w14:textId="77777777">
        <w:trPr>
          <w:jc w:val="center"/>
        </w:trPr>
        <w:tc>
          <w:tcPr>
            <w:tcW w:w="0" w:type="auto"/>
            <w:gridSpan w:val="3"/>
            <w:shd w:val="clear" w:color="auto" w:fill="auto"/>
            <w:tcMar>
              <w:top w:w="40" w:type="dxa"/>
              <w:left w:w="20" w:type="dxa"/>
              <w:bottom w:w="40" w:type="dxa"/>
              <w:right w:w="20" w:type="dxa"/>
            </w:tcMar>
            <w:vAlign w:val="bottom"/>
          </w:tcPr>
          <w:p w14:paraId="35D08E9A" w14:textId="77777777" w:rsidR="00D42204" w:rsidRDefault="004E439D">
            <w:pPr>
              <w:textAlignment w:val="bottom"/>
            </w:pPr>
            <w:hyperlink r:id="rId26" w:anchor="i1ba69ebb72ec48f9b754a5e96c4cdf3f_55" w:history="1">
              <w:r>
                <w:rPr>
                  <w:rStyle w:val="a5"/>
                  <w:rFonts w:ascii="Times New Roman" w:eastAsia="宋体" w:hAnsi="Times New Roman"/>
                  <w:b/>
                  <w:bCs/>
                  <w:sz w:val="18"/>
                  <w:szCs w:val="18"/>
                </w:rPr>
                <w:t>Part II</w:t>
              </w:r>
            </w:hyperlink>
          </w:p>
        </w:tc>
        <w:tc>
          <w:tcPr>
            <w:tcW w:w="0" w:type="auto"/>
            <w:gridSpan w:val="3"/>
            <w:shd w:val="clear" w:color="auto" w:fill="auto"/>
            <w:tcMar>
              <w:top w:w="0" w:type="dxa"/>
              <w:left w:w="20" w:type="dxa"/>
              <w:bottom w:w="0" w:type="dxa"/>
              <w:right w:w="20" w:type="dxa"/>
            </w:tcMar>
            <w:vAlign w:val="bottom"/>
          </w:tcPr>
          <w:p w14:paraId="35D08E9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E9C" w14:textId="77777777" w:rsidR="00D42204" w:rsidRDefault="00D42204">
            <w:pPr>
              <w:rPr>
                <w:rFonts w:ascii="宋体"/>
              </w:rPr>
            </w:pPr>
          </w:p>
        </w:tc>
      </w:tr>
      <w:tr w:rsidR="00D42204" w14:paraId="35D08EA1" w14:textId="77777777">
        <w:trPr>
          <w:jc w:val="center"/>
        </w:trPr>
        <w:tc>
          <w:tcPr>
            <w:tcW w:w="0" w:type="auto"/>
            <w:gridSpan w:val="3"/>
            <w:shd w:val="clear" w:color="auto" w:fill="auto"/>
            <w:tcMar>
              <w:top w:w="40" w:type="dxa"/>
              <w:left w:w="20" w:type="dxa"/>
              <w:bottom w:w="40" w:type="dxa"/>
              <w:right w:w="20" w:type="dxa"/>
            </w:tcMar>
            <w:vAlign w:val="bottom"/>
          </w:tcPr>
          <w:p w14:paraId="35D08E9E" w14:textId="77777777" w:rsidR="00D42204" w:rsidRDefault="004E439D">
            <w:pPr>
              <w:textAlignment w:val="bottom"/>
            </w:pPr>
            <w:hyperlink r:id="rId27" w:anchor="i1ba69ebb72ec48f9b754a5e96c4cdf3f_58" w:history="1">
              <w:r>
                <w:rPr>
                  <w:rStyle w:val="a5"/>
                  <w:rFonts w:ascii="Times New Roman" w:eastAsia="宋体" w:hAnsi="Times New Roman"/>
                  <w:sz w:val="18"/>
                  <w:szCs w:val="18"/>
                </w:rPr>
                <w:t>Item 5</w:t>
              </w:r>
            </w:hyperlink>
          </w:p>
        </w:tc>
        <w:tc>
          <w:tcPr>
            <w:tcW w:w="0" w:type="auto"/>
            <w:gridSpan w:val="3"/>
            <w:shd w:val="clear" w:color="auto" w:fill="auto"/>
            <w:tcMar>
              <w:top w:w="40" w:type="dxa"/>
              <w:left w:w="20" w:type="dxa"/>
              <w:bottom w:w="40" w:type="dxa"/>
              <w:right w:w="20" w:type="dxa"/>
            </w:tcMar>
            <w:vAlign w:val="bottom"/>
          </w:tcPr>
          <w:p w14:paraId="35D08E9F" w14:textId="77777777" w:rsidR="00D42204" w:rsidRDefault="004E439D">
            <w:pPr>
              <w:textAlignment w:val="bottom"/>
            </w:pPr>
            <w:hyperlink r:id="rId28" w:anchor="i1ba69ebb72ec48f9b754a5e96c4cdf3f_58" w:history="1">
              <w:r>
                <w:rPr>
                  <w:rStyle w:val="a5"/>
                  <w:rFonts w:ascii="Times New Roman" w:eastAsia="宋体" w:hAnsi="Times New Roman"/>
                  <w:sz w:val="18"/>
                  <w:szCs w:val="18"/>
                </w:rPr>
                <w:t>Market for Registrant's Common Equity,</w:t>
              </w:r>
              <w:r>
                <w:rPr>
                  <w:rStyle w:val="a5"/>
                  <w:rFonts w:ascii="Times New Roman" w:eastAsia="宋体" w:hAnsi="Times New Roman"/>
                  <w:sz w:val="18"/>
                  <w:szCs w:val="18"/>
                </w:rPr>
                <w:t xml:space="preserve"> Related Stockholder Matters and Issuer Purchases of Equity Securities</w:t>
              </w:r>
            </w:hyperlink>
          </w:p>
        </w:tc>
        <w:tc>
          <w:tcPr>
            <w:tcW w:w="0" w:type="auto"/>
            <w:gridSpan w:val="3"/>
            <w:shd w:val="clear" w:color="auto" w:fill="auto"/>
            <w:tcMar>
              <w:top w:w="40" w:type="dxa"/>
              <w:left w:w="20" w:type="dxa"/>
              <w:bottom w:w="40" w:type="dxa"/>
              <w:right w:w="20" w:type="dxa"/>
            </w:tcMar>
            <w:vAlign w:val="bottom"/>
          </w:tcPr>
          <w:p w14:paraId="35D08EA0" w14:textId="77777777" w:rsidR="00D42204" w:rsidRDefault="004E439D">
            <w:pPr>
              <w:jc w:val="center"/>
              <w:textAlignment w:val="bottom"/>
            </w:pPr>
            <w:hyperlink r:id="rId29" w:anchor="i1ba69ebb72ec48f9b754a5e96c4cdf3f_58" w:history="1">
              <w:r>
                <w:rPr>
                  <w:rStyle w:val="a5"/>
                  <w:rFonts w:ascii="Times New Roman" w:eastAsia="宋体" w:hAnsi="Times New Roman"/>
                  <w:sz w:val="18"/>
                  <w:szCs w:val="18"/>
                </w:rPr>
                <w:t>32</w:t>
              </w:r>
            </w:hyperlink>
          </w:p>
        </w:tc>
      </w:tr>
      <w:tr w:rsidR="00D42204" w14:paraId="35D08EA5" w14:textId="77777777">
        <w:trPr>
          <w:jc w:val="center"/>
        </w:trPr>
        <w:tc>
          <w:tcPr>
            <w:tcW w:w="0" w:type="auto"/>
            <w:gridSpan w:val="3"/>
            <w:shd w:val="clear" w:color="auto" w:fill="auto"/>
            <w:tcMar>
              <w:top w:w="40" w:type="dxa"/>
              <w:left w:w="20" w:type="dxa"/>
              <w:bottom w:w="40" w:type="dxa"/>
              <w:right w:w="20" w:type="dxa"/>
            </w:tcMar>
            <w:vAlign w:val="bottom"/>
          </w:tcPr>
          <w:p w14:paraId="35D08EA2" w14:textId="77777777" w:rsidR="00D42204" w:rsidRDefault="004E439D">
            <w:pPr>
              <w:textAlignment w:val="bottom"/>
            </w:pPr>
            <w:hyperlink r:id="rId30" w:anchor="i1ba69ebb72ec48f9b754a5e96c4cdf3f_61" w:history="1">
              <w:r>
                <w:rPr>
                  <w:rStyle w:val="a5"/>
                  <w:rFonts w:ascii="Times New Roman" w:eastAsia="宋体" w:hAnsi="Times New Roman"/>
                  <w:sz w:val="18"/>
                  <w:szCs w:val="18"/>
                </w:rPr>
                <w:t>Item 6</w:t>
              </w:r>
            </w:hyperlink>
          </w:p>
        </w:tc>
        <w:tc>
          <w:tcPr>
            <w:tcW w:w="0" w:type="auto"/>
            <w:gridSpan w:val="3"/>
            <w:shd w:val="clear" w:color="auto" w:fill="auto"/>
            <w:tcMar>
              <w:top w:w="40" w:type="dxa"/>
              <w:left w:w="20" w:type="dxa"/>
              <w:bottom w:w="40" w:type="dxa"/>
              <w:right w:w="20" w:type="dxa"/>
            </w:tcMar>
            <w:vAlign w:val="bottom"/>
          </w:tcPr>
          <w:p w14:paraId="35D08EA3" w14:textId="77777777" w:rsidR="00D42204" w:rsidRDefault="004E439D">
            <w:pPr>
              <w:textAlignment w:val="bottom"/>
            </w:pPr>
            <w:hyperlink r:id="rId31" w:anchor="i1ba69ebb72ec48f9b754a5e96c4cdf3f_61" w:history="1">
              <w:r>
                <w:rPr>
                  <w:rStyle w:val="a5"/>
                  <w:rFonts w:ascii="Times New Roman" w:eastAsia="宋体" w:hAnsi="Times New Roman"/>
                  <w:sz w:val="18"/>
                  <w:szCs w:val="18"/>
                </w:rPr>
                <w:t>Reserved</w:t>
              </w:r>
            </w:hyperlink>
          </w:p>
        </w:tc>
        <w:tc>
          <w:tcPr>
            <w:tcW w:w="0" w:type="auto"/>
            <w:gridSpan w:val="3"/>
            <w:shd w:val="clear" w:color="auto" w:fill="auto"/>
            <w:tcMar>
              <w:top w:w="40" w:type="dxa"/>
              <w:left w:w="20" w:type="dxa"/>
              <w:bottom w:w="40" w:type="dxa"/>
              <w:right w:w="20" w:type="dxa"/>
            </w:tcMar>
            <w:vAlign w:val="bottom"/>
          </w:tcPr>
          <w:p w14:paraId="35D08EA4" w14:textId="77777777" w:rsidR="00D42204" w:rsidRDefault="004E439D">
            <w:pPr>
              <w:jc w:val="center"/>
              <w:textAlignment w:val="bottom"/>
            </w:pPr>
            <w:hyperlink r:id="rId32" w:anchor="i1ba69ebb72ec48f9b754a5e96c4cdf3f_61" w:history="1">
              <w:r>
                <w:rPr>
                  <w:rStyle w:val="a5"/>
                  <w:rFonts w:ascii="Times New Roman" w:eastAsia="宋体" w:hAnsi="Times New Roman"/>
                  <w:sz w:val="18"/>
                  <w:szCs w:val="18"/>
                </w:rPr>
                <w:t>33</w:t>
              </w:r>
            </w:hyperlink>
          </w:p>
        </w:tc>
      </w:tr>
      <w:tr w:rsidR="00D42204" w14:paraId="35D08EA9" w14:textId="77777777">
        <w:trPr>
          <w:jc w:val="center"/>
        </w:trPr>
        <w:tc>
          <w:tcPr>
            <w:tcW w:w="0" w:type="auto"/>
            <w:gridSpan w:val="3"/>
            <w:shd w:val="clear" w:color="auto" w:fill="auto"/>
            <w:tcMar>
              <w:top w:w="40" w:type="dxa"/>
              <w:left w:w="20" w:type="dxa"/>
              <w:bottom w:w="40" w:type="dxa"/>
              <w:right w:w="20" w:type="dxa"/>
            </w:tcMar>
            <w:vAlign w:val="bottom"/>
          </w:tcPr>
          <w:p w14:paraId="35D08EA6" w14:textId="77777777" w:rsidR="00D42204" w:rsidRDefault="004E439D">
            <w:pPr>
              <w:textAlignment w:val="bottom"/>
            </w:pPr>
            <w:hyperlink r:id="rId33" w:anchor="i1ba69ebb72ec48f9b754a5e96c4cdf3f_67" w:history="1">
              <w:r>
                <w:rPr>
                  <w:rStyle w:val="a5"/>
                  <w:rFonts w:ascii="Times New Roman" w:eastAsia="宋体" w:hAnsi="Times New Roman"/>
                  <w:sz w:val="18"/>
                  <w:szCs w:val="18"/>
                </w:rPr>
                <w:t>Item 7</w:t>
              </w:r>
            </w:hyperlink>
          </w:p>
        </w:tc>
        <w:tc>
          <w:tcPr>
            <w:tcW w:w="0" w:type="auto"/>
            <w:gridSpan w:val="3"/>
            <w:shd w:val="clear" w:color="auto" w:fill="auto"/>
            <w:tcMar>
              <w:top w:w="40" w:type="dxa"/>
              <w:left w:w="20" w:type="dxa"/>
              <w:bottom w:w="40" w:type="dxa"/>
              <w:right w:w="20" w:type="dxa"/>
            </w:tcMar>
            <w:vAlign w:val="bottom"/>
          </w:tcPr>
          <w:p w14:paraId="35D08EA7" w14:textId="77777777" w:rsidR="00D42204" w:rsidRDefault="004E439D">
            <w:pPr>
              <w:textAlignment w:val="bottom"/>
            </w:pPr>
            <w:hyperlink r:id="rId34" w:anchor="i1ba69ebb72ec48f9b754a5e96c4cdf3f_67" w:history="1">
              <w:r>
                <w:rPr>
                  <w:rStyle w:val="a5"/>
                  <w:rFonts w:ascii="Times New Roman" w:eastAsia="宋体" w:hAnsi="Times New Roman"/>
                  <w:sz w:val="18"/>
                  <w:szCs w:val="18"/>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35D08EA8" w14:textId="77777777" w:rsidR="00D42204" w:rsidRDefault="004E439D">
            <w:pPr>
              <w:jc w:val="center"/>
              <w:textAlignment w:val="bottom"/>
            </w:pPr>
            <w:hyperlink r:id="rId35" w:anchor="i1ba69ebb72ec48f9b754a5e96c4cdf3f_67" w:history="1">
              <w:r>
                <w:rPr>
                  <w:rStyle w:val="a5"/>
                  <w:rFonts w:ascii="Times New Roman" w:eastAsia="宋体" w:hAnsi="Times New Roman"/>
                  <w:sz w:val="18"/>
                  <w:szCs w:val="18"/>
                </w:rPr>
                <w:t>34</w:t>
              </w:r>
            </w:hyperlink>
          </w:p>
        </w:tc>
      </w:tr>
      <w:tr w:rsidR="00D42204" w14:paraId="35D08EAD" w14:textId="77777777">
        <w:trPr>
          <w:jc w:val="center"/>
        </w:trPr>
        <w:tc>
          <w:tcPr>
            <w:tcW w:w="0" w:type="auto"/>
            <w:gridSpan w:val="3"/>
            <w:shd w:val="clear" w:color="auto" w:fill="auto"/>
            <w:tcMar>
              <w:top w:w="40" w:type="dxa"/>
              <w:left w:w="20" w:type="dxa"/>
              <w:bottom w:w="40" w:type="dxa"/>
              <w:right w:w="20" w:type="dxa"/>
            </w:tcMar>
            <w:vAlign w:val="bottom"/>
          </w:tcPr>
          <w:p w14:paraId="35D08EAA" w14:textId="77777777" w:rsidR="00D42204" w:rsidRDefault="004E439D">
            <w:pPr>
              <w:textAlignment w:val="bottom"/>
            </w:pPr>
            <w:hyperlink r:id="rId36" w:anchor="i1ba69ebb72ec48f9b754a5e96c4cdf3f_118" w:history="1">
              <w:r>
                <w:rPr>
                  <w:rStyle w:val="a5"/>
                  <w:rFonts w:ascii="Times New Roman" w:eastAsia="宋体" w:hAnsi="Times New Roman"/>
                  <w:sz w:val="18"/>
                  <w:szCs w:val="18"/>
                </w:rPr>
                <w:t>Item 7A</w:t>
              </w:r>
            </w:hyperlink>
          </w:p>
        </w:tc>
        <w:tc>
          <w:tcPr>
            <w:tcW w:w="0" w:type="auto"/>
            <w:gridSpan w:val="3"/>
            <w:shd w:val="clear" w:color="auto" w:fill="auto"/>
            <w:tcMar>
              <w:top w:w="40" w:type="dxa"/>
              <w:left w:w="20" w:type="dxa"/>
              <w:bottom w:w="40" w:type="dxa"/>
              <w:right w:w="20" w:type="dxa"/>
            </w:tcMar>
            <w:vAlign w:val="bottom"/>
          </w:tcPr>
          <w:p w14:paraId="35D08EAB" w14:textId="77777777" w:rsidR="00D42204" w:rsidRDefault="004E439D">
            <w:pPr>
              <w:textAlignment w:val="bottom"/>
            </w:pPr>
            <w:hyperlink r:id="rId37" w:anchor="i1ba69ebb72ec48f9b754a5e96c4cdf3f_118" w:history="1">
              <w:r>
                <w:rPr>
                  <w:rStyle w:val="a5"/>
                  <w:rFonts w:ascii="Times New Roman" w:eastAsia="宋体" w:hAnsi="Times New Roman"/>
                  <w:sz w:val="18"/>
                  <w:szCs w:val="18"/>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35D08EAC" w14:textId="77777777" w:rsidR="00D42204" w:rsidRDefault="004E439D">
            <w:pPr>
              <w:jc w:val="center"/>
              <w:textAlignment w:val="bottom"/>
            </w:pPr>
            <w:hyperlink r:id="rId38" w:anchor="i1ba69ebb72ec48f9b754a5e96c4cdf3f_118" w:history="1">
              <w:r>
                <w:rPr>
                  <w:rStyle w:val="a5"/>
                  <w:rFonts w:ascii="Times New Roman" w:eastAsia="宋体" w:hAnsi="Times New Roman"/>
                  <w:sz w:val="18"/>
                  <w:szCs w:val="18"/>
                </w:rPr>
                <w:t>47</w:t>
              </w:r>
            </w:hyperlink>
          </w:p>
        </w:tc>
      </w:tr>
      <w:tr w:rsidR="00D42204" w14:paraId="35D08EB1" w14:textId="77777777">
        <w:trPr>
          <w:jc w:val="center"/>
        </w:trPr>
        <w:tc>
          <w:tcPr>
            <w:tcW w:w="0" w:type="auto"/>
            <w:gridSpan w:val="3"/>
            <w:shd w:val="clear" w:color="auto" w:fill="auto"/>
            <w:tcMar>
              <w:top w:w="40" w:type="dxa"/>
              <w:left w:w="20" w:type="dxa"/>
              <w:bottom w:w="40" w:type="dxa"/>
              <w:right w:w="20" w:type="dxa"/>
            </w:tcMar>
            <w:vAlign w:val="bottom"/>
          </w:tcPr>
          <w:p w14:paraId="35D08EAE" w14:textId="77777777" w:rsidR="00D42204" w:rsidRDefault="004E439D">
            <w:pPr>
              <w:textAlignment w:val="bottom"/>
            </w:pPr>
            <w:hyperlink r:id="rId39" w:anchor="i1ba69ebb72ec48f9b754a5e96c4cdf3f_121" w:history="1">
              <w:r>
                <w:rPr>
                  <w:rStyle w:val="a5"/>
                  <w:rFonts w:ascii="Times New Roman" w:eastAsia="宋体" w:hAnsi="Times New Roman"/>
                  <w:sz w:val="18"/>
                  <w:szCs w:val="18"/>
                </w:rPr>
                <w:t>Item 8</w:t>
              </w:r>
            </w:hyperlink>
          </w:p>
        </w:tc>
        <w:tc>
          <w:tcPr>
            <w:tcW w:w="0" w:type="auto"/>
            <w:gridSpan w:val="3"/>
            <w:shd w:val="clear" w:color="auto" w:fill="auto"/>
            <w:tcMar>
              <w:top w:w="40" w:type="dxa"/>
              <w:left w:w="20" w:type="dxa"/>
              <w:bottom w:w="40" w:type="dxa"/>
              <w:right w:w="20" w:type="dxa"/>
            </w:tcMar>
            <w:vAlign w:val="bottom"/>
          </w:tcPr>
          <w:p w14:paraId="35D08EAF" w14:textId="77777777" w:rsidR="00D42204" w:rsidRDefault="004E439D">
            <w:pPr>
              <w:textAlignment w:val="bottom"/>
            </w:pPr>
            <w:hyperlink r:id="rId40" w:anchor="i1ba69ebb72ec48f9b754a5e96c4cdf3f_121" w:history="1">
              <w:r>
                <w:rPr>
                  <w:rStyle w:val="a5"/>
                  <w:rFonts w:ascii="Times New Roman" w:eastAsia="宋体" w:hAnsi="Times New Roman"/>
                  <w:sz w:val="18"/>
                  <w:szCs w:val="18"/>
                </w:rPr>
                <w:t>Financial Statements and Supplementary Data</w:t>
              </w:r>
            </w:hyperlink>
          </w:p>
        </w:tc>
        <w:tc>
          <w:tcPr>
            <w:tcW w:w="0" w:type="auto"/>
            <w:gridSpan w:val="3"/>
            <w:shd w:val="clear" w:color="auto" w:fill="auto"/>
            <w:tcMar>
              <w:top w:w="40" w:type="dxa"/>
              <w:left w:w="20" w:type="dxa"/>
              <w:bottom w:w="40" w:type="dxa"/>
              <w:right w:w="20" w:type="dxa"/>
            </w:tcMar>
            <w:vAlign w:val="bottom"/>
          </w:tcPr>
          <w:p w14:paraId="35D08EB0" w14:textId="77777777" w:rsidR="00D42204" w:rsidRDefault="004E439D">
            <w:pPr>
              <w:jc w:val="center"/>
              <w:textAlignment w:val="bottom"/>
            </w:pPr>
            <w:hyperlink r:id="rId41" w:anchor="i1ba69ebb72ec48f9b754a5e96c4cdf3f_121" w:history="1">
              <w:r>
                <w:rPr>
                  <w:rStyle w:val="a5"/>
                  <w:rFonts w:ascii="Times New Roman" w:eastAsia="宋体" w:hAnsi="Times New Roman"/>
                  <w:sz w:val="18"/>
                  <w:szCs w:val="18"/>
                </w:rPr>
                <w:t>49</w:t>
              </w:r>
            </w:hyperlink>
          </w:p>
        </w:tc>
      </w:tr>
      <w:tr w:rsidR="00D42204" w14:paraId="35D08EB5" w14:textId="77777777">
        <w:trPr>
          <w:jc w:val="center"/>
        </w:trPr>
        <w:tc>
          <w:tcPr>
            <w:tcW w:w="0" w:type="auto"/>
            <w:gridSpan w:val="3"/>
            <w:shd w:val="clear" w:color="auto" w:fill="auto"/>
            <w:tcMar>
              <w:top w:w="40" w:type="dxa"/>
              <w:left w:w="20" w:type="dxa"/>
              <w:bottom w:w="40" w:type="dxa"/>
              <w:right w:w="20" w:type="dxa"/>
            </w:tcMar>
            <w:vAlign w:val="bottom"/>
          </w:tcPr>
          <w:p w14:paraId="35D08EB2" w14:textId="77777777" w:rsidR="00D42204" w:rsidRDefault="004E439D">
            <w:pPr>
              <w:textAlignment w:val="bottom"/>
            </w:pPr>
            <w:hyperlink r:id="rId42" w:anchor="i1ba69ebb72ec48f9b754a5e96c4cdf3f_202" w:history="1">
              <w:r>
                <w:rPr>
                  <w:rStyle w:val="a5"/>
                  <w:rFonts w:ascii="Times New Roman" w:eastAsia="宋体" w:hAnsi="Times New Roman"/>
                  <w:sz w:val="18"/>
                  <w:szCs w:val="18"/>
                </w:rPr>
                <w:t>Item 9</w:t>
              </w:r>
            </w:hyperlink>
          </w:p>
        </w:tc>
        <w:tc>
          <w:tcPr>
            <w:tcW w:w="0" w:type="auto"/>
            <w:gridSpan w:val="3"/>
            <w:shd w:val="clear" w:color="auto" w:fill="auto"/>
            <w:tcMar>
              <w:top w:w="40" w:type="dxa"/>
              <w:left w:w="20" w:type="dxa"/>
              <w:bottom w:w="40" w:type="dxa"/>
              <w:right w:w="20" w:type="dxa"/>
            </w:tcMar>
            <w:vAlign w:val="bottom"/>
          </w:tcPr>
          <w:p w14:paraId="35D08EB3" w14:textId="77777777" w:rsidR="00D42204" w:rsidRDefault="004E439D">
            <w:pPr>
              <w:textAlignment w:val="bottom"/>
            </w:pPr>
            <w:hyperlink r:id="rId43" w:anchor="i1ba69ebb72ec48f9b754a5e96c4cdf3f_202" w:history="1">
              <w:r>
                <w:rPr>
                  <w:rStyle w:val="a5"/>
                  <w:rFonts w:ascii="Times New Roman" w:eastAsia="宋体" w:hAnsi="Times New Roman"/>
                  <w:sz w:val="18"/>
                  <w:szCs w:val="18"/>
                </w:rPr>
                <w:t>Changes in and Disagreements with Accountants on Accounting and Financial Disclosure</w:t>
              </w:r>
            </w:hyperlink>
          </w:p>
        </w:tc>
        <w:tc>
          <w:tcPr>
            <w:tcW w:w="0" w:type="auto"/>
            <w:gridSpan w:val="3"/>
            <w:shd w:val="clear" w:color="auto" w:fill="auto"/>
            <w:tcMar>
              <w:top w:w="40" w:type="dxa"/>
              <w:left w:w="20" w:type="dxa"/>
              <w:bottom w:w="40" w:type="dxa"/>
              <w:right w:w="20" w:type="dxa"/>
            </w:tcMar>
            <w:vAlign w:val="bottom"/>
          </w:tcPr>
          <w:p w14:paraId="35D08EB4" w14:textId="77777777" w:rsidR="00D42204" w:rsidRDefault="004E439D">
            <w:pPr>
              <w:jc w:val="center"/>
              <w:textAlignment w:val="bottom"/>
            </w:pPr>
            <w:hyperlink r:id="rId44" w:anchor="i1ba69ebb72ec48f9b754a5e96c4cdf3f_202" w:history="1">
              <w:r>
                <w:rPr>
                  <w:rStyle w:val="a5"/>
                  <w:rFonts w:ascii="Times New Roman" w:eastAsia="宋体" w:hAnsi="Times New Roman"/>
                  <w:sz w:val="18"/>
                  <w:szCs w:val="18"/>
                </w:rPr>
                <w:t>80</w:t>
              </w:r>
            </w:hyperlink>
          </w:p>
        </w:tc>
      </w:tr>
      <w:tr w:rsidR="00D42204" w14:paraId="35D08EB9" w14:textId="77777777">
        <w:trPr>
          <w:jc w:val="center"/>
        </w:trPr>
        <w:tc>
          <w:tcPr>
            <w:tcW w:w="0" w:type="auto"/>
            <w:gridSpan w:val="3"/>
            <w:shd w:val="clear" w:color="auto" w:fill="auto"/>
            <w:tcMar>
              <w:top w:w="40" w:type="dxa"/>
              <w:left w:w="20" w:type="dxa"/>
              <w:bottom w:w="40" w:type="dxa"/>
              <w:right w:w="20" w:type="dxa"/>
            </w:tcMar>
            <w:vAlign w:val="bottom"/>
          </w:tcPr>
          <w:p w14:paraId="35D08EB6" w14:textId="77777777" w:rsidR="00D42204" w:rsidRDefault="004E439D">
            <w:pPr>
              <w:textAlignment w:val="bottom"/>
            </w:pPr>
            <w:hyperlink r:id="rId45" w:anchor="i1ba69ebb72ec48f9b754a5e96c4cdf3f_205" w:history="1">
              <w:r>
                <w:rPr>
                  <w:rStyle w:val="a5"/>
                  <w:rFonts w:ascii="Times New Roman" w:eastAsia="宋体" w:hAnsi="Times New Roman"/>
                  <w:sz w:val="18"/>
                  <w:szCs w:val="18"/>
                </w:rPr>
                <w:t>Item 9A</w:t>
              </w:r>
            </w:hyperlink>
          </w:p>
        </w:tc>
        <w:tc>
          <w:tcPr>
            <w:tcW w:w="0" w:type="auto"/>
            <w:gridSpan w:val="3"/>
            <w:shd w:val="clear" w:color="auto" w:fill="auto"/>
            <w:tcMar>
              <w:top w:w="40" w:type="dxa"/>
              <w:left w:w="20" w:type="dxa"/>
              <w:bottom w:w="40" w:type="dxa"/>
              <w:right w:w="20" w:type="dxa"/>
            </w:tcMar>
            <w:vAlign w:val="bottom"/>
          </w:tcPr>
          <w:p w14:paraId="35D08EB7" w14:textId="77777777" w:rsidR="00D42204" w:rsidRDefault="004E439D">
            <w:pPr>
              <w:textAlignment w:val="bottom"/>
            </w:pPr>
            <w:hyperlink r:id="rId46" w:anchor="i1ba69ebb72ec48f9b754a5e96c4cdf3f_205" w:history="1">
              <w:r>
                <w:rPr>
                  <w:rStyle w:val="a5"/>
                  <w:rFonts w:ascii="Times New Roman" w:eastAsia="宋体" w:hAnsi="Times New Roman"/>
                  <w:sz w:val="18"/>
                  <w:szCs w:val="18"/>
                </w:rPr>
                <w:t>Controls and Procedures</w:t>
              </w:r>
            </w:hyperlink>
          </w:p>
        </w:tc>
        <w:tc>
          <w:tcPr>
            <w:tcW w:w="0" w:type="auto"/>
            <w:gridSpan w:val="3"/>
            <w:shd w:val="clear" w:color="auto" w:fill="auto"/>
            <w:tcMar>
              <w:top w:w="40" w:type="dxa"/>
              <w:left w:w="20" w:type="dxa"/>
              <w:bottom w:w="40" w:type="dxa"/>
              <w:right w:w="20" w:type="dxa"/>
            </w:tcMar>
            <w:vAlign w:val="bottom"/>
          </w:tcPr>
          <w:p w14:paraId="35D08EB8" w14:textId="77777777" w:rsidR="00D42204" w:rsidRDefault="004E439D">
            <w:pPr>
              <w:jc w:val="center"/>
              <w:textAlignment w:val="bottom"/>
            </w:pPr>
            <w:hyperlink r:id="rId47" w:anchor="i1ba69ebb72ec48f9b754a5e96c4cdf3f_205" w:history="1">
              <w:r>
                <w:rPr>
                  <w:rStyle w:val="a5"/>
                  <w:rFonts w:ascii="Times New Roman" w:eastAsia="宋体" w:hAnsi="Times New Roman"/>
                  <w:sz w:val="18"/>
                  <w:szCs w:val="18"/>
                </w:rPr>
                <w:t>80</w:t>
              </w:r>
            </w:hyperlink>
          </w:p>
        </w:tc>
      </w:tr>
      <w:tr w:rsidR="00D42204" w14:paraId="35D08EBD" w14:textId="77777777">
        <w:trPr>
          <w:jc w:val="center"/>
        </w:trPr>
        <w:tc>
          <w:tcPr>
            <w:tcW w:w="0" w:type="auto"/>
            <w:gridSpan w:val="3"/>
            <w:shd w:val="clear" w:color="auto" w:fill="auto"/>
            <w:tcMar>
              <w:top w:w="40" w:type="dxa"/>
              <w:left w:w="20" w:type="dxa"/>
              <w:bottom w:w="40" w:type="dxa"/>
              <w:right w:w="20" w:type="dxa"/>
            </w:tcMar>
            <w:vAlign w:val="bottom"/>
          </w:tcPr>
          <w:p w14:paraId="35D08EBA" w14:textId="77777777" w:rsidR="00D42204" w:rsidRDefault="004E439D">
            <w:pPr>
              <w:textAlignment w:val="bottom"/>
            </w:pPr>
            <w:hyperlink r:id="rId48" w:anchor="i1ba69ebb72ec48f9b754a5e96c4cdf3f_211" w:history="1">
              <w:r>
                <w:rPr>
                  <w:rStyle w:val="a5"/>
                  <w:rFonts w:ascii="Times New Roman" w:eastAsia="宋体" w:hAnsi="Times New Roman"/>
                  <w:sz w:val="18"/>
                  <w:szCs w:val="18"/>
                </w:rPr>
                <w:t>Item 9B</w:t>
              </w:r>
            </w:hyperlink>
          </w:p>
        </w:tc>
        <w:tc>
          <w:tcPr>
            <w:tcW w:w="0" w:type="auto"/>
            <w:gridSpan w:val="3"/>
            <w:shd w:val="clear" w:color="auto" w:fill="auto"/>
            <w:tcMar>
              <w:top w:w="40" w:type="dxa"/>
              <w:left w:w="20" w:type="dxa"/>
              <w:bottom w:w="40" w:type="dxa"/>
              <w:right w:w="20" w:type="dxa"/>
            </w:tcMar>
            <w:vAlign w:val="bottom"/>
          </w:tcPr>
          <w:p w14:paraId="35D08EBB" w14:textId="77777777" w:rsidR="00D42204" w:rsidRDefault="004E439D">
            <w:pPr>
              <w:textAlignment w:val="bottom"/>
            </w:pPr>
            <w:hyperlink r:id="rId49" w:anchor="i1ba69ebb72ec48f9b754a5e96c4cdf3f_211" w:history="1">
              <w:r>
                <w:rPr>
                  <w:rStyle w:val="a5"/>
                  <w:rFonts w:ascii="Times New Roman" w:eastAsia="宋体" w:hAnsi="Times New Roman"/>
                  <w:sz w:val="18"/>
                  <w:szCs w:val="18"/>
                </w:rPr>
                <w:t>Other Information</w:t>
              </w:r>
            </w:hyperlink>
          </w:p>
        </w:tc>
        <w:tc>
          <w:tcPr>
            <w:tcW w:w="0" w:type="auto"/>
            <w:gridSpan w:val="3"/>
            <w:shd w:val="clear" w:color="auto" w:fill="auto"/>
            <w:tcMar>
              <w:top w:w="40" w:type="dxa"/>
              <w:left w:w="20" w:type="dxa"/>
              <w:bottom w:w="40" w:type="dxa"/>
              <w:right w:w="20" w:type="dxa"/>
            </w:tcMar>
            <w:vAlign w:val="bottom"/>
          </w:tcPr>
          <w:p w14:paraId="35D08EBC" w14:textId="77777777" w:rsidR="00D42204" w:rsidRDefault="004E439D">
            <w:pPr>
              <w:jc w:val="center"/>
              <w:textAlignment w:val="bottom"/>
            </w:pPr>
            <w:hyperlink r:id="rId50" w:anchor="i1ba69ebb72ec48f9b754a5e96c4cdf3f_211" w:history="1">
              <w:r>
                <w:rPr>
                  <w:rStyle w:val="a5"/>
                  <w:rFonts w:ascii="Times New Roman" w:eastAsia="宋体" w:hAnsi="Times New Roman"/>
                  <w:sz w:val="18"/>
                  <w:szCs w:val="18"/>
                </w:rPr>
                <w:t>80</w:t>
              </w:r>
            </w:hyperlink>
          </w:p>
        </w:tc>
      </w:tr>
      <w:tr w:rsidR="00D42204" w14:paraId="35D08EC1" w14:textId="77777777">
        <w:trPr>
          <w:jc w:val="center"/>
        </w:trPr>
        <w:tc>
          <w:tcPr>
            <w:tcW w:w="0" w:type="auto"/>
            <w:gridSpan w:val="3"/>
            <w:shd w:val="clear" w:color="auto" w:fill="auto"/>
            <w:tcMar>
              <w:top w:w="40" w:type="dxa"/>
              <w:left w:w="20" w:type="dxa"/>
              <w:bottom w:w="40" w:type="dxa"/>
              <w:right w:w="20" w:type="dxa"/>
            </w:tcMar>
            <w:vAlign w:val="bottom"/>
          </w:tcPr>
          <w:p w14:paraId="35D08EBE" w14:textId="77777777" w:rsidR="00D42204" w:rsidRDefault="004E439D">
            <w:pPr>
              <w:textAlignment w:val="bottom"/>
            </w:pPr>
            <w:hyperlink r:id="rId51" w:anchor="i1ba69ebb72ec48f9b754a5e96c4cdf3f_2024" w:history="1">
              <w:r>
                <w:rPr>
                  <w:rStyle w:val="a5"/>
                  <w:rFonts w:ascii="Times New Roman" w:eastAsia="宋体" w:hAnsi="Times New Roman"/>
                  <w:sz w:val="18"/>
                  <w:szCs w:val="18"/>
                </w:rPr>
                <w:t>Item 9C</w:t>
              </w:r>
            </w:hyperlink>
          </w:p>
        </w:tc>
        <w:tc>
          <w:tcPr>
            <w:tcW w:w="0" w:type="auto"/>
            <w:gridSpan w:val="3"/>
            <w:shd w:val="clear" w:color="auto" w:fill="auto"/>
            <w:tcMar>
              <w:top w:w="40" w:type="dxa"/>
              <w:left w:w="20" w:type="dxa"/>
              <w:bottom w:w="40" w:type="dxa"/>
              <w:right w:w="20" w:type="dxa"/>
            </w:tcMar>
            <w:vAlign w:val="bottom"/>
          </w:tcPr>
          <w:p w14:paraId="35D08EBF" w14:textId="77777777" w:rsidR="00D42204" w:rsidRDefault="004E439D">
            <w:pPr>
              <w:textAlignment w:val="bottom"/>
            </w:pPr>
            <w:hyperlink r:id="rId52" w:anchor="i1ba69ebb72ec48f9b754a5e96c4cdf3f_2024" w:history="1">
              <w:r>
                <w:rPr>
                  <w:rStyle w:val="a5"/>
                  <w:rFonts w:ascii="Times New Roman" w:eastAsia="宋体" w:hAnsi="Times New Roman"/>
                  <w:sz w:val="18"/>
                  <w:szCs w:val="18"/>
                </w:rPr>
                <w:t>Disclosure Regarding Foreign Jurisdictions that Prevent Inspections</w:t>
              </w:r>
            </w:hyperlink>
          </w:p>
        </w:tc>
        <w:tc>
          <w:tcPr>
            <w:tcW w:w="0" w:type="auto"/>
            <w:gridSpan w:val="3"/>
            <w:shd w:val="clear" w:color="auto" w:fill="auto"/>
            <w:tcMar>
              <w:top w:w="40" w:type="dxa"/>
              <w:left w:w="20" w:type="dxa"/>
              <w:bottom w:w="40" w:type="dxa"/>
              <w:right w:w="20" w:type="dxa"/>
            </w:tcMar>
            <w:vAlign w:val="bottom"/>
          </w:tcPr>
          <w:p w14:paraId="35D08EC0" w14:textId="77777777" w:rsidR="00D42204" w:rsidRDefault="004E439D">
            <w:pPr>
              <w:jc w:val="center"/>
              <w:textAlignment w:val="bottom"/>
            </w:pPr>
            <w:hyperlink r:id="rId53" w:anchor="i1ba69ebb72ec48f9b754a5e96c4cdf3f_2024" w:history="1">
              <w:r>
                <w:rPr>
                  <w:rStyle w:val="a5"/>
                  <w:rFonts w:ascii="Times New Roman" w:eastAsia="宋体" w:hAnsi="Times New Roman"/>
                  <w:sz w:val="18"/>
                  <w:szCs w:val="18"/>
                </w:rPr>
                <w:t>80</w:t>
              </w:r>
            </w:hyperlink>
          </w:p>
        </w:tc>
      </w:tr>
      <w:tr w:rsidR="00D42204" w14:paraId="35D08EC5" w14:textId="77777777">
        <w:trPr>
          <w:trHeight w:val="240"/>
          <w:jc w:val="center"/>
        </w:trPr>
        <w:tc>
          <w:tcPr>
            <w:tcW w:w="0" w:type="auto"/>
            <w:gridSpan w:val="3"/>
            <w:shd w:val="clear" w:color="auto" w:fill="auto"/>
            <w:tcMar>
              <w:top w:w="0" w:type="dxa"/>
              <w:left w:w="20" w:type="dxa"/>
              <w:bottom w:w="0" w:type="dxa"/>
              <w:right w:w="20" w:type="dxa"/>
            </w:tcMar>
            <w:vAlign w:val="bottom"/>
          </w:tcPr>
          <w:p w14:paraId="35D08EC2"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EC3"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EC4" w14:textId="77777777" w:rsidR="00D42204" w:rsidRDefault="00D42204">
            <w:pPr>
              <w:rPr>
                <w:rFonts w:ascii="宋体"/>
              </w:rPr>
            </w:pPr>
          </w:p>
        </w:tc>
      </w:tr>
      <w:tr w:rsidR="00D42204" w14:paraId="35D08EC9" w14:textId="77777777">
        <w:trPr>
          <w:jc w:val="center"/>
        </w:trPr>
        <w:tc>
          <w:tcPr>
            <w:tcW w:w="0" w:type="auto"/>
            <w:gridSpan w:val="3"/>
            <w:shd w:val="clear" w:color="auto" w:fill="auto"/>
            <w:tcMar>
              <w:top w:w="40" w:type="dxa"/>
              <w:left w:w="20" w:type="dxa"/>
              <w:bottom w:w="40" w:type="dxa"/>
              <w:right w:w="20" w:type="dxa"/>
            </w:tcMar>
            <w:vAlign w:val="bottom"/>
          </w:tcPr>
          <w:p w14:paraId="35D08EC6" w14:textId="77777777" w:rsidR="00D42204" w:rsidRDefault="004E439D">
            <w:pPr>
              <w:textAlignment w:val="bottom"/>
            </w:pPr>
            <w:hyperlink r:id="rId54" w:anchor="i1ba69ebb72ec48f9b754a5e96c4cdf3f_214" w:history="1">
              <w:r>
                <w:rPr>
                  <w:rStyle w:val="a5"/>
                  <w:rFonts w:ascii="Times New Roman" w:eastAsia="宋体" w:hAnsi="Times New Roman"/>
                  <w:b/>
                  <w:bCs/>
                  <w:sz w:val="18"/>
                  <w:szCs w:val="18"/>
                </w:rPr>
                <w:t>Part III</w:t>
              </w:r>
            </w:hyperlink>
          </w:p>
        </w:tc>
        <w:tc>
          <w:tcPr>
            <w:tcW w:w="0" w:type="auto"/>
            <w:gridSpan w:val="3"/>
            <w:shd w:val="clear" w:color="auto" w:fill="auto"/>
            <w:tcMar>
              <w:top w:w="0" w:type="dxa"/>
              <w:left w:w="20" w:type="dxa"/>
              <w:bottom w:w="0" w:type="dxa"/>
              <w:right w:w="20" w:type="dxa"/>
            </w:tcMar>
            <w:vAlign w:val="bottom"/>
          </w:tcPr>
          <w:p w14:paraId="35D08EC7"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EC8" w14:textId="77777777" w:rsidR="00D42204" w:rsidRDefault="00D42204">
            <w:pPr>
              <w:rPr>
                <w:rFonts w:ascii="宋体"/>
              </w:rPr>
            </w:pPr>
          </w:p>
        </w:tc>
      </w:tr>
      <w:tr w:rsidR="00D42204" w14:paraId="35D08ECD" w14:textId="77777777">
        <w:trPr>
          <w:jc w:val="center"/>
        </w:trPr>
        <w:tc>
          <w:tcPr>
            <w:tcW w:w="0" w:type="auto"/>
            <w:gridSpan w:val="3"/>
            <w:shd w:val="clear" w:color="auto" w:fill="auto"/>
            <w:tcMar>
              <w:top w:w="40" w:type="dxa"/>
              <w:left w:w="20" w:type="dxa"/>
              <w:bottom w:w="40" w:type="dxa"/>
              <w:right w:w="20" w:type="dxa"/>
            </w:tcMar>
            <w:vAlign w:val="bottom"/>
          </w:tcPr>
          <w:p w14:paraId="35D08ECA" w14:textId="77777777" w:rsidR="00D42204" w:rsidRDefault="004E439D">
            <w:pPr>
              <w:textAlignment w:val="bottom"/>
            </w:pPr>
            <w:hyperlink r:id="rId55" w:anchor="i1ba69ebb72ec48f9b754a5e96c4cdf3f_217" w:history="1">
              <w:r>
                <w:rPr>
                  <w:rStyle w:val="a5"/>
                  <w:rFonts w:ascii="Times New Roman" w:eastAsia="宋体" w:hAnsi="Times New Roman"/>
                  <w:sz w:val="18"/>
                  <w:szCs w:val="18"/>
                </w:rPr>
                <w:t>Item 10</w:t>
              </w:r>
            </w:hyperlink>
          </w:p>
        </w:tc>
        <w:tc>
          <w:tcPr>
            <w:tcW w:w="0" w:type="auto"/>
            <w:gridSpan w:val="3"/>
            <w:shd w:val="clear" w:color="auto" w:fill="auto"/>
            <w:tcMar>
              <w:top w:w="40" w:type="dxa"/>
              <w:left w:w="20" w:type="dxa"/>
              <w:bottom w:w="40" w:type="dxa"/>
              <w:right w:w="20" w:type="dxa"/>
            </w:tcMar>
            <w:vAlign w:val="bottom"/>
          </w:tcPr>
          <w:p w14:paraId="35D08ECB" w14:textId="77777777" w:rsidR="00D42204" w:rsidRDefault="004E439D">
            <w:pPr>
              <w:textAlignment w:val="bottom"/>
            </w:pPr>
            <w:hyperlink r:id="rId56" w:anchor="i1ba69ebb72ec48f9b754a5e96c4cdf3f_217" w:history="1">
              <w:r>
                <w:rPr>
                  <w:rStyle w:val="a5"/>
                  <w:rFonts w:ascii="Times New Roman" w:eastAsia="宋体" w:hAnsi="Times New Roman"/>
                  <w:sz w:val="18"/>
                  <w:szCs w:val="18"/>
                </w:rPr>
                <w:t>Directors, Executive Officers and Corporate Governance</w:t>
              </w:r>
            </w:hyperlink>
          </w:p>
        </w:tc>
        <w:tc>
          <w:tcPr>
            <w:tcW w:w="0" w:type="auto"/>
            <w:gridSpan w:val="3"/>
            <w:shd w:val="clear" w:color="auto" w:fill="auto"/>
            <w:tcMar>
              <w:top w:w="40" w:type="dxa"/>
              <w:left w:w="20" w:type="dxa"/>
              <w:bottom w:w="40" w:type="dxa"/>
              <w:right w:w="20" w:type="dxa"/>
            </w:tcMar>
            <w:vAlign w:val="bottom"/>
          </w:tcPr>
          <w:p w14:paraId="35D08ECC" w14:textId="77777777" w:rsidR="00D42204" w:rsidRDefault="004E439D">
            <w:pPr>
              <w:jc w:val="center"/>
              <w:textAlignment w:val="bottom"/>
            </w:pPr>
            <w:hyperlink r:id="rId57" w:anchor="i1ba69ebb72ec48f9b754a5e96c4cdf3f_217" w:history="1">
              <w:r>
                <w:rPr>
                  <w:rStyle w:val="a5"/>
                  <w:rFonts w:ascii="Times New Roman" w:eastAsia="宋体" w:hAnsi="Times New Roman"/>
                  <w:sz w:val="18"/>
                  <w:szCs w:val="18"/>
                </w:rPr>
                <w:t>81</w:t>
              </w:r>
            </w:hyperlink>
          </w:p>
        </w:tc>
      </w:tr>
      <w:tr w:rsidR="00D42204" w14:paraId="35D08ED1" w14:textId="77777777">
        <w:trPr>
          <w:jc w:val="center"/>
        </w:trPr>
        <w:tc>
          <w:tcPr>
            <w:tcW w:w="0" w:type="auto"/>
            <w:gridSpan w:val="3"/>
            <w:shd w:val="clear" w:color="auto" w:fill="auto"/>
            <w:tcMar>
              <w:top w:w="40" w:type="dxa"/>
              <w:left w:w="20" w:type="dxa"/>
              <w:bottom w:w="40" w:type="dxa"/>
              <w:right w:w="20" w:type="dxa"/>
            </w:tcMar>
            <w:vAlign w:val="bottom"/>
          </w:tcPr>
          <w:p w14:paraId="35D08ECE" w14:textId="77777777" w:rsidR="00D42204" w:rsidRDefault="004E439D">
            <w:pPr>
              <w:textAlignment w:val="bottom"/>
            </w:pPr>
            <w:hyperlink r:id="rId58" w:anchor="i1ba69ebb72ec48f9b754a5e96c4cdf3f_220" w:history="1">
              <w:r>
                <w:rPr>
                  <w:rStyle w:val="a5"/>
                  <w:rFonts w:ascii="Times New Roman" w:eastAsia="宋体" w:hAnsi="Times New Roman"/>
                  <w:sz w:val="18"/>
                  <w:szCs w:val="18"/>
                </w:rPr>
                <w:t>Item 11</w:t>
              </w:r>
            </w:hyperlink>
          </w:p>
        </w:tc>
        <w:tc>
          <w:tcPr>
            <w:tcW w:w="0" w:type="auto"/>
            <w:gridSpan w:val="3"/>
            <w:shd w:val="clear" w:color="auto" w:fill="auto"/>
            <w:tcMar>
              <w:top w:w="40" w:type="dxa"/>
              <w:left w:w="20" w:type="dxa"/>
              <w:bottom w:w="40" w:type="dxa"/>
              <w:right w:w="20" w:type="dxa"/>
            </w:tcMar>
            <w:vAlign w:val="bottom"/>
          </w:tcPr>
          <w:p w14:paraId="35D08ECF" w14:textId="77777777" w:rsidR="00D42204" w:rsidRDefault="004E439D">
            <w:pPr>
              <w:textAlignment w:val="bottom"/>
            </w:pPr>
            <w:hyperlink r:id="rId59" w:anchor="i1ba69ebb72ec48f9b754a5e96c4cdf3f_220" w:history="1">
              <w:r>
                <w:rPr>
                  <w:rStyle w:val="a5"/>
                  <w:rFonts w:ascii="Times New Roman" w:eastAsia="宋体" w:hAnsi="Times New Roman"/>
                  <w:sz w:val="18"/>
                  <w:szCs w:val="18"/>
                </w:rPr>
                <w:t>Executive Compensation</w:t>
              </w:r>
            </w:hyperlink>
          </w:p>
        </w:tc>
        <w:tc>
          <w:tcPr>
            <w:tcW w:w="0" w:type="auto"/>
            <w:gridSpan w:val="3"/>
            <w:shd w:val="clear" w:color="auto" w:fill="auto"/>
            <w:tcMar>
              <w:top w:w="40" w:type="dxa"/>
              <w:left w:w="20" w:type="dxa"/>
              <w:bottom w:w="40" w:type="dxa"/>
              <w:right w:w="20" w:type="dxa"/>
            </w:tcMar>
            <w:vAlign w:val="bottom"/>
          </w:tcPr>
          <w:p w14:paraId="35D08ED0" w14:textId="77777777" w:rsidR="00D42204" w:rsidRDefault="004E439D">
            <w:pPr>
              <w:jc w:val="center"/>
              <w:textAlignment w:val="bottom"/>
            </w:pPr>
            <w:hyperlink r:id="rId60" w:anchor="i1ba69ebb72ec48f9b754a5e96c4cdf3f_220" w:history="1">
              <w:r>
                <w:rPr>
                  <w:rStyle w:val="a5"/>
                  <w:rFonts w:ascii="Times New Roman" w:eastAsia="宋体" w:hAnsi="Times New Roman"/>
                  <w:sz w:val="18"/>
                  <w:szCs w:val="18"/>
                </w:rPr>
                <w:t>81</w:t>
              </w:r>
            </w:hyperlink>
          </w:p>
        </w:tc>
      </w:tr>
      <w:tr w:rsidR="00D42204" w14:paraId="35D08ED5" w14:textId="77777777">
        <w:trPr>
          <w:jc w:val="center"/>
        </w:trPr>
        <w:tc>
          <w:tcPr>
            <w:tcW w:w="0" w:type="auto"/>
            <w:gridSpan w:val="3"/>
            <w:shd w:val="clear" w:color="auto" w:fill="auto"/>
            <w:tcMar>
              <w:top w:w="40" w:type="dxa"/>
              <w:left w:w="20" w:type="dxa"/>
              <w:bottom w:w="40" w:type="dxa"/>
              <w:right w:w="20" w:type="dxa"/>
            </w:tcMar>
            <w:vAlign w:val="bottom"/>
          </w:tcPr>
          <w:p w14:paraId="35D08ED2" w14:textId="77777777" w:rsidR="00D42204" w:rsidRDefault="004E439D">
            <w:pPr>
              <w:textAlignment w:val="bottom"/>
            </w:pPr>
            <w:hyperlink r:id="rId61" w:anchor="i1ba69ebb72ec48f9b754a5e96c4cdf3f_223" w:history="1">
              <w:r>
                <w:rPr>
                  <w:rStyle w:val="a5"/>
                  <w:rFonts w:ascii="Times New Roman" w:eastAsia="宋体" w:hAnsi="Times New Roman"/>
                  <w:sz w:val="18"/>
                  <w:szCs w:val="18"/>
                </w:rPr>
                <w:t>Item 12</w:t>
              </w:r>
            </w:hyperlink>
          </w:p>
        </w:tc>
        <w:tc>
          <w:tcPr>
            <w:tcW w:w="0" w:type="auto"/>
            <w:gridSpan w:val="3"/>
            <w:shd w:val="clear" w:color="auto" w:fill="auto"/>
            <w:tcMar>
              <w:top w:w="40" w:type="dxa"/>
              <w:left w:w="20" w:type="dxa"/>
              <w:bottom w:w="40" w:type="dxa"/>
              <w:right w:w="20" w:type="dxa"/>
            </w:tcMar>
            <w:vAlign w:val="bottom"/>
          </w:tcPr>
          <w:p w14:paraId="35D08ED3" w14:textId="77777777" w:rsidR="00D42204" w:rsidRDefault="004E439D">
            <w:pPr>
              <w:textAlignment w:val="bottom"/>
            </w:pPr>
            <w:hyperlink r:id="rId62" w:anchor="i1ba69ebb72ec48f9b754a5e96c4cdf3f_223" w:history="1">
              <w:r>
                <w:rPr>
                  <w:rStyle w:val="a5"/>
                  <w:rFonts w:ascii="Times New Roman" w:eastAsia="宋体" w:hAnsi="Times New Roman"/>
                  <w:sz w:val="18"/>
                  <w:szCs w:val="18"/>
                </w:rPr>
                <w:t>Security Ownership of Certain Beneficial Owners and Management and Related Stockholder Matters</w:t>
              </w:r>
            </w:hyperlink>
          </w:p>
        </w:tc>
        <w:tc>
          <w:tcPr>
            <w:tcW w:w="0" w:type="auto"/>
            <w:gridSpan w:val="3"/>
            <w:shd w:val="clear" w:color="auto" w:fill="auto"/>
            <w:tcMar>
              <w:top w:w="40" w:type="dxa"/>
              <w:left w:w="20" w:type="dxa"/>
              <w:bottom w:w="40" w:type="dxa"/>
              <w:right w:w="20" w:type="dxa"/>
            </w:tcMar>
            <w:vAlign w:val="bottom"/>
          </w:tcPr>
          <w:p w14:paraId="35D08ED4" w14:textId="77777777" w:rsidR="00D42204" w:rsidRDefault="004E439D">
            <w:pPr>
              <w:jc w:val="center"/>
              <w:textAlignment w:val="bottom"/>
            </w:pPr>
            <w:hyperlink r:id="rId63" w:anchor="i1ba69ebb72ec48f9b754a5e96c4cdf3f_223" w:history="1">
              <w:r>
                <w:rPr>
                  <w:rStyle w:val="a5"/>
                  <w:rFonts w:ascii="Times New Roman" w:eastAsia="宋体" w:hAnsi="Times New Roman"/>
                  <w:sz w:val="18"/>
                  <w:szCs w:val="18"/>
                </w:rPr>
                <w:t>81</w:t>
              </w:r>
            </w:hyperlink>
          </w:p>
        </w:tc>
      </w:tr>
      <w:tr w:rsidR="00D42204" w14:paraId="35D08ED9" w14:textId="77777777">
        <w:trPr>
          <w:jc w:val="center"/>
        </w:trPr>
        <w:tc>
          <w:tcPr>
            <w:tcW w:w="0" w:type="auto"/>
            <w:gridSpan w:val="3"/>
            <w:shd w:val="clear" w:color="auto" w:fill="auto"/>
            <w:tcMar>
              <w:top w:w="40" w:type="dxa"/>
              <w:left w:w="20" w:type="dxa"/>
              <w:bottom w:w="40" w:type="dxa"/>
              <w:right w:w="20" w:type="dxa"/>
            </w:tcMar>
            <w:vAlign w:val="bottom"/>
          </w:tcPr>
          <w:p w14:paraId="35D08ED6" w14:textId="77777777" w:rsidR="00D42204" w:rsidRDefault="004E439D">
            <w:pPr>
              <w:textAlignment w:val="bottom"/>
            </w:pPr>
            <w:hyperlink r:id="rId64" w:anchor="i1ba69ebb72ec48f9b754a5e96c4cdf3f_226" w:history="1">
              <w:r>
                <w:rPr>
                  <w:rStyle w:val="a5"/>
                  <w:rFonts w:ascii="Times New Roman" w:eastAsia="宋体" w:hAnsi="Times New Roman"/>
                  <w:sz w:val="18"/>
                  <w:szCs w:val="18"/>
                </w:rPr>
                <w:t>Item 13</w:t>
              </w:r>
            </w:hyperlink>
          </w:p>
        </w:tc>
        <w:tc>
          <w:tcPr>
            <w:tcW w:w="0" w:type="auto"/>
            <w:gridSpan w:val="3"/>
            <w:shd w:val="clear" w:color="auto" w:fill="auto"/>
            <w:tcMar>
              <w:top w:w="40" w:type="dxa"/>
              <w:left w:w="20" w:type="dxa"/>
              <w:bottom w:w="40" w:type="dxa"/>
              <w:right w:w="20" w:type="dxa"/>
            </w:tcMar>
            <w:vAlign w:val="bottom"/>
          </w:tcPr>
          <w:p w14:paraId="35D08ED7" w14:textId="77777777" w:rsidR="00D42204" w:rsidRDefault="004E439D">
            <w:pPr>
              <w:textAlignment w:val="bottom"/>
            </w:pPr>
            <w:hyperlink r:id="rId65" w:anchor="i1ba69ebb72ec48f9b754a5e96c4cdf3f_226" w:history="1">
              <w:r>
                <w:rPr>
                  <w:rStyle w:val="a5"/>
                  <w:rFonts w:ascii="Times New Roman" w:eastAsia="宋体" w:hAnsi="Times New Roman"/>
                  <w:sz w:val="18"/>
                  <w:szCs w:val="18"/>
                </w:rPr>
                <w:t xml:space="preserve">Certain Relationships and Related Transactions, </w:t>
              </w:r>
              <w:r>
                <w:rPr>
                  <w:rStyle w:val="a5"/>
                  <w:rFonts w:ascii="Times New Roman" w:eastAsia="宋体" w:hAnsi="Times New Roman"/>
                  <w:sz w:val="18"/>
                  <w:szCs w:val="18"/>
                </w:rPr>
                <w:t>and Director Independence</w:t>
              </w:r>
            </w:hyperlink>
          </w:p>
        </w:tc>
        <w:tc>
          <w:tcPr>
            <w:tcW w:w="0" w:type="auto"/>
            <w:gridSpan w:val="3"/>
            <w:shd w:val="clear" w:color="auto" w:fill="auto"/>
            <w:tcMar>
              <w:top w:w="40" w:type="dxa"/>
              <w:left w:w="20" w:type="dxa"/>
              <w:bottom w:w="40" w:type="dxa"/>
              <w:right w:w="20" w:type="dxa"/>
            </w:tcMar>
            <w:vAlign w:val="bottom"/>
          </w:tcPr>
          <w:p w14:paraId="35D08ED8" w14:textId="77777777" w:rsidR="00D42204" w:rsidRDefault="004E439D">
            <w:pPr>
              <w:jc w:val="center"/>
              <w:textAlignment w:val="bottom"/>
            </w:pPr>
            <w:hyperlink r:id="rId66" w:anchor="i1ba69ebb72ec48f9b754a5e96c4cdf3f_226" w:history="1">
              <w:r>
                <w:rPr>
                  <w:rStyle w:val="a5"/>
                  <w:rFonts w:ascii="Times New Roman" w:eastAsia="宋体" w:hAnsi="Times New Roman"/>
                  <w:sz w:val="18"/>
                  <w:szCs w:val="18"/>
                </w:rPr>
                <w:t>81</w:t>
              </w:r>
            </w:hyperlink>
          </w:p>
        </w:tc>
      </w:tr>
      <w:tr w:rsidR="00D42204" w14:paraId="35D08EDD" w14:textId="77777777">
        <w:trPr>
          <w:jc w:val="center"/>
        </w:trPr>
        <w:tc>
          <w:tcPr>
            <w:tcW w:w="0" w:type="auto"/>
            <w:gridSpan w:val="3"/>
            <w:shd w:val="clear" w:color="auto" w:fill="auto"/>
            <w:tcMar>
              <w:top w:w="40" w:type="dxa"/>
              <w:left w:w="20" w:type="dxa"/>
              <w:bottom w:w="40" w:type="dxa"/>
              <w:right w:w="20" w:type="dxa"/>
            </w:tcMar>
            <w:vAlign w:val="bottom"/>
          </w:tcPr>
          <w:p w14:paraId="35D08EDA" w14:textId="77777777" w:rsidR="00D42204" w:rsidRDefault="004E439D">
            <w:pPr>
              <w:textAlignment w:val="bottom"/>
            </w:pPr>
            <w:hyperlink r:id="rId67" w:anchor="i1ba69ebb72ec48f9b754a5e96c4cdf3f_229" w:history="1">
              <w:r>
                <w:rPr>
                  <w:rStyle w:val="a5"/>
                  <w:rFonts w:ascii="Times New Roman" w:eastAsia="宋体" w:hAnsi="Times New Roman"/>
                  <w:sz w:val="18"/>
                  <w:szCs w:val="18"/>
                </w:rPr>
                <w:t>Item 14</w:t>
              </w:r>
            </w:hyperlink>
          </w:p>
        </w:tc>
        <w:tc>
          <w:tcPr>
            <w:tcW w:w="0" w:type="auto"/>
            <w:gridSpan w:val="3"/>
            <w:shd w:val="clear" w:color="auto" w:fill="auto"/>
            <w:tcMar>
              <w:top w:w="40" w:type="dxa"/>
              <w:left w:w="20" w:type="dxa"/>
              <w:bottom w:w="40" w:type="dxa"/>
              <w:right w:w="20" w:type="dxa"/>
            </w:tcMar>
            <w:vAlign w:val="bottom"/>
          </w:tcPr>
          <w:p w14:paraId="35D08EDB" w14:textId="77777777" w:rsidR="00D42204" w:rsidRDefault="004E439D">
            <w:pPr>
              <w:textAlignment w:val="bottom"/>
            </w:pPr>
            <w:hyperlink r:id="rId68" w:anchor="i1ba69ebb72ec48f9b754a5e96c4cdf3f_229" w:history="1">
              <w:r>
                <w:rPr>
                  <w:rStyle w:val="a5"/>
                  <w:rFonts w:ascii="Times New Roman" w:eastAsia="宋体" w:hAnsi="Times New Roman"/>
                  <w:sz w:val="18"/>
                  <w:szCs w:val="18"/>
                </w:rPr>
                <w:t>Principal Accounting Fees and Services</w:t>
              </w:r>
            </w:hyperlink>
          </w:p>
        </w:tc>
        <w:tc>
          <w:tcPr>
            <w:tcW w:w="0" w:type="auto"/>
            <w:gridSpan w:val="3"/>
            <w:shd w:val="clear" w:color="auto" w:fill="auto"/>
            <w:tcMar>
              <w:top w:w="40" w:type="dxa"/>
              <w:left w:w="20" w:type="dxa"/>
              <w:bottom w:w="40" w:type="dxa"/>
              <w:right w:w="20" w:type="dxa"/>
            </w:tcMar>
            <w:vAlign w:val="bottom"/>
          </w:tcPr>
          <w:p w14:paraId="35D08EDC" w14:textId="77777777" w:rsidR="00D42204" w:rsidRDefault="004E439D">
            <w:pPr>
              <w:jc w:val="center"/>
              <w:textAlignment w:val="bottom"/>
            </w:pPr>
            <w:hyperlink r:id="rId69" w:anchor="i1ba69ebb72ec48f9b754a5e96c4cdf3f_229" w:history="1">
              <w:r>
                <w:rPr>
                  <w:rStyle w:val="a5"/>
                  <w:rFonts w:ascii="Times New Roman" w:eastAsia="宋体" w:hAnsi="Times New Roman"/>
                  <w:sz w:val="18"/>
                  <w:szCs w:val="18"/>
                </w:rPr>
                <w:t>81</w:t>
              </w:r>
            </w:hyperlink>
          </w:p>
        </w:tc>
      </w:tr>
      <w:tr w:rsidR="00D42204" w14:paraId="35D08EE1" w14:textId="77777777">
        <w:trPr>
          <w:trHeight w:val="240"/>
          <w:jc w:val="center"/>
        </w:trPr>
        <w:tc>
          <w:tcPr>
            <w:tcW w:w="0" w:type="auto"/>
            <w:gridSpan w:val="3"/>
            <w:shd w:val="clear" w:color="auto" w:fill="auto"/>
            <w:tcMar>
              <w:top w:w="0" w:type="dxa"/>
              <w:left w:w="20" w:type="dxa"/>
              <w:bottom w:w="0" w:type="dxa"/>
              <w:right w:w="20" w:type="dxa"/>
            </w:tcMar>
            <w:vAlign w:val="bottom"/>
          </w:tcPr>
          <w:p w14:paraId="35D08EDE"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EDF"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EE0" w14:textId="77777777" w:rsidR="00D42204" w:rsidRDefault="00D42204">
            <w:pPr>
              <w:rPr>
                <w:rFonts w:ascii="宋体"/>
              </w:rPr>
            </w:pPr>
          </w:p>
        </w:tc>
      </w:tr>
      <w:tr w:rsidR="00D42204" w14:paraId="35D08EE5" w14:textId="77777777">
        <w:trPr>
          <w:jc w:val="center"/>
        </w:trPr>
        <w:tc>
          <w:tcPr>
            <w:tcW w:w="0" w:type="auto"/>
            <w:gridSpan w:val="3"/>
            <w:shd w:val="clear" w:color="auto" w:fill="auto"/>
            <w:tcMar>
              <w:top w:w="40" w:type="dxa"/>
              <w:left w:w="20" w:type="dxa"/>
              <w:bottom w:w="40" w:type="dxa"/>
              <w:right w:w="20" w:type="dxa"/>
            </w:tcMar>
            <w:vAlign w:val="bottom"/>
          </w:tcPr>
          <w:p w14:paraId="35D08EE2" w14:textId="77777777" w:rsidR="00D42204" w:rsidRDefault="004E439D">
            <w:pPr>
              <w:textAlignment w:val="bottom"/>
            </w:pPr>
            <w:hyperlink r:id="rId70" w:anchor="i1ba69ebb72ec48f9b754a5e96c4cdf3f_232" w:history="1">
              <w:r>
                <w:rPr>
                  <w:rStyle w:val="a5"/>
                  <w:rFonts w:ascii="Times New Roman" w:eastAsia="宋体" w:hAnsi="Times New Roman"/>
                  <w:b/>
                  <w:bCs/>
                  <w:sz w:val="18"/>
                  <w:szCs w:val="18"/>
                </w:rPr>
                <w:t>Part IV</w:t>
              </w:r>
            </w:hyperlink>
          </w:p>
        </w:tc>
        <w:tc>
          <w:tcPr>
            <w:tcW w:w="0" w:type="auto"/>
            <w:gridSpan w:val="3"/>
            <w:shd w:val="clear" w:color="auto" w:fill="auto"/>
            <w:tcMar>
              <w:top w:w="0" w:type="dxa"/>
              <w:left w:w="20" w:type="dxa"/>
              <w:bottom w:w="0" w:type="dxa"/>
              <w:right w:w="20" w:type="dxa"/>
            </w:tcMar>
            <w:vAlign w:val="bottom"/>
          </w:tcPr>
          <w:p w14:paraId="35D08EE3"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EE4" w14:textId="77777777" w:rsidR="00D42204" w:rsidRDefault="00D42204">
            <w:pPr>
              <w:rPr>
                <w:rFonts w:ascii="宋体"/>
              </w:rPr>
            </w:pPr>
          </w:p>
        </w:tc>
      </w:tr>
      <w:tr w:rsidR="00D42204" w14:paraId="35D08EE9" w14:textId="77777777">
        <w:trPr>
          <w:jc w:val="center"/>
        </w:trPr>
        <w:tc>
          <w:tcPr>
            <w:tcW w:w="0" w:type="auto"/>
            <w:gridSpan w:val="3"/>
            <w:shd w:val="clear" w:color="auto" w:fill="auto"/>
            <w:tcMar>
              <w:top w:w="40" w:type="dxa"/>
              <w:left w:w="20" w:type="dxa"/>
              <w:bottom w:w="40" w:type="dxa"/>
              <w:right w:w="20" w:type="dxa"/>
            </w:tcMar>
            <w:vAlign w:val="bottom"/>
          </w:tcPr>
          <w:p w14:paraId="35D08EE6" w14:textId="77777777" w:rsidR="00D42204" w:rsidRDefault="004E439D">
            <w:pPr>
              <w:textAlignment w:val="bottom"/>
            </w:pPr>
            <w:hyperlink r:id="rId71" w:anchor="i1ba69ebb72ec48f9b754a5e96c4cdf3f_235" w:history="1">
              <w:r>
                <w:rPr>
                  <w:rStyle w:val="a5"/>
                  <w:rFonts w:ascii="Times New Roman" w:eastAsia="宋体" w:hAnsi="Times New Roman"/>
                  <w:sz w:val="18"/>
                  <w:szCs w:val="18"/>
                </w:rPr>
                <w:t>Item 15</w:t>
              </w:r>
            </w:hyperlink>
          </w:p>
        </w:tc>
        <w:tc>
          <w:tcPr>
            <w:tcW w:w="0" w:type="auto"/>
            <w:gridSpan w:val="3"/>
            <w:shd w:val="clear" w:color="auto" w:fill="auto"/>
            <w:tcMar>
              <w:top w:w="40" w:type="dxa"/>
              <w:left w:w="20" w:type="dxa"/>
              <w:bottom w:w="40" w:type="dxa"/>
              <w:right w:w="20" w:type="dxa"/>
            </w:tcMar>
            <w:vAlign w:val="bottom"/>
          </w:tcPr>
          <w:p w14:paraId="35D08EE7" w14:textId="77777777" w:rsidR="00D42204" w:rsidRDefault="004E439D">
            <w:pPr>
              <w:textAlignment w:val="bottom"/>
            </w:pPr>
            <w:hyperlink r:id="rId72" w:anchor="i1ba69ebb72ec48f9b754a5e96c4cdf3f_235" w:history="1">
              <w:r>
                <w:rPr>
                  <w:rStyle w:val="a5"/>
                  <w:rFonts w:ascii="Times New Roman" w:eastAsia="宋体" w:hAnsi="Times New Roman"/>
                  <w:sz w:val="18"/>
                  <w:szCs w:val="18"/>
                </w:rPr>
                <w:t>Exhibits, Financial Statement Schedules</w:t>
              </w:r>
            </w:hyperlink>
          </w:p>
        </w:tc>
        <w:tc>
          <w:tcPr>
            <w:tcW w:w="0" w:type="auto"/>
            <w:gridSpan w:val="3"/>
            <w:shd w:val="clear" w:color="auto" w:fill="auto"/>
            <w:tcMar>
              <w:top w:w="40" w:type="dxa"/>
              <w:left w:w="20" w:type="dxa"/>
              <w:bottom w:w="40" w:type="dxa"/>
              <w:right w:w="20" w:type="dxa"/>
            </w:tcMar>
            <w:vAlign w:val="bottom"/>
          </w:tcPr>
          <w:p w14:paraId="35D08EE8" w14:textId="77777777" w:rsidR="00D42204" w:rsidRDefault="004E439D">
            <w:pPr>
              <w:jc w:val="center"/>
              <w:textAlignment w:val="bottom"/>
            </w:pPr>
            <w:hyperlink r:id="rId73" w:anchor="i1ba69ebb72ec48f9b754a5e96c4cdf3f_235" w:history="1">
              <w:r>
                <w:rPr>
                  <w:rStyle w:val="a5"/>
                  <w:rFonts w:ascii="Times New Roman" w:eastAsia="宋体" w:hAnsi="Times New Roman"/>
                  <w:sz w:val="18"/>
                  <w:szCs w:val="18"/>
                </w:rPr>
                <w:t>82</w:t>
              </w:r>
            </w:hyperlink>
          </w:p>
        </w:tc>
      </w:tr>
      <w:tr w:rsidR="00D42204" w14:paraId="35D08EED" w14:textId="77777777">
        <w:trPr>
          <w:jc w:val="center"/>
        </w:trPr>
        <w:tc>
          <w:tcPr>
            <w:tcW w:w="0" w:type="auto"/>
            <w:gridSpan w:val="3"/>
            <w:shd w:val="clear" w:color="auto" w:fill="auto"/>
            <w:tcMar>
              <w:top w:w="40" w:type="dxa"/>
              <w:left w:w="20" w:type="dxa"/>
              <w:bottom w:w="40" w:type="dxa"/>
              <w:right w:w="20" w:type="dxa"/>
            </w:tcMar>
            <w:vAlign w:val="bottom"/>
          </w:tcPr>
          <w:p w14:paraId="35D08EEA" w14:textId="77777777" w:rsidR="00D42204" w:rsidRDefault="004E439D">
            <w:pPr>
              <w:textAlignment w:val="bottom"/>
            </w:pPr>
            <w:hyperlink r:id="rId74" w:anchor="i1ba69ebb72ec48f9b754a5e96c4cdf3f_238" w:history="1">
              <w:r>
                <w:rPr>
                  <w:rStyle w:val="a5"/>
                  <w:rFonts w:ascii="Times New Roman" w:eastAsia="宋体" w:hAnsi="Times New Roman"/>
                  <w:sz w:val="18"/>
                  <w:szCs w:val="18"/>
                </w:rPr>
                <w:t>Item 16</w:t>
              </w:r>
            </w:hyperlink>
          </w:p>
        </w:tc>
        <w:tc>
          <w:tcPr>
            <w:tcW w:w="0" w:type="auto"/>
            <w:gridSpan w:val="3"/>
            <w:shd w:val="clear" w:color="auto" w:fill="auto"/>
            <w:tcMar>
              <w:top w:w="40" w:type="dxa"/>
              <w:left w:w="20" w:type="dxa"/>
              <w:bottom w:w="40" w:type="dxa"/>
              <w:right w:w="20" w:type="dxa"/>
            </w:tcMar>
            <w:vAlign w:val="bottom"/>
          </w:tcPr>
          <w:p w14:paraId="35D08EEB" w14:textId="77777777" w:rsidR="00D42204" w:rsidRDefault="004E439D">
            <w:pPr>
              <w:textAlignment w:val="bottom"/>
            </w:pPr>
            <w:hyperlink r:id="rId75" w:anchor="i1ba69ebb72ec48f9b754a5e96c4cdf3f_238" w:history="1">
              <w:r>
                <w:rPr>
                  <w:rStyle w:val="a5"/>
                  <w:rFonts w:ascii="Times New Roman" w:eastAsia="宋体" w:hAnsi="Times New Roman"/>
                  <w:sz w:val="18"/>
                  <w:szCs w:val="18"/>
                </w:rPr>
                <w:t>Form 10-K Summary</w:t>
              </w:r>
            </w:hyperlink>
          </w:p>
        </w:tc>
        <w:tc>
          <w:tcPr>
            <w:tcW w:w="0" w:type="auto"/>
            <w:gridSpan w:val="3"/>
            <w:shd w:val="clear" w:color="auto" w:fill="auto"/>
            <w:tcMar>
              <w:top w:w="40" w:type="dxa"/>
              <w:left w:w="20" w:type="dxa"/>
              <w:bottom w:w="40" w:type="dxa"/>
              <w:right w:w="20" w:type="dxa"/>
            </w:tcMar>
            <w:vAlign w:val="bottom"/>
          </w:tcPr>
          <w:p w14:paraId="35D08EEC" w14:textId="77777777" w:rsidR="00D42204" w:rsidRDefault="004E439D">
            <w:pPr>
              <w:jc w:val="center"/>
              <w:textAlignment w:val="bottom"/>
            </w:pPr>
            <w:hyperlink r:id="rId76" w:anchor="i1ba69ebb72ec48f9b754a5e96c4cdf3f_238" w:history="1">
              <w:r>
                <w:rPr>
                  <w:rStyle w:val="a5"/>
                  <w:rFonts w:ascii="Times New Roman" w:eastAsia="宋体" w:hAnsi="Times New Roman"/>
                  <w:sz w:val="18"/>
                  <w:szCs w:val="18"/>
                </w:rPr>
                <w:t>84</w:t>
              </w:r>
            </w:hyperlink>
          </w:p>
        </w:tc>
      </w:tr>
      <w:tr w:rsidR="00D42204" w14:paraId="35D08EF1" w14:textId="77777777">
        <w:trPr>
          <w:jc w:val="center"/>
        </w:trPr>
        <w:tc>
          <w:tcPr>
            <w:tcW w:w="0" w:type="auto"/>
            <w:gridSpan w:val="3"/>
            <w:shd w:val="clear" w:color="auto" w:fill="auto"/>
            <w:tcMar>
              <w:top w:w="0" w:type="dxa"/>
              <w:left w:w="20" w:type="dxa"/>
              <w:bottom w:w="0" w:type="dxa"/>
              <w:right w:w="20" w:type="dxa"/>
            </w:tcMar>
            <w:vAlign w:val="bottom"/>
          </w:tcPr>
          <w:p w14:paraId="35D08EEE"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8EEF" w14:textId="77777777" w:rsidR="00D42204" w:rsidRDefault="004E439D">
            <w:pPr>
              <w:textAlignment w:val="bottom"/>
            </w:pPr>
            <w:hyperlink r:id="rId77" w:anchor="i1ba69ebb72ec48f9b754a5e96c4cdf3f_241" w:history="1">
              <w:r>
                <w:rPr>
                  <w:rStyle w:val="a5"/>
                  <w:rFonts w:ascii="Times New Roman" w:eastAsia="宋体" w:hAnsi="Times New Roman"/>
                  <w:sz w:val="18"/>
                  <w:szCs w:val="18"/>
                </w:rPr>
                <w:t>Signatures</w:t>
              </w:r>
            </w:hyperlink>
          </w:p>
        </w:tc>
        <w:tc>
          <w:tcPr>
            <w:tcW w:w="0" w:type="auto"/>
            <w:gridSpan w:val="3"/>
            <w:shd w:val="clear" w:color="auto" w:fill="auto"/>
            <w:tcMar>
              <w:top w:w="40" w:type="dxa"/>
              <w:left w:w="20" w:type="dxa"/>
              <w:bottom w:w="40" w:type="dxa"/>
              <w:right w:w="20" w:type="dxa"/>
            </w:tcMar>
            <w:vAlign w:val="bottom"/>
          </w:tcPr>
          <w:p w14:paraId="35D08EF0" w14:textId="77777777" w:rsidR="00D42204" w:rsidRDefault="004E439D">
            <w:pPr>
              <w:jc w:val="center"/>
              <w:textAlignment w:val="bottom"/>
            </w:pPr>
            <w:hyperlink r:id="rId78" w:anchor="i1ba69ebb72ec48f9b754a5e96c4cdf3f_241" w:history="1">
              <w:r>
                <w:rPr>
                  <w:rStyle w:val="a5"/>
                  <w:rFonts w:ascii="Times New Roman" w:eastAsia="宋体" w:hAnsi="Times New Roman"/>
                  <w:sz w:val="18"/>
                  <w:szCs w:val="18"/>
                </w:rPr>
                <w:t>85</w:t>
              </w:r>
            </w:hyperlink>
          </w:p>
        </w:tc>
      </w:tr>
      <w:tr w:rsidR="00D42204" w14:paraId="35D08EF5" w14:textId="77777777">
        <w:trPr>
          <w:trHeight w:val="240"/>
          <w:jc w:val="center"/>
        </w:trPr>
        <w:tc>
          <w:tcPr>
            <w:tcW w:w="0" w:type="auto"/>
            <w:gridSpan w:val="3"/>
            <w:shd w:val="clear" w:color="auto" w:fill="auto"/>
            <w:tcMar>
              <w:top w:w="0" w:type="dxa"/>
              <w:left w:w="20" w:type="dxa"/>
              <w:bottom w:w="0" w:type="dxa"/>
              <w:right w:w="20" w:type="dxa"/>
            </w:tcMar>
            <w:vAlign w:val="bottom"/>
          </w:tcPr>
          <w:p w14:paraId="35D08EF2"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EF3"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EF4" w14:textId="77777777" w:rsidR="00D42204" w:rsidRDefault="00D42204">
            <w:pPr>
              <w:rPr>
                <w:rFonts w:ascii="宋体"/>
              </w:rPr>
            </w:pPr>
          </w:p>
        </w:tc>
      </w:tr>
      <w:tr w:rsidR="00D42204" w14:paraId="35D08EF9" w14:textId="77777777">
        <w:trPr>
          <w:trHeight w:val="180"/>
          <w:jc w:val="center"/>
        </w:trPr>
        <w:tc>
          <w:tcPr>
            <w:tcW w:w="0" w:type="auto"/>
            <w:gridSpan w:val="3"/>
            <w:shd w:val="clear" w:color="auto" w:fill="auto"/>
            <w:tcMar>
              <w:top w:w="0" w:type="dxa"/>
              <w:left w:w="20" w:type="dxa"/>
              <w:bottom w:w="0" w:type="dxa"/>
              <w:right w:w="20" w:type="dxa"/>
            </w:tcMar>
            <w:vAlign w:val="bottom"/>
          </w:tcPr>
          <w:p w14:paraId="35D08EF6"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EF7"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EF8" w14:textId="77777777" w:rsidR="00D42204" w:rsidRDefault="00D42204">
            <w:pPr>
              <w:rPr>
                <w:rFonts w:ascii="宋体"/>
              </w:rPr>
            </w:pPr>
          </w:p>
        </w:tc>
      </w:tr>
      <w:tr w:rsidR="00D42204" w14:paraId="35D08EFD" w14:textId="77777777">
        <w:trPr>
          <w:trHeight w:val="180"/>
          <w:jc w:val="center"/>
        </w:trPr>
        <w:tc>
          <w:tcPr>
            <w:tcW w:w="0" w:type="auto"/>
            <w:gridSpan w:val="3"/>
            <w:shd w:val="clear" w:color="auto" w:fill="auto"/>
            <w:tcMar>
              <w:top w:w="0" w:type="dxa"/>
              <w:left w:w="20" w:type="dxa"/>
              <w:bottom w:w="0" w:type="dxa"/>
              <w:right w:w="20" w:type="dxa"/>
            </w:tcMar>
            <w:vAlign w:val="bottom"/>
          </w:tcPr>
          <w:p w14:paraId="35D08EF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EF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EFC" w14:textId="77777777" w:rsidR="00D42204" w:rsidRDefault="00D42204">
            <w:pPr>
              <w:rPr>
                <w:rFonts w:ascii="宋体"/>
              </w:rPr>
            </w:pPr>
          </w:p>
        </w:tc>
      </w:tr>
    </w:tbl>
    <w:p w14:paraId="35D08EFE" w14:textId="77777777" w:rsidR="00D42204" w:rsidRDefault="00D42204"/>
    <w:p w14:paraId="35D08EFF" w14:textId="77777777" w:rsidR="00D42204" w:rsidRDefault="004E439D">
      <w:r>
        <w:pict w14:anchorId="35D0C35C">
          <v:rect id="_x0000_i1027" style="width:415.3pt;height:1.5pt" o:hralign="center" o:hrstd="t" o:hr="t" fillcolor="#a0a0a0" stroked="f"/>
        </w:pict>
      </w:r>
    </w:p>
    <w:p w14:paraId="35D08F00" w14:textId="77777777" w:rsidR="00D42204" w:rsidRDefault="00D42204"/>
    <w:p w14:paraId="35D08F01" w14:textId="77777777" w:rsidR="00D42204" w:rsidRDefault="004E439D">
      <w:pPr>
        <w:jc w:val="center"/>
      </w:pPr>
      <w:r>
        <w:rPr>
          <w:rFonts w:ascii="Times New Roman" w:eastAsia="宋体" w:hAnsi="Times New Roman"/>
          <w:b/>
          <w:bCs/>
          <w:color w:val="000000"/>
          <w:sz w:val="20"/>
          <w:szCs w:val="20"/>
        </w:rPr>
        <w:t>WALMART INC.</w:t>
      </w:r>
    </w:p>
    <w:p w14:paraId="35D08F02" w14:textId="77777777" w:rsidR="00D42204" w:rsidRDefault="00D42204">
      <w:pPr>
        <w:jc w:val="center"/>
      </w:pPr>
    </w:p>
    <w:p w14:paraId="35D08F03" w14:textId="77777777" w:rsidR="00D42204" w:rsidRDefault="004E439D">
      <w:pPr>
        <w:jc w:val="center"/>
      </w:pPr>
      <w:r>
        <w:rPr>
          <w:rFonts w:ascii="Times New Roman" w:eastAsia="宋体" w:hAnsi="Times New Roman"/>
          <w:b/>
          <w:bCs/>
          <w:color w:val="000000"/>
          <w:sz w:val="20"/>
          <w:szCs w:val="20"/>
        </w:rPr>
        <w:t>ANNUAL REPORT ON FORM 10-K</w:t>
      </w:r>
    </w:p>
    <w:p w14:paraId="35D08F04" w14:textId="77777777" w:rsidR="00D42204" w:rsidRDefault="004E439D">
      <w:pPr>
        <w:spacing w:after="180"/>
        <w:jc w:val="center"/>
      </w:pPr>
      <w:r>
        <w:rPr>
          <w:rFonts w:ascii="Times New Roman" w:eastAsia="宋体" w:hAnsi="Times New Roman"/>
          <w:b/>
          <w:bCs/>
          <w:color w:val="000000"/>
          <w:sz w:val="20"/>
          <w:szCs w:val="20"/>
        </w:rPr>
        <w:t xml:space="preserve">FOR THE FISCAL YEAR ENDED JANUARY 31, 2022 </w:t>
      </w:r>
    </w:p>
    <w:p w14:paraId="35D08F05" w14:textId="77777777" w:rsidR="00D42204" w:rsidRDefault="004E439D">
      <w:r>
        <w:rPr>
          <w:rFonts w:ascii="Times New Roman" w:eastAsia="宋体" w:hAnsi="Times New Roman"/>
          <w:color w:val="000000"/>
          <w:sz w:val="20"/>
          <w:szCs w:val="20"/>
        </w:rPr>
        <w:t xml:space="preserve">All references in this Annual Report on Form 10-K, the information incorporated into this Annual </w:t>
      </w:r>
      <w:r>
        <w:rPr>
          <w:rFonts w:ascii="Times New Roman" w:eastAsia="宋体" w:hAnsi="Times New Roman"/>
          <w:color w:val="000000"/>
          <w:sz w:val="20"/>
          <w:szCs w:val="20"/>
        </w:rPr>
        <w:t xml:space="preserve">Report on Form 10-K by reference to information in the Proxy Statement of Walmart Inc. for its Annual Shareholders' Meeting to be held on June 1, 2022 and in the exhibits to this Annual Report on Form 10-K to "Walmart Inc.," "Walmart," "the Company," "our </w:t>
      </w:r>
      <w:r>
        <w:rPr>
          <w:rFonts w:ascii="Times New Roman" w:eastAsia="宋体" w:hAnsi="Times New Roman"/>
          <w:color w:val="000000"/>
          <w:sz w:val="20"/>
          <w:szCs w:val="20"/>
        </w:rPr>
        <w:t>Company," "we," "us" and "our" are to the Delaware corporation named "Walmart Inc." and, except where expressly noted otherwise or the context otherwise requires, that corporation's consolidated subsidiaries.</w:t>
      </w:r>
    </w:p>
    <w:p w14:paraId="35D08F06" w14:textId="77777777" w:rsidR="00D42204" w:rsidRDefault="004E439D">
      <w:pPr>
        <w:spacing w:before="280"/>
        <w:jc w:val="center"/>
      </w:pPr>
      <w:r>
        <w:rPr>
          <w:rFonts w:ascii="Times New Roman" w:eastAsia="宋体" w:hAnsi="Times New Roman"/>
          <w:b/>
          <w:bCs/>
          <w:color w:val="000000"/>
          <w:sz w:val="20"/>
          <w:szCs w:val="20"/>
          <w:u w:val="single"/>
        </w:rPr>
        <w:t>PART I</w:t>
      </w:r>
    </w:p>
    <w:p w14:paraId="35D08F07" w14:textId="77777777" w:rsidR="00D42204" w:rsidRDefault="004E439D">
      <w:pPr>
        <w:spacing w:before="100"/>
      </w:pPr>
      <w:r>
        <w:rPr>
          <w:rFonts w:ascii="Times New Roman" w:eastAsia="宋体" w:hAnsi="Times New Roman"/>
          <w:b/>
          <w:bCs/>
          <w:color w:val="000000"/>
          <w:sz w:val="20"/>
          <w:szCs w:val="20"/>
        </w:rPr>
        <w:t xml:space="preserve">Cautionary Statement Regarding </w:t>
      </w:r>
      <w:r>
        <w:rPr>
          <w:rFonts w:ascii="Times New Roman" w:eastAsia="宋体" w:hAnsi="Times New Roman"/>
          <w:b/>
          <w:bCs/>
          <w:color w:val="000000"/>
          <w:sz w:val="20"/>
          <w:szCs w:val="20"/>
        </w:rPr>
        <w:t>Forward-Looking Statements</w:t>
      </w:r>
    </w:p>
    <w:p w14:paraId="35D08F08" w14:textId="77777777" w:rsidR="00D42204" w:rsidRDefault="004E439D">
      <w:pPr>
        <w:spacing w:before="100"/>
      </w:pPr>
      <w:r>
        <w:rPr>
          <w:rFonts w:ascii="Times New Roman" w:eastAsia="宋体" w:hAnsi="Times New Roman"/>
          <w:color w:val="000000"/>
          <w:sz w:val="20"/>
          <w:szCs w:val="20"/>
        </w:rPr>
        <w:t>This Annual Report on Form 10-K and other reports, statements, and information that Walmart Inc. (which individually or together with its subsidiaries, as the context otherwise requires, is referred to as "we," "Walmart" or the "</w:t>
      </w:r>
      <w:r>
        <w:rPr>
          <w:rFonts w:ascii="Times New Roman" w:eastAsia="宋体" w:hAnsi="Times New Roman"/>
          <w:color w:val="000000"/>
          <w:sz w:val="20"/>
          <w:szCs w:val="20"/>
        </w:rPr>
        <w:t>Company") has filed with or furnished to the Securities and Exchange Commission ("SEC") or may file with or furnish to the SEC in the future, and prior or future public announcements and presentations that we or our management have made or may make, includ</w:t>
      </w:r>
      <w:r>
        <w:rPr>
          <w:rFonts w:ascii="Times New Roman" w:eastAsia="宋体" w:hAnsi="Times New Roman"/>
          <w:color w:val="000000"/>
          <w:sz w:val="20"/>
          <w:szCs w:val="20"/>
        </w:rPr>
        <w:t xml:space="preserve">e or may include, or incorporate or may incorporate by reference, statements that may be deemed to be "forward-looking statements" within the meaning of Section 21E of the Securities Exchange Act of 1934, as amended (the "Act"), that are intended to enjoy </w:t>
      </w:r>
      <w:r>
        <w:rPr>
          <w:rFonts w:ascii="Times New Roman" w:eastAsia="宋体" w:hAnsi="Times New Roman"/>
          <w:color w:val="000000"/>
          <w:sz w:val="20"/>
          <w:szCs w:val="20"/>
        </w:rPr>
        <w:t>the protection of the safe harbor for forward-looking statements provided by the Act as well as protections afforded by other federal securities laws.</w:t>
      </w:r>
    </w:p>
    <w:p w14:paraId="35D08F09" w14:textId="77777777" w:rsidR="00D42204" w:rsidRDefault="004E439D">
      <w:pPr>
        <w:spacing w:before="180"/>
      </w:pPr>
      <w:r>
        <w:rPr>
          <w:rFonts w:ascii="Times New Roman" w:eastAsia="宋体" w:hAnsi="Times New Roman"/>
          <w:color w:val="000000"/>
          <w:sz w:val="20"/>
          <w:szCs w:val="20"/>
          <w:u w:val="single"/>
        </w:rPr>
        <w:t>Nature of Forward-Looking Statements</w:t>
      </w:r>
    </w:p>
    <w:p w14:paraId="35D08F0A" w14:textId="77777777" w:rsidR="00D42204" w:rsidRDefault="004E439D">
      <w:pPr>
        <w:spacing w:before="60"/>
      </w:pPr>
      <w:r>
        <w:rPr>
          <w:rFonts w:ascii="Times New Roman" w:eastAsia="宋体" w:hAnsi="Times New Roman"/>
          <w:color w:val="000000"/>
          <w:sz w:val="20"/>
          <w:szCs w:val="20"/>
        </w:rPr>
        <w:t xml:space="preserve">Such forward-looking statements are not statements of </w:t>
      </w:r>
      <w:r>
        <w:rPr>
          <w:rFonts w:ascii="Times New Roman" w:eastAsia="宋体" w:hAnsi="Times New Roman"/>
          <w:color w:val="000000"/>
          <w:sz w:val="20"/>
          <w:szCs w:val="20"/>
        </w:rPr>
        <w:t>historical facts, but instead express our estimates or expectations for our consolidated, or one of our segment's, economic performance or results of operations for future periods or as of future dates or events or developments that may occur in the future</w:t>
      </w:r>
      <w:r>
        <w:rPr>
          <w:rFonts w:ascii="Times New Roman" w:eastAsia="宋体" w:hAnsi="Times New Roman"/>
          <w:color w:val="000000"/>
          <w:sz w:val="20"/>
          <w:szCs w:val="20"/>
        </w:rPr>
        <w:t xml:space="preserve"> or discuss our plans, objectives or goals. These forward-looking statements may relate to:</w:t>
      </w:r>
    </w:p>
    <w:p w14:paraId="35D08F0B" w14:textId="77777777" w:rsidR="00D42204" w:rsidRDefault="004E439D">
      <w:pPr>
        <w:spacing w:before="100"/>
        <w:ind w:hanging="360"/>
      </w:pPr>
      <w:r>
        <w:rPr>
          <w:rFonts w:ascii="Times New Roman" w:eastAsia="宋体" w:hAnsi="Times New Roman"/>
          <w:color w:val="000000"/>
          <w:sz w:val="20"/>
          <w:szCs w:val="20"/>
        </w:rPr>
        <w:t>•the growth of our business or change in our competitive position in the future or in or over particular periods;</w:t>
      </w:r>
    </w:p>
    <w:p w14:paraId="35D08F0C" w14:textId="77777777" w:rsidR="00D42204" w:rsidRDefault="004E439D">
      <w:pPr>
        <w:ind w:hanging="360"/>
      </w:pPr>
      <w:r>
        <w:rPr>
          <w:rFonts w:ascii="Times New Roman" w:eastAsia="宋体" w:hAnsi="Times New Roman"/>
          <w:color w:val="000000"/>
          <w:sz w:val="20"/>
          <w:szCs w:val="20"/>
        </w:rPr>
        <w:t>•the amount, number, growth, increase, reduction o</w:t>
      </w:r>
      <w:r>
        <w:rPr>
          <w:rFonts w:ascii="Times New Roman" w:eastAsia="宋体" w:hAnsi="Times New Roman"/>
          <w:color w:val="000000"/>
          <w:sz w:val="20"/>
          <w:szCs w:val="20"/>
        </w:rPr>
        <w:t>r decrease in or over certain periods, of or in certain financial items or measures or operating measures, including our earnings per share, net sales, comparable store and club sales, our Walmart U.S. operating segment's eCommerce sales, liabilities, expe</w:t>
      </w:r>
      <w:r>
        <w:rPr>
          <w:rFonts w:ascii="Times New Roman" w:eastAsia="宋体" w:hAnsi="Times New Roman"/>
          <w:color w:val="000000"/>
          <w:sz w:val="20"/>
          <w:szCs w:val="20"/>
        </w:rPr>
        <w:t>nses of certain categories, expense leverage, operating income, returns, capital and operating investments or expenditures of particular types and new store openings;</w:t>
      </w:r>
    </w:p>
    <w:p w14:paraId="35D08F0D" w14:textId="77777777" w:rsidR="00D42204" w:rsidRDefault="004E439D">
      <w:pPr>
        <w:ind w:hanging="360"/>
      </w:pPr>
      <w:r>
        <w:rPr>
          <w:rFonts w:ascii="Times New Roman" w:eastAsia="宋体" w:hAnsi="Times New Roman"/>
          <w:color w:val="000000"/>
          <w:sz w:val="20"/>
          <w:szCs w:val="20"/>
        </w:rPr>
        <w:t>•investments and capital expenditures we will make and how certain of those investments a</w:t>
      </w:r>
      <w:r>
        <w:rPr>
          <w:rFonts w:ascii="Times New Roman" w:eastAsia="宋体" w:hAnsi="Times New Roman"/>
          <w:color w:val="000000"/>
          <w:sz w:val="20"/>
          <w:szCs w:val="20"/>
        </w:rPr>
        <w:t>nd capital expenditures are expected to be financed;</w:t>
      </w:r>
    </w:p>
    <w:p w14:paraId="35D08F0E" w14:textId="77777777" w:rsidR="00D42204" w:rsidRDefault="004E439D">
      <w:pPr>
        <w:ind w:hanging="360"/>
      </w:pPr>
      <w:r>
        <w:rPr>
          <w:rFonts w:ascii="Times New Roman" w:eastAsia="宋体" w:hAnsi="Times New Roman"/>
          <w:color w:val="000000"/>
          <w:sz w:val="20"/>
          <w:szCs w:val="20"/>
        </w:rPr>
        <w:t>•our increasing investments in eCommerce, technology, supply chain, store remodels and other omni-channel customer initiatives, such as same day pickup and delivery;</w:t>
      </w:r>
    </w:p>
    <w:p w14:paraId="35D08F0F" w14:textId="77777777" w:rsidR="00D42204" w:rsidRDefault="004E439D">
      <w:pPr>
        <w:ind w:hanging="360"/>
      </w:pPr>
      <w:r>
        <w:rPr>
          <w:rFonts w:ascii="Times New Roman" w:eastAsia="宋体" w:hAnsi="Times New Roman"/>
          <w:color w:val="000000"/>
          <w:sz w:val="20"/>
          <w:szCs w:val="20"/>
        </w:rPr>
        <w:t>•our workforce strategy;</w:t>
      </w:r>
    </w:p>
    <w:p w14:paraId="35D08F10" w14:textId="77777777" w:rsidR="00D42204" w:rsidRDefault="004E439D">
      <w:pPr>
        <w:ind w:hanging="360"/>
      </w:pPr>
      <w:r>
        <w:rPr>
          <w:rFonts w:ascii="Times New Roman" w:eastAsia="宋体" w:hAnsi="Times New Roman"/>
          <w:color w:val="000000"/>
          <w:sz w:val="20"/>
          <w:szCs w:val="20"/>
        </w:rPr>
        <w:t xml:space="preserve">•volatility </w:t>
      </w:r>
      <w:r>
        <w:rPr>
          <w:rFonts w:ascii="Times New Roman" w:eastAsia="宋体" w:hAnsi="Times New Roman"/>
          <w:color w:val="000000"/>
          <w:sz w:val="20"/>
          <w:szCs w:val="20"/>
        </w:rPr>
        <w:t>in currency exchange rates affecting our or one of our segments' results of operations;</w:t>
      </w:r>
    </w:p>
    <w:p w14:paraId="35D08F11" w14:textId="77777777" w:rsidR="00D42204" w:rsidRDefault="004E439D">
      <w:pPr>
        <w:ind w:hanging="360"/>
      </w:pPr>
      <w:r>
        <w:rPr>
          <w:rFonts w:ascii="Times New Roman" w:eastAsia="宋体" w:hAnsi="Times New Roman"/>
          <w:color w:val="000000"/>
          <w:sz w:val="20"/>
          <w:szCs w:val="20"/>
        </w:rPr>
        <w:t>•the Company continuing to provide returns to shareholders through share repurchases and dividends, the use of share repurchase authorization over a certain period or t</w:t>
      </w:r>
      <w:r>
        <w:rPr>
          <w:rFonts w:ascii="Times New Roman" w:eastAsia="宋体" w:hAnsi="Times New Roman"/>
          <w:color w:val="000000"/>
          <w:sz w:val="20"/>
          <w:szCs w:val="20"/>
        </w:rPr>
        <w:t>he source of funding of a certain portion of our share repurchases;</w:t>
      </w:r>
    </w:p>
    <w:p w14:paraId="35D08F12" w14:textId="77777777" w:rsidR="00D42204" w:rsidRDefault="004E439D">
      <w:pPr>
        <w:ind w:hanging="360"/>
      </w:pPr>
      <w:r>
        <w:rPr>
          <w:rFonts w:ascii="Times New Roman" w:eastAsia="宋体" w:hAnsi="Times New Roman"/>
          <w:color w:val="000000"/>
          <w:sz w:val="20"/>
          <w:szCs w:val="20"/>
        </w:rPr>
        <w:t>•our sources of liquidity, including our cash, continuing to be adequate or sufficient to fund our operations, finance our global investment and expansion activities, pay dividends and fun</w:t>
      </w:r>
      <w:r>
        <w:rPr>
          <w:rFonts w:ascii="Times New Roman" w:eastAsia="宋体" w:hAnsi="Times New Roman"/>
          <w:color w:val="000000"/>
          <w:sz w:val="20"/>
          <w:szCs w:val="20"/>
        </w:rPr>
        <w:t>d share repurchases;</w:t>
      </w:r>
    </w:p>
    <w:p w14:paraId="35D08F13" w14:textId="77777777" w:rsidR="00D42204" w:rsidRDefault="004E439D">
      <w:pPr>
        <w:ind w:hanging="360"/>
      </w:pPr>
      <w:r>
        <w:rPr>
          <w:rFonts w:ascii="Times New Roman" w:eastAsia="宋体" w:hAnsi="Times New Roman"/>
          <w:color w:val="000000"/>
          <w:sz w:val="20"/>
          <w:szCs w:val="20"/>
        </w:rPr>
        <w:t xml:space="preserve">•cash flows from operations, our current cash position and access to capital markets will continue to be sufficient to meet our anticipated operating cash needs; </w:t>
      </w:r>
    </w:p>
    <w:p w14:paraId="35D08F14" w14:textId="77777777" w:rsidR="00D42204" w:rsidRDefault="004E439D">
      <w:pPr>
        <w:ind w:hanging="360"/>
      </w:pPr>
      <w:r>
        <w:rPr>
          <w:rFonts w:ascii="Times New Roman" w:eastAsia="宋体" w:hAnsi="Times New Roman"/>
          <w:color w:val="000000"/>
          <w:sz w:val="20"/>
          <w:szCs w:val="20"/>
        </w:rPr>
        <w:t>•the reclassification of amounts related to our derivatives;</w:t>
      </w:r>
    </w:p>
    <w:p w14:paraId="35D08F15" w14:textId="77777777" w:rsidR="00D42204" w:rsidRDefault="004E439D">
      <w:pPr>
        <w:ind w:hanging="360"/>
      </w:pPr>
      <w:r>
        <w:rPr>
          <w:rFonts w:ascii="Times New Roman" w:eastAsia="宋体" w:hAnsi="Times New Roman"/>
          <w:color w:val="000000"/>
          <w:sz w:val="20"/>
          <w:szCs w:val="20"/>
        </w:rPr>
        <w:t>•our effect</w:t>
      </w:r>
      <w:r>
        <w:rPr>
          <w:rFonts w:ascii="Times New Roman" w:eastAsia="宋体" w:hAnsi="Times New Roman"/>
          <w:color w:val="000000"/>
          <w:sz w:val="20"/>
          <w:szCs w:val="20"/>
        </w:rPr>
        <w:t>ive tax rate for certain periods and the realization of certain net deferred tax assets and the effects of resolutions of tax-related matters;</w:t>
      </w:r>
    </w:p>
    <w:p w14:paraId="35D08F16" w14:textId="77777777" w:rsidR="00D42204" w:rsidRDefault="004E439D">
      <w:pPr>
        <w:ind w:hanging="360"/>
      </w:pPr>
      <w:r>
        <w:rPr>
          <w:rFonts w:ascii="Times New Roman" w:eastAsia="宋体" w:hAnsi="Times New Roman"/>
          <w:color w:val="000000"/>
          <w:sz w:val="20"/>
          <w:szCs w:val="20"/>
        </w:rPr>
        <w:t>•the effect of adverse decisions in, or settlement of, litigation or other proceedings or investigations to which</w:t>
      </w:r>
      <w:r>
        <w:rPr>
          <w:rFonts w:ascii="Times New Roman" w:eastAsia="宋体" w:hAnsi="Times New Roman"/>
          <w:color w:val="000000"/>
          <w:sz w:val="20"/>
          <w:szCs w:val="20"/>
        </w:rPr>
        <w:t xml:space="preserve"> we are subject; </w:t>
      </w:r>
    </w:p>
    <w:p w14:paraId="35D08F17" w14:textId="77777777" w:rsidR="00D42204" w:rsidRDefault="004E439D">
      <w:pPr>
        <w:ind w:hanging="360"/>
      </w:pPr>
      <w:r>
        <w:rPr>
          <w:rFonts w:ascii="Times New Roman" w:eastAsia="宋体" w:hAnsi="Times New Roman"/>
          <w:color w:val="000000"/>
          <w:sz w:val="20"/>
          <w:szCs w:val="20"/>
        </w:rPr>
        <w:t>•the effect on the Company's results of operations or financial position of the Company's adoption of certain new, or amendments to existing, accounting standards; or</w:t>
      </w:r>
    </w:p>
    <w:p w14:paraId="35D08F18" w14:textId="77777777" w:rsidR="00D42204" w:rsidRDefault="004E439D">
      <w:pPr>
        <w:ind w:hanging="360"/>
      </w:pPr>
      <w:r>
        <w:rPr>
          <w:rFonts w:ascii="Times New Roman" w:eastAsia="宋体" w:hAnsi="Times New Roman"/>
          <w:color w:val="000000"/>
          <w:sz w:val="20"/>
          <w:szCs w:val="20"/>
        </w:rPr>
        <w:t xml:space="preserve">•our commitments, intentions, plans or goals related to environmental, </w:t>
      </w:r>
      <w:r>
        <w:rPr>
          <w:rFonts w:ascii="Times New Roman" w:eastAsia="宋体" w:hAnsi="Times New Roman"/>
          <w:color w:val="000000"/>
          <w:sz w:val="20"/>
          <w:szCs w:val="20"/>
        </w:rPr>
        <w:t>sustainability, and governance ("ESG") priorities, including, but not limited to, the sustainability of our environment and supply chains, the promotion of economic opportunity or other societal initiatives.</w:t>
      </w:r>
    </w:p>
    <w:p w14:paraId="35D08F19" w14:textId="77777777" w:rsidR="00D42204" w:rsidRDefault="004E439D">
      <w:pPr>
        <w:spacing w:before="100"/>
      </w:pPr>
      <w:r>
        <w:rPr>
          <w:rFonts w:ascii="Times New Roman" w:eastAsia="宋体" w:hAnsi="Times New Roman"/>
          <w:color w:val="000000"/>
          <w:sz w:val="20"/>
          <w:szCs w:val="20"/>
        </w:rPr>
        <w:t xml:space="preserve">Our forward-looking statements may also include </w:t>
      </w:r>
      <w:r>
        <w:rPr>
          <w:rFonts w:ascii="Times New Roman" w:eastAsia="宋体" w:hAnsi="Times New Roman"/>
          <w:color w:val="000000"/>
          <w:sz w:val="20"/>
          <w:szCs w:val="20"/>
        </w:rPr>
        <w:t xml:space="preserve">statements of our strategies, plans and objectives for our operations, including areas of future focus in our operations, and the assumptions underlying any of the forward-looking statements we make. The forward-looking statements we make can typically be </w:t>
      </w:r>
      <w:r>
        <w:rPr>
          <w:rFonts w:ascii="Times New Roman" w:eastAsia="宋体" w:hAnsi="Times New Roman"/>
          <w:color w:val="000000"/>
          <w:sz w:val="20"/>
          <w:szCs w:val="20"/>
        </w:rPr>
        <w:t xml:space="preserve">identified by the use therein of words and phrases such as "aim," </w:t>
      </w:r>
    </w:p>
    <w:p w14:paraId="35D08F1A" w14:textId="77777777" w:rsidR="00D42204" w:rsidRDefault="004E439D">
      <w:pPr>
        <w:jc w:val="center"/>
      </w:pPr>
      <w:r>
        <w:rPr>
          <w:rFonts w:ascii="Times New Roman" w:eastAsia="宋体" w:hAnsi="Times New Roman"/>
          <w:color w:val="000000"/>
          <w:sz w:val="20"/>
          <w:szCs w:val="20"/>
        </w:rPr>
        <w:t>4</w:t>
      </w:r>
    </w:p>
    <w:p w14:paraId="35D08F1B" w14:textId="77777777" w:rsidR="00D42204" w:rsidRDefault="004E439D">
      <w:r>
        <w:pict w14:anchorId="35D0C35D">
          <v:rect id="_x0000_i1028" style="width:415.3pt;height:1.5pt" o:hralign="center" o:hrstd="t" o:hr="t" fillcolor="#a0a0a0" stroked="f"/>
        </w:pict>
      </w:r>
    </w:p>
    <w:p w14:paraId="35D08F1C" w14:textId="77777777" w:rsidR="00D42204" w:rsidRDefault="00D42204"/>
    <w:p w14:paraId="35D08F1D" w14:textId="77777777" w:rsidR="00D42204" w:rsidRDefault="004E439D">
      <w:pPr>
        <w:spacing w:before="100"/>
      </w:pPr>
      <w:r>
        <w:rPr>
          <w:rFonts w:ascii="Times New Roman" w:eastAsia="宋体" w:hAnsi="Times New Roman"/>
          <w:color w:val="000000"/>
          <w:sz w:val="20"/>
          <w:szCs w:val="20"/>
        </w:rPr>
        <w:t>"anticipate," "believe," "could be," "could increase," "could occur," "could result," "continue," "estimate," "expansion," "expect," "expectation," "expected to be," "focus," "forecast</w:t>
      </w:r>
      <w:r>
        <w:rPr>
          <w:rFonts w:ascii="Times New Roman" w:eastAsia="宋体" w:hAnsi="Times New Roman"/>
          <w:color w:val="000000"/>
          <w:sz w:val="20"/>
          <w:szCs w:val="20"/>
        </w:rPr>
        <w:t xml:space="preserve">," "goal," "grow," "guidance," "intend," "invest," "is expected," "may continue," "may fluctuate," "may grow," "may impact," "may result," "objective," "plan," "priority," "project," "strategy," "to be," "we'll," "we will," "will add," "will allow," "will </w:t>
      </w:r>
      <w:r>
        <w:rPr>
          <w:rFonts w:ascii="Times New Roman" w:eastAsia="宋体" w:hAnsi="Times New Roman"/>
          <w:color w:val="000000"/>
          <w:sz w:val="20"/>
          <w:szCs w:val="20"/>
        </w:rPr>
        <w:t>be," "will benefit," "will change," "will come in at," "will continue," "will decrease," "will grow," "will have," "will impact," "will include," "will increase," "will open," "will remain," "will result," "will stay," "will strengthen," "would be," "would</w:t>
      </w:r>
      <w:r>
        <w:rPr>
          <w:rFonts w:ascii="Times New Roman" w:eastAsia="宋体" w:hAnsi="Times New Roman"/>
          <w:color w:val="000000"/>
          <w:sz w:val="20"/>
          <w:szCs w:val="20"/>
        </w:rPr>
        <w:t xml:space="preserve"> decrease" and "would increase," variations of such words or phrases, other phrases commencing with the word "will" or similar words and phrases denoting anticipated or expected occurrences or results. </w:t>
      </w:r>
    </w:p>
    <w:p w14:paraId="35D08F1E" w14:textId="77777777" w:rsidR="00D42204" w:rsidRDefault="004E439D">
      <w:pPr>
        <w:spacing w:before="100"/>
      </w:pPr>
      <w:r>
        <w:rPr>
          <w:rFonts w:ascii="Times New Roman" w:eastAsia="宋体" w:hAnsi="Times New Roman"/>
          <w:color w:val="000000"/>
          <w:sz w:val="20"/>
          <w:szCs w:val="20"/>
        </w:rPr>
        <w:t>The forward-looking statements that we make or that a</w:t>
      </w:r>
      <w:r>
        <w:rPr>
          <w:rFonts w:ascii="Times New Roman" w:eastAsia="宋体" w:hAnsi="Times New Roman"/>
          <w:color w:val="000000"/>
          <w:sz w:val="20"/>
          <w:szCs w:val="20"/>
        </w:rPr>
        <w:t>re made by others on our behalf are based on our knowledge of our business and our operating environment and assumptions that we believe to be or will believe to be reasonable when such forward-looking statements were or are made. As a consequence of the f</w:t>
      </w:r>
      <w:r>
        <w:rPr>
          <w:rFonts w:ascii="Times New Roman" w:eastAsia="宋体" w:hAnsi="Times New Roman"/>
          <w:color w:val="000000"/>
          <w:sz w:val="20"/>
          <w:szCs w:val="20"/>
        </w:rPr>
        <w:t xml:space="preserve">actors described above, the other risks, uncertainties and factors we disclose below and in the other reports as mentioned above, other risks not known to us at this time, changes in facts, assumptions not being realized or other circumstances, our actual </w:t>
      </w:r>
      <w:r>
        <w:rPr>
          <w:rFonts w:ascii="Times New Roman" w:eastAsia="宋体" w:hAnsi="Times New Roman"/>
          <w:color w:val="000000"/>
          <w:sz w:val="20"/>
          <w:szCs w:val="20"/>
        </w:rPr>
        <w:t>results may differ materially from those discussed in or implied or contemplated by our forward-looking statements. Consequently, this cautionary statement qualifies all forward-looking statements we make or that are made on our behalf, including those mad</w:t>
      </w:r>
      <w:r>
        <w:rPr>
          <w:rFonts w:ascii="Times New Roman" w:eastAsia="宋体" w:hAnsi="Times New Roman"/>
          <w:color w:val="000000"/>
          <w:sz w:val="20"/>
          <w:szCs w:val="20"/>
        </w:rPr>
        <w:t>e herein and incorporated by reference herein. We cannot assure you that the results or developments expected or anticipated by us will be realized or, even if substantially realized, that those results or developments will result in the expected consequen</w:t>
      </w:r>
      <w:r>
        <w:rPr>
          <w:rFonts w:ascii="Times New Roman" w:eastAsia="宋体" w:hAnsi="Times New Roman"/>
          <w:color w:val="000000"/>
          <w:sz w:val="20"/>
          <w:szCs w:val="20"/>
        </w:rPr>
        <w:t xml:space="preserve">ces for us or affect us, our business, our operations or our operating results in the manner or to the extent we expect. We caution readers not to place undue reliance on such forward-looking statements, which speak only as of their dates. We undertake no </w:t>
      </w:r>
      <w:r>
        <w:rPr>
          <w:rFonts w:ascii="Times New Roman" w:eastAsia="宋体" w:hAnsi="Times New Roman"/>
          <w:color w:val="000000"/>
          <w:sz w:val="20"/>
          <w:szCs w:val="20"/>
        </w:rPr>
        <w:t>obligation to revise or update any of the forward-looking statements to reflect subsequent events or circumstances except to the extent required by applicable law.</w:t>
      </w:r>
    </w:p>
    <w:p w14:paraId="35D08F1F" w14:textId="77777777" w:rsidR="00D42204" w:rsidRDefault="004E439D">
      <w:pPr>
        <w:jc w:val="center"/>
      </w:pPr>
      <w:r>
        <w:rPr>
          <w:rFonts w:ascii="Times New Roman" w:eastAsia="宋体" w:hAnsi="Times New Roman"/>
          <w:color w:val="000000"/>
          <w:sz w:val="20"/>
          <w:szCs w:val="20"/>
        </w:rPr>
        <w:t>5</w:t>
      </w:r>
    </w:p>
    <w:p w14:paraId="35D08F20" w14:textId="77777777" w:rsidR="00D42204" w:rsidRDefault="004E439D">
      <w:r>
        <w:pict w14:anchorId="35D0C35E">
          <v:rect id="_x0000_i1029" style="width:415.3pt;height:1.5pt" o:hralign="center" o:hrstd="t" o:hr="t" fillcolor="#a0a0a0" stroked="f"/>
        </w:pict>
      </w:r>
    </w:p>
    <w:p w14:paraId="35D08F21" w14:textId="77777777" w:rsidR="00D42204" w:rsidRDefault="00D42204"/>
    <w:tbl>
      <w:tblPr>
        <w:tblW w:w="1520" w:type="pct"/>
        <w:tblCellMar>
          <w:top w:w="15" w:type="dxa"/>
          <w:left w:w="15" w:type="dxa"/>
          <w:bottom w:w="15" w:type="dxa"/>
          <w:right w:w="15" w:type="dxa"/>
        </w:tblCellMar>
        <w:tblLook w:val="04A0" w:firstRow="1" w:lastRow="0" w:firstColumn="1" w:lastColumn="0" w:noHBand="0" w:noVBand="1"/>
      </w:tblPr>
      <w:tblGrid>
        <w:gridCol w:w="37"/>
        <w:gridCol w:w="840"/>
        <w:gridCol w:w="36"/>
        <w:gridCol w:w="37"/>
        <w:gridCol w:w="1548"/>
        <w:gridCol w:w="36"/>
      </w:tblGrid>
      <w:tr w:rsidR="00D42204" w14:paraId="35D08F28" w14:textId="77777777">
        <w:tc>
          <w:tcPr>
            <w:tcW w:w="50" w:type="pct"/>
            <w:shd w:val="clear" w:color="auto" w:fill="auto"/>
            <w:vAlign w:val="bottom"/>
          </w:tcPr>
          <w:p w14:paraId="35D08F22" w14:textId="77777777" w:rsidR="00D42204" w:rsidRDefault="00D42204">
            <w:pPr>
              <w:rPr>
                <w:rFonts w:ascii="宋体"/>
              </w:rPr>
            </w:pPr>
          </w:p>
        </w:tc>
        <w:tc>
          <w:tcPr>
            <w:tcW w:w="1747" w:type="pct"/>
            <w:shd w:val="clear" w:color="auto" w:fill="auto"/>
            <w:vAlign w:val="bottom"/>
          </w:tcPr>
          <w:p w14:paraId="35D08F23" w14:textId="77777777" w:rsidR="00D42204" w:rsidRDefault="00D42204">
            <w:pPr>
              <w:rPr>
                <w:rFonts w:ascii="宋体"/>
              </w:rPr>
            </w:pPr>
          </w:p>
        </w:tc>
        <w:tc>
          <w:tcPr>
            <w:tcW w:w="5" w:type="pct"/>
            <w:shd w:val="clear" w:color="auto" w:fill="auto"/>
            <w:vAlign w:val="bottom"/>
          </w:tcPr>
          <w:p w14:paraId="35D08F24" w14:textId="77777777" w:rsidR="00D42204" w:rsidRDefault="00D42204">
            <w:pPr>
              <w:rPr>
                <w:rFonts w:ascii="宋体"/>
              </w:rPr>
            </w:pPr>
          </w:p>
        </w:tc>
        <w:tc>
          <w:tcPr>
            <w:tcW w:w="50" w:type="pct"/>
            <w:shd w:val="clear" w:color="auto" w:fill="auto"/>
            <w:vAlign w:val="bottom"/>
          </w:tcPr>
          <w:p w14:paraId="35D08F25" w14:textId="77777777" w:rsidR="00D42204" w:rsidRDefault="00D42204">
            <w:pPr>
              <w:rPr>
                <w:rFonts w:ascii="宋体"/>
              </w:rPr>
            </w:pPr>
          </w:p>
        </w:tc>
        <w:tc>
          <w:tcPr>
            <w:tcW w:w="3142" w:type="pct"/>
            <w:shd w:val="clear" w:color="auto" w:fill="auto"/>
            <w:vAlign w:val="bottom"/>
          </w:tcPr>
          <w:p w14:paraId="35D08F26" w14:textId="77777777" w:rsidR="00D42204" w:rsidRDefault="00D42204">
            <w:pPr>
              <w:rPr>
                <w:rFonts w:ascii="宋体"/>
              </w:rPr>
            </w:pPr>
          </w:p>
        </w:tc>
        <w:tc>
          <w:tcPr>
            <w:tcW w:w="5" w:type="pct"/>
            <w:shd w:val="clear" w:color="auto" w:fill="auto"/>
            <w:vAlign w:val="bottom"/>
          </w:tcPr>
          <w:p w14:paraId="35D08F27" w14:textId="77777777" w:rsidR="00D42204" w:rsidRDefault="00D42204">
            <w:pPr>
              <w:rPr>
                <w:rFonts w:ascii="宋体"/>
              </w:rPr>
            </w:pPr>
          </w:p>
        </w:tc>
      </w:tr>
      <w:tr w:rsidR="00D42204" w14:paraId="35D08F2B" w14:textId="77777777">
        <w:tc>
          <w:tcPr>
            <w:tcW w:w="0" w:type="auto"/>
            <w:gridSpan w:val="3"/>
            <w:shd w:val="clear" w:color="auto" w:fill="FFFFFF"/>
            <w:tcMar>
              <w:top w:w="40" w:type="dxa"/>
              <w:left w:w="20" w:type="dxa"/>
              <w:bottom w:w="40" w:type="dxa"/>
              <w:right w:w="20" w:type="dxa"/>
            </w:tcMar>
          </w:tcPr>
          <w:p w14:paraId="35D08F29" w14:textId="77777777" w:rsidR="00D42204" w:rsidRDefault="004E439D">
            <w:pPr>
              <w:textAlignment w:val="top"/>
            </w:pPr>
            <w:r>
              <w:rPr>
                <w:rFonts w:ascii="Times New Roman" w:eastAsia="宋体" w:hAnsi="Times New Roman"/>
                <w:b/>
                <w:bCs/>
                <w:color w:val="000000"/>
                <w:sz w:val="20"/>
                <w:szCs w:val="20"/>
                <w:u w:val="single"/>
              </w:rPr>
              <w:t>ITEM 1.</w:t>
            </w:r>
          </w:p>
        </w:tc>
        <w:tc>
          <w:tcPr>
            <w:tcW w:w="0" w:type="auto"/>
            <w:gridSpan w:val="3"/>
            <w:shd w:val="clear" w:color="auto" w:fill="FFFFFF"/>
            <w:tcMar>
              <w:top w:w="40" w:type="dxa"/>
              <w:left w:w="20" w:type="dxa"/>
              <w:bottom w:w="40" w:type="dxa"/>
              <w:right w:w="20" w:type="dxa"/>
            </w:tcMar>
          </w:tcPr>
          <w:p w14:paraId="35D08F2A" w14:textId="77777777" w:rsidR="00D42204" w:rsidRDefault="004E439D">
            <w:pPr>
              <w:textAlignment w:val="top"/>
            </w:pPr>
            <w:r>
              <w:rPr>
                <w:rFonts w:ascii="Times New Roman" w:eastAsia="宋体" w:hAnsi="Times New Roman"/>
                <w:b/>
                <w:bCs/>
                <w:color w:val="000000"/>
                <w:sz w:val="20"/>
                <w:szCs w:val="20"/>
                <w:u w:val="single"/>
              </w:rPr>
              <w:t>BUSINESS</w:t>
            </w:r>
          </w:p>
        </w:tc>
      </w:tr>
    </w:tbl>
    <w:p w14:paraId="35D08F2C" w14:textId="77777777" w:rsidR="00D42204" w:rsidRDefault="004E439D">
      <w:r>
        <w:rPr>
          <w:rFonts w:ascii="Times New Roman" w:eastAsia="宋体" w:hAnsi="Times New Roman"/>
          <w:b/>
          <w:bCs/>
          <w:color w:val="000000"/>
          <w:sz w:val="20"/>
          <w:szCs w:val="20"/>
        </w:rPr>
        <w:t>General</w:t>
      </w:r>
    </w:p>
    <w:p w14:paraId="35D08F2D" w14:textId="77777777" w:rsidR="00D42204" w:rsidRDefault="004E439D">
      <w:pPr>
        <w:spacing w:before="100"/>
      </w:pPr>
      <w:r>
        <w:rPr>
          <w:rFonts w:ascii="Times New Roman" w:eastAsia="宋体" w:hAnsi="Times New Roman"/>
          <w:color w:val="000000"/>
          <w:sz w:val="20"/>
          <w:szCs w:val="20"/>
        </w:rPr>
        <w:t xml:space="preserve">Walmart Inc. ("Walmart," the "Company" or "we") </w:t>
      </w:r>
      <w:r>
        <w:rPr>
          <w:rFonts w:ascii="Times New Roman" w:eastAsia="宋体" w:hAnsi="Times New Roman"/>
          <w:color w:val="000000"/>
          <w:sz w:val="20"/>
          <w:szCs w:val="20"/>
        </w:rPr>
        <w:t>helps people around the world save money and live better – anytime and anywhere – by providing the opportunity to shop in both retail stores and through eCommerce, and to access our other service offerings. Through innovation, we strive to continuously imp</w:t>
      </w:r>
      <w:r>
        <w:rPr>
          <w:rFonts w:ascii="Times New Roman" w:eastAsia="宋体" w:hAnsi="Times New Roman"/>
          <w:color w:val="000000"/>
          <w:sz w:val="20"/>
          <w:szCs w:val="20"/>
        </w:rPr>
        <w:t>rove a customer-centric experience that seamlessly integrates our eCommerce and retail stores in an omni-channel offering that saves time for our customers. Each week, we serve approximately 230 million customers who visit more than 10,500 stores and numer</w:t>
      </w:r>
      <w:r>
        <w:rPr>
          <w:rFonts w:ascii="Times New Roman" w:eastAsia="宋体" w:hAnsi="Times New Roman"/>
          <w:color w:val="000000"/>
          <w:sz w:val="20"/>
          <w:szCs w:val="20"/>
        </w:rPr>
        <w:t>ous eCommerce websites under 46 banners in 24 countries.</w:t>
      </w:r>
    </w:p>
    <w:p w14:paraId="35D08F2E" w14:textId="77777777" w:rsidR="00D42204" w:rsidRDefault="004E439D">
      <w:pPr>
        <w:spacing w:before="100"/>
      </w:pPr>
      <w:r>
        <w:rPr>
          <w:rFonts w:ascii="Times New Roman" w:eastAsia="宋体" w:hAnsi="Times New Roman"/>
          <w:color w:val="000000"/>
          <w:sz w:val="20"/>
          <w:szCs w:val="20"/>
        </w:rPr>
        <w:t>Our strategy is to make every day easier for busy families, operate with discipline, sharpen our culture and become more digital, and make trust a competitive advantage. Making life easier for busy f</w:t>
      </w:r>
      <w:r>
        <w:rPr>
          <w:rFonts w:ascii="Times New Roman" w:eastAsia="宋体" w:hAnsi="Times New Roman"/>
          <w:color w:val="000000"/>
          <w:sz w:val="20"/>
          <w:szCs w:val="20"/>
        </w:rPr>
        <w:t xml:space="preserve">amilies includes our commitment to price leadership, which has been and will remain a cornerstone of our business, as well as increasing convenience to save our customers time. By leading on price, we earn the trust of our customers every day by providing </w:t>
      </w:r>
      <w:r>
        <w:rPr>
          <w:rFonts w:ascii="Times New Roman" w:eastAsia="宋体" w:hAnsi="Times New Roman"/>
          <w:color w:val="000000"/>
          <w:sz w:val="20"/>
          <w:szCs w:val="20"/>
        </w:rPr>
        <w:t>a broad assortment of quality merchandise and services at everyday low prices ("EDLP"). EDLP is our pricing philosophy under which we price items at a low price every day so our customers trust that our prices will not change under frequent promotional act</w:t>
      </w:r>
      <w:r>
        <w:rPr>
          <w:rFonts w:ascii="Times New Roman" w:eastAsia="宋体" w:hAnsi="Times New Roman"/>
          <w:color w:val="000000"/>
          <w:sz w:val="20"/>
          <w:szCs w:val="20"/>
        </w:rPr>
        <w:t>ivity. Everyday low cost ("EDLC") is our commitment to control expenses so our cost savings can be passed along to our customers.</w:t>
      </w:r>
    </w:p>
    <w:p w14:paraId="35D08F2F" w14:textId="77777777" w:rsidR="00D42204" w:rsidRDefault="004E439D">
      <w:pPr>
        <w:spacing w:before="100"/>
      </w:pPr>
      <w:r>
        <w:rPr>
          <w:rFonts w:ascii="Times New Roman" w:eastAsia="宋体" w:hAnsi="Times New Roman"/>
          <w:color w:val="000000"/>
          <w:sz w:val="20"/>
          <w:szCs w:val="20"/>
        </w:rPr>
        <w:t>Our operations comprise three reportable segments: Walmart U.S., Walmart International and Sam's Club. Our fiscal year ends on</w:t>
      </w:r>
      <w:r>
        <w:rPr>
          <w:rFonts w:ascii="Times New Roman" w:eastAsia="宋体" w:hAnsi="Times New Roman"/>
          <w:color w:val="000000"/>
          <w:sz w:val="20"/>
          <w:szCs w:val="20"/>
        </w:rPr>
        <w:t xml:space="preserve"> January 31 for our United States ("U.S.") and Canadian operations. We consolidate all other operations generally using a one-month lag and on a calendar year basis. Our discussion is as of and for the fiscal years ended January 31, 2022 ("fiscal 2022"), J</w:t>
      </w:r>
      <w:r>
        <w:rPr>
          <w:rFonts w:ascii="Times New Roman" w:eastAsia="宋体" w:hAnsi="Times New Roman"/>
          <w:color w:val="000000"/>
          <w:sz w:val="20"/>
          <w:szCs w:val="20"/>
        </w:rPr>
        <w:t>anuary 31, 2021 ("fiscal 2021") and January 31, 2020 ("fiscal 2020"). During fiscal 2022, we generated total revenues of $572.8 billion, which was comprised primarily of net sales of $567.8 billion.</w:t>
      </w:r>
    </w:p>
    <w:p w14:paraId="35D08F30" w14:textId="77777777" w:rsidR="00D42204" w:rsidRDefault="004E439D">
      <w:pPr>
        <w:spacing w:before="100"/>
      </w:pPr>
      <w:r>
        <w:rPr>
          <w:rFonts w:ascii="Times New Roman" w:eastAsia="宋体" w:hAnsi="Times New Roman"/>
          <w:color w:val="000000"/>
          <w:sz w:val="20"/>
          <w:szCs w:val="20"/>
        </w:rPr>
        <w:t>We maintain our principal offices in Bentonville, Arkansa</w:t>
      </w:r>
      <w:r>
        <w:rPr>
          <w:rFonts w:ascii="Times New Roman" w:eastAsia="宋体" w:hAnsi="Times New Roman"/>
          <w:color w:val="000000"/>
          <w:sz w:val="20"/>
          <w:szCs w:val="20"/>
        </w:rPr>
        <w:t>s. Our common stock trades on the New York Stock Exchange under the symbol "WMT."</w:t>
      </w:r>
    </w:p>
    <w:p w14:paraId="35D08F31" w14:textId="77777777" w:rsidR="00D42204" w:rsidRDefault="004E439D">
      <w:pPr>
        <w:spacing w:before="180"/>
      </w:pPr>
      <w:r>
        <w:rPr>
          <w:rFonts w:ascii="Times New Roman" w:eastAsia="宋体" w:hAnsi="Times New Roman"/>
          <w:b/>
          <w:bCs/>
          <w:color w:val="000000"/>
          <w:sz w:val="20"/>
          <w:szCs w:val="20"/>
        </w:rPr>
        <w:t>The Development of Our Company</w:t>
      </w:r>
    </w:p>
    <w:p w14:paraId="35D08F32" w14:textId="77777777" w:rsidR="00D42204" w:rsidRDefault="004E439D">
      <w:pPr>
        <w:spacing w:before="180"/>
      </w:pPr>
      <w:r>
        <w:rPr>
          <w:rFonts w:ascii="Times New Roman" w:eastAsia="宋体" w:hAnsi="Times New Roman"/>
          <w:color w:val="000000"/>
          <w:sz w:val="20"/>
          <w:szCs w:val="20"/>
        </w:rPr>
        <w:t>The businesses conducted by our founders began in 1945 when Sam M. Walton opened a franchise Ben Franklin variety store in Newport, Arkansas. I</w:t>
      </w:r>
      <w:r>
        <w:rPr>
          <w:rFonts w:ascii="Times New Roman" w:eastAsia="宋体" w:hAnsi="Times New Roman"/>
          <w:color w:val="000000"/>
          <w:sz w:val="20"/>
          <w:szCs w:val="20"/>
        </w:rPr>
        <w:t>n 1946, his brother, James L. Walton, opened a similar store in Versailles, Missouri. Until 1962, our founders' business was devoted entirely to the operation of variety stores. In 1983, we opened our first Sam's Club, and in 1988, we opened our first supe</w:t>
      </w:r>
      <w:r>
        <w:rPr>
          <w:rFonts w:ascii="Times New Roman" w:eastAsia="宋体" w:hAnsi="Times New Roman"/>
          <w:color w:val="000000"/>
          <w:sz w:val="20"/>
          <w:szCs w:val="20"/>
        </w:rPr>
        <w:t>rcenter. In 1998, we opened our first Walmart Neighborhood Market. In 1991, we began our first international initiative when we entered into a joint venture in Mexico and, as of January 31, 2022, our Walmart International segment conducted business in 23 c</w:t>
      </w:r>
      <w:r>
        <w:rPr>
          <w:rFonts w:ascii="Times New Roman" w:eastAsia="宋体" w:hAnsi="Times New Roman"/>
          <w:color w:val="000000"/>
          <w:sz w:val="20"/>
          <w:szCs w:val="20"/>
        </w:rPr>
        <w:t>ountries.</w:t>
      </w:r>
    </w:p>
    <w:p w14:paraId="35D08F33" w14:textId="77777777" w:rsidR="00D42204" w:rsidRDefault="004E439D">
      <w:pPr>
        <w:spacing w:before="100"/>
      </w:pPr>
      <w:r>
        <w:rPr>
          <w:rFonts w:ascii="Times New Roman" w:eastAsia="宋体" w:hAnsi="Times New Roman"/>
          <w:color w:val="000000"/>
          <w:sz w:val="20"/>
          <w:szCs w:val="20"/>
        </w:rPr>
        <w:t>In 2000, we began our first eCommerce initiative by creating both walmart.com and samsclub.com. Since then, our eCommerce presence has continued to grow. In 2007, leveraging our physical stores, walmart.com launched its Site to Store service, ena</w:t>
      </w:r>
      <w:r>
        <w:rPr>
          <w:rFonts w:ascii="Times New Roman" w:eastAsia="宋体" w:hAnsi="Times New Roman"/>
          <w:color w:val="000000"/>
          <w:sz w:val="20"/>
          <w:szCs w:val="20"/>
        </w:rPr>
        <w:t>bling customers to make a purchase online and pick up merchandise in stores. To date, we now have over 8,000 pickup and 6,000 delivery locations globally. In recent years, we have heavily invested in omni-channel and eCommerce innovation, as well as made s</w:t>
      </w:r>
      <w:r>
        <w:rPr>
          <w:rFonts w:ascii="Times New Roman" w:eastAsia="宋体" w:hAnsi="Times New Roman"/>
          <w:color w:val="000000"/>
          <w:sz w:val="20"/>
          <w:szCs w:val="20"/>
        </w:rPr>
        <w:t>everal eCommerce acquisitions to better serve our customers. These investments have enabled us to leverage technology, talent and expertise, incubate digitally-native brands, and expand our assortment and service offerings. We have also continued to enhanc</w:t>
      </w:r>
      <w:r>
        <w:rPr>
          <w:rFonts w:ascii="Times New Roman" w:eastAsia="宋体" w:hAnsi="Times New Roman"/>
          <w:color w:val="000000"/>
          <w:sz w:val="20"/>
          <w:szCs w:val="20"/>
        </w:rPr>
        <w:t>e our eCommerce initiatives internationally, such as with our acquisition of a majority stake of Flipkart Private Limited ("Flipkart"), which is our ecosystem in India that includes eCommerce platforms of Flipkart and Myntra as well as PhonePe, a digital t</w:t>
      </w:r>
      <w:r>
        <w:rPr>
          <w:rFonts w:ascii="Times New Roman" w:eastAsia="宋体" w:hAnsi="Times New Roman"/>
          <w:color w:val="000000"/>
          <w:sz w:val="20"/>
          <w:szCs w:val="20"/>
        </w:rPr>
        <w:t>ransaction platform.</w:t>
      </w:r>
    </w:p>
    <w:p w14:paraId="35D08F34" w14:textId="77777777" w:rsidR="00D42204" w:rsidRDefault="004E439D">
      <w:pPr>
        <w:spacing w:before="100"/>
      </w:pPr>
      <w:r>
        <w:rPr>
          <w:rFonts w:ascii="Times New Roman" w:eastAsia="宋体" w:hAnsi="Times New Roman"/>
          <w:color w:val="000000"/>
          <w:sz w:val="20"/>
          <w:szCs w:val="20"/>
        </w:rPr>
        <w:t xml:space="preserve">We are enhancing our ecosystem with our omni-channel capabilities, stores, service offerings, eCommerce websites and marketplaces as well as our supply chain combined with approximately 2.3 million associates as of January 31, 2022 to </w:t>
      </w:r>
      <w:r>
        <w:rPr>
          <w:rFonts w:ascii="Times New Roman" w:eastAsia="宋体" w:hAnsi="Times New Roman"/>
          <w:color w:val="000000"/>
          <w:sz w:val="20"/>
          <w:szCs w:val="20"/>
        </w:rPr>
        <w:t>better serve our customers. Together, we believe these elements produce a flywheel effect which creates relationships where customers view Walmart as their primary destination. In the U.S., our Walmart+ membership incorporates several service offerings whi</w:t>
      </w:r>
      <w:r>
        <w:rPr>
          <w:rFonts w:ascii="Times New Roman" w:eastAsia="宋体" w:hAnsi="Times New Roman"/>
          <w:color w:val="000000"/>
          <w:sz w:val="20"/>
          <w:szCs w:val="20"/>
        </w:rPr>
        <w:t>ch provide enhanced omni-channel shopping experiences and benefits for members. As we execute on our strategy, our flywheel is accelerating through offerings such as our Walmart Connect advertising business, Walmart Fulfillment Services, our health and wel</w:t>
      </w:r>
      <w:r>
        <w:rPr>
          <w:rFonts w:ascii="Times New Roman" w:eastAsia="宋体" w:hAnsi="Times New Roman"/>
          <w:color w:val="000000"/>
          <w:sz w:val="20"/>
          <w:szCs w:val="20"/>
        </w:rPr>
        <w:t xml:space="preserve">lness business, including Walmart Health, and our financial services business. These offerings represent mutually reinforcing pieces of our flywheel centered around our customers around the world who are increasingly seeking convenience. </w:t>
      </w:r>
    </w:p>
    <w:p w14:paraId="35D08F35" w14:textId="77777777" w:rsidR="00D42204" w:rsidRDefault="004E439D">
      <w:pPr>
        <w:jc w:val="center"/>
      </w:pPr>
      <w:r>
        <w:rPr>
          <w:rFonts w:ascii="Times New Roman" w:eastAsia="宋体" w:hAnsi="Times New Roman"/>
          <w:color w:val="000000"/>
          <w:sz w:val="20"/>
          <w:szCs w:val="20"/>
        </w:rPr>
        <w:t>6</w:t>
      </w:r>
    </w:p>
    <w:p w14:paraId="35D08F36" w14:textId="77777777" w:rsidR="00D42204" w:rsidRDefault="004E439D">
      <w:r>
        <w:pict w14:anchorId="35D0C35F">
          <v:rect id="_x0000_i1030" style="width:415.3pt;height:1.5pt" o:hralign="center" o:hrstd="t" o:hr="t" fillcolor="#a0a0a0" stroked="f"/>
        </w:pict>
      </w:r>
    </w:p>
    <w:p w14:paraId="35D08F37" w14:textId="77777777" w:rsidR="00D42204" w:rsidRDefault="00D42204"/>
    <w:p w14:paraId="35D08F38" w14:textId="77777777" w:rsidR="00D42204" w:rsidRDefault="004E439D">
      <w:pPr>
        <w:spacing w:before="100"/>
      </w:pPr>
      <w:r>
        <w:rPr>
          <w:rFonts w:ascii="Times New Roman" w:eastAsia="宋体" w:hAnsi="Times New Roman"/>
          <w:b/>
          <w:bCs/>
          <w:color w:val="000000"/>
          <w:sz w:val="20"/>
          <w:szCs w:val="20"/>
        </w:rPr>
        <w:t xml:space="preserve">Information </w:t>
      </w:r>
      <w:r>
        <w:rPr>
          <w:rFonts w:ascii="Times New Roman" w:eastAsia="宋体" w:hAnsi="Times New Roman"/>
          <w:b/>
          <w:bCs/>
          <w:color w:val="000000"/>
          <w:sz w:val="20"/>
          <w:szCs w:val="20"/>
        </w:rPr>
        <w:t>About Our Segments</w:t>
      </w:r>
    </w:p>
    <w:p w14:paraId="35D08F39" w14:textId="77777777" w:rsidR="00D42204" w:rsidRDefault="004E439D">
      <w:pPr>
        <w:spacing w:before="100"/>
      </w:pPr>
      <w:r>
        <w:rPr>
          <w:rFonts w:ascii="Times New Roman" w:eastAsia="宋体" w:hAnsi="Times New Roman"/>
          <w:color w:val="000000"/>
          <w:sz w:val="20"/>
          <w:szCs w:val="20"/>
        </w:rPr>
        <w:t xml:space="preserve">We are engaged in global operations of retail, wholesale and other units, as well as eCommerce, located throughout the U.S., Africa, Canada, Central America, Chile, China, India and Mexico. We also previously operated in Argentina prior </w:t>
      </w:r>
      <w:r>
        <w:rPr>
          <w:rFonts w:ascii="Times New Roman" w:eastAsia="宋体" w:hAnsi="Times New Roman"/>
          <w:color w:val="000000"/>
          <w:sz w:val="20"/>
          <w:szCs w:val="20"/>
        </w:rPr>
        <w:t xml:space="preserve">to the sale of Walmart Argentina in fiscal 2021 and operated in the United Kingdom and Japan prior to the sale of those operations in the first quarter of fiscal 2022. Refer to </w:t>
      </w:r>
      <w:hyperlink r:id="rId79" w:anchor="i1ba69ebb72ec48f9b754a5e96c4cdf3f_190"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xml:space="preserve"> to our Consolidated Financial Statements for information on these divestitures. Our operations are conducted in three reportable segments: Walmart U.S., Walmart Internationa</w:t>
      </w:r>
      <w:r>
        <w:rPr>
          <w:rFonts w:ascii="Times New Roman" w:eastAsia="宋体" w:hAnsi="Times New Roman"/>
          <w:color w:val="000000"/>
          <w:sz w:val="20"/>
          <w:szCs w:val="20"/>
        </w:rPr>
        <w:t>l and Sam's Club, which are further described below. Each segment contributes to the Company's operating results differently. However, each has generally maintained a consistent contribution rate to the Company's net sales and operating income in recent ye</w:t>
      </w:r>
      <w:r>
        <w:rPr>
          <w:rFonts w:ascii="Times New Roman" w:eastAsia="宋体" w:hAnsi="Times New Roman"/>
          <w:color w:val="000000"/>
          <w:sz w:val="20"/>
          <w:szCs w:val="20"/>
        </w:rPr>
        <w:t xml:space="preserve">ars other than minor changes to the contribution rate for the Walmart International segment due to fluctuations in currency exchange rates. Additional information on our operating segments and geographic information is contained in </w:t>
      </w:r>
      <w:hyperlink r:id="rId80" w:anchor="i1ba69ebb72ec48f9b754a5e96c4cdf3f_193" w:history="1">
        <w:r>
          <w:rPr>
            <w:rStyle w:val="a5"/>
            <w:rFonts w:ascii="Times New Roman" w:eastAsia="宋体" w:hAnsi="Times New Roman"/>
            <w:sz w:val="20"/>
            <w:szCs w:val="20"/>
          </w:rPr>
          <w:t>Note 13</w:t>
        </w:r>
      </w:hyperlink>
      <w:r>
        <w:rPr>
          <w:rFonts w:ascii="Times New Roman" w:eastAsia="宋体" w:hAnsi="Times New Roman"/>
          <w:color w:val="000000"/>
          <w:sz w:val="20"/>
          <w:szCs w:val="20"/>
        </w:rPr>
        <w:t xml:space="preserve"> to our Consolidated Financial Statements. </w:t>
      </w:r>
    </w:p>
    <w:p w14:paraId="35D08F3A" w14:textId="77777777" w:rsidR="00D42204" w:rsidRDefault="004E439D">
      <w:pPr>
        <w:spacing w:before="180"/>
      </w:pPr>
      <w:r>
        <w:rPr>
          <w:rFonts w:ascii="Times New Roman" w:eastAsia="宋体" w:hAnsi="Times New Roman"/>
          <w:b/>
          <w:bCs/>
          <w:color w:val="000000"/>
          <w:sz w:val="20"/>
          <w:szCs w:val="20"/>
        </w:rPr>
        <w:t>Walmart U.S. Segment</w:t>
      </w:r>
    </w:p>
    <w:p w14:paraId="35D08F3B" w14:textId="77777777" w:rsidR="00D42204" w:rsidRDefault="004E439D">
      <w:pPr>
        <w:spacing w:before="100"/>
      </w:pPr>
      <w:r>
        <w:rPr>
          <w:rFonts w:ascii="Times New Roman" w:eastAsia="宋体" w:hAnsi="Times New Roman"/>
          <w:color w:val="000000"/>
          <w:sz w:val="20"/>
          <w:szCs w:val="20"/>
        </w:rPr>
        <w:t>Walmart U.S. is our largest segment and operates in th</w:t>
      </w:r>
      <w:r>
        <w:rPr>
          <w:rFonts w:ascii="Times New Roman" w:eastAsia="宋体" w:hAnsi="Times New Roman"/>
          <w:color w:val="000000"/>
          <w:sz w:val="20"/>
          <w:szCs w:val="20"/>
        </w:rPr>
        <w:t>e U.S., including in all 50 states, Washington D.C. and Puerto Rico. Walmart U.S. is a mass merchandiser of consumer products, operating under the "Walmart" and "Walmart Neighborhood Market" brands, as well as walmart.com and other eCommerce brands. Walmar</w:t>
      </w:r>
      <w:r>
        <w:rPr>
          <w:rFonts w:ascii="Times New Roman" w:eastAsia="宋体" w:hAnsi="Times New Roman"/>
          <w:color w:val="000000"/>
          <w:sz w:val="20"/>
          <w:szCs w:val="20"/>
        </w:rPr>
        <w:t>t U.S. had net sales of $393.2 billion for fiscal 2022, representing 69% of our fiscal 2022 consolidated net sales, and had net sales of $370.0 billion and $341.0 billion for fiscal 2021 and 2020, respectively. Of our three segments, Walmart U.S. has histo</w:t>
      </w:r>
      <w:r>
        <w:rPr>
          <w:rFonts w:ascii="Times New Roman" w:eastAsia="宋体" w:hAnsi="Times New Roman"/>
          <w:color w:val="000000"/>
          <w:sz w:val="20"/>
          <w:szCs w:val="20"/>
        </w:rPr>
        <w:t xml:space="preserve">rically had the highest gross profit as a percentage of net sales ("gross profit rate"). In addition, Walmart U.S. has historically contributed the greatest amount to the Company's net sales and operating income. </w:t>
      </w:r>
    </w:p>
    <w:p w14:paraId="35D08F3C" w14:textId="77777777" w:rsidR="00D42204" w:rsidRDefault="004E439D">
      <w:pPr>
        <w:spacing w:before="180"/>
      </w:pPr>
      <w:r>
        <w:rPr>
          <w:rFonts w:ascii="Times New Roman" w:eastAsia="宋体" w:hAnsi="Times New Roman"/>
          <w:b/>
          <w:bCs/>
          <w:color w:val="000000"/>
          <w:sz w:val="20"/>
          <w:szCs w:val="20"/>
          <w:u w:val="single"/>
        </w:rPr>
        <w:t>Omni-channel.</w:t>
      </w:r>
      <w:r>
        <w:rPr>
          <w:rFonts w:ascii="Times New Roman" w:eastAsia="宋体" w:hAnsi="Times New Roman"/>
          <w:color w:val="000000"/>
          <w:sz w:val="20"/>
          <w:szCs w:val="20"/>
        </w:rPr>
        <w:t xml:space="preserve"> Walmart U.S. provides an omn</w:t>
      </w:r>
      <w:r>
        <w:rPr>
          <w:rFonts w:ascii="Times New Roman" w:eastAsia="宋体" w:hAnsi="Times New Roman"/>
          <w:color w:val="000000"/>
          <w:sz w:val="20"/>
          <w:szCs w:val="20"/>
        </w:rPr>
        <w:t>i-channel experience to customers, integrating retail stores and eCommerce, through services such as pickup and delivery, ship-from-store, and digital pharmacy fulfillment options. As of January 31, 2022, we had approximately 4,600 pickup locations and mor</w:t>
      </w:r>
      <w:r>
        <w:rPr>
          <w:rFonts w:ascii="Times New Roman" w:eastAsia="宋体" w:hAnsi="Times New Roman"/>
          <w:color w:val="000000"/>
          <w:sz w:val="20"/>
          <w:szCs w:val="20"/>
        </w:rPr>
        <w:t>e than 3,500 same-day delivery locations. Our Walmart+ membership offering provides enhanced omni-channel shopping benefits that currently include unlimited free shipping on eligible items with no order minimum, unlimited delivery from store, fuel and phar</w:t>
      </w:r>
      <w:r>
        <w:rPr>
          <w:rFonts w:ascii="Times New Roman" w:eastAsia="宋体" w:hAnsi="Times New Roman"/>
          <w:color w:val="000000"/>
          <w:sz w:val="20"/>
          <w:szCs w:val="20"/>
        </w:rPr>
        <w:t>macy discounts, and mobile scan &amp; go for a streamlined in-store shopping experience. We have several eCommerce websites, the largest of which is walmart.com. We define eCommerce sales as sales initiated by customers digitally and fulfilled by a number of m</w:t>
      </w:r>
      <w:r>
        <w:rPr>
          <w:rFonts w:ascii="Times New Roman" w:eastAsia="宋体" w:hAnsi="Times New Roman"/>
          <w:color w:val="000000"/>
          <w:sz w:val="20"/>
          <w:szCs w:val="20"/>
        </w:rPr>
        <w:t>ethods including our dedicated eCommerce fulfillment centers and leveraging our stores. The following table provides the approximate size of our retail stores as of January 31, 2022:</w:t>
      </w:r>
    </w:p>
    <w:tbl>
      <w:tblPr>
        <w:tblW w:w="4993" w:type="pct"/>
        <w:jc w:val="center"/>
        <w:tblCellMar>
          <w:top w:w="15" w:type="dxa"/>
          <w:left w:w="15" w:type="dxa"/>
          <w:bottom w:w="15" w:type="dxa"/>
          <w:right w:w="15" w:type="dxa"/>
        </w:tblCellMar>
        <w:tblLook w:val="04A0" w:firstRow="1" w:lastRow="0" w:firstColumn="1" w:lastColumn="0" w:noHBand="0" w:noVBand="1"/>
      </w:tblPr>
      <w:tblGrid>
        <w:gridCol w:w="58"/>
        <w:gridCol w:w="5103"/>
        <w:gridCol w:w="37"/>
        <w:gridCol w:w="36"/>
        <w:gridCol w:w="36"/>
        <w:gridCol w:w="36"/>
        <w:gridCol w:w="62"/>
        <w:gridCol w:w="835"/>
        <w:gridCol w:w="36"/>
        <w:gridCol w:w="36"/>
        <w:gridCol w:w="36"/>
        <w:gridCol w:w="36"/>
        <w:gridCol w:w="65"/>
        <w:gridCol w:w="832"/>
        <w:gridCol w:w="36"/>
        <w:gridCol w:w="36"/>
        <w:gridCol w:w="36"/>
        <w:gridCol w:w="36"/>
        <w:gridCol w:w="53"/>
        <w:gridCol w:w="847"/>
        <w:gridCol w:w="36"/>
      </w:tblGrid>
      <w:tr w:rsidR="00D42204" w14:paraId="35D08F52" w14:textId="77777777">
        <w:trPr>
          <w:jc w:val="center"/>
        </w:trPr>
        <w:tc>
          <w:tcPr>
            <w:tcW w:w="50" w:type="pct"/>
            <w:shd w:val="clear" w:color="auto" w:fill="auto"/>
            <w:vAlign w:val="bottom"/>
          </w:tcPr>
          <w:p w14:paraId="35D08F3D" w14:textId="77777777" w:rsidR="00D42204" w:rsidRDefault="00D42204">
            <w:pPr>
              <w:rPr>
                <w:rFonts w:ascii="宋体"/>
              </w:rPr>
            </w:pPr>
          </w:p>
        </w:tc>
        <w:tc>
          <w:tcPr>
            <w:tcW w:w="3078" w:type="pct"/>
            <w:shd w:val="clear" w:color="auto" w:fill="auto"/>
            <w:vAlign w:val="bottom"/>
          </w:tcPr>
          <w:p w14:paraId="35D08F3E" w14:textId="77777777" w:rsidR="00D42204" w:rsidRDefault="00D42204">
            <w:pPr>
              <w:rPr>
                <w:rFonts w:ascii="宋体"/>
              </w:rPr>
            </w:pPr>
          </w:p>
        </w:tc>
        <w:tc>
          <w:tcPr>
            <w:tcW w:w="5" w:type="pct"/>
            <w:shd w:val="clear" w:color="auto" w:fill="auto"/>
            <w:vAlign w:val="bottom"/>
          </w:tcPr>
          <w:p w14:paraId="35D08F3F" w14:textId="77777777" w:rsidR="00D42204" w:rsidRDefault="00D42204">
            <w:pPr>
              <w:rPr>
                <w:rFonts w:ascii="宋体"/>
              </w:rPr>
            </w:pPr>
          </w:p>
        </w:tc>
        <w:tc>
          <w:tcPr>
            <w:tcW w:w="5" w:type="pct"/>
            <w:shd w:val="clear" w:color="auto" w:fill="auto"/>
            <w:vAlign w:val="bottom"/>
          </w:tcPr>
          <w:p w14:paraId="35D08F40" w14:textId="77777777" w:rsidR="00D42204" w:rsidRDefault="00D42204">
            <w:pPr>
              <w:rPr>
                <w:rFonts w:ascii="宋体"/>
              </w:rPr>
            </w:pPr>
          </w:p>
        </w:tc>
        <w:tc>
          <w:tcPr>
            <w:tcW w:w="26" w:type="pct"/>
            <w:shd w:val="clear" w:color="auto" w:fill="auto"/>
            <w:vAlign w:val="bottom"/>
          </w:tcPr>
          <w:p w14:paraId="35D08F41" w14:textId="77777777" w:rsidR="00D42204" w:rsidRDefault="00D42204">
            <w:pPr>
              <w:rPr>
                <w:rFonts w:ascii="宋体"/>
              </w:rPr>
            </w:pPr>
          </w:p>
        </w:tc>
        <w:tc>
          <w:tcPr>
            <w:tcW w:w="5" w:type="pct"/>
            <w:shd w:val="clear" w:color="auto" w:fill="auto"/>
            <w:vAlign w:val="bottom"/>
          </w:tcPr>
          <w:p w14:paraId="35D08F42" w14:textId="77777777" w:rsidR="00D42204" w:rsidRDefault="00D42204">
            <w:pPr>
              <w:rPr>
                <w:rFonts w:ascii="宋体"/>
              </w:rPr>
            </w:pPr>
          </w:p>
        </w:tc>
        <w:tc>
          <w:tcPr>
            <w:tcW w:w="50" w:type="pct"/>
            <w:shd w:val="clear" w:color="auto" w:fill="auto"/>
            <w:vAlign w:val="bottom"/>
          </w:tcPr>
          <w:p w14:paraId="35D08F43" w14:textId="77777777" w:rsidR="00D42204" w:rsidRDefault="00D42204">
            <w:pPr>
              <w:rPr>
                <w:rFonts w:ascii="宋体"/>
              </w:rPr>
            </w:pPr>
          </w:p>
        </w:tc>
        <w:tc>
          <w:tcPr>
            <w:tcW w:w="530" w:type="pct"/>
            <w:shd w:val="clear" w:color="auto" w:fill="auto"/>
            <w:vAlign w:val="bottom"/>
          </w:tcPr>
          <w:p w14:paraId="35D08F44" w14:textId="77777777" w:rsidR="00D42204" w:rsidRDefault="00D42204">
            <w:pPr>
              <w:rPr>
                <w:rFonts w:ascii="宋体"/>
              </w:rPr>
            </w:pPr>
          </w:p>
        </w:tc>
        <w:tc>
          <w:tcPr>
            <w:tcW w:w="5" w:type="pct"/>
            <w:shd w:val="clear" w:color="auto" w:fill="auto"/>
            <w:vAlign w:val="bottom"/>
          </w:tcPr>
          <w:p w14:paraId="35D08F45" w14:textId="77777777" w:rsidR="00D42204" w:rsidRDefault="00D42204">
            <w:pPr>
              <w:rPr>
                <w:rFonts w:ascii="宋体"/>
              </w:rPr>
            </w:pPr>
          </w:p>
        </w:tc>
        <w:tc>
          <w:tcPr>
            <w:tcW w:w="5" w:type="pct"/>
            <w:shd w:val="clear" w:color="auto" w:fill="auto"/>
            <w:vAlign w:val="bottom"/>
          </w:tcPr>
          <w:p w14:paraId="35D08F46" w14:textId="77777777" w:rsidR="00D42204" w:rsidRDefault="00D42204">
            <w:pPr>
              <w:rPr>
                <w:rFonts w:ascii="宋体"/>
              </w:rPr>
            </w:pPr>
          </w:p>
        </w:tc>
        <w:tc>
          <w:tcPr>
            <w:tcW w:w="26" w:type="pct"/>
            <w:shd w:val="clear" w:color="auto" w:fill="auto"/>
            <w:vAlign w:val="bottom"/>
          </w:tcPr>
          <w:p w14:paraId="35D08F47" w14:textId="77777777" w:rsidR="00D42204" w:rsidRDefault="00D42204">
            <w:pPr>
              <w:rPr>
                <w:rFonts w:ascii="宋体"/>
              </w:rPr>
            </w:pPr>
          </w:p>
        </w:tc>
        <w:tc>
          <w:tcPr>
            <w:tcW w:w="5" w:type="pct"/>
            <w:shd w:val="clear" w:color="auto" w:fill="auto"/>
            <w:vAlign w:val="bottom"/>
          </w:tcPr>
          <w:p w14:paraId="35D08F48" w14:textId="77777777" w:rsidR="00D42204" w:rsidRDefault="00D42204">
            <w:pPr>
              <w:rPr>
                <w:rFonts w:ascii="宋体"/>
              </w:rPr>
            </w:pPr>
          </w:p>
        </w:tc>
        <w:tc>
          <w:tcPr>
            <w:tcW w:w="50" w:type="pct"/>
            <w:shd w:val="clear" w:color="auto" w:fill="auto"/>
            <w:vAlign w:val="bottom"/>
          </w:tcPr>
          <w:p w14:paraId="35D08F49" w14:textId="77777777" w:rsidR="00D42204" w:rsidRDefault="00D42204">
            <w:pPr>
              <w:rPr>
                <w:rFonts w:ascii="宋体"/>
              </w:rPr>
            </w:pPr>
          </w:p>
        </w:tc>
        <w:tc>
          <w:tcPr>
            <w:tcW w:w="530" w:type="pct"/>
            <w:shd w:val="clear" w:color="auto" w:fill="auto"/>
            <w:vAlign w:val="bottom"/>
          </w:tcPr>
          <w:p w14:paraId="35D08F4A" w14:textId="77777777" w:rsidR="00D42204" w:rsidRDefault="00D42204">
            <w:pPr>
              <w:rPr>
                <w:rFonts w:ascii="宋体"/>
              </w:rPr>
            </w:pPr>
          </w:p>
        </w:tc>
        <w:tc>
          <w:tcPr>
            <w:tcW w:w="5" w:type="pct"/>
            <w:shd w:val="clear" w:color="auto" w:fill="auto"/>
            <w:vAlign w:val="bottom"/>
          </w:tcPr>
          <w:p w14:paraId="35D08F4B" w14:textId="77777777" w:rsidR="00D42204" w:rsidRDefault="00D42204">
            <w:pPr>
              <w:rPr>
                <w:rFonts w:ascii="宋体"/>
              </w:rPr>
            </w:pPr>
          </w:p>
        </w:tc>
        <w:tc>
          <w:tcPr>
            <w:tcW w:w="5" w:type="pct"/>
            <w:shd w:val="clear" w:color="auto" w:fill="auto"/>
            <w:vAlign w:val="bottom"/>
          </w:tcPr>
          <w:p w14:paraId="35D08F4C" w14:textId="77777777" w:rsidR="00D42204" w:rsidRDefault="00D42204">
            <w:pPr>
              <w:rPr>
                <w:rFonts w:ascii="宋体"/>
              </w:rPr>
            </w:pPr>
          </w:p>
        </w:tc>
        <w:tc>
          <w:tcPr>
            <w:tcW w:w="26" w:type="pct"/>
            <w:shd w:val="clear" w:color="auto" w:fill="auto"/>
            <w:vAlign w:val="bottom"/>
          </w:tcPr>
          <w:p w14:paraId="35D08F4D" w14:textId="77777777" w:rsidR="00D42204" w:rsidRDefault="00D42204">
            <w:pPr>
              <w:rPr>
                <w:rFonts w:ascii="宋体"/>
              </w:rPr>
            </w:pPr>
          </w:p>
        </w:tc>
        <w:tc>
          <w:tcPr>
            <w:tcW w:w="5" w:type="pct"/>
            <w:shd w:val="clear" w:color="auto" w:fill="auto"/>
            <w:vAlign w:val="bottom"/>
          </w:tcPr>
          <w:p w14:paraId="35D08F4E" w14:textId="77777777" w:rsidR="00D42204" w:rsidRDefault="00D42204">
            <w:pPr>
              <w:rPr>
                <w:rFonts w:ascii="宋体"/>
              </w:rPr>
            </w:pPr>
          </w:p>
        </w:tc>
        <w:tc>
          <w:tcPr>
            <w:tcW w:w="50" w:type="pct"/>
            <w:shd w:val="clear" w:color="auto" w:fill="auto"/>
            <w:vAlign w:val="bottom"/>
          </w:tcPr>
          <w:p w14:paraId="35D08F4F" w14:textId="77777777" w:rsidR="00D42204" w:rsidRDefault="00D42204">
            <w:pPr>
              <w:rPr>
                <w:rFonts w:ascii="宋体"/>
              </w:rPr>
            </w:pPr>
          </w:p>
        </w:tc>
        <w:tc>
          <w:tcPr>
            <w:tcW w:w="530" w:type="pct"/>
            <w:shd w:val="clear" w:color="auto" w:fill="auto"/>
            <w:vAlign w:val="bottom"/>
          </w:tcPr>
          <w:p w14:paraId="35D08F50" w14:textId="77777777" w:rsidR="00D42204" w:rsidRDefault="00D42204">
            <w:pPr>
              <w:rPr>
                <w:rFonts w:ascii="宋体"/>
              </w:rPr>
            </w:pPr>
          </w:p>
        </w:tc>
        <w:tc>
          <w:tcPr>
            <w:tcW w:w="5" w:type="pct"/>
            <w:shd w:val="clear" w:color="auto" w:fill="auto"/>
            <w:vAlign w:val="bottom"/>
          </w:tcPr>
          <w:p w14:paraId="35D08F51" w14:textId="77777777" w:rsidR="00D42204" w:rsidRDefault="00D42204">
            <w:pPr>
              <w:rPr>
                <w:rFonts w:ascii="宋体"/>
              </w:rPr>
            </w:pPr>
          </w:p>
        </w:tc>
      </w:tr>
      <w:tr w:rsidR="00D42204" w14:paraId="35D08F5A" w14:textId="77777777">
        <w:trPr>
          <w:jc w:val="center"/>
        </w:trPr>
        <w:tc>
          <w:tcPr>
            <w:tcW w:w="0" w:type="auto"/>
            <w:gridSpan w:val="3"/>
            <w:shd w:val="clear" w:color="auto" w:fill="auto"/>
            <w:tcMar>
              <w:top w:w="0" w:type="dxa"/>
              <w:left w:w="20" w:type="dxa"/>
              <w:bottom w:w="0" w:type="dxa"/>
              <w:right w:w="20" w:type="dxa"/>
            </w:tcMar>
            <w:vAlign w:val="bottom"/>
          </w:tcPr>
          <w:p w14:paraId="35D08F53"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8F54"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8F55" w14:textId="77777777" w:rsidR="00D42204" w:rsidRDefault="004E439D">
            <w:pPr>
              <w:jc w:val="center"/>
              <w:textAlignment w:val="bottom"/>
            </w:pPr>
            <w:r>
              <w:rPr>
                <w:rFonts w:ascii="Times New Roman" w:eastAsia="宋体" w:hAnsi="Times New Roman"/>
                <w:b/>
                <w:bCs/>
                <w:color w:val="000000"/>
                <w:sz w:val="16"/>
                <w:szCs w:val="16"/>
              </w:rPr>
              <w:t>Minimum Square Feet</w:t>
            </w:r>
          </w:p>
        </w:tc>
        <w:tc>
          <w:tcPr>
            <w:tcW w:w="0" w:type="auto"/>
            <w:gridSpan w:val="3"/>
            <w:shd w:val="clear" w:color="auto" w:fill="auto"/>
            <w:tcMar>
              <w:top w:w="0" w:type="dxa"/>
              <w:left w:w="20" w:type="dxa"/>
              <w:bottom w:w="0" w:type="dxa"/>
              <w:right w:w="20" w:type="dxa"/>
            </w:tcMar>
            <w:vAlign w:val="bottom"/>
          </w:tcPr>
          <w:p w14:paraId="35D08F56"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8F57" w14:textId="77777777" w:rsidR="00D42204" w:rsidRDefault="004E439D">
            <w:pPr>
              <w:jc w:val="center"/>
              <w:textAlignment w:val="bottom"/>
            </w:pPr>
            <w:r>
              <w:rPr>
                <w:rFonts w:ascii="Times New Roman" w:eastAsia="宋体" w:hAnsi="Times New Roman"/>
                <w:b/>
                <w:bCs/>
                <w:color w:val="000000"/>
                <w:sz w:val="16"/>
                <w:szCs w:val="16"/>
              </w:rPr>
              <w:t>Maximum Square Feet</w:t>
            </w:r>
          </w:p>
        </w:tc>
        <w:tc>
          <w:tcPr>
            <w:tcW w:w="0" w:type="auto"/>
            <w:gridSpan w:val="3"/>
            <w:shd w:val="clear" w:color="auto" w:fill="auto"/>
            <w:tcMar>
              <w:top w:w="0" w:type="dxa"/>
              <w:left w:w="20" w:type="dxa"/>
              <w:bottom w:w="0" w:type="dxa"/>
              <w:right w:w="20" w:type="dxa"/>
            </w:tcMar>
            <w:vAlign w:val="bottom"/>
          </w:tcPr>
          <w:p w14:paraId="35D08F58"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8F59" w14:textId="77777777" w:rsidR="00D42204" w:rsidRDefault="004E439D">
            <w:pPr>
              <w:jc w:val="center"/>
              <w:textAlignment w:val="bottom"/>
            </w:pPr>
            <w:r>
              <w:rPr>
                <w:rFonts w:ascii="Times New Roman" w:eastAsia="宋体" w:hAnsi="Times New Roman"/>
                <w:b/>
                <w:bCs/>
                <w:color w:val="000000"/>
                <w:sz w:val="16"/>
                <w:szCs w:val="16"/>
              </w:rPr>
              <w:t>Average Square Feet</w:t>
            </w:r>
          </w:p>
        </w:tc>
      </w:tr>
      <w:tr w:rsidR="00D42204" w14:paraId="35D08F65"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8F5B" w14:textId="77777777" w:rsidR="00D42204" w:rsidRDefault="004E439D">
            <w:pPr>
              <w:textAlignment w:val="center"/>
            </w:pPr>
            <w:r>
              <w:rPr>
                <w:rFonts w:ascii="Times New Roman" w:eastAsia="宋体" w:hAnsi="Times New Roman"/>
                <w:color w:val="000000"/>
                <w:sz w:val="16"/>
                <w:szCs w:val="16"/>
              </w:rPr>
              <w:t>Supercenters (general merchandise and grocery)</w:t>
            </w:r>
          </w:p>
        </w:tc>
        <w:tc>
          <w:tcPr>
            <w:tcW w:w="0" w:type="auto"/>
            <w:gridSpan w:val="3"/>
            <w:shd w:val="clear" w:color="auto" w:fill="CCEEFF"/>
            <w:tcMar>
              <w:top w:w="0" w:type="dxa"/>
              <w:left w:w="20" w:type="dxa"/>
              <w:bottom w:w="0" w:type="dxa"/>
              <w:right w:w="20" w:type="dxa"/>
            </w:tcMar>
            <w:vAlign w:val="bottom"/>
          </w:tcPr>
          <w:p w14:paraId="35D08F5C"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8F5D" w14:textId="77777777" w:rsidR="00D42204" w:rsidRDefault="004E439D">
            <w:pPr>
              <w:jc w:val="right"/>
              <w:textAlignment w:val="center"/>
            </w:pPr>
            <w:r>
              <w:rPr>
                <w:rFonts w:ascii="Times New Roman" w:eastAsia="宋体" w:hAnsi="Times New Roman"/>
                <w:color w:val="000000"/>
                <w:sz w:val="16"/>
                <w:szCs w:val="16"/>
              </w:rPr>
              <w:t>69,000 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8F5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8F5F"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8F60" w14:textId="77777777" w:rsidR="00D42204" w:rsidRDefault="004E439D">
            <w:pPr>
              <w:jc w:val="right"/>
              <w:textAlignment w:val="center"/>
            </w:pPr>
            <w:r>
              <w:rPr>
                <w:rFonts w:ascii="Times New Roman" w:eastAsia="宋体" w:hAnsi="Times New Roman"/>
                <w:color w:val="000000"/>
                <w:sz w:val="16"/>
                <w:szCs w:val="16"/>
              </w:rPr>
              <w:t>260,000 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8F6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8F62"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8F63" w14:textId="77777777" w:rsidR="00D42204" w:rsidRDefault="004E439D">
            <w:pPr>
              <w:jc w:val="right"/>
              <w:textAlignment w:val="center"/>
            </w:pPr>
            <w:r>
              <w:rPr>
                <w:rFonts w:ascii="Times New Roman" w:eastAsia="宋体" w:hAnsi="Times New Roman"/>
                <w:color w:val="000000"/>
                <w:sz w:val="16"/>
                <w:szCs w:val="16"/>
              </w:rPr>
              <w:t>178,000 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8F64" w14:textId="77777777" w:rsidR="00D42204" w:rsidRDefault="00D42204">
            <w:pPr>
              <w:jc w:val="right"/>
              <w:rPr>
                <w:rFonts w:ascii="宋体"/>
              </w:rPr>
            </w:pPr>
          </w:p>
        </w:tc>
      </w:tr>
      <w:tr w:rsidR="00D42204" w14:paraId="35D08F70" w14:textId="77777777">
        <w:trPr>
          <w:jc w:val="center"/>
        </w:trPr>
        <w:tc>
          <w:tcPr>
            <w:tcW w:w="0" w:type="auto"/>
            <w:gridSpan w:val="3"/>
            <w:shd w:val="clear" w:color="auto" w:fill="FFFFFF"/>
            <w:tcMar>
              <w:top w:w="40" w:type="dxa"/>
              <w:left w:w="20" w:type="dxa"/>
              <w:bottom w:w="40" w:type="dxa"/>
              <w:right w:w="20" w:type="dxa"/>
            </w:tcMar>
            <w:vAlign w:val="center"/>
          </w:tcPr>
          <w:p w14:paraId="35D08F66" w14:textId="77777777" w:rsidR="00D42204" w:rsidRDefault="004E439D">
            <w:pPr>
              <w:textAlignment w:val="center"/>
            </w:pPr>
            <w:r>
              <w:rPr>
                <w:rFonts w:ascii="Times New Roman" w:eastAsia="宋体" w:hAnsi="Times New Roman"/>
                <w:color w:val="000000"/>
                <w:sz w:val="16"/>
                <w:szCs w:val="16"/>
              </w:rPr>
              <w:t>Discount stores (general merchandise and limited grocery)</w:t>
            </w:r>
          </w:p>
        </w:tc>
        <w:tc>
          <w:tcPr>
            <w:tcW w:w="0" w:type="auto"/>
            <w:gridSpan w:val="3"/>
            <w:shd w:val="clear" w:color="auto" w:fill="FFFFFF"/>
            <w:tcMar>
              <w:top w:w="0" w:type="dxa"/>
              <w:left w:w="20" w:type="dxa"/>
              <w:bottom w:w="0" w:type="dxa"/>
              <w:right w:w="20" w:type="dxa"/>
            </w:tcMar>
            <w:vAlign w:val="bottom"/>
          </w:tcPr>
          <w:p w14:paraId="35D08F6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8F68" w14:textId="77777777" w:rsidR="00D42204" w:rsidRDefault="004E439D">
            <w:pPr>
              <w:jc w:val="right"/>
              <w:textAlignment w:val="center"/>
            </w:pPr>
            <w:r>
              <w:rPr>
                <w:rFonts w:ascii="Times New Roman" w:eastAsia="宋体" w:hAnsi="Times New Roman"/>
                <w:color w:val="000000"/>
                <w:sz w:val="16"/>
                <w:szCs w:val="16"/>
              </w:rPr>
              <w:t>30,000 </w:t>
            </w:r>
          </w:p>
        </w:tc>
        <w:tc>
          <w:tcPr>
            <w:tcW w:w="0" w:type="auto"/>
            <w:shd w:val="clear" w:color="auto" w:fill="FFFFFF"/>
            <w:tcMar>
              <w:top w:w="40" w:type="dxa"/>
              <w:left w:w="0" w:type="dxa"/>
              <w:bottom w:w="40" w:type="dxa"/>
              <w:right w:w="20" w:type="dxa"/>
            </w:tcMar>
            <w:vAlign w:val="center"/>
          </w:tcPr>
          <w:p w14:paraId="35D08F6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8F6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8F6B" w14:textId="77777777" w:rsidR="00D42204" w:rsidRDefault="004E439D">
            <w:pPr>
              <w:jc w:val="right"/>
              <w:textAlignment w:val="center"/>
            </w:pPr>
            <w:r>
              <w:rPr>
                <w:rFonts w:ascii="Times New Roman" w:eastAsia="宋体" w:hAnsi="Times New Roman"/>
                <w:color w:val="000000"/>
                <w:sz w:val="16"/>
                <w:szCs w:val="16"/>
              </w:rPr>
              <w:t>221,000 </w:t>
            </w:r>
          </w:p>
        </w:tc>
        <w:tc>
          <w:tcPr>
            <w:tcW w:w="0" w:type="auto"/>
            <w:shd w:val="clear" w:color="auto" w:fill="FFFFFF"/>
            <w:tcMar>
              <w:top w:w="40" w:type="dxa"/>
              <w:left w:w="0" w:type="dxa"/>
              <w:bottom w:w="40" w:type="dxa"/>
              <w:right w:w="20" w:type="dxa"/>
            </w:tcMar>
            <w:vAlign w:val="center"/>
          </w:tcPr>
          <w:p w14:paraId="35D08F6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8F6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8F6E" w14:textId="77777777" w:rsidR="00D42204" w:rsidRDefault="004E439D">
            <w:pPr>
              <w:jc w:val="right"/>
              <w:textAlignment w:val="center"/>
            </w:pPr>
            <w:r>
              <w:rPr>
                <w:rFonts w:ascii="Times New Roman" w:eastAsia="宋体" w:hAnsi="Times New Roman"/>
                <w:color w:val="000000"/>
                <w:sz w:val="16"/>
                <w:szCs w:val="16"/>
              </w:rPr>
              <w:t>105,000 </w:t>
            </w:r>
          </w:p>
        </w:tc>
        <w:tc>
          <w:tcPr>
            <w:tcW w:w="0" w:type="auto"/>
            <w:shd w:val="clear" w:color="auto" w:fill="FFFFFF"/>
            <w:tcMar>
              <w:top w:w="40" w:type="dxa"/>
              <w:left w:w="0" w:type="dxa"/>
              <w:bottom w:w="40" w:type="dxa"/>
              <w:right w:w="20" w:type="dxa"/>
            </w:tcMar>
            <w:vAlign w:val="center"/>
          </w:tcPr>
          <w:p w14:paraId="35D08F6F" w14:textId="77777777" w:rsidR="00D42204" w:rsidRDefault="00D42204">
            <w:pPr>
              <w:jc w:val="right"/>
              <w:rPr>
                <w:rFonts w:ascii="宋体"/>
              </w:rPr>
            </w:pPr>
          </w:p>
        </w:tc>
      </w:tr>
      <w:tr w:rsidR="00D42204" w14:paraId="35D08F7B" w14:textId="77777777">
        <w:trPr>
          <w:jc w:val="center"/>
        </w:trPr>
        <w:tc>
          <w:tcPr>
            <w:tcW w:w="0" w:type="auto"/>
            <w:gridSpan w:val="3"/>
            <w:shd w:val="clear" w:color="auto" w:fill="CCEEFF"/>
            <w:tcMar>
              <w:top w:w="40" w:type="dxa"/>
              <w:left w:w="20" w:type="dxa"/>
              <w:bottom w:w="40" w:type="dxa"/>
              <w:right w:w="20" w:type="dxa"/>
            </w:tcMar>
            <w:vAlign w:val="center"/>
          </w:tcPr>
          <w:p w14:paraId="35D08F71" w14:textId="77777777" w:rsidR="00D42204" w:rsidRDefault="004E439D">
            <w:pPr>
              <w:textAlignment w:val="center"/>
            </w:pPr>
            <w:r>
              <w:rPr>
                <w:rFonts w:ascii="Times New Roman" w:eastAsia="宋体" w:hAnsi="Times New Roman"/>
                <w:color w:val="000000"/>
                <w:sz w:val="16"/>
                <w:szCs w:val="16"/>
              </w:rPr>
              <w:t>Neighborhood markets</w:t>
            </w:r>
            <w:r>
              <w:rPr>
                <w:rFonts w:ascii="Times New Roman" w:eastAsia="宋体" w:hAnsi="Times New Roman"/>
                <w:color w:val="000000"/>
                <w:sz w:val="10"/>
                <w:szCs w:val="10"/>
              </w:rPr>
              <w:t>(1)</w:t>
            </w:r>
            <w:r>
              <w:rPr>
                <w:rFonts w:ascii="Times New Roman" w:eastAsia="宋体" w:hAnsi="Times New Roman"/>
                <w:color w:val="000000"/>
                <w:sz w:val="16"/>
                <w:szCs w:val="16"/>
              </w:rPr>
              <w:t xml:space="preserve"> (grocery)</w:t>
            </w:r>
          </w:p>
        </w:tc>
        <w:tc>
          <w:tcPr>
            <w:tcW w:w="0" w:type="auto"/>
            <w:gridSpan w:val="3"/>
            <w:shd w:val="clear" w:color="auto" w:fill="CCEEFF"/>
            <w:tcMar>
              <w:top w:w="0" w:type="dxa"/>
              <w:left w:w="20" w:type="dxa"/>
              <w:bottom w:w="0" w:type="dxa"/>
              <w:right w:w="20" w:type="dxa"/>
            </w:tcMar>
            <w:vAlign w:val="bottom"/>
          </w:tcPr>
          <w:p w14:paraId="35D08F7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8F73" w14:textId="77777777" w:rsidR="00D42204" w:rsidRDefault="004E439D">
            <w:pPr>
              <w:jc w:val="right"/>
              <w:textAlignment w:val="center"/>
            </w:pPr>
            <w:r>
              <w:rPr>
                <w:rFonts w:ascii="Times New Roman" w:eastAsia="宋体" w:hAnsi="Times New Roman"/>
                <w:color w:val="000000"/>
                <w:sz w:val="16"/>
                <w:szCs w:val="16"/>
              </w:rPr>
              <w:t>28,000 </w:t>
            </w:r>
          </w:p>
        </w:tc>
        <w:tc>
          <w:tcPr>
            <w:tcW w:w="0" w:type="auto"/>
            <w:shd w:val="clear" w:color="auto" w:fill="CCEEFF"/>
            <w:tcMar>
              <w:top w:w="40" w:type="dxa"/>
              <w:left w:w="0" w:type="dxa"/>
              <w:bottom w:w="40" w:type="dxa"/>
              <w:right w:w="20" w:type="dxa"/>
            </w:tcMar>
            <w:vAlign w:val="center"/>
          </w:tcPr>
          <w:p w14:paraId="35D08F7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8F7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8F76" w14:textId="77777777" w:rsidR="00D42204" w:rsidRDefault="004E439D">
            <w:pPr>
              <w:jc w:val="right"/>
              <w:textAlignment w:val="center"/>
            </w:pPr>
            <w:r>
              <w:rPr>
                <w:rFonts w:ascii="Times New Roman" w:eastAsia="宋体" w:hAnsi="Times New Roman"/>
                <w:color w:val="000000"/>
                <w:sz w:val="16"/>
                <w:szCs w:val="16"/>
              </w:rPr>
              <w:t>65,000 </w:t>
            </w:r>
          </w:p>
        </w:tc>
        <w:tc>
          <w:tcPr>
            <w:tcW w:w="0" w:type="auto"/>
            <w:shd w:val="clear" w:color="auto" w:fill="CCEEFF"/>
            <w:tcMar>
              <w:top w:w="40" w:type="dxa"/>
              <w:left w:w="0" w:type="dxa"/>
              <w:bottom w:w="40" w:type="dxa"/>
              <w:right w:w="20" w:type="dxa"/>
            </w:tcMar>
            <w:vAlign w:val="center"/>
          </w:tcPr>
          <w:p w14:paraId="35D08F7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8F7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8F79" w14:textId="77777777" w:rsidR="00D42204" w:rsidRDefault="004E439D">
            <w:pPr>
              <w:jc w:val="right"/>
              <w:textAlignment w:val="center"/>
            </w:pPr>
            <w:r>
              <w:rPr>
                <w:rFonts w:ascii="Times New Roman" w:eastAsia="宋体" w:hAnsi="Times New Roman"/>
                <w:color w:val="000000"/>
                <w:sz w:val="16"/>
                <w:szCs w:val="16"/>
              </w:rPr>
              <w:t>42,000 </w:t>
            </w:r>
          </w:p>
        </w:tc>
        <w:tc>
          <w:tcPr>
            <w:tcW w:w="0" w:type="auto"/>
            <w:shd w:val="clear" w:color="auto" w:fill="CCEEFF"/>
            <w:tcMar>
              <w:top w:w="40" w:type="dxa"/>
              <w:left w:w="0" w:type="dxa"/>
              <w:bottom w:w="40" w:type="dxa"/>
              <w:right w:w="20" w:type="dxa"/>
            </w:tcMar>
            <w:vAlign w:val="center"/>
          </w:tcPr>
          <w:p w14:paraId="35D08F7A" w14:textId="77777777" w:rsidR="00D42204" w:rsidRDefault="00D42204">
            <w:pPr>
              <w:jc w:val="right"/>
              <w:rPr>
                <w:rFonts w:ascii="宋体"/>
              </w:rPr>
            </w:pPr>
          </w:p>
        </w:tc>
      </w:tr>
    </w:tbl>
    <w:p w14:paraId="35D08F7C" w14:textId="77777777" w:rsidR="00D42204" w:rsidRDefault="004E439D">
      <w:pPr>
        <w:ind w:hanging="360"/>
      </w:pPr>
      <w:r>
        <w:rPr>
          <w:rFonts w:ascii="Times New Roman" w:eastAsia="宋体" w:hAnsi="Times New Roman"/>
          <w:color w:val="000000"/>
          <w:sz w:val="10"/>
          <w:szCs w:val="10"/>
        </w:rPr>
        <w:t>(1</w:t>
      </w:r>
      <w:r>
        <w:rPr>
          <w:rFonts w:ascii="Times New Roman" w:eastAsia="宋体" w:hAnsi="Times New Roman"/>
          <w:color w:val="000000"/>
          <w:sz w:val="10"/>
          <w:szCs w:val="10"/>
        </w:rPr>
        <w:t>)</w:t>
      </w:r>
      <w:r>
        <w:rPr>
          <w:rFonts w:ascii="Times New Roman" w:eastAsia="宋体" w:hAnsi="Times New Roman"/>
          <w:color w:val="000000"/>
          <w:sz w:val="16"/>
          <w:szCs w:val="16"/>
        </w:rPr>
        <w:t xml:space="preserve">     Excludes other small formats.</w:t>
      </w:r>
    </w:p>
    <w:p w14:paraId="35D08F7D" w14:textId="77777777" w:rsidR="00D42204" w:rsidRDefault="004E439D">
      <w:pPr>
        <w:spacing w:before="180" w:after="60"/>
      </w:pPr>
      <w:r>
        <w:rPr>
          <w:rFonts w:ascii="Times New Roman" w:eastAsia="宋体" w:hAnsi="Times New Roman"/>
          <w:b/>
          <w:bCs/>
          <w:color w:val="000000"/>
          <w:sz w:val="20"/>
          <w:szCs w:val="20"/>
          <w:u w:val="single"/>
        </w:rPr>
        <w:t>Merchandise.</w:t>
      </w:r>
      <w:r>
        <w:rPr>
          <w:rFonts w:ascii="Times New Roman" w:eastAsia="宋体" w:hAnsi="Times New Roman"/>
          <w:color w:val="000000"/>
          <w:sz w:val="20"/>
          <w:szCs w:val="20"/>
        </w:rPr>
        <w:t xml:space="preserve"> Walmart U.S. does business in three strategic merchandise units, listed below:</w:t>
      </w:r>
    </w:p>
    <w:p w14:paraId="35D08F7E" w14:textId="77777777" w:rsidR="00D42204" w:rsidRDefault="004E439D">
      <w:pPr>
        <w:spacing w:before="60"/>
        <w:ind w:hanging="360"/>
      </w:pPr>
      <w:r>
        <w:rPr>
          <w:rFonts w:ascii="Times New Roman" w:eastAsia="宋体" w:hAnsi="Times New Roman"/>
          <w:color w:val="000000"/>
          <w:sz w:val="20"/>
          <w:szCs w:val="20"/>
        </w:rPr>
        <w:t>•Grocery consists of a full line of grocery items, including dry grocery, snacks, dairy, meat, produce, deli &amp; bakery, frozen fo</w:t>
      </w:r>
      <w:r>
        <w:rPr>
          <w:rFonts w:ascii="Times New Roman" w:eastAsia="宋体" w:hAnsi="Times New Roman"/>
          <w:color w:val="000000"/>
          <w:sz w:val="20"/>
          <w:szCs w:val="20"/>
        </w:rPr>
        <w:t>ods, alcoholic and nonalcoholic beverages, as well as consumables such as health and beauty aids, pet supplies, household chemicals, paper goods and baby products;</w:t>
      </w:r>
    </w:p>
    <w:p w14:paraId="35D08F7F" w14:textId="77777777" w:rsidR="00D42204" w:rsidRDefault="004E439D">
      <w:pPr>
        <w:spacing w:before="60"/>
        <w:ind w:hanging="360"/>
      </w:pPr>
      <w:r>
        <w:rPr>
          <w:rFonts w:ascii="Times New Roman" w:eastAsia="宋体" w:hAnsi="Times New Roman"/>
          <w:color w:val="000000"/>
          <w:sz w:val="20"/>
          <w:szCs w:val="20"/>
        </w:rPr>
        <w:t>•General merchandise includes:</w:t>
      </w:r>
    </w:p>
    <w:p w14:paraId="35D08F80" w14:textId="77777777" w:rsidR="00D42204" w:rsidRDefault="004E439D">
      <w:pPr>
        <w:ind w:hanging="360"/>
      </w:pPr>
      <w:r>
        <w:rPr>
          <w:rFonts w:ascii="Arial" w:eastAsia="宋体" w:hAnsi="Arial" w:cs="Arial"/>
          <w:color w:val="000000"/>
          <w:sz w:val="22"/>
          <w:szCs w:val="22"/>
        </w:rPr>
        <w:t>◦</w:t>
      </w:r>
      <w:r>
        <w:rPr>
          <w:rFonts w:ascii="Times New Roman" w:eastAsia="宋体" w:hAnsi="Times New Roman"/>
          <w:color w:val="000000"/>
          <w:sz w:val="20"/>
          <w:szCs w:val="20"/>
        </w:rPr>
        <w:t xml:space="preserve">Entertainment (e.g., electronics, toys, seasonal </w:t>
      </w:r>
      <w:r>
        <w:rPr>
          <w:rFonts w:ascii="Times New Roman" w:eastAsia="宋体" w:hAnsi="Times New Roman"/>
          <w:color w:val="000000"/>
          <w:sz w:val="20"/>
          <w:szCs w:val="20"/>
        </w:rPr>
        <w:t>merchandise, wireless, video games, movies, music and books);</w:t>
      </w:r>
    </w:p>
    <w:p w14:paraId="35D08F81" w14:textId="77777777" w:rsidR="00D42204" w:rsidRDefault="004E439D">
      <w:pPr>
        <w:ind w:hanging="360"/>
      </w:pPr>
      <w:r>
        <w:rPr>
          <w:rFonts w:ascii="Arial" w:eastAsia="宋体" w:hAnsi="Arial" w:cs="Arial"/>
          <w:color w:val="000000"/>
          <w:sz w:val="22"/>
          <w:szCs w:val="22"/>
        </w:rPr>
        <w:t>◦</w:t>
      </w:r>
      <w:r>
        <w:rPr>
          <w:rFonts w:ascii="Times New Roman" w:eastAsia="宋体" w:hAnsi="Times New Roman"/>
          <w:color w:val="000000"/>
          <w:sz w:val="20"/>
          <w:szCs w:val="20"/>
        </w:rPr>
        <w:t>Hardlines (e.g., automotive, hardware and paint, sporting goods, outdoor living and stationery);</w:t>
      </w:r>
    </w:p>
    <w:p w14:paraId="35D08F82" w14:textId="77777777" w:rsidR="00D42204" w:rsidRDefault="004E439D">
      <w:pPr>
        <w:ind w:hanging="360"/>
      </w:pPr>
      <w:r>
        <w:rPr>
          <w:rFonts w:ascii="Times New Roman" w:eastAsia="宋体" w:hAnsi="Times New Roman"/>
          <w:color w:val="000000"/>
          <w:sz w:val="20"/>
          <w:szCs w:val="20"/>
        </w:rPr>
        <w:t>◦</w:t>
      </w:r>
      <w:r>
        <w:rPr>
          <w:rFonts w:ascii="Times New Roman" w:eastAsia="宋体" w:hAnsi="Times New Roman"/>
          <w:color w:val="000000"/>
          <w:sz w:val="20"/>
          <w:szCs w:val="20"/>
        </w:rPr>
        <w:t>Apparel (e.g., apparel for men, women, girls, boys and infants, as well as shoes, jewelry and a</w:t>
      </w:r>
      <w:r>
        <w:rPr>
          <w:rFonts w:ascii="Times New Roman" w:eastAsia="宋体" w:hAnsi="Times New Roman"/>
          <w:color w:val="000000"/>
          <w:sz w:val="20"/>
          <w:szCs w:val="20"/>
        </w:rPr>
        <w:t>ccessories); and</w:t>
      </w:r>
    </w:p>
    <w:p w14:paraId="35D08F83" w14:textId="77777777" w:rsidR="00D42204" w:rsidRDefault="004E439D">
      <w:pPr>
        <w:ind w:hanging="360"/>
      </w:pPr>
      <w:r>
        <w:rPr>
          <w:rFonts w:ascii="Times New Roman" w:eastAsia="宋体" w:hAnsi="Times New Roman"/>
          <w:color w:val="000000"/>
          <w:sz w:val="20"/>
          <w:szCs w:val="20"/>
        </w:rPr>
        <w:t>◦</w:t>
      </w:r>
      <w:r>
        <w:rPr>
          <w:rFonts w:ascii="Times New Roman" w:eastAsia="宋体" w:hAnsi="Times New Roman"/>
          <w:color w:val="000000"/>
          <w:sz w:val="20"/>
          <w:szCs w:val="20"/>
        </w:rPr>
        <w:t>Home (e.g., housewares and small appliances, bed &amp; bath, furniture and home organization, home furnishings, home decor, fabrics and crafts).</w:t>
      </w:r>
    </w:p>
    <w:p w14:paraId="35D08F84" w14:textId="77777777" w:rsidR="00D42204" w:rsidRDefault="004E439D">
      <w:pPr>
        <w:spacing w:before="60"/>
        <w:ind w:hanging="360"/>
      </w:pPr>
      <w:r>
        <w:rPr>
          <w:rFonts w:ascii="Times New Roman" w:eastAsia="宋体" w:hAnsi="Times New Roman"/>
          <w:color w:val="000000"/>
          <w:sz w:val="20"/>
          <w:szCs w:val="20"/>
        </w:rPr>
        <w:t>•Health and wellness includes pharmacy, over-the-counter drugs and other medical products, optica</w:t>
      </w:r>
      <w:r>
        <w:rPr>
          <w:rFonts w:ascii="Times New Roman" w:eastAsia="宋体" w:hAnsi="Times New Roman"/>
          <w:color w:val="000000"/>
          <w:sz w:val="20"/>
          <w:szCs w:val="20"/>
        </w:rPr>
        <w:t>l services and other clinical services.</w:t>
      </w:r>
    </w:p>
    <w:p w14:paraId="35D08F85" w14:textId="77777777" w:rsidR="00D42204" w:rsidRDefault="004E439D">
      <w:pPr>
        <w:spacing w:before="100"/>
      </w:pPr>
      <w:r>
        <w:rPr>
          <w:rFonts w:ascii="Times New Roman" w:eastAsia="宋体" w:hAnsi="Times New Roman"/>
          <w:color w:val="000000"/>
          <w:sz w:val="20"/>
          <w:szCs w:val="20"/>
        </w:rPr>
        <w:t>Brand name merchandise represents a significant portion of the merchandise sold in Walmart U.S. We also market lines of merchandise under our private brands, including brands such as: "Allswell," "Athletic Works," "B</w:t>
      </w:r>
      <w:r>
        <w:rPr>
          <w:rFonts w:ascii="Times New Roman" w:eastAsia="宋体" w:hAnsi="Times New Roman"/>
          <w:color w:val="000000"/>
          <w:sz w:val="20"/>
          <w:szCs w:val="20"/>
        </w:rPr>
        <w:t>onobos Fielder," "Eloquii Elements," "Equate," "Free Assembly," "Freshness Guaranteed," "George," "Great Value," "Holiday Time," "Hyper Tough," "Mainstays," "Marketside," "No Boundaries," "onn.," "Ozark Trail," "Parent's Choice," "Sam's Choice," "Scoop," "</w:t>
      </w:r>
      <w:r>
        <w:rPr>
          <w:rFonts w:ascii="Times New Roman" w:eastAsia="宋体" w:hAnsi="Times New Roman"/>
          <w:color w:val="000000"/>
          <w:sz w:val="20"/>
          <w:szCs w:val="20"/>
        </w:rPr>
        <w:t>Spring Valley," "Time and Tru," "Way to Celebrate" and "Wonder Nation." The Company also markets lines of merchandise under licensed brands, some of which include: "Avia," "Better Homes &amp; Gardens," "Pioneer Woman" and "Sofia Jeans by Sofia Vergara."</w:t>
      </w:r>
    </w:p>
    <w:p w14:paraId="35D08F86" w14:textId="77777777" w:rsidR="00D42204" w:rsidRDefault="004E439D">
      <w:pPr>
        <w:jc w:val="center"/>
      </w:pPr>
      <w:r>
        <w:rPr>
          <w:rFonts w:ascii="Times New Roman" w:eastAsia="宋体" w:hAnsi="Times New Roman"/>
          <w:color w:val="000000"/>
          <w:sz w:val="20"/>
          <w:szCs w:val="20"/>
        </w:rPr>
        <w:t>7</w:t>
      </w:r>
    </w:p>
    <w:p w14:paraId="35D08F87" w14:textId="77777777" w:rsidR="00D42204" w:rsidRDefault="004E439D">
      <w:r>
        <w:pict w14:anchorId="35D0C360">
          <v:rect id="_x0000_i1031" style="width:415.3pt;height:1.5pt" o:hralign="center" o:hrstd="t" o:hr="t" fillcolor="#a0a0a0" stroked="f"/>
        </w:pict>
      </w:r>
    </w:p>
    <w:p w14:paraId="35D08F88" w14:textId="77777777" w:rsidR="00D42204" w:rsidRDefault="00D42204"/>
    <w:p w14:paraId="35D08F89" w14:textId="77777777" w:rsidR="00D42204" w:rsidRDefault="004E439D">
      <w:pPr>
        <w:spacing w:before="180"/>
      </w:pPr>
      <w:r>
        <w:rPr>
          <w:rFonts w:ascii="Times New Roman" w:eastAsia="宋体" w:hAnsi="Times New Roman"/>
          <w:color w:val="000000"/>
          <w:sz w:val="20"/>
          <w:szCs w:val="20"/>
        </w:rPr>
        <w:t>Periodically, revisions are made to the categorization of the components comprising our strategic merchandise units. When revisions are made, the previous periods' presentation is adjusted to maintain comparability.</w:t>
      </w:r>
    </w:p>
    <w:p w14:paraId="35D08F8A" w14:textId="77777777" w:rsidR="00D42204" w:rsidRDefault="004E439D">
      <w:pPr>
        <w:spacing w:before="100"/>
      </w:pPr>
      <w:r>
        <w:rPr>
          <w:rFonts w:ascii="Times New Roman" w:eastAsia="宋体" w:hAnsi="Times New Roman"/>
          <w:color w:val="000000"/>
          <w:sz w:val="20"/>
          <w:szCs w:val="20"/>
        </w:rPr>
        <w:t xml:space="preserve">The Walmart U.S. business also includes </w:t>
      </w:r>
      <w:r>
        <w:rPr>
          <w:rFonts w:ascii="Times New Roman" w:eastAsia="宋体" w:hAnsi="Times New Roman"/>
          <w:color w:val="000000"/>
          <w:sz w:val="20"/>
          <w:szCs w:val="20"/>
        </w:rPr>
        <w:t>an in-house advertising offering via Walmart Connect, supply chain and fulfillment capabilities to online marketplace sellers via Walmart Fulfillment Services, and access to quality, affordable healthcare via Walmart Health. In Fiscal 2022, Walmart U.S. in</w:t>
      </w:r>
      <w:r>
        <w:rPr>
          <w:rFonts w:ascii="Times New Roman" w:eastAsia="宋体" w:hAnsi="Times New Roman"/>
          <w:color w:val="000000"/>
          <w:sz w:val="20"/>
          <w:szCs w:val="20"/>
        </w:rPr>
        <w:t>itiatives also included the launch of a B2B last mile delivery service platform via Walmart GoLocal, and Walmart Luminate which provides a suite of data products to merchants and suppliers.</w:t>
      </w:r>
      <w:r>
        <w:rPr>
          <w:rFonts w:ascii="Times New Roman" w:eastAsia="宋体" w:hAnsi="Times New Roman"/>
          <w:color w:val="000000"/>
        </w:rPr>
        <w:t xml:space="preserve"> </w:t>
      </w:r>
      <w:r>
        <w:rPr>
          <w:rFonts w:ascii="Times New Roman" w:eastAsia="宋体" w:hAnsi="Times New Roman"/>
          <w:color w:val="000000"/>
          <w:sz w:val="20"/>
          <w:szCs w:val="20"/>
        </w:rPr>
        <w:t xml:space="preserve">Additional service offerings include fuel, financial services and </w:t>
      </w:r>
      <w:r>
        <w:rPr>
          <w:rFonts w:ascii="Times New Roman" w:eastAsia="宋体" w:hAnsi="Times New Roman"/>
          <w:color w:val="000000"/>
          <w:sz w:val="20"/>
          <w:szCs w:val="20"/>
        </w:rPr>
        <w:t>related products (including through our digital channels, stores and clubs as well as our previously announced fintech joint venture), such as money orders, prepaid access, money transfers, check cashing, bill payment, and certain types of installment lend</w:t>
      </w:r>
      <w:r>
        <w:rPr>
          <w:rFonts w:ascii="Times New Roman" w:eastAsia="宋体" w:hAnsi="Times New Roman"/>
          <w:color w:val="000000"/>
          <w:sz w:val="20"/>
          <w:szCs w:val="20"/>
        </w:rPr>
        <w:t>ing. Combined, these offerings do not currently represent a significant portion of annual segment revenues.</w:t>
      </w:r>
    </w:p>
    <w:p w14:paraId="35D08F8B" w14:textId="77777777" w:rsidR="00D42204" w:rsidRDefault="004E439D">
      <w:pPr>
        <w:spacing w:before="180"/>
      </w:pPr>
      <w:r>
        <w:rPr>
          <w:rFonts w:ascii="Times New Roman" w:eastAsia="宋体" w:hAnsi="Times New Roman"/>
          <w:b/>
          <w:bCs/>
          <w:color w:val="000000"/>
          <w:sz w:val="20"/>
          <w:szCs w:val="20"/>
          <w:u w:val="single"/>
        </w:rPr>
        <w:t>Operations.</w:t>
      </w:r>
      <w:r>
        <w:rPr>
          <w:rFonts w:ascii="Times New Roman" w:eastAsia="宋体" w:hAnsi="Times New Roman"/>
          <w:color w:val="000000"/>
          <w:sz w:val="20"/>
          <w:szCs w:val="20"/>
        </w:rPr>
        <w:t xml:space="preserve"> Walmart U.S. is available to customers through supercenters, discount stores and neighborhood markets, as well as online or through the </w:t>
      </w:r>
      <w:r>
        <w:rPr>
          <w:rFonts w:ascii="Times New Roman" w:eastAsia="宋体" w:hAnsi="Times New Roman"/>
          <w:color w:val="000000"/>
          <w:sz w:val="20"/>
          <w:szCs w:val="20"/>
        </w:rPr>
        <w:t xml:space="preserve">mobile application 24 hours a day. Consistent with its strategy, Walmart U.S. continues to develop technology tools and services to better serve customers and help stores operate more efficiently, such as pickup and delivery, Walmart+, ship-from-store and </w:t>
      </w:r>
      <w:r>
        <w:rPr>
          <w:rFonts w:ascii="Times New Roman" w:eastAsia="宋体" w:hAnsi="Times New Roman"/>
          <w:color w:val="000000"/>
          <w:sz w:val="20"/>
          <w:szCs w:val="20"/>
        </w:rPr>
        <w:t xml:space="preserve">other initiatives which provide convenient and seamless omni-channel shopping experiences. </w:t>
      </w:r>
    </w:p>
    <w:p w14:paraId="35D08F8C" w14:textId="77777777" w:rsidR="00D42204" w:rsidRDefault="004E439D">
      <w:pPr>
        <w:spacing w:before="180"/>
      </w:pPr>
      <w:r>
        <w:rPr>
          <w:rFonts w:ascii="Times New Roman" w:eastAsia="宋体" w:hAnsi="Times New Roman"/>
          <w:b/>
          <w:bCs/>
          <w:color w:val="000000"/>
          <w:sz w:val="20"/>
          <w:szCs w:val="20"/>
          <w:u w:val="single"/>
        </w:rPr>
        <w:t>Seasonal Aspects of Operations.</w:t>
      </w:r>
      <w:r>
        <w:rPr>
          <w:rFonts w:ascii="Times New Roman" w:eastAsia="宋体" w:hAnsi="Times New Roman"/>
          <w:color w:val="000000"/>
          <w:sz w:val="20"/>
          <w:szCs w:val="20"/>
        </w:rPr>
        <w:t xml:space="preserve"> Walmart U.S.'s business is seasonal to a certain extent due to calendar events and national and religious holidays, as well as diffe</w:t>
      </w:r>
      <w:r>
        <w:rPr>
          <w:rFonts w:ascii="Times New Roman" w:eastAsia="宋体" w:hAnsi="Times New Roman"/>
          <w:color w:val="000000"/>
          <w:sz w:val="20"/>
          <w:szCs w:val="20"/>
        </w:rPr>
        <w:t xml:space="preserve">rent weather patterns. Historically, its highest sales volume has occurred in the fiscal quarter ending January 31. </w:t>
      </w:r>
    </w:p>
    <w:p w14:paraId="35D08F8D" w14:textId="77777777" w:rsidR="00D42204" w:rsidRDefault="004E439D">
      <w:pPr>
        <w:spacing w:before="180"/>
      </w:pPr>
      <w:r>
        <w:rPr>
          <w:rFonts w:ascii="Times New Roman" w:eastAsia="宋体" w:hAnsi="Times New Roman"/>
          <w:b/>
          <w:bCs/>
          <w:color w:val="000000"/>
          <w:sz w:val="20"/>
          <w:szCs w:val="20"/>
          <w:u w:val="single"/>
        </w:rPr>
        <w:t>Competition.</w:t>
      </w:r>
      <w:r>
        <w:rPr>
          <w:rFonts w:ascii="Times New Roman" w:eastAsia="宋体" w:hAnsi="Times New Roman"/>
          <w:color w:val="000000"/>
          <w:sz w:val="20"/>
          <w:szCs w:val="20"/>
        </w:rPr>
        <w:t xml:space="preserve"> Walmart U.S. competes with brick and mortar, eCommerce, and omni-channel retailers operating discount, department, retail and </w:t>
      </w:r>
      <w:r>
        <w:rPr>
          <w:rFonts w:ascii="Times New Roman" w:eastAsia="宋体" w:hAnsi="Times New Roman"/>
          <w:color w:val="000000"/>
          <w:sz w:val="20"/>
          <w:szCs w:val="20"/>
        </w:rPr>
        <w:t>wholesale grocers, drug, dollar, variety and specialty stores, supermarkets, hypermarkets and supercenter-type stores, eCommerce retailers, as well as companies that offer services in digital advertising, fulfillment and delivery services, health and welln</w:t>
      </w:r>
      <w:r>
        <w:rPr>
          <w:rFonts w:ascii="Times New Roman" w:eastAsia="宋体" w:hAnsi="Times New Roman"/>
          <w:color w:val="000000"/>
          <w:sz w:val="20"/>
          <w:szCs w:val="20"/>
        </w:rPr>
        <w:t>ess, and financial services. Each of these landscapes is highly competitive and rapidly evolving, and new business models and the entry of new, well-funded competitors continue to intensify this competition. Some of our competitors have longer histories in</w:t>
      </w:r>
      <w:r>
        <w:rPr>
          <w:rFonts w:ascii="Times New Roman" w:eastAsia="宋体" w:hAnsi="Times New Roman"/>
          <w:color w:val="000000"/>
          <w:sz w:val="20"/>
          <w:szCs w:val="20"/>
        </w:rPr>
        <w:t xml:space="preserve"> these lines of business, more customers, and greater brand recognition. They may be able to obtain more favorable terms from suppliers and business partners and to devote greater resources to the development of these businesses. In addition, for eCommerce</w:t>
      </w:r>
      <w:r>
        <w:rPr>
          <w:rFonts w:ascii="Times New Roman" w:eastAsia="宋体" w:hAnsi="Times New Roman"/>
          <w:color w:val="000000"/>
          <w:sz w:val="20"/>
          <w:szCs w:val="20"/>
        </w:rPr>
        <w:t xml:space="preserve"> and other internet-based businesses, newer or smaller businesses may be better able to innovate and compete with us.</w:t>
      </w:r>
    </w:p>
    <w:p w14:paraId="35D08F8E" w14:textId="77777777" w:rsidR="00D42204" w:rsidRDefault="004E439D">
      <w:pPr>
        <w:spacing w:before="100"/>
      </w:pPr>
      <w:r>
        <w:rPr>
          <w:rFonts w:ascii="Times New Roman" w:eastAsia="宋体" w:hAnsi="Times New Roman"/>
          <w:color w:val="000000"/>
          <w:sz w:val="20"/>
          <w:szCs w:val="20"/>
        </w:rPr>
        <w:t>Our ability to develop and operate units at the right locations and to deliver a customer-centric omni-channel experience largely determin</w:t>
      </w:r>
      <w:r>
        <w:rPr>
          <w:rFonts w:ascii="Times New Roman" w:eastAsia="宋体" w:hAnsi="Times New Roman"/>
          <w:color w:val="000000"/>
          <w:sz w:val="20"/>
          <w:szCs w:val="20"/>
        </w:rPr>
        <w:t>es our competitive position within the retail industry. We compete in a variety of ways, including the prices at which we sell our merchandise, merchandise selection availability, services offered to customers, location, store hours, in-store amenities, th</w:t>
      </w:r>
      <w:r>
        <w:rPr>
          <w:rFonts w:ascii="Times New Roman" w:eastAsia="宋体" w:hAnsi="Times New Roman"/>
          <w:color w:val="000000"/>
          <w:sz w:val="20"/>
          <w:szCs w:val="20"/>
        </w:rPr>
        <w:t>e shopping convenience and overall shopping experience we offer, the attractiveness and ease of use of our digital platforms, cost and speed of and options for delivery to customers of merchandise purchased through our digital platforms or through our omni</w:t>
      </w:r>
      <w:r>
        <w:rPr>
          <w:rFonts w:ascii="Times New Roman" w:eastAsia="宋体" w:hAnsi="Times New Roman"/>
          <w:color w:val="000000"/>
          <w:sz w:val="20"/>
          <w:szCs w:val="20"/>
        </w:rPr>
        <w:t>-channel integration of our physical and digital operations. We employ many strategies and programs designed to meet competitive pressures within our industry. These strategies include the following:</w:t>
      </w:r>
    </w:p>
    <w:p w14:paraId="35D08F8F" w14:textId="77777777" w:rsidR="00D42204" w:rsidRDefault="004E439D">
      <w:pPr>
        <w:spacing w:before="60"/>
        <w:ind w:hanging="360"/>
      </w:pPr>
      <w:r>
        <w:rPr>
          <w:rFonts w:ascii="Times New Roman" w:eastAsia="宋体" w:hAnsi="Times New Roman"/>
          <w:color w:val="000000"/>
          <w:sz w:val="20"/>
          <w:szCs w:val="20"/>
        </w:rPr>
        <w:t>•EDLP: our pricing philosophy under which we price items</w:t>
      </w:r>
      <w:r>
        <w:rPr>
          <w:rFonts w:ascii="Times New Roman" w:eastAsia="宋体" w:hAnsi="Times New Roman"/>
          <w:color w:val="000000"/>
          <w:sz w:val="20"/>
          <w:szCs w:val="20"/>
        </w:rPr>
        <w:t xml:space="preserve"> at everyday low prices so our customers trust that our prices will not change under frequent promotional activity;</w:t>
      </w:r>
    </w:p>
    <w:p w14:paraId="35D08F90" w14:textId="77777777" w:rsidR="00D42204" w:rsidRDefault="004E439D">
      <w:pPr>
        <w:spacing w:before="60"/>
        <w:ind w:hanging="360"/>
      </w:pPr>
      <w:r>
        <w:rPr>
          <w:rFonts w:ascii="Times New Roman" w:eastAsia="宋体" w:hAnsi="Times New Roman"/>
          <w:color w:val="000000"/>
          <w:sz w:val="20"/>
          <w:szCs w:val="20"/>
        </w:rPr>
        <w:t>•EDLC: everyday low cost is our commitment to control expenses so our cost savings can be passed along to our customers;</w:t>
      </w:r>
    </w:p>
    <w:p w14:paraId="35D08F91" w14:textId="77777777" w:rsidR="00D42204" w:rsidRDefault="004E439D">
      <w:pPr>
        <w:spacing w:before="60"/>
        <w:ind w:hanging="360"/>
      </w:pPr>
      <w:r>
        <w:rPr>
          <w:rFonts w:ascii="Times New Roman" w:eastAsia="宋体" w:hAnsi="Times New Roman"/>
          <w:color w:val="000000"/>
          <w:sz w:val="20"/>
          <w:szCs w:val="20"/>
        </w:rPr>
        <w:t>•Omni-channel offer</w:t>
      </w:r>
      <w:r>
        <w:rPr>
          <w:rFonts w:ascii="Times New Roman" w:eastAsia="宋体" w:hAnsi="Times New Roman"/>
          <w:color w:val="000000"/>
          <w:sz w:val="20"/>
          <w:szCs w:val="20"/>
        </w:rPr>
        <w:t xml:space="preserve">ings such as pickup and delivery and our Walmart+ membership offering, all of which enhance convenience and seek to serve customers in the ways they want to be served; and </w:t>
      </w:r>
    </w:p>
    <w:p w14:paraId="35D08F92" w14:textId="77777777" w:rsidR="00D42204" w:rsidRDefault="004E439D">
      <w:pPr>
        <w:spacing w:before="60"/>
        <w:ind w:hanging="360"/>
      </w:pPr>
      <w:r>
        <w:rPr>
          <w:rFonts w:ascii="Times New Roman" w:eastAsia="宋体" w:hAnsi="Times New Roman"/>
          <w:color w:val="000000"/>
          <w:sz w:val="20"/>
          <w:szCs w:val="20"/>
        </w:rPr>
        <w:t>•Expanding our flywheel and the products and services we offer in areas such as dig</w:t>
      </w:r>
      <w:r>
        <w:rPr>
          <w:rFonts w:ascii="Times New Roman" w:eastAsia="宋体" w:hAnsi="Times New Roman"/>
          <w:color w:val="000000"/>
          <w:sz w:val="20"/>
          <w:szCs w:val="20"/>
        </w:rPr>
        <w:t>ital advertising, fulfillment services, health and wellness, and financial services.</w:t>
      </w:r>
    </w:p>
    <w:p w14:paraId="35D08F93" w14:textId="77777777" w:rsidR="00D42204" w:rsidRDefault="004E439D">
      <w:pPr>
        <w:spacing w:before="180"/>
      </w:pPr>
      <w:r>
        <w:rPr>
          <w:rFonts w:ascii="Times New Roman" w:eastAsia="宋体" w:hAnsi="Times New Roman"/>
          <w:b/>
          <w:bCs/>
          <w:color w:val="000000"/>
          <w:sz w:val="20"/>
          <w:szCs w:val="20"/>
          <w:u w:val="single"/>
        </w:rPr>
        <w:t>Distribution.</w:t>
      </w:r>
      <w:r>
        <w:rPr>
          <w:rFonts w:ascii="Times New Roman" w:eastAsia="宋体" w:hAnsi="Times New Roman"/>
          <w:color w:val="000000"/>
          <w:sz w:val="20"/>
          <w:szCs w:val="20"/>
        </w:rPr>
        <w:t xml:space="preserve"> We utilize a total of 157 distribution facilities which are located strategically throughout the U.S. For fiscal 2022, the majority of Walmart U.S.'s purchas</w:t>
      </w:r>
      <w:r>
        <w:rPr>
          <w:rFonts w:ascii="Times New Roman" w:eastAsia="宋体" w:hAnsi="Times New Roman"/>
          <w:color w:val="000000"/>
          <w:sz w:val="20"/>
          <w:szCs w:val="20"/>
        </w:rPr>
        <w:t>es of store merchandise were shipped through these facilities, while most of the remaining store merchandise we purchased was shipped directly from suppliers. General merchandise and dry grocery merchandise is transported primarily through the segment's pr</w:t>
      </w:r>
      <w:r>
        <w:rPr>
          <w:rFonts w:ascii="Times New Roman" w:eastAsia="宋体" w:hAnsi="Times New Roman"/>
          <w:color w:val="000000"/>
          <w:sz w:val="20"/>
          <w:szCs w:val="20"/>
        </w:rPr>
        <w:t>ivate truck fleet; however, we contract with common carriers to transport the majority of our perishable grocery merchandise. We ship merchandise purchased by customers on our eCommerce platforms by a number of methods from multiple locations including fro</w:t>
      </w:r>
      <w:r>
        <w:rPr>
          <w:rFonts w:ascii="Times New Roman" w:eastAsia="宋体" w:hAnsi="Times New Roman"/>
          <w:color w:val="000000"/>
          <w:sz w:val="20"/>
          <w:szCs w:val="20"/>
        </w:rPr>
        <w:t>m our 31 dedicated eCommerce fulfillment centers, as well as leveraging our ability to ship or deliver directly from more than 3,500 stores.</w:t>
      </w:r>
    </w:p>
    <w:p w14:paraId="35D08F94" w14:textId="77777777" w:rsidR="00D42204" w:rsidRDefault="004E439D">
      <w:pPr>
        <w:spacing w:before="180"/>
      </w:pPr>
      <w:r>
        <w:rPr>
          <w:rFonts w:ascii="Times New Roman" w:eastAsia="宋体" w:hAnsi="Times New Roman"/>
          <w:b/>
          <w:bCs/>
          <w:color w:val="000000"/>
          <w:sz w:val="20"/>
          <w:szCs w:val="20"/>
        </w:rPr>
        <w:t>Walmart International Segment</w:t>
      </w:r>
    </w:p>
    <w:p w14:paraId="35D08F95" w14:textId="77777777" w:rsidR="00D42204" w:rsidRDefault="004E439D">
      <w:pPr>
        <w:spacing w:before="100"/>
      </w:pPr>
      <w:r>
        <w:rPr>
          <w:rFonts w:ascii="Times New Roman" w:eastAsia="宋体" w:hAnsi="Times New Roman"/>
          <w:color w:val="000000"/>
          <w:sz w:val="20"/>
          <w:szCs w:val="20"/>
        </w:rPr>
        <w:t>Walmart International is our second largest segment and operated in 23 countries outs</w:t>
      </w:r>
      <w:r>
        <w:rPr>
          <w:rFonts w:ascii="Times New Roman" w:eastAsia="宋体" w:hAnsi="Times New Roman"/>
          <w:color w:val="000000"/>
          <w:sz w:val="20"/>
          <w:szCs w:val="20"/>
        </w:rPr>
        <w:t>ide of the U.S. as of January 31, 2022. Walmart International operates through our wholly-owned subsidiaries in Canada, Chile, and China, and our majority-owned subsidiaries in Africa (which includes Botswana, Ghana, Kenya, Lesotho, Malawi, Mozambique, Nam</w:t>
      </w:r>
      <w:r>
        <w:rPr>
          <w:rFonts w:ascii="Times New Roman" w:eastAsia="宋体" w:hAnsi="Times New Roman"/>
          <w:color w:val="000000"/>
          <w:sz w:val="20"/>
          <w:szCs w:val="20"/>
        </w:rPr>
        <w:t xml:space="preserve">ibia, Nigeria, South Africa, Swaziland, Tanzania, Uganda and Zambia), India, as well as Mexico and Central America (which includes Costa Rica, El Salvador, Guatemala, Honduras and Nicaragua). Walmart International previously operated in Argentina prior to </w:t>
      </w:r>
      <w:r>
        <w:rPr>
          <w:rFonts w:ascii="Times New Roman" w:eastAsia="宋体" w:hAnsi="Times New Roman"/>
          <w:color w:val="000000"/>
          <w:sz w:val="20"/>
          <w:szCs w:val="20"/>
        </w:rPr>
        <w:t xml:space="preserve">the sale of </w:t>
      </w:r>
    </w:p>
    <w:p w14:paraId="35D08F96" w14:textId="77777777" w:rsidR="00D42204" w:rsidRDefault="004E439D">
      <w:pPr>
        <w:jc w:val="center"/>
      </w:pPr>
      <w:r>
        <w:rPr>
          <w:rFonts w:ascii="Times New Roman" w:eastAsia="宋体" w:hAnsi="Times New Roman"/>
          <w:color w:val="000000"/>
          <w:sz w:val="20"/>
          <w:szCs w:val="20"/>
        </w:rPr>
        <w:t>8</w:t>
      </w:r>
    </w:p>
    <w:p w14:paraId="35D08F97" w14:textId="77777777" w:rsidR="00D42204" w:rsidRDefault="004E439D">
      <w:r>
        <w:pict w14:anchorId="35D0C361">
          <v:rect id="_x0000_i1032" style="width:415.3pt;height:1.5pt" o:hralign="center" o:hrstd="t" o:hr="t" fillcolor="#a0a0a0" stroked="f"/>
        </w:pict>
      </w:r>
    </w:p>
    <w:p w14:paraId="35D08F98" w14:textId="77777777" w:rsidR="00D42204" w:rsidRDefault="00D42204"/>
    <w:p w14:paraId="35D08F99" w14:textId="77777777" w:rsidR="00D42204" w:rsidRDefault="004E439D">
      <w:pPr>
        <w:spacing w:before="100"/>
      </w:pPr>
      <w:r>
        <w:rPr>
          <w:rFonts w:ascii="Times New Roman" w:eastAsia="宋体" w:hAnsi="Times New Roman"/>
          <w:color w:val="000000"/>
          <w:sz w:val="20"/>
          <w:szCs w:val="20"/>
        </w:rPr>
        <w:t xml:space="preserve">Walmart Argentina in fiscal 2021 and operated in the United Kingdom and Japan prior to the sale of those operations in the first quarter of fiscal 2022. Refer to </w:t>
      </w:r>
      <w:hyperlink r:id="rId81" w:anchor="i1ba69ebb72ec48f9b754a5e96c4cdf3f_190"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xml:space="preserve"> to our Consolidated Financial Statements for discussion of recent divestitures.</w:t>
      </w:r>
    </w:p>
    <w:p w14:paraId="35D08F9A" w14:textId="77777777" w:rsidR="00D42204" w:rsidRDefault="004E439D">
      <w:pPr>
        <w:spacing w:before="100"/>
      </w:pPr>
      <w:r>
        <w:rPr>
          <w:rFonts w:ascii="Times New Roman" w:eastAsia="宋体" w:hAnsi="Times New Roman"/>
          <w:color w:val="000000"/>
          <w:sz w:val="20"/>
          <w:szCs w:val="20"/>
        </w:rPr>
        <w:t>Walmart Intern</w:t>
      </w:r>
      <w:r>
        <w:rPr>
          <w:rFonts w:ascii="Times New Roman" w:eastAsia="宋体" w:hAnsi="Times New Roman"/>
          <w:color w:val="000000"/>
          <w:sz w:val="20"/>
          <w:szCs w:val="20"/>
        </w:rPr>
        <w:t>ational includes numerous formats divided into two major categories: retail and wholesale. These categories consist of many formats, including: supercenters, supermarkets, hypermarkets, warehouse clubs (including Sam's Clubs) and cash &amp; carry, as well as e</w:t>
      </w:r>
      <w:r>
        <w:rPr>
          <w:rFonts w:ascii="Times New Roman" w:eastAsia="宋体" w:hAnsi="Times New Roman"/>
          <w:color w:val="000000"/>
          <w:sz w:val="20"/>
          <w:szCs w:val="20"/>
        </w:rPr>
        <w:t>Commerce through walmart.com.mx, walmart.ca, flipkart.com and other sites. Walmart International had net sales of $101.0 billion for fiscal 2022, representing 18% of our fiscal 2022 consolidated net sales, and had net sales of $121.4 billion and $120.1 bil</w:t>
      </w:r>
      <w:r>
        <w:rPr>
          <w:rFonts w:ascii="Times New Roman" w:eastAsia="宋体" w:hAnsi="Times New Roman"/>
          <w:color w:val="000000"/>
          <w:sz w:val="20"/>
          <w:szCs w:val="20"/>
        </w:rPr>
        <w:t xml:space="preserve">lion for fiscal 2021 and 2020, respectively. The gross profit rate is lower than that of Walmart U.S. primarily because of its format mix. </w:t>
      </w:r>
    </w:p>
    <w:p w14:paraId="35D08F9B" w14:textId="77777777" w:rsidR="00D42204" w:rsidRDefault="004E439D">
      <w:pPr>
        <w:spacing w:before="100"/>
      </w:pPr>
      <w:r>
        <w:rPr>
          <w:rFonts w:ascii="Times New Roman" w:eastAsia="宋体" w:hAnsi="Times New Roman"/>
          <w:color w:val="000000"/>
          <w:sz w:val="20"/>
          <w:szCs w:val="20"/>
        </w:rPr>
        <w:t>Walmart International's strategy is to create strong local businesses powered by Walmart which means being locally r</w:t>
      </w:r>
      <w:r>
        <w:rPr>
          <w:rFonts w:ascii="Times New Roman" w:eastAsia="宋体" w:hAnsi="Times New Roman"/>
          <w:color w:val="000000"/>
          <w:sz w:val="20"/>
          <w:szCs w:val="20"/>
        </w:rPr>
        <w:t>elevant and customer-focused in each of the markets it operates. We are being deliberate about where and how we choose to operate and continue to re-shape the portfolio to best enable long-term, sustainable and profitable growth. As such, we have taken cer</w:t>
      </w:r>
      <w:r>
        <w:rPr>
          <w:rFonts w:ascii="Times New Roman" w:eastAsia="宋体" w:hAnsi="Times New Roman"/>
          <w:color w:val="000000"/>
          <w:sz w:val="20"/>
          <w:szCs w:val="20"/>
        </w:rPr>
        <w:t xml:space="preserve">tain strategic actions to strengthen our Walmart International portfolio for the long-term, which include the following highlights over the last three years: </w:t>
      </w:r>
    </w:p>
    <w:p w14:paraId="35D08F9C" w14:textId="77777777" w:rsidR="00D42204" w:rsidRDefault="004E439D">
      <w:pPr>
        <w:spacing w:before="60"/>
        <w:ind w:hanging="360"/>
      </w:pPr>
      <w:r>
        <w:rPr>
          <w:rFonts w:ascii="Times New Roman" w:eastAsia="宋体" w:hAnsi="Times New Roman"/>
          <w:color w:val="000000"/>
          <w:sz w:val="20"/>
          <w:szCs w:val="20"/>
        </w:rPr>
        <w:t xml:space="preserve">•Divestiture of Walmart Argentina in November 2020. </w:t>
      </w:r>
    </w:p>
    <w:p w14:paraId="35D08F9D" w14:textId="77777777" w:rsidR="00D42204" w:rsidRDefault="004E439D">
      <w:pPr>
        <w:spacing w:before="60"/>
        <w:ind w:hanging="360"/>
      </w:pPr>
      <w:r>
        <w:rPr>
          <w:rFonts w:ascii="Times New Roman" w:eastAsia="宋体" w:hAnsi="Times New Roman"/>
          <w:color w:val="000000"/>
          <w:sz w:val="20"/>
          <w:szCs w:val="20"/>
        </w:rPr>
        <w:t>•Divestiture of Asda Group Limited ("Asda"),</w:t>
      </w:r>
      <w:r>
        <w:rPr>
          <w:rFonts w:ascii="Times New Roman" w:eastAsia="宋体" w:hAnsi="Times New Roman"/>
          <w:color w:val="000000"/>
          <w:sz w:val="20"/>
          <w:szCs w:val="20"/>
        </w:rPr>
        <w:t xml:space="preserve"> our retail operations in the U.K., in February 2021. </w:t>
      </w:r>
    </w:p>
    <w:p w14:paraId="35D08F9E" w14:textId="77777777" w:rsidR="00D42204" w:rsidRDefault="004E439D">
      <w:pPr>
        <w:spacing w:before="60"/>
        <w:ind w:hanging="360"/>
      </w:pPr>
      <w:r>
        <w:rPr>
          <w:rFonts w:ascii="Times New Roman" w:eastAsia="宋体" w:hAnsi="Times New Roman"/>
          <w:color w:val="000000"/>
          <w:sz w:val="20"/>
          <w:szCs w:val="20"/>
        </w:rPr>
        <w:t>•Divestiture of a majority stake in Seiyu, our retail operations in Japan, in March 2021.</w:t>
      </w:r>
    </w:p>
    <w:p w14:paraId="35D08F9F" w14:textId="77777777" w:rsidR="00D42204" w:rsidRDefault="004E439D">
      <w:pPr>
        <w:spacing w:before="180"/>
      </w:pPr>
      <w:r>
        <w:rPr>
          <w:rFonts w:ascii="Times New Roman" w:eastAsia="宋体" w:hAnsi="Times New Roman"/>
          <w:b/>
          <w:bCs/>
          <w:color w:val="000000"/>
          <w:sz w:val="20"/>
          <w:szCs w:val="20"/>
          <w:u w:val="single"/>
        </w:rPr>
        <w:t>Omni-channel.</w:t>
      </w:r>
      <w:r>
        <w:rPr>
          <w:rFonts w:ascii="Times New Roman" w:eastAsia="宋体" w:hAnsi="Times New Roman"/>
          <w:color w:val="000000"/>
          <w:sz w:val="20"/>
          <w:szCs w:val="20"/>
        </w:rPr>
        <w:t xml:space="preserve"> Walmart International provides an omni-channel experience to customers, integrating retail stores</w:t>
      </w:r>
      <w:r>
        <w:rPr>
          <w:rFonts w:ascii="Times New Roman" w:eastAsia="宋体" w:hAnsi="Times New Roman"/>
          <w:color w:val="000000"/>
          <w:sz w:val="20"/>
          <w:szCs w:val="20"/>
        </w:rPr>
        <w:t xml:space="preserve"> and eCommerce, such as through pickup and delivery services in most of our markets, our marketplaces such as Flipkart in India, and a digital transaction platform anchored in payments such as PhonePe in India. Same-day delivery capacity continues to expan</w:t>
      </w:r>
      <w:r>
        <w:rPr>
          <w:rFonts w:ascii="Times New Roman" w:eastAsia="宋体" w:hAnsi="Times New Roman"/>
          <w:color w:val="000000"/>
          <w:sz w:val="20"/>
          <w:szCs w:val="20"/>
        </w:rPr>
        <w:t xml:space="preserve">d in Mexico, including our recent launch of a membership model which provides unlimited same-day delivery from stores, and in China, our partnerships with JD.com and JD Daojia provide customers one-hour delivery by leveraging Walmart stores as fulfillment </w:t>
      </w:r>
      <w:r>
        <w:rPr>
          <w:rFonts w:ascii="Times New Roman" w:eastAsia="宋体" w:hAnsi="Times New Roman"/>
          <w:color w:val="000000"/>
          <w:sz w:val="20"/>
          <w:szCs w:val="20"/>
        </w:rPr>
        <w:t>centers. A value-based internet and telephone service was recently launched in Mexico allowing customers to enjoy digital connectivity.</w:t>
      </w:r>
    </w:p>
    <w:p w14:paraId="35D08FA0" w14:textId="77777777" w:rsidR="00D42204" w:rsidRDefault="004E439D">
      <w:pPr>
        <w:spacing w:before="100"/>
      </w:pPr>
      <w:r>
        <w:rPr>
          <w:rFonts w:ascii="Times New Roman" w:eastAsia="宋体" w:hAnsi="Times New Roman"/>
          <w:color w:val="000000"/>
          <w:sz w:val="20"/>
          <w:szCs w:val="20"/>
        </w:rPr>
        <w:t>Generally, retail units' selling areas range in size from 1,400 square feet to 186,000 square feet. Our wholesale stores</w:t>
      </w:r>
      <w:r>
        <w:rPr>
          <w:rFonts w:ascii="Times New Roman" w:eastAsia="宋体" w:hAnsi="Times New Roman"/>
          <w:color w:val="000000"/>
          <w:sz w:val="20"/>
          <w:szCs w:val="20"/>
        </w:rPr>
        <w:t>' selling areas generally range in size from 24,000 square feet to 158,000 square feet. As of January 31, 2022, Walmart International had approximately 2,900 pickup and over 1,900 delivery locations.</w:t>
      </w:r>
    </w:p>
    <w:p w14:paraId="35D08FA1" w14:textId="77777777" w:rsidR="00D42204" w:rsidRDefault="004E439D">
      <w:pPr>
        <w:spacing w:before="180"/>
      </w:pPr>
      <w:r>
        <w:rPr>
          <w:rFonts w:ascii="Times New Roman" w:eastAsia="宋体" w:hAnsi="Times New Roman"/>
          <w:b/>
          <w:bCs/>
          <w:color w:val="000000"/>
          <w:sz w:val="20"/>
          <w:szCs w:val="20"/>
          <w:u w:val="single"/>
        </w:rPr>
        <w:t>Merchandise.</w:t>
      </w:r>
      <w:r>
        <w:rPr>
          <w:rFonts w:ascii="Times New Roman" w:eastAsia="宋体" w:hAnsi="Times New Roman"/>
          <w:color w:val="000000"/>
          <w:sz w:val="20"/>
          <w:szCs w:val="20"/>
        </w:rPr>
        <w:t xml:space="preserve"> The merchandising strategy for Walmart Inte</w:t>
      </w:r>
      <w:r>
        <w:rPr>
          <w:rFonts w:ascii="Times New Roman" w:eastAsia="宋体" w:hAnsi="Times New Roman"/>
          <w:color w:val="000000"/>
          <w:sz w:val="20"/>
          <w:szCs w:val="20"/>
        </w:rPr>
        <w:t>rnational is similar to that of our operations in the U.S. in terms of the breadth and scope of merchandise offered for sale. While brand name merchandise accounts for a majority of our sales, we have both leveraged U.S. private brands and developed market</w:t>
      </w:r>
      <w:r>
        <w:rPr>
          <w:rFonts w:ascii="Times New Roman" w:eastAsia="宋体" w:hAnsi="Times New Roman"/>
          <w:color w:val="000000"/>
          <w:sz w:val="20"/>
          <w:szCs w:val="20"/>
        </w:rPr>
        <w:t xml:space="preserve"> specific private brands to serve our customers with high quality, low priced items. Along with the private brands we market globally, such as "Equate," "George," "Great Value," "Holiday Time," "Mainstays," "Marketside" and "Parent's Choice," our internati</w:t>
      </w:r>
      <w:r>
        <w:rPr>
          <w:rFonts w:ascii="Times New Roman" w:eastAsia="宋体" w:hAnsi="Times New Roman"/>
          <w:color w:val="000000"/>
          <w:sz w:val="20"/>
          <w:szCs w:val="20"/>
        </w:rPr>
        <w:t>onal markets have developed market specific brands including "Aurrera," "Cambridge," "Extra Special," "Lider," "Myntra," and "PhonePe." In addition, we have developed and continue to grow our relationships with regional and local suppliers in each market t</w:t>
      </w:r>
      <w:r>
        <w:rPr>
          <w:rFonts w:ascii="Times New Roman" w:eastAsia="宋体" w:hAnsi="Times New Roman"/>
          <w:color w:val="000000"/>
          <w:sz w:val="20"/>
          <w:szCs w:val="20"/>
        </w:rPr>
        <w:t>o ensure reliable sources of quality merchandise that is equal to national brands at low prices.</w:t>
      </w:r>
    </w:p>
    <w:p w14:paraId="35D08FA2" w14:textId="77777777" w:rsidR="00D42204" w:rsidRDefault="004E439D">
      <w:pPr>
        <w:spacing w:before="100"/>
      </w:pPr>
      <w:r>
        <w:rPr>
          <w:rFonts w:ascii="Times New Roman" w:eastAsia="宋体" w:hAnsi="Times New Roman"/>
          <w:color w:val="000000"/>
          <w:sz w:val="20"/>
          <w:szCs w:val="20"/>
        </w:rPr>
        <w:t xml:space="preserve">Walmart International also offers advertising, financial services and related products in various markets. Our businesses in Mexico and Canada, for </w:t>
      </w:r>
      <w:r>
        <w:rPr>
          <w:rFonts w:ascii="Times New Roman" w:eastAsia="宋体" w:hAnsi="Times New Roman"/>
          <w:color w:val="000000"/>
          <w:sz w:val="20"/>
          <w:szCs w:val="20"/>
        </w:rPr>
        <w:t>example, offer prepaid cards and money transfers, and our PhonePe business in India provides a platform that offers mobile and bill payment, person-to-person (P2P) payment, investment and insurance solutions, financial services and advertising. Combined, t</w:t>
      </w:r>
      <w:r>
        <w:rPr>
          <w:rFonts w:ascii="Times New Roman" w:eastAsia="宋体" w:hAnsi="Times New Roman"/>
          <w:color w:val="000000"/>
          <w:sz w:val="20"/>
          <w:szCs w:val="20"/>
        </w:rPr>
        <w:t>hese offerings did not represent a significant portion of annual segment revenues.</w:t>
      </w:r>
    </w:p>
    <w:p w14:paraId="35D08FA3" w14:textId="77777777" w:rsidR="00D42204" w:rsidRDefault="004E439D">
      <w:pPr>
        <w:spacing w:before="180"/>
      </w:pPr>
      <w:r>
        <w:rPr>
          <w:rFonts w:ascii="Times New Roman" w:eastAsia="宋体" w:hAnsi="Times New Roman"/>
          <w:b/>
          <w:bCs/>
          <w:color w:val="000000"/>
          <w:sz w:val="20"/>
          <w:szCs w:val="20"/>
          <w:u w:val="single"/>
        </w:rPr>
        <w:t>Operations.</w:t>
      </w:r>
      <w:r>
        <w:rPr>
          <w:rFonts w:ascii="Times New Roman" w:eastAsia="宋体" w:hAnsi="Times New Roman"/>
          <w:color w:val="000000"/>
          <w:sz w:val="20"/>
          <w:szCs w:val="20"/>
        </w:rPr>
        <w:t xml:space="preserve"> The hours of operation for operating units in Walmart International vary by country and by individual markets within countries, depending upon local and national</w:t>
      </w:r>
      <w:r>
        <w:rPr>
          <w:rFonts w:ascii="Times New Roman" w:eastAsia="宋体" w:hAnsi="Times New Roman"/>
          <w:color w:val="000000"/>
          <w:sz w:val="20"/>
          <w:szCs w:val="20"/>
        </w:rPr>
        <w:t xml:space="preserve"> ordinances governing hours of operation. Consistent with its strategy, Walmart International continues to develop technology tools and services to better serve customers and help its various formats operate more efficiently, as well as to provide convenie</w:t>
      </w:r>
      <w:r>
        <w:rPr>
          <w:rFonts w:ascii="Times New Roman" w:eastAsia="宋体" w:hAnsi="Times New Roman"/>
          <w:color w:val="000000"/>
          <w:sz w:val="20"/>
          <w:szCs w:val="20"/>
        </w:rPr>
        <w:t xml:space="preserve">nt and seamless omni-channel shopping experiences. </w:t>
      </w:r>
    </w:p>
    <w:p w14:paraId="35D08FA4" w14:textId="77777777" w:rsidR="00D42204" w:rsidRDefault="004E439D">
      <w:pPr>
        <w:spacing w:before="180"/>
      </w:pPr>
      <w:r>
        <w:rPr>
          <w:rFonts w:ascii="Times New Roman" w:eastAsia="宋体" w:hAnsi="Times New Roman"/>
          <w:b/>
          <w:bCs/>
          <w:color w:val="000000"/>
          <w:sz w:val="20"/>
          <w:szCs w:val="20"/>
          <w:u w:val="single"/>
        </w:rPr>
        <w:t>Seasonal Aspects of Operations.</w:t>
      </w:r>
      <w:r>
        <w:rPr>
          <w:rFonts w:ascii="Times New Roman" w:eastAsia="宋体" w:hAnsi="Times New Roman"/>
          <w:color w:val="000000"/>
          <w:sz w:val="20"/>
          <w:szCs w:val="20"/>
        </w:rPr>
        <w:t xml:space="preserve"> Walmart International's business is seasonal to a certain extent. Historically, its highest sales volume has occurred in the fourth quarter of our fiscal year. The seasonal</w:t>
      </w:r>
      <w:r>
        <w:rPr>
          <w:rFonts w:ascii="Times New Roman" w:eastAsia="宋体" w:hAnsi="Times New Roman"/>
          <w:color w:val="000000"/>
          <w:sz w:val="20"/>
          <w:szCs w:val="20"/>
        </w:rPr>
        <w:t>ity of the business varies by country due to different national and religious holidays, festivals and customs, as well as different weather patterns.</w:t>
      </w:r>
    </w:p>
    <w:p w14:paraId="35D08FA5" w14:textId="77777777" w:rsidR="00D42204" w:rsidRDefault="004E439D">
      <w:pPr>
        <w:spacing w:before="180"/>
      </w:pPr>
      <w:r>
        <w:rPr>
          <w:rFonts w:ascii="Times New Roman" w:eastAsia="宋体" w:hAnsi="Times New Roman"/>
          <w:b/>
          <w:bCs/>
          <w:color w:val="000000"/>
          <w:sz w:val="20"/>
          <w:szCs w:val="20"/>
          <w:u w:val="single"/>
        </w:rPr>
        <w:t>Competition.</w:t>
      </w:r>
      <w:r>
        <w:rPr>
          <w:rFonts w:ascii="Times New Roman" w:eastAsia="宋体" w:hAnsi="Times New Roman"/>
          <w:color w:val="000000"/>
          <w:sz w:val="20"/>
          <w:szCs w:val="20"/>
        </w:rPr>
        <w:t xml:space="preserve"> Walmart International competes with brick and mortar, eCommerce, and omni-channel retailers w</w:t>
      </w:r>
      <w:r>
        <w:rPr>
          <w:rFonts w:ascii="Times New Roman" w:eastAsia="宋体" w:hAnsi="Times New Roman"/>
          <w:color w:val="000000"/>
          <w:sz w:val="20"/>
          <w:szCs w:val="20"/>
        </w:rPr>
        <w:t>ho operate department, drug, discount, variety and specialty stores, supermarkets, hypermarkets and supercenter-type stores, wholesale clubs, home-improvement stores, specialty electronics stores, cash &amp; carry operations and convenience stores, and eCommer</w:t>
      </w:r>
      <w:r>
        <w:rPr>
          <w:rFonts w:ascii="Times New Roman" w:eastAsia="宋体" w:hAnsi="Times New Roman"/>
          <w:color w:val="000000"/>
          <w:sz w:val="20"/>
          <w:szCs w:val="20"/>
        </w:rPr>
        <w:t xml:space="preserve">ce retailers, as well as catalog businesses. Our ability to develop and operate units at the right locations and to deliver a customer-centric omni-channel experience largely determines our competitive position within the retail industry. We believe price </w:t>
      </w:r>
      <w:r>
        <w:rPr>
          <w:rFonts w:ascii="Times New Roman" w:eastAsia="宋体" w:hAnsi="Times New Roman"/>
          <w:color w:val="000000"/>
          <w:sz w:val="20"/>
          <w:szCs w:val="20"/>
        </w:rPr>
        <w:t>leadership is a critical part of our business model and we continue to focus on moving our markets towards an EDLP approach. Additionally, our ability to operate food departments effectively has a significant impact on our competitive position in the marke</w:t>
      </w:r>
      <w:r>
        <w:rPr>
          <w:rFonts w:ascii="Times New Roman" w:eastAsia="宋体" w:hAnsi="Times New Roman"/>
          <w:color w:val="000000"/>
          <w:sz w:val="20"/>
          <w:szCs w:val="20"/>
        </w:rPr>
        <w:t xml:space="preserve">ts where we operate. Each of these landscapes is highly competitive and rapidly evolving, and new business models and the entry of new, well-funded competitors continue to intensify this competition. Some of our competitors have longer histories </w:t>
      </w:r>
    </w:p>
    <w:p w14:paraId="35D08FA6" w14:textId="77777777" w:rsidR="00D42204" w:rsidRDefault="004E439D">
      <w:pPr>
        <w:jc w:val="center"/>
      </w:pPr>
      <w:r>
        <w:rPr>
          <w:rFonts w:ascii="Times New Roman" w:eastAsia="宋体" w:hAnsi="Times New Roman"/>
          <w:color w:val="000000"/>
          <w:sz w:val="20"/>
          <w:szCs w:val="20"/>
        </w:rPr>
        <w:t>9</w:t>
      </w:r>
    </w:p>
    <w:p w14:paraId="35D08FA7" w14:textId="77777777" w:rsidR="00D42204" w:rsidRDefault="004E439D">
      <w:r>
        <w:pict w14:anchorId="35D0C362">
          <v:rect id="_x0000_i1033" style="width:415.3pt;height:1.5pt" o:hralign="center" o:hrstd="t" o:hr="t" fillcolor="#a0a0a0" stroked="f"/>
        </w:pict>
      </w:r>
    </w:p>
    <w:p w14:paraId="35D08FA8" w14:textId="77777777" w:rsidR="00D42204" w:rsidRDefault="00D42204"/>
    <w:p w14:paraId="35D08FA9" w14:textId="77777777" w:rsidR="00D42204" w:rsidRDefault="004E439D">
      <w:pPr>
        <w:spacing w:before="180"/>
      </w:pPr>
      <w:r>
        <w:rPr>
          <w:rFonts w:ascii="Times New Roman" w:eastAsia="宋体" w:hAnsi="Times New Roman"/>
          <w:color w:val="000000"/>
          <w:sz w:val="20"/>
          <w:szCs w:val="20"/>
        </w:rPr>
        <w:t>in t</w:t>
      </w:r>
      <w:r>
        <w:rPr>
          <w:rFonts w:ascii="Times New Roman" w:eastAsia="宋体" w:hAnsi="Times New Roman"/>
          <w:color w:val="000000"/>
          <w:sz w:val="20"/>
          <w:szCs w:val="20"/>
        </w:rPr>
        <w:t>hese lines of business, more customers, and greater brand recognition. They may be able to obtain more favorable terms from suppliers and business partners and to devote greater resources to the development of these businesses. In addition, for eCommerce a</w:t>
      </w:r>
      <w:r>
        <w:rPr>
          <w:rFonts w:ascii="Times New Roman" w:eastAsia="宋体" w:hAnsi="Times New Roman"/>
          <w:color w:val="000000"/>
          <w:sz w:val="20"/>
          <w:szCs w:val="20"/>
        </w:rPr>
        <w:t>nd other internet-based businesses, newer or smaller businesses may be better able to innovate and compete with us.</w:t>
      </w:r>
    </w:p>
    <w:p w14:paraId="35D08FAA" w14:textId="77777777" w:rsidR="00D42204" w:rsidRDefault="004E439D">
      <w:pPr>
        <w:spacing w:before="180"/>
      </w:pPr>
      <w:r>
        <w:rPr>
          <w:rFonts w:ascii="Times New Roman" w:eastAsia="宋体" w:hAnsi="Times New Roman"/>
          <w:b/>
          <w:bCs/>
          <w:color w:val="000000"/>
          <w:sz w:val="20"/>
          <w:szCs w:val="20"/>
          <w:u w:val="single"/>
        </w:rPr>
        <w:t>Distribution.</w:t>
      </w:r>
      <w:r>
        <w:rPr>
          <w:rFonts w:ascii="Times New Roman" w:eastAsia="宋体" w:hAnsi="Times New Roman"/>
          <w:color w:val="000000"/>
          <w:sz w:val="20"/>
          <w:szCs w:val="20"/>
        </w:rPr>
        <w:t xml:space="preserve"> We utilize a total of 179 distribution facilities located in Canada, Central America, Chile, China, India, Mexico and South Af</w:t>
      </w:r>
      <w:r>
        <w:rPr>
          <w:rFonts w:ascii="Times New Roman" w:eastAsia="宋体" w:hAnsi="Times New Roman"/>
          <w:color w:val="000000"/>
          <w:sz w:val="20"/>
          <w:szCs w:val="20"/>
        </w:rPr>
        <w:t>rica. Through these facilities, we process and distribute both imported and domestic products to the operating units of the Walmart International segment. During fiscal 2022, the majority of Walmart International's purchases passed through these distributi</w:t>
      </w:r>
      <w:r>
        <w:rPr>
          <w:rFonts w:ascii="Times New Roman" w:eastAsia="宋体" w:hAnsi="Times New Roman"/>
          <w:color w:val="000000"/>
          <w:sz w:val="20"/>
          <w:szCs w:val="20"/>
        </w:rPr>
        <w:t>on facilities. Suppliers ship the remainder of Walmart International's purchases directly to our stores in the various markets in which we operate. Across the segment, we have efficient networks connecting physical stores and distribution and fulfillment c</w:t>
      </w:r>
      <w:r>
        <w:rPr>
          <w:rFonts w:ascii="Times New Roman" w:eastAsia="宋体" w:hAnsi="Times New Roman"/>
          <w:color w:val="000000"/>
          <w:sz w:val="20"/>
          <w:szCs w:val="20"/>
        </w:rPr>
        <w:t>enters which facilitate the movement of goods to where our customers live. We ship merchandise purchased by customers on our eCommerce platforms by a number of methods from multiple locations including from our 83 dedicated eCommerce fulfillment centers, m</w:t>
      </w:r>
      <w:r>
        <w:rPr>
          <w:rFonts w:ascii="Times New Roman" w:eastAsia="宋体" w:hAnsi="Times New Roman"/>
          <w:color w:val="000000"/>
          <w:sz w:val="20"/>
          <w:szCs w:val="20"/>
        </w:rPr>
        <w:t>ore than 3,400 eCommerce sort centers and last-mile delivery facilities in India, as well as our physical retail stores.</w:t>
      </w:r>
    </w:p>
    <w:p w14:paraId="35D08FAB" w14:textId="77777777" w:rsidR="00D42204" w:rsidRDefault="004E439D">
      <w:pPr>
        <w:spacing w:before="180"/>
      </w:pPr>
      <w:r>
        <w:rPr>
          <w:rFonts w:ascii="Times New Roman" w:eastAsia="宋体" w:hAnsi="Times New Roman"/>
          <w:b/>
          <w:bCs/>
          <w:color w:val="000000"/>
          <w:sz w:val="20"/>
          <w:szCs w:val="20"/>
        </w:rPr>
        <w:t>Sam's Club Segment</w:t>
      </w:r>
    </w:p>
    <w:p w14:paraId="35D08FAC" w14:textId="77777777" w:rsidR="00D42204" w:rsidRDefault="004E439D">
      <w:pPr>
        <w:spacing w:before="100"/>
      </w:pPr>
      <w:r>
        <w:rPr>
          <w:rFonts w:ascii="Times New Roman" w:eastAsia="宋体" w:hAnsi="Times New Roman"/>
          <w:color w:val="000000"/>
          <w:sz w:val="20"/>
          <w:szCs w:val="20"/>
        </w:rPr>
        <w:t xml:space="preserve">Sam's Club operates in 44 states in the U.S. and in Puerto Rico. Sam's Club is a membership-only warehouse club </w:t>
      </w:r>
      <w:r>
        <w:rPr>
          <w:rFonts w:ascii="Times New Roman" w:eastAsia="宋体" w:hAnsi="Times New Roman"/>
          <w:color w:val="000000"/>
          <w:sz w:val="20"/>
          <w:szCs w:val="20"/>
        </w:rPr>
        <w:t>that also operates samsclub.com. Sam's Club had net sales of $73.6 billion for fiscal 2022, representing 13% of our consolidated fiscal 2022 net sales, and had net sales of $63.9 billion and $58.8 billion for fiscal 2021 and 2020, respectively. As a member</w:t>
      </w:r>
      <w:r>
        <w:rPr>
          <w:rFonts w:ascii="Times New Roman" w:eastAsia="宋体" w:hAnsi="Times New Roman"/>
          <w:color w:val="000000"/>
          <w:sz w:val="20"/>
          <w:szCs w:val="20"/>
        </w:rPr>
        <w:t>ship-only warehouse club, membership income is a significant component of the segment's operating income. Sam's Club operates with a lower gross profit rate and lower operating expenses as a percentage of net sales than our other segments.</w:t>
      </w:r>
    </w:p>
    <w:p w14:paraId="35D08FAD" w14:textId="77777777" w:rsidR="00D42204" w:rsidRDefault="004E439D">
      <w:pPr>
        <w:spacing w:before="180"/>
      </w:pPr>
      <w:r>
        <w:rPr>
          <w:rFonts w:ascii="Times New Roman" w:eastAsia="宋体" w:hAnsi="Times New Roman"/>
          <w:b/>
          <w:bCs/>
          <w:color w:val="000000"/>
          <w:sz w:val="20"/>
          <w:szCs w:val="20"/>
          <w:u w:val="single"/>
        </w:rPr>
        <w:t>Membership.</w:t>
      </w:r>
      <w:r>
        <w:rPr>
          <w:rFonts w:ascii="Times New Roman" w:eastAsia="宋体" w:hAnsi="Times New Roman"/>
          <w:color w:val="000000"/>
          <w:sz w:val="20"/>
          <w:szCs w:val="20"/>
        </w:rPr>
        <w:t xml:space="preserve"> The </w:t>
      </w:r>
      <w:r>
        <w:rPr>
          <w:rFonts w:ascii="Times New Roman" w:eastAsia="宋体" w:hAnsi="Times New Roman"/>
          <w:color w:val="000000"/>
          <w:sz w:val="20"/>
          <w:szCs w:val="20"/>
        </w:rPr>
        <w:t>following two options are available to members:</w:t>
      </w:r>
    </w:p>
    <w:tbl>
      <w:tblPr>
        <w:tblW w:w="5000" w:type="pct"/>
        <w:jc w:val="center"/>
        <w:tblCellMar>
          <w:top w:w="15" w:type="dxa"/>
          <w:left w:w="15" w:type="dxa"/>
          <w:bottom w:w="15" w:type="dxa"/>
          <w:right w:w="15" w:type="dxa"/>
        </w:tblCellMar>
        <w:tblLook w:val="04A0" w:firstRow="1" w:lastRow="0" w:firstColumn="1" w:lastColumn="0" w:noHBand="0" w:noVBand="1"/>
      </w:tblPr>
      <w:tblGrid>
        <w:gridCol w:w="62"/>
        <w:gridCol w:w="5148"/>
        <w:gridCol w:w="37"/>
        <w:gridCol w:w="62"/>
        <w:gridCol w:w="1327"/>
        <w:gridCol w:w="36"/>
        <w:gridCol w:w="36"/>
        <w:gridCol w:w="36"/>
        <w:gridCol w:w="36"/>
        <w:gridCol w:w="52"/>
        <w:gridCol w:w="1324"/>
        <w:gridCol w:w="36"/>
        <w:gridCol w:w="36"/>
        <w:gridCol w:w="36"/>
        <w:gridCol w:w="36"/>
        <w:gridCol w:w="36"/>
      </w:tblGrid>
      <w:tr w:rsidR="00D42204" w14:paraId="35D08FBE" w14:textId="77777777">
        <w:trPr>
          <w:jc w:val="center"/>
        </w:trPr>
        <w:tc>
          <w:tcPr>
            <w:tcW w:w="50" w:type="pct"/>
            <w:shd w:val="clear" w:color="auto" w:fill="auto"/>
            <w:vAlign w:val="bottom"/>
          </w:tcPr>
          <w:p w14:paraId="35D08FAE" w14:textId="77777777" w:rsidR="00D42204" w:rsidRDefault="00D42204">
            <w:pPr>
              <w:rPr>
                <w:rFonts w:ascii="宋体"/>
              </w:rPr>
            </w:pPr>
          </w:p>
        </w:tc>
        <w:tc>
          <w:tcPr>
            <w:tcW w:w="3154" w:type="pct"/>
            <w:shd w:val="clear" w:color="auto" w:fill="auto"/>
            <w:vAlign w:val="bottom"/>
          </w:tcPr>
          <w:p w14:paraId="35D08FAF" w14:textId="77777777" w:rsidR="00D42204" w:rsidRDefault="00D42204">
            <w:pPr>
              <w:rPr>
                <w:rFonts w:ascii="宋体"/>
              </w:rPr>
            </w:pPr>
          </w:p>
        </w:tc>
        <w:tc>
          <w:tcPr>
            <w:tcW w:w="5" w:type="pct"/>
            <w:shd w:val="clear" w:color="auto" w:fill="auto"/>
            <w:vAlign w:val="bottom"/>
          </w:tcPr>
          <w:p w14:paraId="35D08FB0" w14:textId="77777777" w:rsidR="00D42204" w:rsidRDefault="00D42204">
            <w:pPr>
              <w:rPr>
                <w:rFonts w:ascii="宋体"/>
              </w:rPr>
            </w:pPr>
          </w:p>
        </w:tc>
        <w:tc>
          <w:tcPr>
            <w:tcW w:w="50" w:type="pct"/>
            <w:shd w:val="clear" w:color="auto" w:fill="auto"/>
            <w:vAlign w:val="bottom"/>
          </w:tcPr>
          <w:p w14:paraId="35D08FB1" w14:textId="77777777" w:rsidR="00D42204" w:rsidRDefault="00D42204">
            <w:pPr>
              <w:rPr>
                <w:rFonts w:ascii="宋体"/>
              </w:rPr>
            </w:pPr>
          </w:p>
        </w:tc>
        <w:tc>
          <w:tcPr>
            <w:tcW w:w="822" w:type="pct"/>
            <w:shd w:val="clear" w:color="auto" w:fill="auto"/>
            <w:vAlign w:val="bottom"/>
          </w:tcPr>
          <w:p w14:paraId="35D08FB2" w14:textId="77777777" w:rsidR="00D42204" w:rsidRDefault="00D42204">
            <w:pPr>
              <w:rPr>
                <w:rFonts w:ascii="宋体"/>
              </w:rPr>
            </w:pPr>
          </w:p>
        </w:tc>
        <w:tc>
          <w:tcPr>
            <w:tcW w:w="5" w:type="pct"/>
            <w:shd w:val="clear" w:color="auto" w:fill="auto"/>
            <w:vAlign w:val="bottom"/>
          </w:tcPr>
          <w:p w14:paraId="35D08FB3" w14:textId="77777777" w:rsidR="00D42204" w:rsidRDefault="00D42204">
            <w:pPr>
              <w:rPr>
                <w:rFonts w:ascii="宋体"/>
              </w:rPr>
            </w:pPr>
          </w:p>
        </w:tc>
        <w:tc>
          <w:tcPr>
            <w:tcW w:w="5" w:type="pct"/>
            <w:shd w:val="clear" w:color="auto" w:fill="auto"/>
            <w:vAlign w:val="bottom"/>
          </w:tcPr>
          <w:p w14:paraId="35D08FB4" w14:textId="77777777" w:rsidR="00D42204" w:rsidRDefault="00D42204">
            <w:pPr>
              <w:rPr>
                <w:rFonts w:ascii="宋体"/>
              </w:rPr>
            </w:pPr>
          </w:p>
        </w:tc>
        <w:tc>
          <w:tcPr>
            <w:tcW w:w="26" w:type="pct"/>
            <w:shd w:val="clear" w:color="auto" w:fill="auto"/>
            <w:vAlign w:val="bottom"/>
          </w:tcPr>
          <w:p w14:paraId="35D08FB5" w14:textId="77777777" w:rsidR="00D42204" w:rsidRDefault="00D42204">
            <w:pPr>
              <w:rPr>
                <w:rFonts w:ascii="宋体"/>
              </w:rPr>
            </w:pPr>
          </w:p>
        </w:tc>
        <w:tc>
          <w:tcPr>
            <w:tcW w:w="5" w:type="pct"/>
            <w:shd w:val="clear" w:color="auto" w:fill="auto"/>
            <w:vAlign w:val="bottom"/>
          </w:tcPr>
          <w:p w14:paraId="35D08FB6" w14:textId="77777777" w:rsidR="00D42204" w:rsidRDefault="00D42204">
            <w:pPr>
              <w:rPr>
                <w:rFonts w:ascii="宋体"/>
              </w:rPr>
            </w:pPr>
          </w:p>
        </w:tc>
        <w:tc>
          <w:tcPr>
            <w:tcW w:w="50" w:type="pct"/>
            <w:shd w:val="clear" w:color="auto" w:fill="auto"/>
            <w:vAlign w:val="bottom"/>
          </w:tcPr>
          <w:p w14:paraId="35D08FB7" w14:textId="77777777" w:rsidR="00D42204" w:rsidRDefault="00D42204">
            <w:pPr>
              <w:rPr>
                <w:rFonts w:ascii="宋体"/>
              </w:rPr>
            </w:pPr>
          </w:p>
        </w:tc>
        <w:tc>
          <w:tcPr>
            <w:tcW w:w="822" w:type="pct"/>
            <w:shd w:val="clear" w:color="auto" w:fill="auto"/>
            <w:vAlign w:val="bottom"/>
          </w:tcPr>
          <w:p w14:paraId="35D08FB8" w14:textId="77777777" w:rsidR="00D42204" w:rsidRDefault="00D42204">
            <w:pPr>
              <w:rPr>
                <w:rFonts w:ascii="宋体"/>
              </w:rPr>
            </w:pPr>
          </w:p>
        </w:tc>
        <w:tc>
          <w:tcPr>
            <w:tcW w:w="5" w:type="pct"/>
            <w:shd w:val="clear" w:color="auto" w:fill="auto"/>
            <w:vAlign w:val="bottom"/>
          </w:tcPr>
          <w:p w14:paraId="35D08FB9" w14:textId="77777777" w:rsidR="00D42204" w:rsidRDefault="00D42204">
            <w:pPr>
              <w:rPr>
                <w:rFonts w:ascii="宋体"/>
              </w:rPr>
            </w:pPr>
          </w:p>
        </w:tc>
        <w:tc>
          <w:tcPr>
            <w:tcW w:w="0" w:type="auto"/>
            <w:shd w:val="clear" w:color="auto" w:fill="auto"/>
            <w:vAlign w:val="bottom"/>
          </w:tcPr>
          <w:p w14:paraId="35D08FBA" w14:textId="77777777" w:rsidR="00D42204" w:rsidRDefault="00D42204">
            <w:pPr>
              <w:rPr>
                <w:rFonts w:ascii="宋体"/>
                <w:vanish/>
              </w:rPr>
            </w:pPr>
          </w:p>
        </w:tc>
        <w:tc>
          <w:tcPr>
            <w:tcW w:w="0" w:type="auto"/>
            <w:shd w:val="clear" w:color="auto" w:fill="auto"/>
            <w:vAlign w:val="bottom"/>
          </w:tcPr>
          <w:p w14:paraId="35D08FBB" w14:textId="77777777" w:rsidR="00D42204" w:rsidRDefault="00D42204">
            <w:pPr>
              <w:rPr>
                <w:rFonts w:ascii="宋体"/>
                <w:vanish/>
              </w:rPr>
            </w:pPr>
          </w:p>
        </w:tc>
        <w:tc>
          <w:tcPr>
            <w:tcW w:w="0" w:type="auto"/>
            <w:shd w:val="clear" w:color="auto" w:fill="auto"/>
            <w:vAlign w:val="bottom"/>
          </w:tcPr>
          <w:p w14:paraId="35D08FBC" w14:textId="77777777" w:rsidR="00D42204" w:rsidRDefault="00D42204">
            <w:pPr>
              <w:rPr>
                <w:rFonts w:ascii="宋体"/>
                <w:vanish/>
              </w:rPr>
            </w:pPr>
          </w:p>
        </w:tc>
        <w:tc>
          <w:tcPr>
            <w:tcW w:w="0" w:type="auto"/>
            <w:shd w:val="clear" w:color="auto" w:fill="auto"/>
            <w:vAlign w:val="bottom"/>
          </w:tcPr>
          <w:p w14:paraId="35D08FBD" w14:textId="77777777" w:rsidR="00D42204" w:rsidRDefault="00D42204">
            <w:pPr>
              <w:rPr>
                <w:rFonts w:ascii="宋体"/>
                <w:vanish/>
              </w:rPr>
            </w:pPr>
          </w:p>
        </w:tc>
      </w:tr>
      <w:tr w:rsidR="00D42204" w14:paraId="35D08FC7" w14:textId="77777777">
        <w:trPr>
          <w:jc w:val="center"/>
        </w:trPr>
        <w:tc>
          <w:tcPr>
            <w:tcW w:w="0" w:type="auto"/>
            <w:gridSpan w:val="3"/>
            <w:shd w:val="clear" w:color="auto" w:fill="auto"/>
            <w:tcMar>
              <w:top w:w="0" w:type="dxa"/>
              <w:left w:w="20" w:type="dxa"/>
              <w:bottom w:w="0" w:type="dxa"/>
              <w:right w:w="20" w:type="dxa"/>
            </w:tcMar>
            <w:vAlign w:val="bottom"/>
          </w:tcPr>
          <w:p w14:paraId="35D08FBF"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8FC0" w14:textId="77777777" w:rsidR="00D42204" w:rsidRDefault="004E439D">
            <w:pPr>
              <w:jc w:val="center"/>
              <w:textAlignment w:val="bottom"/>
            </w:pPr>
            <w:r>
              <w:rPr>
                <w:rFonts w:ascii="Times New Roman" w:eastAsia="宋体" w:hAnsi="Times New Roman"/>
                <w:b/>
                <w:bCs/>
                <w:color w:val="000000"/>
                <w:sz w:val="16"/>
                <w:szCs w:val="16"/>
              </w:rPr>
              <w:t>Plus Membership</w:t>
            </w:r>
          </w:p>
        </w:tc>
        <w:tc>
          <w:tcPr>
            <w:tcW w:w="0" w:type="auto"/>
            <w:gridSpan w:val="3"/>
            <w:shd w:val="clear" w:color="auto" w:fill="auto"/>
            <w:tcMar>
              <w:top w:w="0" w:type="dxa"/>
              <w:left w:w="20" w:type="dxa"/>
              <w:bottom w:w="0" w:type="dxa"/>
              <w:right w:w="20" w:type="dxa"/>
            </w:tcMar>
            <w:vAlign w:val="bottom"/>
          </w:tcPr>
          <w:p w14:paraId="35D08FC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8FC2" w14:textId="77777777" w:rsidR="00D42204" w:rsidRDefault="004E439D">
            <w:pPr>
              <w:jc w:val="center"/>
              <w:textAlignment w:val="bottom"/>
            </w:pPr>
            <w:r>
              <w:rPr>
                <w:rFonts w:ascii="Times New Roman" w:eastAsia="宋体" w:hAnsi="Times New Roman"/>
                <w:b/>
                <w:bCs/>
                <w:color w:val="000000"/>
                <w:sz w:val="16"/>
                <w:szCs w:val="16"/>
              </w:rPr>
              <w:t>Club Membership</w:t>
            </w:r>
          </w:p>
        </w:tc>
        <w:tc>
          <w:tcPr>
            <w:tcW w:w="0" w:type="auto"/>
            <w:shd w:val="clear" w:color="auto" w:fill="auto"/>
            <w:vAlign w:val="bottom"/>
          </w:tcPr>
          <w:p w14:paraId="35D08FC3" w14:textId="77777777" w:rsidR="00D42204" w:rsidRDefault="00D42204">
            <w:pPr>
              <w:rPr>
                <w:rFonts w:ascii="宋体"/>
                <w:vanish/>
              </w:rPr>
            </w:pPr>
          </w:p>
        </w:tc>
        <w:tc>
          <w:tcPr>
            <w:tcW w:w="0" w:type="auto"/>
            <w:shd w:val="clear" w:color="auto" w:fill="auto"/>
            <w:vAlign w:val="bottom"/>
          </w:tcPr>
          <w:p w14:paraId="35D08FC4" w14:textId="77777777" w:rsidR="00D42204" w:rsidRDefault="00D42204">
            <w:pPr>
              <w:rPr>
                <w:rFonts w:ascii="宋体"/>
                <w:vanish/>
              </w:rPr>
            </w:pPr>
          </w:p>
        </w:tc>
        <w:tc>
          <w:tcPr>
            <w:tcW w:w="0" w:type="auto"/>
            <w:shd w:val="clear" w:color="auto" w:fill="auto"/>
            <w:vAlign w:val="bottom"/>
          </w:tcPr>
          <w:p w14:paraId="35D08FC5" w14:textId="77777777" w:rsidR="00D42204" w:rsidRDefault="00D42204">
            <w:pPr>
              <w:rPr>
                <w:rFonts w:ascii="宋体"/>
                <w:vanish/>
              </w:rPr>
            </w:pPr>
          </w:p>
        </w:tc>
        <w:tc>
          <w:tcPr>
            <w:tcW w:w="0" w:type="auto"/>
            <w:shd w:val="clear" w:color="auto" w:fill="auto"/>
            <w:vAlign w:val="bottom"/>
          </w:tcPr>
          <w:p w14:paraId="35D08FC6" w14:textId="77777777" w:rsidR="00D42204" w:rsidRDefault="00D42204">
            <w:pPr>
              <w:rPr>
                <w:rFonts w:ascii="宋体"/>
                <w:vanish/>
              </w:rPr>
            </w:pPr>
          </w:p>
        </w:tc>
      </w:tr>
      <w:tr w:rsidR="00D42204" w14:paraId="35D08FD0" w14:textId="77777777">
        <w:trPr>
          <w:jc w:val="center"/>
        </w:trPr>
        <w:tc>
          <w:tcPr>
            <w:tcW w:w="0" w:type="auto"/>
            <w:gridSpan w:val="3"/>
            <w:shd w:val="clear" w:color="auto" w:fill="CCEEFF"/>
            <w:tcMar>
              <w:top w:w="40" w:type="dxa"/>
              <w:left w:w="20" w:type="dxa"/>
              <w:bottom w:w="40" w:type="dxa"/>
              <w:right w:w="20" w:type="dxa"/>
            </w:tcMar>
            <w:vAlign w:val="bottom"/>
          </w:tcPr>
          <w:p w14:paraId="35D08FC8" w14:textId="77777777" w:rsidR="00D42204" w:rsidRDefault="004E439D">
            <w:pPr>
              <w:textAlignment w:val="bottom"/>
            </w:pPr>
            <w:r>
              <w:rPr>
                <w:rFonts w:ascii="Times New Roman" w:eastAsia="宋体" w:hAnsi="Times New Roman"/>
                <w:color w:val="000000"/>
                <w:sz w:val="16"/>
                <w:szCs w:val="16"/>
              </w:rPr>
              <w:t>Annual Membership Fee</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D08FC9" w14:textId="77777777" w:rsidR="00D42204" w:rsidRDefault="004E439D">
            <w:pPr>
              <w:jc w:val="center"/>
              <w:textAlignment w:val="bottom"/>
            </w:pPr>
            <w:r>
              <w:rPr>
                <w:rFonts w:ascii="Times New Roman" w:eastAsia="宋体" w:hAnsi="Times New Roman"/>
                <w:color w:val="000000"/>
                <w:sz w:val="16"/>
                <w:szCs w:val="16"/>
              </w:rPr>
              <w:t>$100</w:t>
            </w:r>
          </w:p>
        </w:tc>
        <w:tc>
          <w:tcPr>
            <w:tcW w:w="0" w:type="auto"/>
            <w:gridSpan w:val="3"/>
            <w:shd w:val="clear" w:color="auto" w:fill="CCEEFF"/>
            <w:tcMar>
              <w:top w:w="0" w:type="dxa"/>
              <w:left w:w="20" w:type="dxa"/>
              <w:bottom w:w="0" w:type="dxa"/>
              <w:right w:w="20" w:type="dxa"/>
            </w:tcMar>
            <w:vAlign w:val="bottom"/>
          </w:tcPr>
          <w:p w14:paraId="35D08FCA"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D08FCB" w14:textId="77777777" w:rsidR="00D42204" w:rsidRDefault="004E439D">
            <w:pPr>
              <w:jc w:val="center"/>
              <w:textAlignment w:val="bottom"/>
            </w:pPr>
            <w:r>
              <w:rPr>
                <w:rFonts w:ascii="Times New Roman" w:eastAsia="宋体" w:hAnsi="Times New Roman"/>
                <w:color w:val="000000"/>
                <w:sz w:val="16"/>
                <w:szCs w:val="16"/>
              </w:rPr>
              <w:t>$45</w:t>
            </w:r>
          </w:p>
        </w:tc>
        <w:tc>
          <w:tcPr>
            <w:tcW w:w="0" w:type="auto"/>
            <w:shd w:val="clear" w:color="auto" w:fill="auto"/>
            <w:vAlign w:val="bottom"/>
          </w:tcPr>
          <w:p w14:paraId="35D08FCC" w14:textId="77777777" w:rsidR="00D42204" w:rsidRDefault="00D42204">
            <w:pPr>
              <w:rPr>
                <w:rFonts w:ascii="宋体"/>
                <w:vanish/>
              </w:rPr>
            </w:pPr>
          </w:p>
        </w:tc>
        <w:tc>
          <w:tcPr>
            <w:tcW w:w="0" w:type="auto"/>
            <w:shd w:val="clear" w:color="auto" w:fill="auto"/>
            <w:vAlign w:val="bottom"/>
          </w:tcPr>
          <w:p w14:paraId="35D08FCD" w14:textId="77777777" w:rsidR="00D42204" w:rsidRDefault="00D42204">
            <w:pPr>
              <w:rPr>
                <w:rFonts w:ascii="宋体"/>
                <w:vanish/>
              </w:rPr>
            </w:pPr>
          </w:p>
        </w:tc>
        <w:tc>
          <w:tcPr>
            <w:tcW w:w="0" w:type="auto"/>
            <w:shd w:val="clear" w:color="auto" w:fill="auto"/>
            <w:vAlign w:val="bottom"/>
          </w:tcPr>
          <w:p w14:paraId="35D08FCE" w14:textId="77777777" w:rsidR="00D42204" w:rsidRDefault="00D42204">
            <w:pPr>
              <w:rPr>
                <w:rFonts w:ascii="宋体"/>
                <w:vanish/>
              </w:rPr>
            </w:pPr>
          </w:p>
        </w:tc>
        <w:tc>
          <w:tcPr>
            <w:tcW w:w="0" w:type="auto"/>
            <w:shd w:val="clear" w:color="auto" w:fill="auto"/>
            <w:vAlign w:val="bottom"/>
          </w:tcPr>
          <w:p w14:paraId="35D08FCF" w14:textId="77777777" w:rsidR="00D42204" w:rsidRDefault="00D42204">
            <w:pPr>
              <w:rPr>
                <w:rFonts w:ascii="宋体"/>
                <w:vanish/>
              </w:rPr>
            </w:pPr>
          </w:p>
        </w:tc>
      </w:tr>
      <w:tr w:rsidR="00D42204" w14:paraId="35D08FD9" w14:textId="77777777">
        <w:trPr>
          <w:jc w:val="center"/>
        </w:trPr>
        <w:tc>
          <w:tcPr>
            <w:tcW w:w="0" w:type="auto"/>
            <w:gridSpan w:val="3"/>
            <w:shd w:val="clear" w:color="auto" w:fill="FFFFFF"/>
            <w:tcMar>
              <w:top w:w="40" w:type="dxa"/>
              <w:left w:w="20" w:type="dxa"/>
              <w:bottom w:w="40" w:type="dxa"/>
              <w:right w:w="20" w:type="dxa"/>
            </w:tcMar>
            <w:vAlign w:val="bottom"/>
          </w:tcPr>
          <w:p w14:paraId="35D08FD1" w14:textId="77777777" w:rsidR="00D42204" w:rsidRDefault="004E439D">
            <w:pPr>
              <w:textAlignment w:val="bottom"/>
            </w:pPr>
            <w:r>
              <w:rPr>
                <w:rFonts w:ascii="Times New Roman" w:eastAsia="宋体" w:hAnsi="Times New Roman"/>
                <w:color w:val="000000"/>
                <w:sz w:val="16"/>
                <w:szCs w:val="16"/>
              </w:rPr>
              <w:t>Number of Add-on Memberships ($40 each)</w:t>
            </w:r>
          </w:p>
        </w:tc>
        <w:tc>
          <w:tcPr>
            <w:tcW w:w="0" w:type="auto"/>
            <w:gridSpan w:val="3"/>
            <w:shd w:val="clear" w:color="auto" w:fill="FFFFFF"/>
            <w:tcMar>
              <w:top w:w="40" w:type="dxa"/>
              <w:left w:w="20" w:type="dxa"/>
              <w:bottom w:w="40" w:type="dxa"/>
              <w:right w:w="20" w:type="dxa"/>
            </w:tcMar>
            <w:vAlign w:val="bottom"/>
          </w:tcPr>
          <w:p w14:paraId="35D08FD2" w14:textId="77777777" w:rsidR="00D42204" w:rsidRDefault="004E439D">
            <w:pPr>
              <w:jc w:val="center"/>
              <w:textAlignment w:val="bottom"/>
            </w:pPr>
            <w:r>
              <w:rPr>
                <w:rFonts w:ascii="Times New Roman" w:eastAsia="宋体" w:hAnsi="Times New Roman"/>
                <w:color w:val="000000"/>
                <w:sz w:val="16"/>
                <w:szCs w:val="16"/>
              </w:rPr>
              <w:t>Up to 16</w:t>
            </w:r>
          </w:p>
        </w:tc>
        <w:tc>
          <w:tcPr>
            <w:tcW w:w="0" w:type="auto"/>
            <w:gridSpan w:val="3"/>
            <w:shd w:val="clear" w:color="auto" w:fill="FFFFFF"/>
            <w:tcMar>
              <w:top w:w="0" w:type="dxa"/>
              <w:left w:w="20" w:type="dxa"/>
              <w:bottom w:w="0" w:type="dxa"/>
              <w:right w:w="20" w:type="dxa"/>
            </w:tcMar>
            <w:vAlign w:val="bottom"/>
          </w:tcPr>
          <w:p w14:paraId="35D08FD3"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8FD4" w14:textId="77777777" w:rsidR="00D42204" w:rsidRDefault="004E439D">
            <w:pPr>
              <w:jc w:val="center"/>
              <w:textAlignment w:val="bottom"/>
            </w:pPr>
            <w:r>
              <w:rPr>
                <w:rFonts w:ascii="Times New Roman" w:eastAsia="宋体" w:hAnsi="Times New Roman"/>
                <w:color w:val="000000"/>
                <w:sz w:val="16"/>
                <w:szCs w:val="16"/>
              </w:rPr>
              <w:t>Up to 8</w:t>
            </w:r>
          </w:p>
        </w:tc>
        <w:tc>
          <w:tcPr>
            <w:tcW w:w="0" w:type="auto"/>
            <w:shd w:val="clear" w:color="auto" w:fill="auto"/>
            <w:vAlign w:val="bottom"/>
          </w:tcPr>
          <w:p w14:paraId="35D08FD5" w14:textId="77777777" w:rsidR="00D42204" w:rsidRDefault="00D42204">
            <w:pPr>
              <w:rPr>
                <w:rFonts w:ascii="宋体"/>
                <w:vanish/>
              </w:rPr>
            </w:pPr>
          </w:p>
        </w:tc>
        <w:tc>
          <w:tcPr>
            <w:tcW w:w="0" w:type="auto"/>
            <w:shd w:val="clear" w:color="auto" w:fill="auto"/>
            <w:vAlign w:val="bottom"/>
          </w:tcPr>
          <w:p w14:paraId="35D08FD6" w14:textId="77777777" w:rsidR="00D42204" w:rsidRDefault="00D42204">
            <w:pPr>
              <w:rPr>
                <w:rFonts w:ascii="宋体"/>
                <w:vanish/>
              </w:rPr>
            </w:pPr>
          </w:p>
        </w:tc>
        <w:tc>
          <w:tcPr>
            <w:tcW w:w="0" w:type="auto"/>
            <w:shd w:val="clear" w:color="auto" w:fill="auto"/>
            <w:vAlign w:val="bottom"/>
          </w:tcPr>
          <w:p w14:paraId="35D08FD7" w14:textId="77777777" w:rsidR="00D42204" w:rsidRDefault="00D42204">
            <w:pPr>
              <w:rPr>
                <w:rFonts w:ascii="宋体"/>
                <w:vanish/>
              </w:rPr>
            </w:pPr>
          </w:p>
        </w:tc>
        <w:tc>
          <w:tcPr>
            <w:tcW w:w="0" w:type="auto"/>
            <w:shd w:val="clear" w:color="auto" w:fill="auto"/>
            <w:vAlign w:val="bottom"/>
          </w:tcPr>
          <w:p w14:paraId="35D08FD8" w14:textId="77777777" w:rsidR="00D42204" w:rsidRDefault="00D42204">
            <w:pPr>
              <w:rPr>
                <w:rFonts w:ascii="宋体"/>
                <w:vanish/>
              </w:rPr>
            </w:pPr>
          </w:p>
        </w:tc>
      </w:tr>
    </w:tbl>
    <w:p w14:paraId="35D08FDA" w14:textId="77777777" w:rsidR="00D42204" w:rsidRDefault="004E439D">
      <w:pPr>
        <w:spacing w:before="80"/>
      </w:pPr>
      <w:r>
        <w:rPr>
          <w:rFonts w:ascii="Times New Roman" w:eastAsia="宋体" w:hAnsi="Times New Roman"/>
          <w:color w:val="000000"/>
          <w:sz w:val="20"/>
          <w:szCs w:val="20"/>
        </w:rPr>
        <w:t>All memberships include a spouse/household card at no additional cost. Plus Members are also eligible for free shipping on the majority of merchandise, with no minimum order size, and receive discounts on prescriptions and glasses. Beginning in fiscal 2023</w:t>
      </w:r>
      <w:r>
        <w:rPr>
          <w:rFonts w:ascii="Times New Roman" w:eastAsia="宋体" w:hAnsi="Times New Roman"/>
          <w:color w:val="000000"/>
          <w:sz w:val="20"/>
          <w:szCs w:val="20"/>
        </w:rPr>
        <w:t>, Sam's Club launched a single loyalty rewards currency called Sam's Cash which merges and replaces existing Cash Rewards for Plus members and Cash Back for Sam's Club Mastercard holders. Members may redeem Sam's Cash on purchases in the club and online, t</w:t>
      </w:r>
      <w:r>
        <w:rPr>
          <w:rFonts w:ascii="Times New Roman" w:eastAsia="宋体" w:hAnsi="Times New Roman"/>
          <w:color w:val="000000"/>
          <w:sz w:val="20"/>
          <w:szCs w:val="20"/>
        </w:rPr>
        <w:t xml:space="preserve">o pay for membership fees or for cash in clubs. Sam's Cash does not expire and is available for monthly redemption. </w:t>
      </w:r>
    </w:p>
    <w:p w14:paraId="35D08FDB" w14:textId="77777777" w:rsidR="00D42204" w:rsidRDefault="004E439D">
      <w:pPr>
        <w:spacing w:before="180"/>
      </w:pPr>
      <w:r>
        <w:rPr>
          <w:rFonts w:ascii="Times New Roman" w:eastAsia="宋体" w:hAnsi="Times New Roman"/>
          <w:b/>
          <w:bCs/>
          <w:color w:val="000000"/>
          <w:sz w:val="20"/>
          <w:szCs w:val="20"/>
          <w:u w:val="single"/>
        </w:rPr>
        <w:t>Omni-channel.</w:t>
      </w:r>
      <w:r>
        <w:rPr>
          <w:rFonts w:ascii="Times New Roman" w:eastAsia="宋体" w:hAnsi="Times New Roman"/>
          <w:color w:val="000000"/>
          <w:sz w:val="20"/>
          <w:szCs w:val="20"/>
        </w:rPr>
        <w:t xml:space="preserve"> Sam's Club provides an omni-channel experience to customers, integrating retail stores and eCommerce through such services as</w:t>
      </w:r>
      <w:r>
        <w:rPr>
          <w:rFonts w:ascii="Times New Roman" w:eastAsia="宋体" w:hAnsi="Times New Roman"/>
          <w:color w:val="000000"/>
          <w:sz w:val="20"/>
          <w:szCs w:val="20"/>
        </w:rPr>
        <w:t xml:space="preserve"> Curbside Pickup, mobile Scan &amp; Go, ship-from-club, and delivery-from-club. Members have access to a broad assortment of merchandise and services, including those not found in our clubs, online at samsclub.com and through our mobile commerce applications. </w:t>
      </w:r>
      <w:r>
        <w:rPr>
          <w:rFonts w:ascii="Times New Roman" w:eastAsia="宋体" w:hAnsi="Times New Roman"/>
          <w:color w:val="000000"/>
          <w:sz w:val="20"/>
          <w:szCs w:val="20"/>
        </w:rPr>
        <w:t xml:space="preserve">The warehouse facility sizes generally range between 32,000 and 168,000 square feet, with an average size of approximately 134,000 square feet. </w:t>
      </w:r>
    </w:p>
    <w:p w14:paraId="35D08FDC" w14:textId="77777777" w:rsidR="00D42204" w:rsidRDefault="004E439D">
      <w:pPr>
        <w:spacing w:before="180"/>
      </w:pPr>
      <w:r>
        <w:rPr>
          <w:rFonts w:ascii="Times New Roman" w:eastAsia="宋体" w:hAnsi="Times New Roman"/>
          <w:b/>
          <w:bCs/>
          <w:color w:val="000000"/>
          <w:sz w:val="20"/>
          <w:szCs w:val="20"/>
          <w:u w:val="single"/>
        </w:rPr>
        <w:t>Merchandise.</w:t>
      </w:r>
      <w:r>
        <w:rPr>
          <w:rFonts w:ascii="Times New Roman" w:eastAsia="宋体" w:hAnsi="Times New Roman"/>
          <w:color w:val="000000"/>
          <w:sz w:val="20"/>
          <w:szCs w:val="20"/>
        </w:rPr>
        <w:t xml:space="preserve"> Sam's Club offers merchandise in the following five merchandise categories:</w:t>
      </w:r>
    </w:p>
    <w:p w14:paraId="35D08FDD" w14:textId="77777777" w:rsidR="00D42204" w:rsidRDefault="004E439D">
      <w:pPr>
        <w:spacing w:before="60"/>
        <w:ind w:hanging="360"/>
      </w:pPr>
      <w:r>
        <w:rPr>
          <w:rFonts w:ascii="Arial" w:eastAsia="宋体" w:hAnsi="Arial" w:cs="Arial"/>
          <w:color w:val="000000"/>
          <w:sz w:val="20"/>
          <w:szCs w:val="20"/>
        </w:rPr>
        <w:t>•</w:t>
      </w:r>
      <w:r>
        <w:rPr>
          <w:rFonts w:ascii="Times New Roman" w:eastAsia="宋体" w:hAnsi="Times New Roman"/>
          <w:color w:val="000000"/>
          <w:sz w:val="20"/>
          <w:szCs w:val="20"/>
        </w:rPr>
        <w:t xml:space="preserve">Grocery and </w:t>
      </w:r>
      <w:r>
        <w:rPr>
          <w:rFonts w:ascii="Times New Roman" w:eastAsia="宋体" w:hAnsi="Times New Roman"/>
          <w:color w:val="000000"/>
          <w:sz w:val="20"/>
          <w:szCs w:val="20"/>
        </w:rPr>
        <w:t>consumables includes dairy, meat, bakery, deli, produce, dry, chilled or frozen packaged foods, alcoholic and nonalcoholic beverages, floral, snack foods, candy, other grocery items, health and beauty aids, paper goods, laundry and home care, baby care, pe</w:t>
      </w:r>
      <w:r>
        <w:rPr>
          <w:rFonts w:ascii="Times New Roman" w:eastAsia="宋体" w:hAnsi="Times New Roman"/>
          <w:color w:val="000000"/>
          <w:sz w:val="20"/>
          <w:szCs w:val="20"/>
        </w:rPr>
        <w:t>t supplies and other consumable items;</w:t>
      </w:r>
    </w:p>
    <w:p w14:paraId="35D08FDE" w14:textId="77777777" w:rsidR="00D42204" w:rsidRDefault="004E439D">
      <w:pPr>
        <w:spacing w:before="60"/>
        <w:ind w:hanging="360"/>
      </w:pPr>
      <w:r>
        <w:rPr>
          <w:rFonts w:ascii="Times New Roman" w:eastAsia="宋体" w:hAnsi="Times New Roman"/>
          <w:color w:val="000000"/>
          <w:sz w:val="20"/>
          <w:szCs w:val="20"/>
        </w:rPr>
        <w:t>•Fuel, tobacco and other categories;</w:t>
      </w:r>
    </w:p>
    <w:p w14:paraId="35D08FDF" w14:textId="77777777" w:rsidR="00D42204" w:rsidRDefault="004E439D">
      <w:pPr>
        <w:spacing w:before="60"/>
        <w:ind w:hanging="360"/>
      </w:pPr>
      <w:r>
        <w:rPr>
          <w:rFonts w:ascii="Times New Roman" w:eastAsia="宋体" w:hAnsi="Times New Roman"/>
          <w:color w:val="000000"/>
          <w:sz w:val="20"/>
          <w:szCs w:val="20"/>
        </w:rPr>
        <w:t xml:space="preserve">•Home and apparel includes home improvement, outdoor living, gardening, furniture, apparel, jewelry, tools and power equipment, housewares, toys, seasonal items, </w:t>
      </w:r>
      <w:r>
        <w:rPr>
          <w:rFonts w:ascii="Times New Roman" w:eastAsia="宋体" w:hAnsi="Times New Roman"/>
          <w:color w:val="000000"/>
          <w:sz w:val="20"/>
          <w:szCs w:val="20"/>
        </w:rPr>
        <w:t>mattresses, and tire and battery centers;</w:t>
      </w:r>
    </w:p>
    <w:p w14:paraId="35D08FE0" w14:textId="77777777" w:rsidR="00D42204" w:rsidRDefault="004E439D">
      <w:pPr>
        <w:spacing w:before="60"/>
        <w:ind w:hanging="360"/>
      </w:pPr>
      <w:r>
        <w:rPr>
          <w:rFonts w:ascii="Times New Roman" w:eastAsia="宋体" w:hAnsi="Times New Roman"/>
          <w:color w:val="000000"/>
          <w:sz w:val="20"/>
          <w:szCs w:val="20"/>
        </w:rPr>
        <w:t>•Technology, office and entertainment includes consumer electronics and accessories, software, video games, office supplies, appliances, and third-party gift cards; and</w:t>
      </w:r>
    </w:p>
    <w:p w14:paraId="35D08FE1" w14:textId="77777777" w:rsidR="00D42204" w:rsidRDefault="004E439D">
      <w:pPr>
        <w:spacing w:before="60"/>
        <w:ind w:hanging="360"/>
      </w:pPr>
      <w:r>
        <w:rPr>
          <w:rFonts w:ascii="Times New Roman" w:eastAsia="宋体" w:hAnsi="Times New Roman"/>
          <w:color w:val="000000"/>
          <w:sz w:val="20"/>
          <w:szCs w:val="20"/>
        </w:rPr>
        <w:t>•Health and wellness includes pharmacy, optic</w:t>
      </w:r>
      <w:r>
        <w:rPr>
          <w:rFonts w:ascii="Times New Roman" w:eastAsia="宋体" w:hAnsi="Times New Roman"/>
          <w:color w:val="000000"/>
          <w:sz w:val="20"/>
          <w:szCs w:val="20"/>
        </w:rPr>
        <w:t>al and hearing services and over-the-counter drugs.</w:t>
      </w:r>
    </w:p>
    <w:p w14:paraId="35D08FE2" w14:textId="77777777" w:rsidR="00D42204" w:rsidRDefault="004E439D">
      <w:pPr>
        <w:spacing w:before="100" w:after="180"/>
      </w:pPr>
      <w:r>
        <w:rPr>
          <w:rFonts w:ascii="Times New Roman" w:eastAsia="宋体" w:hAnsi="Times New Roman"/>
          <w:color w:val="000000"/>
          <w:sz w:val="20"/>
          <w:szCs w:val="20"/>
        </w:rPr>
        <w:t>In addition, the Member's Mark private label brand continues to expand its assortment and deliver member value.</w:t>
      </w:r>
    </w:p>
    <w:p w14:paraId="35D08FE3" w14:textId="77777777" w:rsidR="00D42204" w:rsidRDefault="004E439D">
      <w:r>
        <w:rPr>
          <w:rFonts w:ascii="Times New Roman" w:eastAsia="宋体" w:hAnsi="Times New Roman"/>
          <w:b/>
          <w:bCs/>
          <w:color w:val="000000"/>
          <w:sz w:val="20"/>
          <w:szCs w:val="20"/>
          <w:u w:val="single"/>
        </w:rPr>
        <w:t>Operations.</w:t>
      </w:r>
      <w:r>
        <w:rPr>
          <w:rFonts w:ascii="Times New Roman" w:eastAsia="宋体" w:hAnsi="Times New Roman"/>
          <w:color w:val="000000"/>
          <w:sz w:val="20"/>
          <w:szCs w:val="20"/>
        </w:rPr>
        <w:t xml:space="preserve"> Operating hours for Sam's Clubs are generally Monday through Friday from 10:00 a</w:t>
      </w:r>
      <w:r>
        <w:rPr>
          <w:rFonts w:ascii="Times New Roman" w:eastAsia="宋体" w:hAnsi="Times New Roman"/>
          <w:color w:val="000000"/>
          <w:sz w:val="20"/>
          <w:szCs w:val="20"/>
        </w:rPr>
        <w:t>.m. to 8:00 p.m., Saturday from 9:00 a.m. to 8:00 p.m. and Sunday from 10:00 a.m. to 6:00 p.m. Additionally, most club locations offer Plus Members the ability to shop before the regular operating hours Monday through Saturday, starting at 8:00 a.m. Consis</w:t>
      </w:r>
      <w:r>
        <w:rPr>
          <w:rFonts w:ascii="Times New Roman" w:eastAsia="宋体" w:hAnsi="Times New Roman"/>
          <w:color w:val="000000"/>
          <w:sz w:val="20"/>
          <w:szCs w:val="20"/>
        </w:rPr>
        <w:t>tent with its strategy, Sam's Club continues to develop technology tools to drive a great member experience. Curbside Pickup is available at all clubs to help provide fast, easy and contact-free shopping for members. Sam's Club also offers "Scan &amp; Go," a m</w:t>
      </w:r>
      <w:r>
        <w:rPr>
          <w:rFonts w:ascii="Times New Roman" w:eastAsia="宋体" w:hAnsi="Times New Roman"/>
          <w:color w:val="000000"/>
          <w:sz w:val="20"/>
          <w:szCs w:val="20"/>
        </w:rPr>
        <w:t>obile checkout and payment solution, which allows members to bypass the checkout line.</w:t>
      </w:r>
    </w:p>
    <w:p w14:paraId="35D08FE4" w14:textId="77777777" w:rsidR="00D42204" w:rsidRDefault="004E439D">
      <w:pPr>
        <w:jc w:val="center"/>
      </w:pPr>
      <w:r>
        <w:rPr>
          <w:rFonts w:ascii="Times New Roman" w:eastAsia="宋体" w:hAnsi="Times New Roman"/>
          <w:color w:val="000000"/>
          <w:sz w:val="20"/>
          <w:szCs w:val="20"/>
        </w:rPr>
        <w:t>10</w:t>
      </w:r>
    </w:p>
    <w:p w14:paraId="35D08FE5" w14:textId="77777777" w:rsidR="00D42204" w:rsidRDefault="004E439D">
      <w:r>
        <w:pict w14:anchorId="35D0C363">
          <v:rect id="_x0000_i1034" style="width:415.3pt;height:1.5pt" o:hralign="center" o:hrstd="t" o:hr="t" fillcolor="#a0a0a0" stroked="f"/>
        </w:pict>
      </w:r>
    </w:p>
    <w:p w14:paraId="35D08FE6" w14:textId="77777777" w:rsidR="00D42204" w:rsidRDefault="00D42204"/>
    <w:p w14:paraId="35D08FE7" w14:textId="77777777" w:rsidR="00D42204" w:rsidRDefault="004E439D">
      <w:pPr>
        <w:spacing w:before="180" w:after="180"/>
      </w:pPr>
      <w:r>
        <w:rPr>
          <w:rFonts w:ascii="Times New Roman" w:eastAsia="宋体" w:hAnsi="Times New Roman"/>
          <w:b/>
          <w:bCs/>
          <w:color w:val="000000"/>
          <w:sz w:val="20"/>
          <w:szCs w:val="20"/>
          <w:u w:val="single"/>
        </w:rPr>
        <w:t>Seasonal Aspects of Operations.</w:t>
      </w:r>
      <w:r>
        <w:rPr>
          <w:rFonts w:ascii="Times New Roman" w:eastAsia="宋体" w:hAnsi="Times New Roman"/>
          <w:color w:val="000000"/>
          <w:sz w:val="20"/>
          <w:szCs w:val="20"/>
        </w:rPr>
        <w:t xml:space="preserve"> Sam's Club's business is seasonal to a certain extent due to calendar events and national and religious holidays, as well as differ</w:t>
      </w:r>
      <w:r>
        <w:rPr>
          <w:rFonts w:ascii="Times New Roman" w:eastAsia="宋体" w:hAnsi="Times New Roman"/>
          <w:color w:val="000000"/>
          <w:sz w:val="20"/>
          <w:szCs w:val="20"/>
        </w:rPr>
        <w:t xml:space="preserve">ent weather patterns. Historically, its highest sales volume has occurred in the fiscal quarter ending January 31. </w:t>
      </w:r>
    </w:p>
    <w:p w14:paraId="35D08FE8" w14:textId="77777777" w:rsidR="00D42204" w:rsidRDefault="004E439D">
      <w:r>
        <w:rPr>
          <w:rFonts w:ascii="Times New Roman" w:eastAsia="宋体" w:hAnsi="Times New Roman"/>
          <w:b/>
          <w:bCs/>
          <w:color w:val="000000"/>
          <w:sz w:val="20"/>
          <w:szCs w:val="20"/>
          <w:u w:val="single"/>
        </w:rPr>
        <w:t>Competition.</w:t>
      </w:r>
      <w:r>
        <w:rPr>
          <w:rFonts w:ascii="Times New Roman" w:eastAsia="宋体" w:hAnsi="Times New Roman"/>
          <w:color w:val="000000"/>
          <w:sz w:val="20"/>
          <w:szCs w:val="20"/>
        </w:rPr>
        <w:t xml:space="preserve"> Sam's Club competes with other membership-only warehouse clubs, the largest of which is Costco, as well as with discount retail</w:t>
      </w:r>
      <w:r>
        <w:rPr>
          <w:rFonts w:ascii="Times New Roman" w:eastAsia="宋体" w:hAnsi="Times New Roman"/>
          <w:color w:val="000000"/>
          <w:sz w:val="20"/>
          <w:szCs w:val="20"/>
        </w:rPr>
        <w:t>ers, retail and wholesale grocers, general merchandise wholesalers and distributors, gasoline stations as well as omni-channel and eCommerce retailers and catalog businesses. At Sam's Club, we provide value at members-only prices, a quality merchandise ass</w:t>
      </w:r>
      <w:r>
        <w:rPr>
          <w:rFonts w:ascii="Times New Roman" w:eastAsia="宋体" w:hAnsi="Times New Roman"/>
          <w:color w:val="000000"/>
          <w:sz w:val="20"/>
          <w:szCs w:val="20"/>
        </w:rPr>
        <w:t>ortment, and bulk sizing to serve both our Plus and Club members. Our eCommerce website and mobile commerce applications have increasingly become important factors in our ability to compete.</w:t>
      </w:r>
    </w:p>
    <w:p w14:paraId="35D08FE9" w14:textId="77777777" w:rsidR="00D42204" w:rsidRDefault="004E439D">
      <w:pPr>
        <w:spacing w:before="180"/>
      </w:pPr>
      <w:r>
        <w:rPr>
          <w:rFonts w:ascii="Times New Roman" w:eastAsia="宋体" w:hAnsi="Times New Roman"/>
          <w:b/>
          <w:bCs/>
          <w:color w:val="000000"/>
          <w:sz w:val="20"/>
          <w:szCs w:val="20"/>
          <w:u w:val="single"/>
        </w:rPr>
        <w:t>Distribution.</w:t>
      </w:r>
      <w:r>
        <w:rPr>
          <w:rFonts w:ascii="Times New Roman" w:eastAsia="宋体" w:hAnsi="Times New Roman"/>
          <w:color w:val="000000"/>
          <w:sz w:val="20"/>
          <w:szCs w:val="20"/>
        </w:rPr>
        <w:t xml:space="preserve"> We utilize 28 dedicated distribution facilities loc</w:t>
      </w:r>
      <w:r>
        <w:rPr>
          <w:rFonts w:ascii="Times New Roman" w:eastAsia="宋体" w:hAnsi="Times New Roman"/>
          <w:color w:val="000000"/>
          <w:sz w:val="20"/>
          <w:szCs w:val="20"/>
        </w:rPr>
        <w:t>ated strategically throughout the U.S., as well as some of the Walmart U.S. segment's distribution facilities which service the Sam's Club segment for certain items. During fiscal 2022, the majority of Sam's Club's non-fuel club purchases were shipped from</w:t>
      </w:r>
      <w:r>
        <w:rPr>
          <w:rFonts w:ascii="Times New Roman" w:eastAsia="宋体" w:hAnsi="Times New Roman"/>
          <w:color w:val="000000"/>
          <w:sz w:val="20"/>
          <w:szCs w:val="20"/>
        </w:rPr>
        <w:t xml:space="preserve"> these facilities, while the remainder of our purchases were shipped directly to Sam's Club locations by suppliers. Sam's Club ships merchandise purchased on samsclub.com and through its mobile commerce applications by a number of methods including shipmen</w:t>
      </w:r>
      <w:r>
        <w:rPr>
          <w:rFonts w:ascii="Times New Roman" w:eastAsia="宋体" w:hAnsi="Times New Roman"/>
          <w:color w:val="000000"/>
          <w:sz w:val="20"/>
          <w:szCs w:val="20"/>
        </w:rPr>
        <w:t xml:space="preserve">ts made directly from clubs, 12 dedicated eCommerce fulfillment centers and other distribution centers. </w:t>
      </w:r>
    </w:p>
    <w:p w14:paraId="35D08FEA" w14:textId="77777777" w:rsidR="00D42204" w:rsidRDefault="004E439D">
      <w:pPr>
        <w:spacing w:before="100"/>
      </w:pPr>
      <w:r>
        <w:rPr>
          <w:rFonts w:ascii="Times New Roman" w:eastAsia="宋体" w:hAnsi="Times New Roman"/>
          <w:color w:val="000000"/>
          <w:sz w:val="20"/>
          <w:szCs w:val="20"/>
        </w:rPr>
        <w:t>Sam's Club uses a combination of our private truck fleet, as well as common carriers, to transport non-perishable merchandise from distribution facilit</w:t>
      </w:r>
      <w:r>
        <w:rPr>
          <w:rFonts w:ascii="Times New Roman" w:eastAsia="宋体" w:hAnsi="Times New Roman"/>
          <w:color w:val="000000"/>
          <w:sz w:val="20"/>
          <w:szCs w:val="20"/>
        </w:rPr>
        <w:t>ies to clubs. The segment contracts with common carriers to transport perishable grocery merchandise from distribution facilities to clubs.</w:t>
      </w:r>
    </w:p>
    <w:p w14:paraId="35D08FEB" w14:textId="77777777" w:rsidR="00D42204" w:rsidRDefault="004E439D">
      <w:pPr>
        <w:spacing w:before="180"/>
      </w:pPr>
      <w:r>
        <w:rPr>
          <w:rFonts w:ascii="Times New Roman" w:eastAsia="宋体" w:hAnsi="Times New Roman"/>
          <w:b/>
          <w:bCs/>
          <w:color w:val="000000"/>
          <w:sz w:val="20"/>
          <w:szCs w:val="20"/>
        </w:rPr>
        <w:t>Intellectual Property</w:t>
      </w:r>
    </w:p>
    <w:p w14:paraId="35D08FEC" w14:textId="77777777" w:rsidR="00D42204" w:rsidRDefault="004E439D">
      <w:pPr>
        <w:spacing w:before="100"/>
      </w:pPr>
      <w:r>
        <w:rPr>
          <w:rFonts w:ascii="Times New Roman" w:eastAsia="宋体" w:hAnsi="Times New Roman"/>
          <w:color w:val="000000"/>
          <w:sz w:val="20"/>
          <w:szCs w:val="20"/>
        </w:rPr>
        <w:t>We regard our trademarks, service marks, copyrights, patents, domain names, trade dress, trade</w:t>
      </w:r>
      <w:r>
        <w:rPr>
          <w:rFonts w:ascii="Times New Roman" w:eastAsia="宋体" w:hAnsi="Times New Roman"/>
          <w:color w:val="000000"/>
          <w:sz w:val="20"/>
          <w:szCs w:val="20"/>
        </w:rPr>
        <w:t xml:space="preserve"> secrets, proprietary technologies, and similar intellectual property as important to our success, and with respect to our associates, customers and others, we rely on trademark, copyright, and patent law, trade-secret protection, and confidentiality and/o</w:t>
      </w:r>
      <w:r>
        <w:rPr>
          <w:rFonts w:ascii="Times New Roman" w:eastAsia="宋体" w:hAnsi="Times New Roman"/>
          <w:color w:val="000000"/>
          <w:sz w:val="20"/>
          <w:szCs w:val="20"/>
        </w:rPr>
        <w:t>r license agreements to protect our proprietary rights. We have registered, or applied for the registration of, a number of U.S. and international domain names, trademarks, service marks and copyrights. Additionally, we have filed U.S. and international pa</w:t>
      </w:r>
      <w:r>
        <w:rPr>
          <w:rFonts w:ascii="Times New Roman" w:eastAsia="宋体" w:hAnsi="Times New Roman"/>
          <w:color w:val="000000"/>
          <w:sz w:val="20"/>
          <w:szCs w:val="20"/>
        </w:rPr>
        <w:t>tent applications covering certain of our proprietary technology. We have licensed in the past, and expect that we may license in the future, certain of our proprietary rights to third parties.</w:t>
      </w:r>
    </w:p>
    <w:p w14:paraId="35D08FED" w14:textId="77777777" w:rsidR="00D42204" w:rsidRDefault="004E439D">
      <w:pPr>
        <w:spacing w:before="180"/>
      </w:pPr>
      <w:r>
        <w:rPr>
          <w:rFonts w:ascii="Times New Roman" w:eastAsia="宋体" w:hAnsi="Times New Roman"/>
          <w:b/>
          <w:bCs/>
          <w:color w:val="000000"/>
          <w:sz w:val="20"/>
          <w:szCs w:val="20"/>
        </w:rPr>
        <w:t>Suppliers and Supply Chain</w:t>
      </w:r>
    </w:p>
    <w:p w14:paraId="35D08FEE" w14:textId="77777777" w:rsidR="00D42204" w:rsidRDefault="004E439D">
      <w:pPr>
        <w:spacing w:before="100"/>
      </w:pPr>
      <w:r>
        <w:rPr>
          <w:rFonts w:ascii="Times New Roman" w:eastAsia="宋体" w:hAnsi="Times New Roman"/>
          <w:color w:val="000000"/>
          <w:sz w:val="20"/>
          <w:szCs w:val="20"/>
        </w:rPr>
        <w:t>As a retailer and warehouse club op</w:t>
      </w:r>
      <w:r>
        <w:rPr>
          <w:rFonts w:ascii="Times New Roman" w:eastAsia="宋体" w:hAnsi="Times New Roman"/>
          <w:color w:val="000000"/>
          <w:sz w:val="20"/>
          <w:szCs w:val="20"/>
        </w:rPr>
        <w:t>erator, we utilize a global supply chain that includes both U.S. and international suppliers from whom we purchase the merchandise that we sell in our stores, clubs and online. In many instances, we purchase merchandise from producers located near the stor</w:t>
      </w:r>
      <w:r>
        <w:rPr>
          <w:rFonts w:ascii="Times New Roman" w:eastAsia="宋体" w:hAnsi="Times New Roman"/>
          <w:color w:val="000000"/>
          <w:sz w:val="20"/>
          <w:szCs w:val="20"/>
        </w:rPr>
        <w:t>es and clubs in which such merchandise will be sold, particularly products in the "fresh" category. We offer our suppliers the opportunity to efficiently sell significant quantities of their products to us. These relationships enable us to obtain pricing t</w:t>
      </w:r>
      <w:r>
        <w:rPr>
          <w:rFonts w:ascii="Times New Roman" w:eastAsia="宋体" w:hAnsi="Times New Roman"/>
          <w:color w:val="000000"/>
          <w:sz w:val="20"/>
          <w:szCs w:val="20"/>
        </w:rPr>
        <w:t>hat reflects the volume, certainty and cost-effectiveness these arrangements provide to such suppliers, which in turn enables us to provide low prices to our customers. Our suppliers are subject to standards of conduct, including requirements that they com</w:t>
      </w:r>
      <w:r>
        <w:rPr>
          <w:rFonts w:ascii="Times New Roman" w:eastAsia="宋体" w:hAnsi="Times New Roman"/>
          <w:color w:val="000000"/>
          <w:sz w:val="20"/>
          <w:szCs w:val="20"/>
        </w:rPr>
        <w:t>ply with local labor laws, local worker safety laws and other applicable laws. Our ability to acquire from our suppliers the assortment and volume of products we wish to offer to our customers, to receive those products within the required time through our</w:t>
      </w:r>
      <w:r>
        <w:rPr>
          <w:rFonts w:ascii="Times New Roman" w:eastAsia="宋体" w:hAnsi="Times New Roman"/>
          <w:color w:val="000000"/>
          <w:sz w:val="20"/>
          <w:szCs w:val="20"/>
        </w:rPr>
        <w:t xml:space="preserve"> supply chain and to distribute those products to our stores and clubs, determines, along with other supply chain logistics matters (such as containers or port access for example), in part, our in-stock levels in our stores and clubs and the attractiveness</w:t>
      </w:r>
      <w:r>
        <w:rPr>
          <w:rFonts w:ascii="Times New Roman" w:eastAsia="宋体" w:hAnsi="Times New Roman"/>
          <w:color w:val="000000"/>
          <w:sz w:val="20"/>
          <w:szCs w:val="20"/>
        </w:rPr>
        <w:t xml:space="preserve"> of our merchandise assortment we offer to our customers and members.</w:t>
      </w:r>
    </w:p>
    <w:p w14:paraId="35D08FEF" w14:textId="77777777" w:rsidR="00D42204" w:rsidRDefault="004E439D">
      <w:pPr>
        <w:spacing w:before="180"/>
      </w:pPr>
      <w:r>
        <w:rPr>
          <w:rFonts w:ascii="Times New Roman" w:eastAsia="宋体" w:hAnsi="Times New Roman"/>
          <w:b/>
          <w:bCs/>
          <w:color w:val="000000"/>
          <w:sz w:val="20"/>
          <w:szCs w:val="20"/>
        </w:rPr>
        <w:t>Government Regulation</w:t>
      </w:r>
    </w:p>
    <w:p w14:paraId="35D08FF0" w14:textId="77777777" w:rsidR="00D42204" w:rsidRDefault="004E439D">
      <w:pPr>
        <w:spacing w:before="100"/>
      </w:pPr>
      <w:r>
        <w:rPr>
          <w:rFonts w:ascii="Times New Roman" w:eastAsia="宋体" w:hAnsi="Times New Roman"/>
          <w:color w:val="000000"/>
          <w:sz w:val="20"/>
          <w:szCs w:val="20"/>
        </w:rPr>
        <w:t>As a company with global operations, we are subject to the laws of the United States and multiple foreign jurisdictions in which we operate and the rules and regula</w:t>
      </w:r>
      <w:r>
        <w:rPr>
          <w:rFonts w:ascii="Times New Roman" w:eastAsia="宋体" w:hAnsi="Times New Roman"/>
          <w:color w:val="000000"/>
          <w:sz w:val="20"/>
          <w:szCs w:val="20"/>
        </w:rPr>
        <w:t>tions of various governing bodies, which may differ among jurisdictions. For additional information, see the risk factors herein in "</w:t>
      </w:r>
      <w:hyperlink r:id="rId82" w:anchor="i1ba69ebb72ec48f9b754a5e96c4cdf3f_37" w:history="1">
        <w:r>
          <w:rPr>
            <w:rStyle w:val="a5"/>
            <w:rFonts w:ascii="Times New Roman" w:eastAsia="宋体" w:hAnsi="Times New Roman"/>
            <w:sz w:val="20"/>
            <w:szCs w:val="20"/>
          </w:rPr>
          <w:t>Item 1A. Risk Factors</w:t>
        </w:r>
      </w:hyperlink>
      <w:r>
        <w:rPr>
          <w:rFonts w:ascii="Times New Roman" w:eastAsia="宋体" w:hAnsi="Times New Roman"/>
          <w:color w:val="000000"/>
          <w:sz w:val="20"/>
          <w:szCs w:val="20"/>
        </w:rPr>
        <w:t>" under the sub-caption "Legal, Tax, Regulatory, Compliance, Reputational and Other Risks."</w:t>
      </w:r>
    </w:p>
    <w:p w14:paraId="35D08FF1" w14:textId="77777777" w:rsidR="00D42204" w:rsidRDefault="004E439D">
      <w:pPr>
        <w:spacing w:before="180"/>
      </w:pPr>
      <w:r>
        <w:rPr>
          <w:rFonts w:ascii="Times New Roman" w:eastAsia="宋体" w:hAnsi="Times New Roman"/>
          <w:b/>
          <w:bCs/>
          <w:color w:val="000000"/>
          <w:sz w:val="20"/>
          <w:szCs w:val="20"/>
        </w:rPr>
        <w:t>Environmental, Social and Governance ("ESG") Priorities</w:t>
      </w:r>
    </w:p>
    <w:p w14:paraId="35D08FF2" w14:textId="77777777" w:rsidR="00D42204" w:rsidRDefault="004E439D">
      <w:pPr>
        <w:spacing w:before="100"/>
      </w:pPr>
      <w:r>
        <w:rPr>
          <w:rFonts w:ascii="Times New Roman" w:eastAsia="宋体" w:hAnsi="Times New Roman"/>
          <w:color w:val="000000"/>
          <w:sz w:val="20"/>
          <w:szCs w:val="20"/>
        </w:rPr>
        <w:t>Our ESG strategy is centered on the concept of creating shared value: we believe we maximize long-term value and create competitive advantage for the Company by serving our stakeholders, including our customers, associates, shareholders, suppliers, busines</w:t>
      </w:r>
      <w:r>
        <w:rPr>
          <w:rFonts w:ascii="Times New Roman" w:eastAsia="宋体" w:hAnsi="Times New Roman"/>
          <w:color w:val="000000"/>
          <w:sz w:val="20"/>
          <w:szCs w:val="20"/>
        </w:rPr>
        <w:t>s partners, and communities. We believe that addressing such societal needs builds the value of our business, including by enhancing customer and associate trust, creating new revenue streams, managing cost and risk, building capabilities for future advant</w:t>
      </w:r>
      <w:r>
        <w:rPr>
          <w:rFonts w:ascii="Times New Roman" w:eastAsia="宋体" w:hAnsi="Times New Roman"/>
          <w:color w:val="000000"/>
          <w:sz w:val="20"/>
          <w:szCs w:val="20"/>
        </w:rPr>
        <w:t xml:space="preserve">age, and strengthening the underlying systems we all rely on. </w:t>
      </w:r>
    </w:p>
    <w:p w14:paraId="35D08FF3" w14:textId="77777777" w:rsidR="00D42204" w:rsidRDefault="004E439D">
      <w:pPr>
        <w:spacing w:before="100"/>
      </w:pPr>
      <w:r>
        <w:rPr>
          <w:rFonts w:ascii="Times New Roman" w:eastAsia="宋体" w:hAnsi="Times New Roman"/>
          <w:color w:val="000000"/>
          <w:sz w:val="20"/>
          <w:szCs w:val="20"/>
        </w:rPr>
        <w:t>We prioritize the ESG issues that offer the greatest potential for Walmart to create shared value: issues that rank high in relevance to our business and stakeholders and which Walmart is posit</w:t>
      </w:r>
      <w:r>
        <w:rPr>
          <w:rFonts w:ascii="Times New Roman" w:eastAsia="宋体" w:hAnsi="Times New Roman"/>
          <w:color w:val="000000"/>
          <w:sz w:val="20"/>
          <w:szCs w:val="20"/>
        </w:rPr>
        <w:t>ioned to make a positive impact. Our current ESG priorities are categorized into four broad themes: opportunity, sustainability, community, and ethics and integrity.</w:t>
      </w:r>
    </w:p>
    <w:p w14:paraId="35D08FF4" w14:textId="77777777" w:rsidR="00D42204" w:rsidRDefault="004E439D">
      <w:pPr>
        <w:jc w:val="center"/>
      </w:pPr>
      <w:r>
        <w:rPr>
          <w:rFonts w:ascii="Times New Roman" w:eastAsia="宋体" w:hAnsi="Times New Roman"/>
          <w:color w:val="000000"/>
          <w:sz w:val="20"/>
          <w:szCs w:val="20"/>
        </w:rPr>
        <w:t>11</w:t>
      </w:r>
    </w:p>
    <w:p w14:paraId="35D08FF5" w14:textId="77777777" w:rsidR="00D42204" w:rsidRDefault="004E439D">
      <w:r>
        <w:pict w14:anchorId="35D0C364">
          <v:rect id="_x0000_i1035" style="width:415.3pt;height:1.5pt" o:hralign="center" o:hrstd="t" o:hr="t" fillcolor="#a0a0a0" stroked="f"/>
        </w:pict>
      </w:r>
    </w:p>
    <w:p w14:paraId="35D08FF6" w14:textId="77777777" w:rsidR="00D42204" w:rsidRDefault="00D42204"/>
    <w:p w14:paraId="35D08FF7" w14:textId="77777777" w:rsidR="00D42204" w:rsidRDefault="004E439D">
      <w:pPr>
        <w:spacing w:before="100"/>
        <w:ind w:hanging="360"/>
      </w:pPr>
      <w:r>
        <w:rPr>
          <w:rFonts w:ascii="Times New Roman" w:eastAsia="宋体" w:hAnsi="Times New Roman"/>
          <w:color w:val="000000"/>
          <w:sz w:val="20"/>
          <w:szCs w:val="20"/>
        </w:rPr>
        <w:t>•</w:t>
      </w:r>
      <w:r>
        <w:rPr>
          <w:rFonts w:ascii="Times New Roman" w:eastAsia="宋体" w:hAnsi="Times New Roman"/>
          <w:b/>
          <w:bCs/>
          <w:color w:val="000000"/>
          <w:sz w:val="20"/>
          <w:szCs w:val="20"/>
        </w:rPr>
        <w:t>Opportunity</w:t>
      </w:r>
      <w:r>
        <w:rPr>
          <w:rFonts w:ascii="Times New Roman" w:eastAsia="宋体" w:hAnsi="Times New Roman"/>
          <w:color w:val="000000"/>
          <w:sz w:val="20"/>
          <w:szCs w:val="20"/>
        </w:rPr>
        <w:t xml:space="preserve">. Retail can be a powerful engine for inclusive economic </w:t>
      </w:r>
      <w:r>
        <w:rPr>
          <w:rFonts w:ascii="Times New Roman" w:eastAsia="宋体" w:hAnsi="Times New Roman"/>
          <w:color w:val="000000"/>
          <w:sz w:val="20"/>
          <w:szCs w:val="20"/>
        </w:rPr>
        <w:t>opportunity. We aim to advance diversity, equity, and inclusion, and to provide opportunity for Walmart associates (as further described in the Human Capital Management section below), our supply chain and the communities we're in to fulfill our customer m</w:t>
      </w:r>
      <w:r>
        <w:rPr>
          <w:rFonts w:ascii="Times New Roman" w:eastAsia="宋体" w:hAnsi="Times New Roman"/>
          <w:color w:val="000000"/>
          <w:sz w:val="20"/>
          <w:szCs w:val="20"/>
        </w:rPr>
        <w:t>ission, strengthen our business and help people build a better life for themselves and their families.</w:t>
      </w:r>
    </w:p>
    <w:p w14:paraId="35D08FF8" w14:textId="77777777" w:rsidR="00D42204" w:rsidRDefault="004E439D">
      <w:pPr>
        <w:spacing w:before="100"/>
        <w:ind w:hanging="360"/>
      </w:pPr>
      <w:r>
        <w:rPr>
          <w:rFonts w:ascii="Times New Roman" w:eastAsia="宋体" w:hAnsi="Times New Roman"/>
          <w:color w:val="000000"/>
          <w:sz w:val="20"/>
          <w:szCs w:val="20"/>
        </w:rPr>
        <w:t>•</w:t>
      </w:r>
      <w:r>
        <w:rPr>
          <w:rFonts w:ascii="Times New Roman" w:eastAsia="宋体" w:hAnsi="Times New Roman"/>
          <w:b/>
          <w:bCs/>
          <w:color w:val="000000"/>
          <w:sz w:val="20"/>
          <w:szCs w:val="20"/>
        </w:rPr>
        <w:t>Sustainability</w:t>
      </w:r>
      <w:r>
        <w:rPr>
          <w:rFonts w:ascii="Times New Roman" w:eastAsia="宋体" w:hAnsi="Times New Roman"/>
          <w:color w:val="000000"/>
          <w:sz w:val="20"/>
          <w:szCs w:val="20"/>
        </w:rPr>
        <w:t>. Walmart's sustainability efforts focus on our ability to create and preserve long-term value for both people and planet. With respect to</w:t>
      </w:r>
      <w:r>
        <w:rPr>
          <w:rFonts w:ascii="Times New Roman" w:eastAsia="宋体" w:hAnsi="Times New Roman"/>
          <w:color w:val="000000"/>
          <w:sz w:val="20"/>
          <w:szCs w:val="20"/>
        </w:rPr>
        <w:t xml:space="preserve"> people, our sustainability efforts focus on sourcing responsibly, helping prevent forced labor, empowering women, creating inclusive economic opportunity and selling safer, healthier products. With respect to the planet, our efforts aim to enhance the sus</w:t>
      </w:r>
      <w:r>
        <w:rPr>
          <w:rFonts w:ascii="Times New Roman" w:eastAsia="宋体" w:hAnsi="Times New Roman"/>
          <w:color w:val="000000"/>
          <w:sz w:val="20"/>
          <w:szCs w:val="20"/>
        </w:rPr>
        <w:t>tainability of product supply chains by reducing emissions, protecting and restoring nature, and reducing waste. To help address the effects of climate change, Walmart has set science-based targets for emissions reduction, including our goal to achieve zer</w:t>
      </w:r>
      <w:r>
        <w:rPr>
          <w:rFonts w:ascii="Times New Roman" w:eastAsia="宋体" w:hAnsi="Times New Roman"/>
          <w:color w:val="000000"/>
          <w:sz w:val="20"/>
          <w:szCs w:val="20"/>
        </w:rPr>
        <w:t xml:space="preserve">o emissions in our operations by 2040—without offsets—and to reduce or avoid one billion metric tons of emissions in our value chain by 2030 under our Project Gigaton™ initiative. </w:t>
      </w:r>
    </w:p>
    <w:p w14:paraId="35D08FF9" w14:textId="77777777" w:rsidR="00D42204" w:rsidRDefault="004E439D">
      <w:pPr>
        <w:spacing w:before="100"/>
        <w:ind w:hanging="360"/>
      </w:pPr>
      <w:r>
        <w:rPr>
          <w:rFonts w:ascii="Times New Roman" w:eastAsia="宋体" w:hAnsi="Times New Roman"/>
          <w:color w:val="000000"/>
          <w:sz w:val="20"/>
          <w:szCs w:val="20"/>
        </w:rPr>
        <w:t>•</w:t>
      </w:r>
      <w:r>
        <w:rPr>
          <w:rFonts w:ascii="Times New Roman" w:eastAsia="宋体" w:hAnsi="Times New Roman"/>
          <w:b/>
          <w:bCs/>
          <w:color w:val="000000"/>
          <w:sz w:val="20"/>
          <w:szCs w:val="20"/>
        </w:rPr>
        <w:t>Community</w:t>
      </w:r>
      <w:r>
        <w:rPr>
          <w:rFonts w:ascii="Times New Roman" w:eastAsia="宋体" w:hAnsi="Times New Roman"/>
          <w:color w:val="000000"/>
          <w:sz w:val="20"/>
          <w:szCs w:val="20"/>
        </w:rPr>
        <w:t xml:space="preserve">. Walmart aims to serve and strengthen communities </w:t>
      </w:r>
      <w:r>
        <w:rPr>
          <w:rFonts w:ascii="Times New Roman" w:eastAsia="宋体" w:hAnsi="Times New Roman"/>
          <w:color w:val="000000"/>
          <w:sz w:val="20"/>
          <w:szCs w:val="20"/>
          <w:shd w:val="clear" w:color="auto" w:fill="FFFFFF"/>
        </w:rPr>
        <w:t>by operating o</w:t>
      </w:r>
      <w:r>
        <w:rPr>
          <w:rFonts w:ascii="Times New Roman" w:eastAsia="宋体" w:hAnsi="Times New Roman"/>
          <w:color w:val="000000"/>
          <w:sz w:val="20"/>
          <w:szCs w:val="20"/>
          <w:shd w:val="clear" w:color="auto" w:fill="FFFFFF"/>
        </w:rPr>
        <w:t>ur business in a way that meets the needs of our customer and community stakeholder groups, including by providing safer, healthier and more affordable food and other products, disaster support, associate volunteerism, local grant programs and community co</w:t>
      </w:r>
      <w:r>
        <w:rPr>
          <w:rFonts w:ascii="Times New Roman" w:eastAsia="宋体" w:hAnsi="Times New Roman"/>
          <w:color w:val="000000"/>
          <w:sz w:val="20"/>
          <w:szCs w:val="20"/>
          <w:shd w:val="clear" w:color="auto" w:fill="FFFFFF"/>
        </w:rPr>
        <w:t>hesion initiatives.</w:t>
      </w:r>
    </w:p>
    <w:p w14:paraId="35D08FFA" w14:textId="77777777" w:rsidR="00D42204" w:rsidRDefault="004E439D">
      <w:pPr>
        <w:spacing w:before="100"/>
        <w:ind w:hanging="360"/>
      </w:pPr>
      <w:r>
        <w:rPr>
          <w:rFonts w:ascii="Times New Roman" w:eastAsia="宋体" w:hAnsi="Times New Roman"/>
          <w:color w:val="000000"/>
          <w:sz w:val="20"/>
          <w:szCs w:val="20"/>
        </w:rPr>
        <w:t>•</w:t>
      </w:r>
      <w:r>
        <w:rPr>
          <w:rFonts w:ascii="Times New Roman" w:eastAsia="宋体" w:hAnsi="Times New Roman"/>
          <w:b/>
          <w:bCs/>
          <w:color w:val="000000"/>
          <w:sz w:val="20"/>
          <w:szCs w:val="20"/>
        </w:rPr>
        <w:t>Ethics and Integrity</w:t>
      </w:r>
      <w:r>
        <w:rPr>
          <w:rFonts w:ascii="Times New Roman" w:eastAsia="宋体" w:hAnsi="Times New Roman"/>
          <w:color w:val="000000"/>
          <w:sz w:val="20"/>
          <w:szCs w:val="20"/>
        </w:rPr>
        <w:t xml:space="preserve">. </w:t>
      </w:r>
      <w:r>
        <w:rPr>
          <w:rFonts w:ascii="Times New Roman" w:eastAsia="宋体" w:hAnsi="Times New Roman"/>
          <w:color w:val="000000"/>
          <w:sz w:val="20"/>
          <w:szCs w:val="20"/>
          <w:shd w:val="clear" w:color="auto" w:fill="FFFFFF"/>
        </w:rPr>
        <w:t>At every level of our Company, we work to create a culture that inspires trust among our associates, with our customers, and in the communities we serve</w:t>
      </w:r>
      <w:r>
        <w:rPr>
          <w:rFonts w:ascii="Times New Roman" w:eastAsia="宋体" w:hAnsi="Times New Roman"/>
          <w:color w:val="000000"/>
          <w:sz w:val="20"/>
          <w:szCs w:val="20"/>
        </w:rPr>
        <w:t xml:space="preserve">. </w:t>
      </w:r>
    </w:p>
    <w:p w14:paraId="35D08FFB" w14:textId="77777777" w:rsidR="00D42204" w:rsidRDefault="004E439D">
      <w:pPr>
        <w:spacing w:before="100"/>
      </w:pPr>
      <w:r>
        <w:rPr>
          <w:rFonts w:ascii="Times New Roman" w:eastAsia="宋体" w:hAnsi="Times New Roman"/>
          <w:color w:val="000000"/>
          <w:sz w:val="20"/>
          <w:szCs w:val="20"/>
          <w:shd w:val="clear" w:color="auto" w:fill="FFFFFF"/>
        </w:rPr>
        <w:t>We periodically publish information on our ESG priorities,</w:t>
      </w:r>
      <w:r>
        <w:rPr>
          <w:rFonts w:ascii="Times New Roman" w:eastAsia="宋体" w:hAnsi="Times New Roman"/>
          <w:color w:val="000000"/>
          <w:sz w:val="20"/>
          <w:szCs w:val="20"/>
          <w:shd w:val="clear" w:color="auto" w:fill="FFFFFF"/>
        </w:rPr>
        <w:t xml:space="preserve"> strategies, and progress on our corporate website and may update those disclosures from time to time. Nothing on our website, including our ESG reporting, documents or sections thereof, shall be deemed incorporated by reference into this Annual Report on </w:t>
      </w:r>
      <w:r>
        <w:rPr>
          <w:rFonts w:ascii="Times New Roman" w:eastAsia="宋体" w:hAnsi="Times New Roman"/>
          <w:color w:val="000000"/>
          <w:sz w:val="20"/>
          <w:szCs w:val="20"/>
          <w:shd w:val="clear" w:color="auto" w:fill="FFFFFF"/>
        </w:rPr>
        <w:t>Form 10-K.</w:t>
      </w:r>
    </w:p>
    <w:p w14:paraId="35D08FFC" w14:textId="77777777" w:rsidR="00D42204" w:rsidRDefault="004E439D">
      <w:pPr>
        <w:spacing w:before="180"/>
      </w:pPr>
      <w:r>
        <w:rPr>
          <w:rFonts w:ascii="Times New Roman" w:eastAsia="宋体" w:hAnsi="Times New Roman"/>
          <w:b/>
          <w:bCs/>
          <w:color w:val="000000"/>
          <w:sz w:val="20"/>
          <w:szCs w:val="20"/>
        </w:rPr>
        <w:t>Human Capital Management</w:t>
      </w:r>
    </w:p>
    <w:p w14:paraId="35D08FFD" w14:textId="77777777" w:rsidR="00D42204" w:rsidRDefault="004E439D">
      <w:pPr>
        <w:spacing w:before="100"/>
      </w:pPr>
      <w:r>
        <w:rPr>
          <w:rFonts w:ascii="Times New Roman" w:eastAsia="宋体" w:hAnsi="Times New Roman"/>
          <w:color w:val="000000"/>
          <w:sz w:val="20"/>
          <w:szCs w:val="20"/>
        </w:rPr>
        <w:t>Our commitment to help people around the world save money and live better is delivered by our associates who make the difference for our customers every day. As of the end of fiscal 2022, we employed approximately 2.3 mi</w:t>
      </w:r>
      <w:r>
        <w:rPr>
          <w:rFonts w:ascii="Times New Roman" w:eastAsia="宋体" w:hAnsi="Times New Roman"/>
          <w:color w:val="000000"/>
          <w:sz w:val="20"/>
          <w:szCs w:val="20"/>
        </w:rPr>
        <w:t xml:space="preserve">llion associates worldwide, with approximately 1.7 million associates in the U.S. and approximately 0.6 million associates internationally. In the U.S., approximately 94% of these associates are hourly and approximately 69% are full-time. </w:t>
      </w:r>
    </w:p>
    <w:p w14:paraId="35D08FFE" w14:textId="77777777" w:rsidR="00D42204" w:rsidRDefault="004E439D">
      <w:pPr>
        <w:spacing w:before="100"/>
      </w:pPr>
      <w:r>
        <w:rPr>
          <w:rFonts w:ascii="Times New Roman" w:eastAsia="宋体" w:hAnsi="Times New Roman"/>
          <w:color w:val="000000"/>
          <w:sz w:val="20"/>
          <w:szCs w:val="20"/>
        </w:rPr>
        <w:t>We believe the s</w:t>
      </w:r>
      <w:r>
        <w:rPr>
          <w:rFonts w:ascii="Times New Roman" w:eastAsia="宋体" w:hAnsi="Times New Roman"/>
          <w:color w:val="000000"/>
          <w:sz w:val="20"/>
          <w:szCs w:val="20"/>
        </w:rPr>
        <w:t>trength of our workforce, our associates, is a significant contributor to our success. Walmart is a place of opportunity, not only as a foundational entry point to develop critical skills that are relevant for a variety of careers, but also a place where p</w:t>
      </w:r>
      <w:r>
        <w:rPr>
          <w:rFonts w:ascii="Times New Roman" w:eastAsia="宋体" w:hAnsi="Times New Roman"/>
          <w:color w:val="000000"/>
          <w:sz w:val="20"/>
          <w:szCs w:val="20"/>
        </w:rPr>
        <w:t>eople can grow in their careers across our global omni-channel business. As customer expectations and technology change the nature of work, we are focused on attracting, developing, rewarding, and retaining associates to thrive in an ever-changing environm</w:t>
      </w:r>
      <w:r>
        <w:rPr>
          <w:rFonts w:ascii="Times New Roman" w:eastAsia="宋体" w:hAnsi="Times New Roman"/>
          <w:color w:val="000000"/>
          <w:sz w:val="20"/>
          <w:szCs w:val="20"/>
        </w:rPr>
        <w:t>ent. Approximately 75% of our U.S. salaried store, club and supply chain management started their careers in hourly positions. Our focus on providing a path of career opportunity for our associates through robust training, competitive wages and benefits, a</w:t>
      </w:r>
      <w:r>
        <w:rPr>
          <w:rFonts w:ascii="Times New Roman" w:eastAsia="宋体" w:hAnsi="Times New Roman"/>
          <w:color w:val="000000"/>
          <w:sz w:val="20"/>
          <w:szCs w:val="20"/>
        </w:rPr>
        <w:t xml:space="preserve">nd opportunities for advancement creates a strong associate value proposition. The COVID-19 pandemic and the related reassessment taking place across the workforce had an impact on our retention of associates and as a result turnover in the U.S. increased </w:t>
      </w:r>
      <w:r>
        <w:rPr>
          <w:rFonts w:ascii="Times New Roman" w:eastAsia="宋体" w:hAnsi="Times New Roman"/>
          <w:color w:val="000000"/>
          <w:sz w:val="20"/>
          <w:szCs w:val="20"/>
        </w:rPr>
        <w:t>compared to the previous fiscal year.</w:t>
      </w:r>
    </w:p>
    <w:p w14:paraId="35D08FFF" w14:textId="77777777" w:rsidR="00D42204" w:rsidRDefault="004E439D">
      <w:pPr>
        <w:spacing w:before="100"/>
      </w:pPr>
      <w:r>
        <w:rPr>
          <w:rFonts w:ascii="Times New Roman" w:eastAsia="宋体" w:hAnsi="Times New Roman"/>
          <w:color w:val="000000"/>
          <w:sz w:val="20"/>
          <w:szCs w:val="20"/>
        </w:rPr>
        <w:t>Our workforce strategy includes the following strategic priorities:</w:t>
      </w:r>
    </w:p>
    <w:p w14:paraId="35D09000" w14:textId="77777777" w:rsidR="00D42204" w:rsidRDefault="004E439D">
      <w:pPr>
        <w:spacing w:before="100"/>
      </w:pPr>
      <w:r>
        <w:rPr>
          <w:rFonts w:ascii="Times New Roman" w:eastAsia="宋体" w:hAnsi="Times New Roman"/>
          <w:b/>
          <w:bCs/>
          <w:color w:val="000000"/>
          <w:sz w:val="20"/>
          <w:szCs w:val="20"/>
          <w:u w:val="single"/>
        </w:rPr>
        <w:t>Inclusion</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Build a Walmart for everyone: a diverse, equitable and inclusive company, where associates' ideas and opinions matter</w:t>
      </w:r>
      <w:r>
        <w:rPr>
          <w:rFonts w:ascii="Times New Roman" w:eastAsia="宋体" w:hAnsi="Times New Roman"/>
          <w:color w:val="000000"/>
          <w:sz w:val="20"/>
          <w:szCs w:val="20"/>
        </w:rPr>
        <w:t>. We are focused on c</w:t>
      </w:r>
      <w:r>
        <w:rPr>
          <w:rFonts w:ascii="Times New Roman" w:eastAsia="宋体" w:hAnsi="Times New Roman"/>
          <w:color w:val="000000"/>
          <w:sz w:val="20"/>
          <w:szCs w:val="20"/>
        </w:rPr>
        <w:t>reating an inclusive culture and a diverse associate base. Creating an environment where all associates believe they belong and are empowered to be themselves, which we believe is essential in serving our customers now and in the future. We publish our div</w:t>
      </w:r>
      <w:r>
        <w:rPr>
          <w:rFonts w:ascii="Times New Roman" w:eastAsia="宋体" w:hAnsi="Times New Roman"/>
          <w:color w:val="000000"/>
          <w:sz w:val="20"/>
          <w:szCs w:val="20"/>
        </w:rPr>
        <w:t>ersity representation twice yearly, and hold ourselves accountable to providing recurring culture, diversity, equity, and inclusion updates to senior leadership, including our President and CEO, and members of the Board of Directors. Of the approximately 2</w:t>
      </w:r>
      <w:r>
        <w:rPr>
          <w:rFonts w:ascii="Times New Roman" w:eastAsia="宋体" w:hAnsi="Times New Roman"/>
          <w:color w:val="000000"/>
          <w:sz w:val="20"/>
          <w:szCs w:val="20"/>
        </w:rPr>
        <w:t>.3 million associates employed worldwide, 53% identify as women. In the U.S., 49% of the approximately 1.7 million associates identify as people of color.</w:t>
      </w:r>
    </w:p>
    <w:p w14:paraId="35D09001" w14:textId="77777777" w:rsidR="00D42204" w:rsidRDefault="004E439D">
      <w:pPr>
        <w:spacing w:before="100"/>
      </w:pPr>
      <w:r>
        <w:rPr>
          <w:rFonts w:ascii="Times New Roman" w:eastAsia="宋体" w:hAnsi="Times New Roman"/>
          <w:color w:val="000000"/>
          <w:sz w:val="20"/>
          <w:szCs w:val="20"/>
        </w:rPr>
        <w:t xml:space="preserve">We review our processes regarding our commitment to fair-pay practices. We are committed to creating </w:t>
      </w:r>
      <w:r>
        <w:rPr>
          <w:rFonts w:ascii="Times New Roman" w:eastAsia="宋体" w:hAnsi="Times New Roman"/>
          <w:color w:val="000000"/>
          <w:sz w:val="20"/>
          <w:szCs w:val="20"/>
        </w:rPr>
        <w:t xml:space="preserve">a performance culture where associates are rewarded based on meaningful factors such as qualifications, experience, performance, and the work they do. </w:t>
      </w:r>
    </w:p>
    <w:p w14:paraId="35D09002" w14:textId="77777777" w:rsidR="00D42204" w:rsidRDefault="004E439D">
      <w:pPr>
        <w:spacing w:before="100"/>
      </w:pPr>
      <w:r>
        <w:rPr>
          <w:rFonts w:ascii="Times New Roman" w:eastAsia="宋体" w:hAnsi="Times New Roman"/>
          <w:color w:val="000000"/>
          <w:sz w:val="20"/>
          <w:szCs w:val="20"/>
        </w:rPr>
        <w:t>To build a company where associates feel engaged, valued and heard, we gather and respond to associates'</w:t>
      </w:r>
      <w:r>
        <w:rPr>
          <w:rFonts w:ascii="Times New Roman" w:eastAsia="宋体" w:hAnsi="Times New Roman"/>
          <w:color w:val="000000"/>
          <w:sz w:val="20"/>
          <w:szCs w:val="20"/>
        </w:rPr>
        <w:t xml:space="preserve"> feedback in a variety of ways, including but not limited to an anonymous, periodic associate engagement survey, our Open Door process, and one-on-one interactions. Management reviews the results of feedback obtained from our formal associate engagement su</w:t>
      </w:r>
      <w:r>
        <w:rPr>
          <w:rFonts w:ascii="Times New Roman" w:eastAsia="宋体" w:hAnsi="Times New Roman"/>
          <w:color w:val="000000"/>
          <w:sz w:val="20"/>
          <w:szCs w:val="20"/>
        </w:rPr>
        <w:t>rvey. Feedback and suggestions received through these channels have led to meaningful changes in our business.</w:t>
      </w:r>
    </w:p>
    <w:p w14:paraId="35D09003" w14:textId="77777777" w:rsidR="00D42204" w:rsidRDefault="004E439D">
      <w:pPr>
        <w:spacing w:before="100"/>
      </w:pPr>
      <w:r>
        <w:rPr>
          <w:rFonts w:ascii="Times New Roman" w:eastAsia="宋体" w:hAnsi="Times New Roman"/>
          <w:b/>
          <w:bCs/>
          <w:color w:val="000000"/>
          <w:sz w:val="20"/>
          <w:szCs w:val="20"/>
          <w:u w:val="single"/>
        </w:rPr>
        <w:t>Well-being</w:t>
      </w:r>
      <w:r>
        <w:rPr>
          <w:rFonts w:ascii="Times New Roman" w:eastAsia="宋体" w:hAnsi="Times New Roman"/>
          <w:color w:val="000000"/>
          <w:sz w:val="20"/>
          <w:szCs w:val="20"/>
        </w:rPr>
        <w:t xml:space="preserve"> - </w:t>
      </w:r>
      <w:r>
        <w:rPr>
          <w:rFonts w:ascii="Times New Roman" w:eastAsia="宋体" w:hAnsi="Times New Roman"/>
          <w:i/>
          <w:iCs/>
          <w:color w:val="000000"/>
          <w:sz w:val="20"/>
          <w:szCs w:val="20"/>
        </w:rPr>
        <w:t>Focus on the physical, emotional, and financial well-being of our associates.</w:t>
      </w:r>
      <w:r>
        <w:rPr>
          <w:rFonts w:ascii="Times New Roman" w:eastAsia="宋体" w:hAnsi="Times New Roman"/>
          <w:color w:val="000000"/>
          <w:sz w:val="20"/>
          <w:szCs w:val="20"/>
        </w:rPr>
        <w:t xml:space="preserve"> We invest in our associates by offering competitive wa</w:t>
      </w:r>
      <w:r>
        <w:rPr>
          <w:rFonts w:ascii="Times New Roman" w:eastAsia="宋体" w:hAnsi="Times New Roman"/>
          <w:color w:val="000000"/>
          <w:sz w:val="20"/>
          <w:szCs w:val="20"/>
        </w:rPr>
        <w:t>ges, as well as a broad range of benefits that vary based on customary local practices and statutory requirements, and we believe these investments in our associates are important to our future. In the U.S., we offer affordable healthcare coverage to our f</w:t>
      </w:r>
      <w:r>
        <w:rPr>
          <w:rFonts w:ascii="Times New Roman" w:eastAsia="宋体" w:hAnsi="Times New Roman"/>
          <w:color w:val="000000"/>
          <w:sz w:val="20"/>
          <w:szCs w:val="20"/>
        </w:rPr>
        <w:t xml:space="preserve">ull-time and eligible part-time associates as well as company paid benefits such as 401(k) match, </w:t>
      </w:r>
    </w:p>
    <w:p w14:paraId="35D09004" w14:textId="77777777" w:rsidR="00D42204" w:rsidRDefault="004E439D">
      <w:pPr>
        <w:jc w:val="center"/>
      </w:pPr>
      <w:r>
        <w:rPr>
          <w:rFonts w:ascii="Times New Roman" w:eastAsia="宋体" w:hAnsi="Times New Roman"/>
          <w:color w:val="000000"/>
          <w:sz w:val="20"/>
          <w:szCs w:val="20"/>
        </w:rPr>
        <w:t>12</w:t>
      </w:r>
    </w:p>
    <w:p w14:paraId="35D09005" w14:textId="77777777" w:rsidR="00D42204" w:rsidRDefault="004E439D">
      <w:r>
        <w:pict w14:anchorId="35D0C365">
          <v:rect id="_x0000_i1036" style="width:415.3pt;height:1.5pt" o:hralign="center" o:hrstd="t" o:hr="t" fillcolor="#a0a0a0" stroked="f"/>
        </w:pict>
      </w:r>
    </w:p>
    <w:p w14:paraId="35D09006" w14:textId="77777777" w:rsidR="00D42204" w:rsidRDefault="00D42204"/>
    <w:p w14:paraId="35D09007" w14:textId="77777777" w:rsidR="00D42204" w:rsidRDefault="004E439D">
      <w:pPr>
        <w:spacing w:before="100"/>
      </w:pPr>
      <w:r>
        <w:rPr>
          <w:rFonts w:ascii="Times New Roman" w:eastAsia="宋体" w:hAnsi="Times New Roman"/>
          <w:color w:val="000000"/>
          <w:sz w:val="20"/>
          <w:szCs w:val="20"/>
        </w:rPr>
        <w:t>maternity leave, a paid parental leave program to all full-time associates, paid time off, Associate Stock Purchase Plan match, life insurance, behavioral health services, and a store discount card or Sam's Club membership. Additional information about how</w:t>
      </w:r>
      <w:r>
        <w:rPr>
          <w:rFonts w:ascii="Times New Roman" w:eastAsia="宋体" w:hAnsi="Times New Roman"/>
          <w:color w:val="000000"/>
          <w:sz w:val="20"/>
          <w:szCs w:val="20"/>
        </w:rPr>
        <w:t xml:space="preserve"> we invest in our associates' well-being, including wage structure and pay, can be found in our Human Capital brief in our most recent ESG reporting, which is available on our corporate website. Nothing on our website, including our ESG reporting documents</w:t>
      </w:r>
      <w:r>
        <w:rPr>
          <w:rFonts w:ascii="Times New Roman" w:eastAsia="宋体" w:hAnsi="Times New Roman"/>
          <w:color w:val="000000"/>
          <w:sz w:val="20"/>
          <w:szCs w:val="20"/>
        </w:rPr>
        <w:t>, or sections thereof, shall be deemed incorporated by reference into this Annual Report on Form 10-K or incorporated by reference into any of our other filings with the Securities and Exchange Commission. Certain information relating to retirement-related</w:t>
      </w:r>
      <w:r>
        <w:rPr>
          <w:rFonts w:ascii="Times New Roman" w:eastAsia="宋体" w:hAnsi="Times New Roman"/>
          <w:color w:val="000000"/>
          <w:sz w:val="20"/>
          <w:szCs w:val="20"/>
        </w:rPr>
        <w:t xml:space="preserve"> benefits we provide to our associates is included in </w:t>
      </w:r>
      <w:hyperlink r:id="rId83" w:anchor="i1ba69ebb72ec48f9b754a5e96c4cdf3f_187" w:history="1">
        <w:r>
          <w:rPr>
            <w:rStyle w:val="a5"/>
            <w:rFonts w:ascii="Times New Roman" w:eastAsia="宋体" w:hAnsi="Times New Roman"/>
            <w:sz w:val="20"/>
            <w:szCs w:val="20"/>
          </w:rPr>
          <w:t>Note 11</w:t>
        </w:r>
      </w:hyperlink>
      <w:r>
        <w:rPr>
          <w:rFonts w:ascii="Times New Roman" w:eastAsia="宋体" w:hAnsi="Times New Roman"/>
          <w:color w:val="000000"/>
          <w:sz w:val="20"/>
          <w:szCs w:val="20"/>
        </w:rPr>
        <w:t xml:space="preserve"> to our Consolidated Financial Statements</w:t>
      </w:r>
      <w:r>
        <w:rPr>
          <w:rFonts w:ascii="Times New Roman" w:eastAsia="宋体" w:hAnsi="Times New Roman"/>
          <w:color w:val="000000"/>
          <w:sz w:val="20"/>
          <w:szCs w:val="20"/>
        </w:rPr>
        <w:t xml:space="preserve">. </w:t>
      </w:r>
    </w:p>
    <w:p w14:paraId="35D09008" w14:textId="77777777" w:rsidR="00D42204" w:rsidRDefault="004E439D">
      <w:pPr>
        <w:spacing w:before="100"/>
      </w:pPr>
      <w:r>
        <w:rPr>
          <w:rFonts w:ascii="Times New Roman" w:eastAsia="宋体" w:hAnsi="Times New Roman"/>
          <w:color w:val="000000"/>
          <w:sz w:val="20"/>
          <w:szCs w:val="20"/>
        </w:rPr>
        <w:t>The health and safety of our associates remain our biggest priorities and we continue to focus on enabling access to vaccines, providing safeguards within facilities, and supporting associates. We encourage all associates to consider the COVID-19 vaccin</w:t>
      </w:r>
      <w:r>
        <w:rPr>
          <w:rFonts w:ascii="Times New Roman" w:eastAsia="宋体" w:hAnsi="Times New Roman"/>
          <w:color w:val="000000"/>
          <w:sz w:val="20"/>
          <w:szCs w:val="20"/>
        </w:rPr>
        <w:t>e and provide access to make the decision easier. Associates can become vaccinated while on the clock or receive paid time off to do so. Our COVID-leave policy, which was implemented in March 2020 to support associates during the pandemic, has been extende</w:t>
      </w:r>
      <w:r>
        <w:rPr>
          <w:rFonts w:ascii="Times New Roman" w:eastAsia="宋体" w:hAnsi="Times New Roman"/>
          <w:color w:val="000000"/>
          <w:sz w:val="20"/>
          <w:szCs w:val="20"/>
        </w:rPr>
        <w:t>d through March 31, 2022.</w:t>
      </w:r>
    </w:p>
    <w:p w14:paraId="35D09009" w14:textId="77777777" w:rsidR="00D42204" w:rsidRDefault="004E439D">
      <w:pPr>
        <w:spacing w:before="100" w:after="100"/>
      </w:pPr>
      <w:r>
        <w:rPr>
          <w:rFonts w:ascii="Times New Roman" w:eastAsia="宋体" w:hAnsi="Times New Roman"/>
          <w:b/>
          <w:bCs/>
          <w:color w:val="000000"/>
          <w:sz w:val="20"/>
          <w:szCs w:val="20"/>
          <w:u w:val="single"/>
        </w:rPr>
        <w:t>Growth</w:t>
      </w:r>
      <w:r>
        <w:rPr>
          <w:rFonts w:ascii="Times New Roman" w:eastAsia="宋体" w:hAnsi="Times New Roman"/>
          <w:color w:val="000000"/>
          <w:sz w:val="20"/>
          <w:szCs w:val="20"/>
        </w:rPr>
        <w:t xml:space="preserve"> - </w:t>
      </w:r>
      <w:r>
        <w:rPr>
          <w:rFonts w:ascii="Times New Roman" w:eastAsia="宋体" w:hAnsi="Times New Roman"/>
          <w:i/>
          <w:iCs/>
          <w:color w:val="000000"/>
          <w:sz w:val="20"/>
          <w:szCs w:val="20"/>
        </w:rPr>
        <w:t>Provide ongoing growth, development and learning opportunities for associates and continue to attract talent with new skills.</w:t>
      </w:r>
      <w:r>
        <w:rPr>
          <w:rFonts w:ascii="Times New Roman" w:eastAsia="宋体" w:hAnsi="Times New Roman"/>
          <w:color w:val="000000"/>
          <w:sz w:val="20"/>
          <w:szCs w:val="20"/>
        </w:rPr>
        <w:t xml:space="preserve"> We are invested in the growth of our associates in support of our business and their success. W</w:t>
      </w:r>
      <w:r>
        <w:rPr>
          <w:rFonts w:ascii="Times New Roman" w:eastAsia="宋体" w:hAnsi="Times New Roman"/>
          <w:color w:val="000000"/>
          <w:sz w:val="20"/>
          <w:szCs w:val="20"/>
        </w:rPr>
        <w:t>e invest in associate development – including new roles and career paths, cross-training, on-the-job learning and coaching, and formal, classroom-style training such as Walmart Academy in the U.S. We also provide access to educational opportunities for our</w:t>
      </w:r>
      <w:r>
        <w:rPr>
          <w:rFonts w:ascii="Times New Roman" w:eastAsia="宋体" w:hAnsi="Times New Roman"/>
          <w:color w:val="000000"/>
          <w:sz w:val="20"/>
          <w:szCs w:val="20"/>
        </w:rPr>
        <w:t xml:space="preserve"> eligible associates through our Live Better U program, which provides a pathway to earn a high school diploma or a college degree at no cost, as well as multiple digital learning opportunities.</w:t>
      </w:r>
    </w:p>
    <w:p w14:paraId="35D0900A" w14:textId="77777777" w:rsidR="00D42204" w:rsidRDefault="004E439D">
      <w:pPr>
        <w:spacing w:before="100"/>
      </w:pPr>
      <w:r>
        <w:rPr>
          <w:rFonts w:ascii="Times New Roman" w:eastAsia="宋体" w:hAnsi="Times New Roman"/>
          <w:b/>
          <w:bCs/>
          <w:color w:val="000000"/>
          <w:sz w:val="20"/>
          <w:szCs w:val="20"/>
          <w:u w:val="single"/>
        </w:rPr>
        <w:t>Digital</w:t>
      </w:r>
      <w:r>
        <w:rPr>
          <w:rFonts w:ascii="Times New Roman" w:eastAsia="宋体" w:hAnsi="Times New Roman"/>
          <w:color w:val="000000"/>
          <w:sz w:val="20"/>
          <w:szCs w:val="20"/>
        </w:rPr>
        <w:t xml:space="preserve"> - </w:t>
      </w:r>
      <w:r>
        <w:rPr>
          <w:rFonts w:ascii="Times New Roman" w:eastAsia="宋体" w:hAnsi="Times New Roman"/>
          <w:i/>
          <w:iCs/>
          <w:color w:val="000000"/>
          <w:sz w:val="20"/>
          <w:szCs w:val="20"/>
        </w:rPr>
        <w:t>Accelerate digital transformation and ways of worki</w:t>
      </w:r>
      <w:r>
        <w:rPr>
          <w:rFonts w:ascii="Times New Roman" w:eastAsia="宋体" w:hAnsi="Times New Roman"/>
          <w:i/>
          <w:iCs/>
          <w:color w:val="000000"/>
          <w:sz w:val="20"/>
          <w:szCs w:val="20"/>
        </w:rPr>
        <w:t>ng to improve the associate experience and drive business results</w:t>
      </w:r>
      <w:r>
        <w:rPr>
          <w:rFonts w:ascii="Times New Roman" w:eastAsia="宋体" w:hAnsi="Times New Roman"/>
          <w:color w:val="000000"/>
          <w:sz w:val="20"/>
          <w:szCs w:val="20"/>
        </w:rPr>
        <w:t>. To deliver a seamless customer and associate experience, we continue to invest in digital tools to improve associate productivity, engagement, and performance. As more customers shop digita</w:t>
      </w:r>
      <w:r>
        <w:rPr>
          <w:rFonts w:ascii="Times New Roman" w:eastAsia="宋体" w:hAnsi="Times New Roman"/>
          <w:color w:val="000000"/>
          <w:sz w:val="20"/>
          <w:szCs w:val="20"/>
        </w:rPr>
        <w:t xml:space="preserve">lly, we have adapted by adding more roles in eCommerce fulfillment and our home office associates have accelerated tech-based solutions that enhance the customer and associate experiences. </w:t>
      </w:r>
    </w:p>
    <w:p w14:paraId="35D0900B" w14:textId="77777777" w:rsidR="00D42204" w:rsidRDefault="004E439D">
      <w:pPr>
        <w:jc w:val="center"/>
      </w:pPr>
      <w:r>
        <w:rPr>
          <w:rFonts w:ascii="Times New Roman" w:eastAsia="宋体" w:hAnsi="Times New Roman"/>
          <w:color w:val="000000"/>
          <w:sz w:val="20"/>
          <w:szCs w:val="20"/>
        </w:rPr>
        <w:t>13</w:t>
      </w:r>
    </w:p>
    <w:p w14:paraId="35D0900C" w14:textId="77777777" w:rsidR="00D42204" w:rsidRDefault="004E439D">
      <w:r>
        <w:pict w14:anchorId="35D0C366">
          <v:rect id="_x0000_i1037" style="width:415.3pt;height:1.5pt" o:hralign="center" o:hrstd="t" o:hr="t" fillcolor="#a0a0a0" stroked="f"/>
        </w:pict>
      </w:r>
    </w:p>
    <w:p w14:paraId="35D0900D" w14:textId="77777777" w:rsidR="00D42204" w:rsidRDefault="00D42204"/>
    <w:p w14:paraId="35D0900E" w14:textId="77777777" w:rsidR="00D42204" w:rsidRDefault="004E439D">
      <w:pPr>
        <w:spacing w:before="180"/>
      </w:pPr>
      <w:r>
        <w:rPr>
          <w:rFonts w:ascii="Times New Roman" w:eastAsia="宋体" w:hAnsi="Times New Roman"/>
          <w:b/>
          <w:bCs/>
          <w:color w:val="000000"/>
          <w:sz w:val="20"/>
          <w:szCs w:val="20"/>
        </w:rPr>
        <w:t xml:space="preserve">Information About Our Executive Officers </w:t>
      </w:r>
    </w:p>
    <w:p w14:paraId="35D0900F" w14:textId="77777777" w:rsidR="00D42204" w:rsidRDefault="004E439D">
      <w:pPr>
        <w:spacing w:before="100"/>
      </w:pPr>
      <w:r>
        <w:rPr>
          <w:rFonts w:ascii="Times New Roman" w:eastAsia="宋体" w:hAnsi="Times New Roman"/>
          <w:color w:val="000000"/>
          <w:sz w:val="20"/>
          <w:szCs w:val="20"/>
        </w:rPr>
        <w:t>The following char</w:t>
      </w:r>
      <w:r>
        <w:rPr>
          <w:rFonts w:ascii="Times New Roman" w:eastAsia="宋体" w:hAnsi="Times New Roman"/>
          <w:color w:val="000000"/>
          <w:sz w:val="20"/>
          <w:szCs w:val="20"/>
        </w:rPr>
        <w:t xml:space="preserve">t names the executive officers of the Company as of the date of the filing of this Annual Report on Form 10-K with the SEC, each of whom is elected by and serves at the pleasure of the Board of Directors. The business experience shown for each officer has </w:t>
      </w:r>
      <w:r>
        <w:rPr>
          <w:rFonts w:ascii="Times New Roman" w:eastAsia="宋体" w:hAnsi="Times New Roman"/>
          <w:color w:val="000000"/>
          <w:sz w:val="20"/>
          <w:szCs w:val="20"/>
        </w:rPr>
        <w:t>been his or her principal occupation for at least the past five years, unless otherwise noted.</w:t>
      </w:r>
    </w:p>
    <w:tbl>
      <w:tblPr>
        <w:tblW w:w="4993" w:type="pct"/>
        <w:tblCellMar>
          <w:top w:w="15" w:type="dxa"/>
          <w:left w:w="15" w:type="dxa"/>
          <w:bottom w:w="15" w:type="dxa"/>
          <w:right w:w="15" w:type="dxa"/>
        </w:tblCellMar>
        <w:tblLook w:val="04A0" w:firstRow="1" w:lastRow="0" w:firstColumn="1" w:lastColumn="0" w:noHBand="0" w:noVBand="1"/>
      </w:tblPr>
      <w:tblGrid>
        <w:gridCol w:w="82"/>
        <w:gridCol w:w="1478"/>
        <w:gridCol w:w="38"/>
        <w:gridCol w:w="36"/>
        <w:gridCol w:w="36"/>
        <w:gridCol w:w="36"/>
        <w:gridCol w:w="40"/>
        <w:gridCol w:w="5126"/>
        <w:gridCol w:w="39"/>
        <w:gridCol w:w="36"/>
        <w:gridCol w:w="36"/>
        <w:gridCol w:w="36"/>
        <w:gridCol w:w="71"/>
        <w:gridCol w:w="754"/>
        <w:gridCol w:w="36"/>
        <w:gridCol w:w="36"/>
        <w:gridCol w:w="36"/>
        <w:gridCol w:w="36"/>
        <w:gridCol w:w="73"/>
        <w:gridCol w:w="227"/>
        <w:gridCol w:w="36"/>
      </w:tblGrid>
      <w:tr w:rsidR="00D42204" w14:paraId="35D09025" w14:textId="77777777">
        <w:tc>
          <w:tcPr>
            <w:tcW w:w="50" w:type="pct"/>
            <w:shd w:val="clear" w:color="auto" w:fill="auto"/>
            <w:vAlign w:val="bottom"/>
          </w:tcPr>
          <w:p w14:paraId="35D09010" w14:textId="77777777" w:rsidR="00D42204" w:rsidRDefault="00D42204">
            <w:pPr>
              <w:rPr>
                <w:rFonts w:ascii="宋体"/>
              </w:rPr>
            </w:pPr>
          </w:p>
        </w:tc>
        <w:tc>
          <w:tcPr>
            <w:tcW w:w="903" w:type="pct"/>
            <w:shd w:val="clear" w:color="auto" w:fill="auto"/>
            <w:vAlign w:val="bottom"/>
          </w:tcPr>
          <w:p w14:paraId="35D09011" w14:textId="77777777" w:rsidR="00D42204" w:rsidRDefault="00D42204">
            <w:pPr>
              <w:rPr>
                <w:rFonts w:ascii="宋体"/>
              </w:rPr>
            </w:pPr>
          </w:p>
        </w:tc>
        <w:tc>
          <w:tcPr>
            <w:tcW w:w="5" w:type="pct"/>
            <w:shd w:val="clear" w:color="auto" w:fill="auto"/>
            <w:vAlign w:val="bottom"/>
          </w:tcPr>
          <w:p w14:paraId="35D09012" w14:textId="77777777" w:rsidR="00D42204" w:rsidRDefault="00D42204">
            <w:pPr>
              <w:rPr>
                <w:rFonts w:ascii="宋体"/>
              </w:rPr>
            </w:pPr>
          </w:p>
        </w:tc>
        <w:tc>
          <w:tcPr>
            <w:tcW w:w="5" w:type="pct"/>
            <w:shd w:val="clear" w:color="auto" w:fill="auto"/>
            <w:vAlign w:val="bottom"/>
          </w:tcPr>
          <w:p w14:paraId="35D09013" w14:textId="77777777" w:rsidR="00D42204" w:rsidRDefault="00D42204">
            <w:pPr>
              <w:rPr>
                <w:rFonts w:ascii="宋体"/>
              </w:rPr>
            </w:pPr>
          </w:p>
        </w:tc>
        <w:tc>
          <w:tcPr>
            <w:tcW w:w="26" w:type="pct"/>
            <w:shd w:val="clear" w:color="auto" w:fill="auto"/>
            <w:vAlign w:val="bottom"/>
          </w:tcPr>
          <w:p w14:paraId="35D09014" w14:textId="77777777" w:rsidR="00D42204" w:rsidRDefault="00D42204">
            <w:pPr>
              <w:rPr>
                <w:rFonts w:ascii="宋体"/>
              </w:rPr>
            </w:pPr>
          </w:p>
        </w:tc>
        <w:tc>
          <w:tcPr>
            <w:tcW w:w="5" w:type="pct"/>
            <w:shd w:val="clear" w:color="auto" w:fill="auto"/>
            <w:vAlign w:val="bottom"/>
          </w:tcPr>
          <w:p w14:paraId="35D09015" w14:textId="77777777" w:rsidR="00D42204" w:rsidRDefault="00D42204">
            <w:pPr>
              <w:rPr>
                <w:rFonts w:ascii="宋体"/>
              </w:rPr>
            </w:pPr>
          </w:p>
        </w:tc>
        <w:tc>
          <w:tcPr>
            <w:tcW w:w="50" w:type="pct"/>
            <w:shd w:val="clear" w:color="auto" w:fill="auto"/>
            <w:vAlign w:val="bottom"/>
          </w:tcPr>
          <w:p w14:paraId="35D09016" w14:textId="77777777" w:rsidR="00D42204" w:rsidRDefault="00D42204">
            <w:pPr>
              <w:rPr>
                <w:rFonts w:ascii="宋体"/>
              </w:rPr>
            </w:pPr>
          </w:p>
        </w:tc>
        <w:tc>
          <w:tcPr>
            <w:tcW w:w="3114" w:type="pct"/>
            <w:shd w:val="clear" w:color="auto" w:fill="auto"/>
            <w:vAlign w:val="bottom"/>
          </w:tcPr>
          <w:p w14:paraId="35D09017" w14:textId="77777777" w:rsidR="00D42204" w:rsidRDefault="00D42204">
            <w:pPr>
              <w:rPr>
                <w:rFonts w:ascii="宋体"/>
              </w:rPr>
            </w:pPr>
          </w:p>
        </w:tc>
        <w:tc>
          <w:tcPr>
            <w:tcW w:w="5" w:type="pct"/>
            <w:shd w:val="clear" w:color="auto" w:fill="auto"/>
            <w:vAlign w:val="bottom"/>
          </w:tcPr>
          <w:p w14:paraId="35D09018" w14:textId="77777777" w:rsidR="00D42204" w:rsidRDefault="00D42204">
            <w:pPr>
              <w:rPr>
                <w:rFonts w:ascii="宋体"/>
              </w:rPr>
            </w:pPr>
          </w:p>
        </w:tc>
        <w:tc>
          <w:tcPr>
            <w:tcW w:w="5" w:type="pct"/>
            <w:shd w:val="clear" w:color="auto" w:fill="auto"/>
            <w:vAlign w:val="bottom"/>
          </w:tcPr>
          <w:p w14:paraId="35D09019" w14:textId="77777777" w:rsidR="00D42204" w:rsidRDefault="00D42204">
            <w:pPr>
              <w:rPr>
                <w:rFonts w:ascii="宋体"/>
              </w:rPr>
            </w:pPr>
          </w:p>
        </w:tc>
        <w:tc>
          <w:tcPr>
            <w:tcW w:w="26" w:type="pct"/>
            <w:shd w:val="clear" w:color="auto" w:fill="auto"/>
            <w:vAlign w:val="bottom"/>
          </w:tcPr>
          <w:p w14:paraId="35D0901A" w14:textId="77777777" w:rsidR="00D42204" w:rsidRDefault="00D42204">
            <w:pPr>
              <w:rPr>
                <w:rFonts w:ascii="宋体"/>
              </w:rPr>
            </w:pPr>
          </w:p>
        </w:tc>
        <w:tc>
          <w:tcPr>
            <w:tcW w:w="5" w:type="pct"/>
            <w:shd w:val="clear" w:color="auto" w:fill="auto"/>
            <w:vAlign w:val="bottom"/>
          </w:tcPr>
          <w:p w14:paraId="35D0901B" w14:textId="77777777" w:rsidR="00D42204" w:rsidRDefault="00D42204">
            <w:pPr>
              <w:rPr>
                <w:rFonts w:ascii="宋体"/>
              </w:rPr>
            </w:pPr>
          </w:p>
        </w:tc>
        <w:tc>
          <w:tcPr>
            <w:tcW w:w="50" w:type="pct"/>
            <w:shd w:val="clear" w:color="auto" w:fill="auto"/>
            <w:vAlign w:val="bottom"/>
          </w:tcPr>
          <w:p w14:paraId="35D0901C" w14:textId="77777777" w:rsidR="00D42204" w:rsidRDefault="00D42204">
            <w:pPr>
              <w:rPr>
                <w:rFonts w:ascii="宋体"/>
              </w:rPr>
            </w:pPr>
          </w:p>
        </w:tc>
        <w:tc>
          <w:tcPr>
            <w:tcW w:w="494" w:type="pct"/>
            <w:shd w:val="clear" w:color="auto" w:fill="auto"/>
            <w:vAlign w:val="bottom"/>
          </w:tcPr>
          <w:p w14:paraId="35D0901D" w14:textId="77777777" w:rsidR="00D42204" w:rsidRDefault="00D42204">
            <w:pPr>
              <w:rPr>
                <w:rFonts w:ascii="宋体"/>
              </w:rPr>
            </w:pPr>
          </w:p>
        </w:tc>
        <w:tc>
          <w:tcPr>
            <w:tcW w:w="5" w:type="pct"/>
            <w:shd w:val="clear" w:color="auto" w:fill="auto"/>
            <w:vAlign w:val="bottom"/>
          </w:tcPr>
          <w:p w14:paraId="35D0901E" w14:textId="77777777" w:rsidR="00D42204" w:rsidRDefault="00D42204">
            <w:pPr>
              <w:rPr>
                <w:rFonts w:ascii="宋体"/>
              </w:rPr>
            </w:pPr>
          </w:p>
        </w:tc>
        <w:tc>
          <w:tcPr>
            <w:tcW w:w="5" w:type="pct"/>
            <w:shd w:val="clear" w:color="auto" w:fill="auto"/>
            <w:vAlign w:val="bottom"/>
          </w:tcPr>
          <w:p w14:paraId="35D0901F" w14:textId="77777777" w:rsidR="00D42204" w:rsidRDefault="00D42204">
            <w:pPr>
              <w:rPr>
                <w:rFonts w:ascii="宋体"/>
              </w:rPr>
            </w:pPr>
          </w:p>
        </w:tc>
        <w:tc>
          <w:tcPr>
            <w:tcW w:w="26" w:type="pct"/>
            <w:shd w:val="clear" w:color="auto" w:fill="auto"/>
            <w:vAlign w:val="bottom"/>
          </w:tcPr>
          <w:p w14:paraId="35D09020" w14:textId="77777777" w:rsidR="00D42204" w:rsidRDefault="00D42204">
            <w:pPr>
              <w:rPr>
                <w:rFonts w:ascii="宋体"/>
              </w:rPr>
            </w:pPr>
          </w:p>
        </w:tc>
        <w:tc>
          <w:tcPr>
            <w:tcW w:w="5" w:type="pct"/>
            <w:shd w:val="clear" w:color="auto" w:fill="auto"/>
            <w:vAlign w:val="bottom"/>
          </w:tcPr>
          <w:p w14:paraId="35D09021" w14:textId="77777777" w:rsidR="00D42204" w:rsidRDefault="00D42204">
            <w:pPr>
              <w:rPr>
                <w:rFonts w:ascii="宋体"/>
              </w:rPr>
            </w:pPr>
          </w:p>
        </w:tc>
        <w:tc>
          <w:tcPr>
            <w:tcW w:w="50" w:type="pct"/>
            <w:shd w:val="clear" w:color="auto" w:fill="auto"/>
            <w:vAlign w:val="bottom"/>
          </w:tcPr>
          <w:p w14:paraId="35D09022" w14:textId="77777777" w:rsidR="00D42204" w:rsidRDefault="00D42204">
            <w:pPr>
              <w:rPr>
                <w:rFonts w:ascii="宋体"/>
              </w:rPr>
            </w:pPr>
          </w:p>
        </w:tc>
        <w:tc>
          <w:tcPr>
            <w:tcW w:w="157" w:type="pct"/>
            <w:shd w:val="clear" w:color="auto" w:fill="auto"/>
            <w:vAlign w:val="bottom"/>
          </w:tcPr>
          <w:p w14:paraId="35D09023" w14:textId="77777777" w:rsidR="00D42204" w:rsidRDefault="00D42204">
            <w:pPr>
              <w:rPr>
                <w:rFonts w:ascii="宋体"/>
              </w:rPr>
            </w:pPr>
          </w:p>
        </w:tc>
        <w:tc>
          <w:tcPr>
            <w:tcW w:w="5" w:type="pct"/>
            <w:shd w:val="clear" w:color="auto" w:fill="auto"/>
            <w:vAlign w:val="bottom"/>
          </w:tcPr>
          <w:p w14:paraId="35D09024" w14:textId="77777777" w:rsidR="00D42204" w:rsidRDefault="00D42204">
            <w:pPr>
              <w:rPr>
                <w:rFonts w:ascii="宋体"/>
              </w:rPr>
            </w:pPr>
          </w:p>
        </w:tc>
      </w:tr>
      <w:tr w:rsidR="00D42204" w14:paraId="35D0902D" w14:textId="77777777">
        <w:tc>
          <w:tcPr>
            <w:tcW w:w="0" w:type="auto"/>
            <w:gridSpan w:val="3"/>
            <w:shd w:val="clear" w:color="auto" w:fill="auto"/>
            <w:tcMar>
              <w:top w:w="40" w:type="dxa"/>
              <w:left w:w="20" w:type="dxa"/>
              <w:bottom w:w="40" w:type="dxa"/>
              <w:right w:w="20" w:type="dxa"/>
            </w:tcMar>
            <w:vAlign w:val="bottom"/>
          </w:tcPr>
          <w:p w14:paraId="35D09026" w14:textId="77777777" w:rsidR="00D42204" w:rsidRDefault="004E439D">
            <w:pPr>
              <w:textAlignment w:val="bottom"/>
            </w:pPr>
            <w:r>
              <w:rPr>
                <w:rFonts w:ascii="Times New Roman" w:eastAsia="宋体" w:hAnsi="Times New Roman"/>
                <w:b/>
                <w:bCs/>
                <w:color w:val="000000"/>
                <w:sz w:val="16"/>
                <w:szCs w:val="16"/>
              </w:rPr>
              <w:t>Name</w:t>
            </w:r>
          </w:p>
        </w:tc>
        <w:tc>
          <w:tcPr>
            <w:tcW w:w="0" w:type="auto"/>
            <w:gridSpan w:val="3"/>
            <w:shd w:val="clear" w:color="auto" w:fill="auto"/>
            <w:tcMar>
              <w:top w:w="0" w:type="dxa"/>
              <w:left w:w="20" w:type="dxa"/>
              <w:bottom w:w="0" w:type="dxa"/>
              <w:right w:w="20" w:type="dxa"/>
            </w:tcMar>
            <w:vAlign w:val="bottom"/>
          </w:tcPr>
          <w:p w14:paraId="35D09027"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9028" w14:textId="77777777" w:rsidR="00D42204" w:rsidRDefault="004E439D">
            <w:pPr>
              <w:textAlignment w:val="bottom"/>
            </w:pPr>
            <w:r>
              <w:rPr>
                <w:rFonts w:ascii="Times New Roman" w:eastAsia="宋体" w:hAnsi="Times New Roman"/>
                <w:b/>
                <w:bCs/>
                <w:color w:val="000000"/>
                <w:sz w:val="16"/>
                <w:szCs w:val="16"/>
              </w:rPr>
              <w:t>Business Experience</w:t>
            </w:r>
          </w:p>
        </w:tc>
        <w:tc>
          <w:tcPr>
            <w:tcW w:w="0" w:type="auto"/>
            <w:gridSpan w:val="3"/>
            <w:shd w:val="clear" w:color="auto" w:fill="auto"/>
            <w:tcMar>
              <w:top w:w="0" w:type="dxa"/>
              <w:left w:w="20" w:type="dxa"/>
              <w:bottom w:w="0" w:type="dxa"/>
              <w:right w:w="20" w:type="dxa"/>
            </w:tcMar>
            <w:vAlign w:val="bottom"/>
          </w:tcPr>
          <w:p w14:paraId="35D09029"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902A" w14:textId="77777777" w:rsidR="00D42204" w:rsidRDefault="004E439D">
            <w:pPr>
              <w:jc w:val="center"/>
              <w:textAlignment w:val="bottom"/>
            </w:pPr>
            <w:r>
              <w:rPr>
                <w:rFonts w:ascii="Times New Roman" w:eastAsia="宋体" w:hAnsi="Times New Roman"/>
                <w:b/>
                <w:bCs/>
                <w:color w:val="000000"/>
                <w:sz w:val="16"/>
                <w:szCs w:val="16"/>
              </w:rPr>
              <w:t>Current</w:t>
            </w:r>
            <w:r>
              <w:rPr>
                <w:rFonts w:ascii="Times New Roman" w:eastAsia="宋体" w:hAnsi="Times New Roman"/>
                <w:b/>
                <w:bCs/>
                <w:color w:val="000000"/>
                <w:sz w:val="16"/>
                <w:szCs w:val="16"/>
              </w:rPr>
              <w:br/>
              <w:t>Position</w:t>
            </w:r>
            <w:r>
              <w:rPr>
                <w:rFonts w:ascii="Times New Roman" w:eastAsia="宋体" w:hAnsi="Times New Roman"/>
                <w:b/>
                <w:bCs/>
                <w:color w:val="000000"/>
                <w:sz w:val="16"/>
                <w:szCs w:val="16"/>
              </w:rPr>
              <w:br/>
              <w:t>Held Since</w:t>
            </w:r>
          </w:p>
        </w:tc>
        <w:tc>
          <w:tcPr>
            <w:tcW w:w="0" w:type="auto"/>
            <w:gridSpan w:val="3"/>
            <w:shd w:val="clear" w:color="auto" w:fill="auto"/>
            <w:tcMar>
              <w:top w:w="0" w:type="dxa"/>
              <w:left w:w="20" w:type="dxa"/>
              <w:bottom w:w="0" w:type="dxa"/>
              <w:right w:w="20" w:type="dxa"/>
            </w:tcMar>
            <w:vAlign w:val="bottom"/>
          </w:tcPr>
          <w:p w14:paraId="35D0902B"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902C" w14:textId="77777777" w:rsidR="00D42204" w:rsidRDefault="004E439D">
            <w:pPr>
              <w:jc w:val="center"/>
              <w:textAlignment w:val="bottom"/>
            </w:pPr>
            <w:r>
              <w:rPr>
                <w:rFonts w:ascii="Times New Roman" w:eastAsia="宋体" w:hAnsi="Times New Roman"/>
                <w:b/>
                <w:bCs/>
                <w:color w:val="000000"/>
                <w:sz w:val="16"/>
                <w:szCs w:val="16"/>
              </w:rPr>
              <w:t>Age</w:t>
            </w:r>
          </w:p>
        </w:tc>
      </w:tr>
      <w:tr w:rsidR="00D42204" w14:paraId="35D09036" w14:textId="77777777">
        <w:tc>
          <w:tcPr>
            <w:tcW w:w="0" w:type="auto"/>
            <w:gridSpan w:val="3"/>
            <w:tcBorders>
              <w:top w:val="single" w:sz="8" w:space="0" w:color="000000"/>
            </w:tcBorders>
            <w:shd w:val="clear" w:color="auto" w:fill="auto"/>
            <w:tcMar>
              <w:top w:w="40" w:type="dxa"/>
              <w:left w:w="20" w:type="dxa"/>
              <w:bottom w:w="40" w:type="dxa"/>
              <w:right w:w="20" w:type="dxa"/>
            </w:tcMar>
          </w:tcPr>
          <w:p w14:paraId="35D0902E" w14:textId="77777777" w:rsidR="00D42204" w:rsidRDefault="004E439D">
            <w:pPr>
              <w:textAlignment w:val="top"/>
            </w:pPr>
            <w:r>
              <w:rPr>
                <w:rFonts w:ascii="Times New Roman" w:eastAsia="宋体" w:hAnsi="Times New Roman"/>
                <w:color w:val="000000"/>
                <w:sz w:val="20"/>
                <w:szCs w:val="20"/>
              </w:rPr>
              <w:t>Daniel J. Bartlett</w:t>
            </w:r>
          </w:p>
        </w:tc>
        <w:tc>
          <w:tcPr>
            <w:tcW w:w="0" w:type="auto"/>
            <w:gridSpan w:val="3"/>
            <w:shd w:val="clear" w:color="auto" w:fill="auto"/>
            <w:tcMar>
              <w:top w:w="0" w:type="dxa"/>
              <w:left w:w="20" w:type="dxa"/>
              <w:bottom w:w="0" w:type="dxa"/>
              <w:right w:w="20" w:type="dxa"/>
            </w:tcMar>
            <w:vAlign w:val="bottom"/>
          </w:tcPr>
          <w:p w14:paraId="35D0902F"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35D09030" w14:textId="77777777" w:rsidR="00D42204" w:rsidRDefault="004E439D">
            <w:pPr>
              <w:jc w:val="both"/>
              <w:textAlignment w:val="top"/>
            </w:pPr>
            <w:r>
              <w:rPr>
                <w:rFonts w:ascii="Times New Roman" w:eastAsia="宋体" w:hAnsi="Times New Roman"/>
                <w:color w:val="000000"/>
                <w:sz w:val="20"/>
                <w:szCs w:val="20"/>
              </w:rPr>
              <w:t xml:space="preserve">Executive Vice President, Corporate Affairs, </w:t>
            </w:r>
            <w:r>
              <w:rPr>
                <w:rFonts w:ascii="Times New Roman" w:eastAsia="宋体" w:hAnsi="Times New Roman"/>
                <w:color w:val="000000"/>
                <w:sz w:val="20"/>
                <w:szCs w:val="20"/>
              </w:rPr>
              <w:t>effective June 2013. From November 2007 to June 2013, he served as the Chief Executive Officer and President of U.S. Operations at Hill &amp; Knowlton, Inc., a public relations company.</w:t>
            </w:r>
          </w:p>
        </w:tc>
        <w:tc>
          <w:tcPr>
            <w:tcW w:w="0" w:type="auto"/>
            <w:gridSpan w:val="3"/>
            <w:shd w:val="clear" w:color="auto" w:fill="auto"/>
            <w:tcMar>
              <w:top w:w="0" w:type="dxa"/>
              <w:left w:w="20" w:type="dxa"/>
              <w:bottom w:w="0" w:type="dxa"/>
              <w:right w:w="20" w:type="dxa"/>
            </w:tcMar>
            <w:vAlign w:val="bottom"/>
          </w:tcPr>
          <w:p w14:paraId="35D09031"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35D09032" w14:textId="77777777" w:rsidR="00D42204" w:rsidRDefault="004E439D">
            <w:pPr>
              <w:jc w:val="center"/>
              <w:textAlignment w:val="top"/>
            </w:pPr>
            <w:r>
              <w:rPr>
                <w:rFonts w:ascii="Times New Roman" w:eastAsia="宋体" w:hAnsi="Times New Roman"/>
                <w:color w:val="000000"/>
                <w:sz w:val="20"/>
                <w:szCs w:val="20"/>
              </w:rPr>
              <w:t>2013</w:t>
            </w:r>
          </w:p>
        </w:tc>
        <w:tc>
          <w:tcPr>
            <w:tcW w:w="0" w:type="auto"/>
            <w:gridSpan w:val="3"/>
            <w:shd w:val="clear" w:color="auto" w:fill="auto"/>
            <w:tcMar>
              <w:top w:w="0" w:type="dxa"/>
              <w:left w:w="20" w:type="dxa"/>
              <w:bottom w:w="0" w:type="dxa"/>
              <w:right w:w="20" w:type="dxa"/>
            </w:tcMar>
            <w:vAlign w:val="bottom"/>
          </w:tcPr>
          <w:p w14:paraId="35D09033" w14:textId="77777777" w:rsidR="00D42204" w:rsidRDefault="00D42204">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tcPr>
          <w:p w14:paraId="35D09034" w14:textId="77777777" w:rsidR="00D42204" w:rsidRDefault="004E439D">
            <w:pPr>
              <w:jc w:val="right"/>
              <w:textAlignment w:val="top"/>
            </w:pPr>
            <w:r>
              <w:rPr>
                <w:rFonts w:ascii="Times New Roman" w:eastAsia="宋体" w:hAnsi="Times New Roman"/>
                <w:color w:val="000000"/>
                <w:sz w:val="20"/>
                <w:szCs w:val="20"/>
              </w:rPr>
              <w:t>50 </w:t>
            </w:r>
          </w:p>
        </w:tc>
        <w:tc>
          <w:tcPr>
            <w:tcW w:w="0" w:type="auto"/>
            <w:tcBorders>
              <w:top w:val="single" w:sz="8" w:space="0" w:color="000000"/>
            </w:tcBorders>
            <w:shd w:val="clear" w:color="auto" w:fill="auto"/>
            <w:tcMar>
              <w:top w:w="40" w:type="dxa"/>
              <w:left w:w="0" w:type="dxa"/>
              <w:bottom w:w="40" w:type="dxa"/>
              <w:right w:w="20" w:type="dxa"/>
            </w:tcMar>
          </w:tcPr>
          <w:p w14:paraId="35D09035" w14:textId="77777777" w:rsidR="00D42204" w:rsidRDefault="00D42204">
            <w:pPr>
              <w:jc w:val="right"/>
              <w:rPr>
                <w:rFonts w:ascii="宋体"/>
              </w:rPr>
            </w:pPr>
          </w:p>
        </w:tc>
      </w:tr>
      <w:tr w:rsidR="00D42204" w14:paraId="35D0903E" w14:textId="77777777">
        <w:trPr>
          <w:trHeight w:val="60"/>
        </w:trPr>
        <w:tc>
          <w:tcPr>
            <w:tcW w:w="0" w:type="auto"/>
            <w:gridSpan w:val="3"/>
            <w:shd w:val="clear" w:color="auto" w:fill="auto"/>
            <w:tcMar>
              <w:top w:w="0" w:type="dxa"/>
              <w:left w:w="20" w:type="dxa"/>
              <w:bottom w:w="0" w:type="dxa"/>
              <w:right w:w="20" w:type="dxa"/>
            </w:tcMar>
            <w:vAlign w:val="bottom"/>
          </w:tcPr>
          <w:p w14:paraId="35D09037"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38"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39"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3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3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3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3D" w14:textId="77777777" w:rsidR="00D42204" w:rsidRDefault="00D42204">
            <w:pPr>
              <w:rPr>
                <w:rFonts w:ascii="宋体"/>
              </w:rPr>
            </w:pPr>
          </w:p>
        </w:tc>
      </w:tr>
      <w:tr w:rsidR="00D42204" w14:paraId="35D09047" w14:textId="77777777">
        <w:tc>
          <w:tcPr>
            <w:tcW w:w="0" w:type="auto"/>
            <w:gridSpan w:val="3"/>
            <w:shd w:val="clear" w:color="auto" w:fill="auto"/>
            <w:tcMar>
              <w:top w:w="40" w:type="dxa"/>
              <w:left w:w="20" w:type="dxa"/>
              <w:bottom w:w="40" w:type="dxa"/>
              <w:right w:w="20" w:type="dxa"/>
            </w:tcMar>
          </w:tcPr>
          <w:p w14:paraId="35D0903F" w14:textId="77777777" w:rsidR="00D42204" w:rsidRDefault="004E439D">
            <w:pPr>
              <w:textAlignment w:val="top"/>
            </w:pPr>
            <w:r>
              <w:rPr>
                <w:rFonts w:ascii="Times New Roman" w:eastAsia="宋体" w:hAnsi="Times New Roman"/>
                <w:color w:val="000000"/>
                <w:sz w:val="20"/>
                <w:szCs w:val="20"/>
              </w:rPr>
              <w:t>M. Brett Biggs</w:t>
            </w:r>
          </w:p>
        </w:tc>
        <w:tc>
          <w:tcPr>
            <w:tcW w:w="0" w:type="auto"/>
            <w:gridSpan w:val="3"/>
            <w:shd w:val="clear" w:color="auto" w:fill="auto"/>
            <w:tcMar>
              <w:top w:w="0" w:type="dxa"/>
              <w:left w:w="20" w:type="dxa"/>
              <w:bottom w:w="0" w:type="dxa"/>
              <w:right w:w="20" w:type="dxa"/>
            </w:tcMar>
            <w:vAlign w:val="bottom"/>
          </w:tcPr>
          <w:p w14:paraId="35D09040"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9041" w14:textId="77777777" w:rsidR="00D42204" w:rsidRDefault="004E439D">
            <w:pPr>
              <w:jc w:val="both"/>
              <w:textAlignment w:val="top"/>
            </w:pPr>
            <w:r>
              <w:rPr>
                <w:rFonts w:ascii="Times New Roman" w:eastAsia="宋体" w:hAnsi="Times New Roman"/>
                <w:color w:val="000000"/>
                <w:sz w:val="20"/>
                <w:szCs w:val="20"/>
              </w:rPr>
              <w:t xml:space="preserve">Executive Vice President and Chief Financial Officer, effective January 2016. From January 2014 to December 2015, he served as Executive Vice President and Chief Financial Officer of Walmart International. </w:t>
            </w:r>
          </w:p>
        </w:tc>
        <w:tc>
          <w:tcPr>
            <w:tcW w:w="0" w:type="auto"/>
            <w:gridSpan w:val="3"/>
            <w:shd w:val="clear" w:color="auto" w:fill="auto"/>
            <w:tcMar>
              <w:top w:w="0" w:type="dxa"/>
              <w:left w:w="20" w:type="dxa"/>
              <w:bottom w:w="0" w:type="dxa"/>
              <w:right w:w="20" w:type="dxa"/>
            </w:tcMar>
            <w:vAlign w:val="bottom"/>
          </w:tcPr>
          <w:p w14:paraId="35D09042"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9043" w14:textId="77777777" w:rsidR="00D42204" w:rsidRDefault="004E439D">
            <w:pPr>
              <w:jc w:val="center"/>
              <w:textAlignment w:val="top"/>
            </w:pPr>
            <w:r>
              <w:rPr>
                <w:rFonts w:ascii="Times New Roman" w:eastAsia="宋体" w:hAnsi="Times New Roman"/>
                <w:color w:val="000000"/>
                <w:sz w:val="20"/>
                <w:szCs w:val="20"/>
              </w:rPr>
              <w:t>2016</w:t>
            </w:r>
          </w:p>
        </w:tc>
        <w:tc>
          <w:tcPr>
            <w:tcW w:w="0" w:type="auto"/>
            <w:gridSpan w:val="3"/>
            <w:shd w:val="clear" w:color="auto" w:fill="auto"/>
            <w:tcMar>
              <w:top w:w="0" w:type="dxa"/>
              <w:left w:w="20" w:type="dxa"/>
              <w:bottom w:w="0" w:type="dxa"/>
              <w:right w:w="20" w:type="dxa"/>
            </w:tcMar>
            <w:vAlign w:val="bottom"/>
          </w:tcPr>
          <w:p w14:paraId="35D09044" w14:textId="77777777" w:rsidR="00D42204" w:rsidRDefault="00D42204">
            <w:pPr>
              <w:rPr>
                <w:rFonts w:ascii="宋体"/>
              </w:rPr>
            </w:pPr>
          </w:p>
        </w:tc>
        <w:tc>
          <w:tcPr>
            <w:tcW w:w="0" w:type="auto"/>
            <w:gridSpan w:val="2"/>
            <w:shd w:val="clear" w:color="auto" w:fill="auto"/>
            <w:tcMar>
              <w:top w:w="40" w:type="dxa"/>
              <w:left w:w="20" w:type="dxa"/>
              <w:bottom w:w="40" w:type="dxa"/>
              <w:right w:w="0" w:type="dxa"/>
            </w:tcMar>
          </w:tcPr>
          <w:p w14:paraId="35D09045" w14:textId="77777777" w:rsidR="00D42204" w:rsidRDefault="004E439D">
            <w:pPr>
              <w:jc w:val="right"/>
              <w:textAlignment w:val="top"/>
            </w:pPr>
            <w:r>
              <w:rPr>
                <w:rFonts w:ascii="Times New Roman" w:eastAsia="宋体" w:hAnsi="Times New Roman"/>
                <w:color w:val="000000"/>
                <w:sz w:val="20"/>
                <w:szCs w:val="20"/>
              </w:rPr>
              <w:t>53 </w:t>
            </w:r>
          </w:p>
        </w:tc>
        <w:tc>
          <w:tcPr>
            <w:tcW w:w="0" w:type="auto"/>
            <w:shd w:val="clear" w:color="auto" w:fill="auto"/>
            <w:tcMar>
              <w:top w:w="40" w:type="dxa"/>
              <w:left w:w="0" w:type="dxa"/>
              <w:bottom w:w="40" w:type="dxa"/>
              <w:right w:w="20" w:type="dxa"/>
            </w:tcMar>
          </w:tcPr>
          <w:p w14:paraId="35D09046" w14:textId="77777777" w:rsidR="00D42204" w:rsidRDefault="00D42204">
            <w:pPr>
              <w:jc w:val="right"/>
              <w:rPr>
                <w:rFonts w:ascii="宋体"/>
              </w:rPr>
            </w:pPr>
          </w:p>
        </w:tc>
      </w:tr>
      <w:tr w:rsidR="00D42204" w14:paraId="35D0904F" w14:textId="77777777">
        <w:trPr>
          <w:trHeight w:val="60"/>
        </w:trPr>
        <w:tc>
          <w:tcPr>
            <w:tcW w:w="0" w:type="auto"/>
            <w:gridSpan w:val="3"/>
            <w:shd w:val="clear" w:color="auto" w:fill="auto"/>
            <w:tcMar>
              <w:top w:w="0" w:type="dxa"/>
              <w:left w:w="20" w:type="dxa"/>
              <w:bottom w:w="0" w:type="dxa"/>
              <w:right w:w="20" w:type="dxa"/>
            </w:tcMar>
            <w:vAlign w:val="bottom"/>
          </w:tcPr>
          <w:p w14:paraId="35D09048"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49"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4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4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4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4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4E" w14:textId="77777777" w:rsidR="00D42204" w:rsidRDefault="00D42204">
            <w:pPr>
              <w:rPr>
                <w:rFonts w:ascii="宋体"/>
              </w:rPr>
            </w:pPr>
          </w:p>
        </w:tc>
      </w:tr>
      <w:tr w:rsidR="00D42204" w14:paraId="35D09058" w14:textId="77777777">
        <w:tc>
          <w:tcPr>
            <w:tcW w:w="0" w:type="auto"/>
            <w:gridSpan w:val="3"/>
            <w:shd w:val="clear" w:color="auto" w:fill="auto"/>
            <w:tcMar>
              <w:top w:w="40" w:type="dxa"/>
              <w:left w:w="20" w:type="dxa"/>
              <w:bottom w:w="40" w:type="dxa"/>
              <w:right w:w="20" w:type="dxa"/>
            </w:tcMar>
          </w:tcPr>
          <w:p w14:paraId="35D09050" w14:textId="77777777" w:rsidR="00D42204" w:rsidRDefault="004E439D">
            <w:pPr>
              <w:textAlignment w:val="top"/>
            </w:pPr>
            <w:r>
              <w:rPr>
                <w:rFonts w:ascii="Times New Roman" w:eastAsia="宋体" w:hAnsi="Times New Roman"/>
                <w:color w:val="000000"/>
                <w:sz w:val="20"/>
                <w:szCs w:val="20"/>
              </w:rPr>
              <w:t>Rachel Brand</w:t>
            </w:r>
          </w:p>
        </w:tc>
        <w:tc>
          <w:tcPr>
            <w:tcW w:w="0" w:type="auto"/>
            <w:gridSpan w:val="3"/>
            <w:shd w:val="clear" w:color="auto" w:fill="auto"/>
            <w:tcMar>
              <w:top w:w="0" w:type="dxa"/>
              <w:left w:w="20" w:type="dxa"/>
              <w:bottom w:w="0" w:type="dxa"/>
              <w:right w:w="20" w:type="dxa"/>
            </w:tcMar>
            <w:vAlign w:val="bottom"/>
          </w:tcPr>
          <w:p w14:paraId="35D0905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9052" w14:textId="77777777" w:rsidR="00D42204" w:rsidRDefault="004E439D">
            <w:pPr>
              <w:jc w:val="both"/>
              <w:textAlignment w:val="top"/>
            </w:pPr>
            <w:r>
              <w:rPr>
                <w:rFonts w:ascii="Times New Roman" w:eastAsia="宋体" w:hAnsi="Times New Roman"/>
                <w:color w:val="000000"/>
                <w:sz w:val="20"/>
                <w:szCs w:val="20"/>
              </w:rPr>
              <w:t>Executive Vice President, Global Governance, Chief Legal Officer and Corporate Secretary, effective April 2018. From May 2017 to February 2018, she served as Associate Attorney General in the United States Department of Justice. From January 2017 to May 20</w:t>
            </w:r>
            <w:r>
              <w:rPr>
                <w:rFonts w:ascii="Times New Roman" w:eastAsia="宋体" w:hAnsi="Times New Roman"/>
                <w:color w:val="000000"/>
                <w:sz w:val="20"/>
                <w:szCs w:val="20"/>
              </w:rPr>
              <w:t xml:space="preserve">17, Ms. Brand was an Associate Professor of Law at George Mason University Antonin Scalia Law School. From August 2012 to February 2017, she served as a board member on the Privacy and Civil Liberties Oversight Board of the U.S. government. </w:t>
            </w:r>
          </w:p>
        </w:tc>
        <w:tc>
          <w:tcPr>
            <w:tcW w:w="0" w:type="auto"/>
            <w:gridSpan w:val="3"/>
            <w:shd w:val="clear" w:color="auto" w:fill="auto"/>
            <w:tcMar>
              <w:top w:w="0" w:type="dxa"/>
              <w:left w:w="20" w:type="dxa"/>
              <w:bottom w:w="0" w:type="dxa"/>
              <w:right w:w="20" w:type="dxa"/>
            </w:tcMar>
            <w:vAlign w:val="bottom"/>
          </w:tcPr>
          <w:p w14:paraId="35D09053"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9054" w14:textId="77777777" w:rsidR="00D42204" w:rsidRDefault="004E439D">
            <w:pPr>
              <w:jc w:val="center"/>
              <w:textAlignment w:val="top"/>
            </w:pPr>
            <w:r>
              <w:rPr>
                <w:rFonts w:ascii="Times New Roman" w:eastAsia="宋体" w:hAnsi="Times New Roman"/>
                <w:color w:val="000000"/>
                <w:sz w:val="20"/>
                <w:szCs w:val="20"/>
              </w:rPr>
              <w:t>2018</w:t>
            </w:r>
          </w:p>
        </w:tc>
        <w:tc>
          <w:tcPr>
            <w:tcW w:w="0" w:type="auto"/>
            <w:gridSpan w:val="3"/>
            <w:shd w:val="clear" w:color="auto" w:fill="auto"/>
            <w:tcMar>
              <w:top w:w="0" w:type="dxa"/>
              <w:left w:w="20" w:type="dxa"/>
              <w:bottom w:w="0" w:type="dxa"/>
              <w:right w:w="20" w:type="dxa"/>
            </w:tcMar>
            <w:vAlign w:val="bottom"/>
          </w:tcPr>
          <w:p w14:paraId="35D09055" w14:textId="77777777" w:rsidR="00D42204" w:rsidRDefault="00D42204">
            <w:pPr>
              <w:rPr>
                <w:rFonts w:ascii="宋体"/>
              </w:rPr>
            </w:pPr>
          </w:p>
        </w:tc>
        <w:tc>
          <w:tcPr>
            <w:tcW w:w="0" w:type="auto"/>
            <w:gridSpan w:val="2"/>
            <w:shd w:val="clear" w:color="auto" w:fill="auto"/>
            <w:tcMar>
              <w:top w:w="40" w:type="dxa"/>
              <w:left w:w="20" w:type="dxa"/>
              <w:bottom w:w="40" w:type="dxa"/>
              <w:right w:w="0" w:type="dxa"/>
            </w:tcMar>
          </w:tcPr>
          <w:p w14:paraId="35D09056" w14:textId="77777777" w:rsidR="00D42204" w:rsidRDefault="004E439D">
            <w:pPr>
              <w:jc w:val="right"/>
              <w:textAlignment w:val="top"/>
            </w:pPr>
            <w:r>
              <w:rPr>
                <w:rFonts w:ascii="Times New Roman" w:eastAsia="宋体" w:hAnsi="Times New Roman"/>
                <w:color w:val="000000"/>
                <w:sz w:val="20"/>
                <w:szCs w:val="20"/>
              </w:rPr>
              <w:t>48 </w:t>
            </w:r>
          </w:p>
        </w:tc>
        <w:tc>
          <w:tcPr>
            <w:tcW w:w="0" w:type="auto"/>
            <w:shd w:val="clear" w:color="auto" w:fill="auto"/>
            <w:tcMar>
              <w:top w:w="40" w:type="dxa"/>
              <w:left w:w="0" w:type="dxa"/>
              <w:bottom w:w="40" w:type="dxa"/>
              <w:right w:w="20" w:type="dxa"/>
            </w:tcMar>
          </w:tcPr>
          <w:p w14:paraId="35D09057" w14:textId="77777777" w:rsidR="00D42204" w:rsidRDefault="00D42204">
            <w:pPr>
              <w:jc w:val="right"/>
              <w:rPr>
                <w:rFonts w:ascii="宋体"/>
              </w:rPr>
            </w:pPr>
          </w:p>
        </w:tc>
      </w:tr>
      <w:tr w:rsidR="00D42204" w14:paraId="35D09060" w14:textId="77777777">
        <w:trPr>
          <w:trHeight w:val="60"/>
        </w:trPr>
        <w:tc>
          <w:tcPr>
            <w:tcW w:w="0" w:type="auto"/>
            <w:gridSpan w:val="3"/>
            <w:shd w:val="clear" w:color="auto" w:fill="auto"/>
            <w:tcMar>
              <w:top w:w="0" w:type="dxa"/>
              <w:left w:w="20" w:type="dxa"/>
              <w:bottom w:w="0" w:type="dxa"/>
              <w:right w:w="20" w:type="dxa"/>
            </w:tcMar>
            <w:vAlign w:val="bottom"/>
          </w:tcPr>
          <w:p w14:paraId="35D09059"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5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5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5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5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5E"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5F" w14:textId="77777777" w:rsidR="00D42204" w:rsidRDefault="00D42204">
            <w:pPr>
              <w:rPr>
                <w:rFonts w:ascii="宋体"/>
              </w:rPr>
            </w:pPr>
          </w:p>
        </w:tc>
      </w:tr>
      <w:tr w:rsidR="00D42204" w14:paraId="35D09069" w14:textId="77777777">
        <w:tc>
          <w:tcPr>
            <w:tcW w:w="0" w:type="auto"/>
            <w:gridSpan w:val="3"/>
            <w:shd w:val="clear" w:color="auto" w:fill="auto"/>
            <w:tcMar>
              <w:top w:w="40" w:type="dxa"/>
              <w:left w:w="20" w:type="dxa"/>
              <w:bottom w:w="40" w:type="dxa"/>
              <w:right w:w="20" w:type="dxa"/>
            </w:tcMar>
          </w:tcPr>
          <w:p w14:paraId="35D09061" w14:textId="77777777" w:rsidR="00D42204" w:rsidRDefault="004E439D">
            <w:pPr>
              <w:textAlignment w:val="top"/>
            </w:pPr>
            <w:r>
              <w:rPr>
                <w:rFonts w:ascii="Times New Roman" w:eastAsia="宋体" w:hAnsi="Times New Roman"/>
                <w:color w:val="000000"/>
                <w:sz w:val="20"/>
                <w:szCs w:val="20"/>
              </w:rPr>
              <w:t>David M. Chojnowski</w:t>
            </w:r>
          </w:p>
        </w:tc>
        <w:tc>
          <w:tcPr>
            <w:tcW w:w="0" w:type="auto"/>
            <w:gridSpan w:val="3"/>
            <w:shd w:val="clear" w:color="auto" w:fill="auto"/>
            <w:tcMar>
              <w:top w:w="0" w:type="dxa"/>
              <w:left w:w="20" w:type="dxa"/>
              <w:bottom w:w="0" w:type="dxa"/>
              <w:right w:w="20" w:type="dxa"/>
            </w:tcMar>
            <w:vAlign w:val="bottom"/>
          </w:tcPr>
          <w:p w14:paraId="35D09062"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9063" w14:textId="77777777" w:rsidR="00D42204" w:rsidRDefault="004E439D">
            <w:pPr>
              <w:jc w:val="both"/>
              <w:textAlignment w:val="top"/>
            </w:pPr>
            <w:r>
              <w:rPr>
                <w:rFonts w:ascii="Times New Roman" w:eastAsia="宋体" w:hAnsi="Times New Roman"/>
                <w:color w:val="000000"/>
                <w:sz w:val="20"/>
                <w:szCs w:val="20"/>
              </w:rPr>
              <w:t xml:space="preserve">Senior Vice President and Controller effective January 2017. From October 2014 to January 2017, he served as Vice President and Controller, Walmart U.S. </w:t>
            </w:r>
          </w:p>
        </w:tc>
        <w:tc>
          <w:tcPr>
            <w:tcW w:w="0" w:type="auto"/>
            <w:gridSpan w:val="3"/>
            <w:shd w:val="clear" w:color="auto" w:fill="auto"/>
            <w:tcMar>
              <w:top w:w="0" w:type="dxa"/>
              <w:left w:w="20" w:type="dxa"/>
              <w:bottom w:w="0" w:type="dxa"/>
              <w:right w:w="20" w:type="dxa"/>
            </w:tcMar>
            <w:vAlign w:val="bottom"/>
          </w:tcPr>
          <w:p w14:paraId="35D09064"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9065" w14:textId="77777777" w:rsidR="00D42204" w:rsidRDefault="004E439D">
            <w:pPr>
              <w:jc w:val="center"/>
              <w:textAlignment w:val="top"/>
            </w:pPr>
            <w:r>
              <w:rPr>
                <w:rFonts w:ascii="Times New Roman" w:eastAsia="宋体" w:hAnsi="Times New Roman"/>
                <w:color w:val="000000"/>
                <w:sz w:val="20"/>
                <w:szCs w:val="20"/>
              </w:rPr>
              <w:t>2017</w:t>
            </w:r>
          </w:p>
        </w:tc>
        <w:tc>
          <w:tcPr>
            <w:tcW w:w="0" w:type="auto"/>
            <w:gridSpan w:val="3"/>
            <w:shd w:val="clear" w:color="auto" w:fill="auto"/>
            <w:tcMar>
              <w:top w:w="0" w:type="dxa"/>
              <w:left w:w="20" w:type="dxa"/>
              <w:bottom w:w="0" w:type="dxa"/>
              <w:right w:w="20" w:type="dxa"/>
            </w:tcMar>
            <w:vAlign w:val="bottom"/>
          </w:tcPr>
          <w:p w14:paraId="35D09066" w14:textId="77777777" w:rsidR="00D42204" w:rsidRDefault="00D42204">
            <w:pPr>
              <w:rPr>
                <w:rFonts w:ascii="宋体"/>
              </w:rPr>
            </w:pPr>
          </w:p>
        </w:tc>
        <w:tc>
          <w:tcPr>
            <w:tcW w:w="0" w:type="auto"/>
            <w:gridSpan w:val="2"/>
            <w:shd w:val="clear" w:color="auto" w:fill="auto"/>
            <w:tcMar>
              <w:top w:w="40" w:type="dxa"/>
              <w:left w:w="20" w:type="dxa"/>
              <w:bottom w:w="40" w:type="dxa"/>
              <w:right w:w="0" w:type="dxa"/>
            </w:tcMar>
          </w:tcPr>
          <w:p w14:paraId="35D09067" w14:textId="77777777" w:rsidR="00D42204" w:rsidRDefault="004E439D">
            <w:pPr>
              <w:jc w:val="right"/>
              <w:textAlignment w:val="top"/>
            </w:pPr>
            <w:r>
              <w:rPr>
                <w:rFonts w:ascii="Times New Roman" w:eastAsia="宋体" w:hAnsi="Times New Roman"/>
                <w:color w:val="000000"/>
                <w:sz w:val="20"/>
                <w:szCs w:val="20"/>
              </w:rPr>
              <w:t>52 </w:t>
            </w:r>
          </w:p>
        </w:tc>
        <w:tc>
          <w:tcPr>
            <w:tcW w:w="0" w:type="auto"/>
            <w:shd w:val="clear" w:color="auto" w:fill="auto"/>
            <w:tcMar>
              <w:top w:w="40" w:type="dxa"/>
              <w:left w:w="0" w:type="dxa"/>
              <w:bottom w:w="40" w:type="dxa"/>
              <w:right w:w="20" w:type="dxa"/>
            </w:tcMar>
          </w:tcPr>
          <w:p w14:paraId="35D09068" w14:textId="77777777" w:rsidR="00D42204" w:rsidRDefault="00D42204">
            <w:pPr>
              <w:jc w:val="right"/>
              <w:rPr>
                <w:rFonts w:ascii="宋体"/>
              </w:rPr>
            </w:pPr>
          </w:p>
        </w:tc>
      </w:tr>
      <w:tr w:rsidR="00D42204" w14:paraId="35D09071" w14:textId="77777777">
        <w:trPr>
          <w:trHeight w:val="60"/>
        </w:trPr>
        <w:tc>
          <w:tcPr>
            <w:tcW w:w="0" w:type="auto"/>
            <w:gridSpan w:val="3"/>
            <w:shd w:val="clear" w:color="auto" w:fill="auto"/>
            <w:tcMar>
              <w:top w:w="0" w:type="dxa"/>
              <w:left w:w="20" w:type="dxa"/>
              <w:bottom w:w="0" w:type="dxa"/>
              <w:right w:w="20" w:type="dxa"/>
            </w:tcMar>
            <w:vAlign w:val="bottom"/>
          </w:tcPr>
          <w:p w14:paraId="35D0906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6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6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6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6E"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6F"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70" w14:textId="77777777" w:rsidR="00D42204" w:rsidRDefault="00D42204">
            <w:pPr>
              <w:rPr>
                <w:rFonts w:ascii="宋体"/>
              </w:rPr>
            </w:pPr>
          </w:p>
        </w:tc>
      </w:tr>
      <w:tr w:rsidR="00D42204" w14:paraId="35D0907A" w14:textId="77777777">
        <w:tc>
          <w:tcPr>
            <w:tcW w:w="0" w:type="auto"/>
            <w:gridSpan w:val="3"/>
            <w:shd w:val="clear" w:color="auto" w:fill="auto"/>
            <w:tcMar>
              <w:top w:w="40" w:type="dxa"/>
              <w:left w:w="20" w:type="dxa"/>
              <w:bottom w:w="40" w:type="dxa"/>
              <w:right w:w="20" w:type="dxa"/>
            </w:tcMar>
          </w:tcPr>
          <w:p w14:paraId="35D09072" w14:textId="77777777" w:rsidR="00D42204" w:rsidRDefault="004E439D">
            <w:pPr>
              <w:textAlignment w:val="top"/>
            </w:pPr>
            <w:r>
              <w:rPr>
                <w:rFonts w:ascii="Times New Roman" w:eastAsia="宋体" w:hAnsi="Times New Roman"/>
                <w:color w:val="000000"/>
                <w:sz w:val="20"/>
                <w:szCs w:val="20"/>
              </w:rPr>
              <w:t>John Furner</w:t>
            </w:r>
          </w:p>
        </w:tc>
        <w:tc>
          <w:tcPr>
            <w:tcW w:w="0" w:type="auto"/>
            <w:gridSpan w:val="3"/>
            <w:shd w:val="clear" w:color="auto" w:fill="auto"/>
            <w:tcMar>
              <w:top w:w="0" w:type="dxa"/>
              <w:left w:w="20" w:type="dxa"/>
              <w:bottom w:w="0" w:type="dxa"/>
              <w:right w:w="20" w:type="dxa"/>
            </w:tcMar>
            <w:vAlign w:val="bottom"/>
          </w:tcPr>
          <w:p w14:paraId="35D09073"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9074" w14:textId="77777777" w:rsidR="00D42204" w:rsidRDefault="004E439D">
            <w:pPr>
              <w:jc w:val="both"/>
              <w:textAlignment w:val="top"/>
            </w:pPr>
            <w:r>
              <w:rPr>
                <w:rFonts w:ascii="Times New Roman" w:eastAsia="宋体" w:hAnsi="Times New Roman"/>
                <w:color w:val="000000"/>
                <w:sz w:val="20"/>
                <w:szCs w:val="20"/>
              </w:rPr>
              <w:t>Executive Vice President, President and Chief Executive Officer, Walmart U.S. effective November 2019. From February 2017 until November 2019, he served as President and Chief Executive Officer, Sam's Club. From October 2015 to January 2017, he served as E</w:t>
            </w:r>
            <w:r>
              <w:rPr>
                <w:rFonts w:ascii="Times New Roman" w:eastAsia="宋体" w:hAnsi="Times New Roman"/>
                <w:color w:val="000000"/>
                <w:sz w:val="20"/>
                <w:szCs w:val="20"/>
              </w:rPr>
              <w:t xml:space="preserve">xecutive Vice President and Chief Merchandising Officer of Sam's Club. </w:t>
            </w:r>
          </w:p>
        </w:tc>
        <w:tc>
          <w:tcPr>
            <w:tcW w:w="0" w:type="auto"/>
            <w:gridSpan w:val="3"/>
            <w:shd w:val="clear" w:color="auto" w:fill="auto"/>
            <w:tcMar>
              <w:top w:w="0" w:type="dxa"/>
              <w:left w:w="20" w:type="dxa"/>
              <w:bottom w:w="0" w:type="dxa"/>
              <w:right w:w="20" w:type="dxa"/>
            </w:tcMar>
            <w:vAlign w:val="bottom"/>
          </w:tcPr>
          <w:p w14:paraId="35D09075"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9076" w14:textId="77777777" w:rsidR="00D42204" w:rsidRDefault="004E439D">
            <w:pPr>
              <w:jc w:val="center"/>
              <w:textAlignment w:val="top"/>
            </w:pPr>
            <w:r>
              <w:rPr>
                <w:rFonts w:ascii="Times New Roman" w:eastAsia="宋体" w:hAnsi="Times New Roman"/>
                <w:color w:val="000000"/>
                <w:sz w:val="20"/>
                <w:szCs w:val="20"/>
              </w:rPr>
              <w:t>2019</w:t>
            </w:r>
          </w:p>
        </w:tc>
        <w:tc>
          <w:tcPr>
            <w:tcW w:w="0" w:type="auto"/>
            <w:gridSpan w:val="3"/>
            <w:shd w:val="clear" w:color="auto" w:fill="auto"/>
            <w:tcMar>
              <w:top w:w="0" w:type="dxa"/>
              <w:left w:w="20" w:type="dxa"/>
              <w:bottom w:w="0" w:type="dxa"/>
              <w:right w:w="20" w:type="dxa"/>
            </w:tcMar>
            <w:vAlign w:val="bottom"/>
          </w:tcPr>
          <w:p w14:paraId="35D09077" w14:textId="77777777" w:rsidR="00D42204" w:rsidRDefault="00D42204">
            <w:pPr>
              <w:rPr>
                <w:rFonts w:ascii="宋体"/>
              </w:rPr>
            </w:pPr>
          </w:p>
        </w:tc>
        <w:tc>
          <w:tcPr>
            <w:tcW w:w="0" w:type="auto"/>
            <w:gridSpan w:val="2"/>
            <w:shd w:val="clear" w:color="auto" w:fill="auto"/>
            <w:tcMar>
              <w:top w:w="40" w:type="dxa"/>
              <w:left w:w="20" w:type="dxa"/>
              <w:bottom w:w="40" w:type="dxa"/>
              <w:right w:w="0" w:type="dxa"/>
            </w:tcMar>
          </w:tcPr>
          <w:p w14:paraId="35D09078" w14:textId="77777777" w:rsidR="00D42204" w:rsidRDefault="004E439D">
            <w:pPr>
              <w:jc w:val="right"/>
              <w:textAlignment w:val="top"/>
            </w:pPr>
            <w:r>
              <w:rPr>
                <w:rFonts w:ascii="Times New Roman" w:eastAsia="宋体" w:hAnsi="Times New Roman"/>
                <w:color w:val="000000"/>
                <w:sz w:val="20"/>
                <w:szCs w:val="20"/>
              </w:rPr>
              <w:t>47 </w:t>
            </w:r>
          </w:p>
        </w:tc>
        <w:tc>
          <w:tcPr>
            <w:tcW w:w="0" w:type="auto"/>
            <w:shd w:val="clear" w:color="auto" w:fill="auto"/>
            <w:tcMar>
              <w:top w:w="40" w:type="dxa"/>
              <w:left w:w="0" w:type="dxa"/>
              <w:bottom w:w="40" w:type="dxa"/>
              <w:right w:w="20" w:type="dxa"/>
            </w:tcMar>
          </w:tcPr>
          <w:p w14:paraId="35D09079" w14:textId="77777777" w:rsidR="00D42204" w:rsidRDefault="00D42204">
            <w:pPr>
              <w:jc w:val="right"/>
              <w:rPr>
                <w:rFonts w:ascii="宋体"/>
              </w:rPr>
            </w:pPr>
          </w:p>
        </w:tc>
      </w:tr>
      <w:tr w:rsidR="00D42204" w14:paraId="35D09082" w14:textId="77777777">
        <w:trPr>
          <w:trHeight w:val="60"/>
        </w:trPr>
        <w:tc>
          <w:tcPr>
            <w:tcW w:w="0" w:type="auto"/>
            <w:gridSpan w:val="3"/>
            <w:shd w:val="clear" w:color="auto" w:fill="auto"/>
            <w:tcMar>
              <w:top w:w="0" w:type="dxa"/>
              <w:left w:w="20" w:type="dxa"/>
              <w:bottom w:w="0" w:type="dxa"/>
              <w:right w:w="20" w:type="dxa"/>
            </w:tcMar>
            <w:vAlign w:val="bottom"/>
          </w:tcPr>
          <w:p w14:paraId="35D0907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7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7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7E"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7F"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80"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81" w14:textId="77777777" w:rsidR="00D42204" w:rsidRDefault="00D42204">
            <w:pPr>
              <w:rPr>
                <w:rFonts w:ascii="宋体"/>
              </w:rPr>
            </w:pPr>
          </w:p>
        </w:tc>
      </w:tr>
      <w:tr w:rsidR="00D42204" w14:paraId="35D0908B" w14:textId="77777777">
        <w:tc>
          <w:tcPr>
            <w:tcW w:w="0" w:type="auto"/>
            <w:gridSpan w:val="3"/>
            <w:shd w:val="clear" w:color="auto" w:fill="auto"/>
            <w:tcMar>
              <w:top w:w="40" w:type="dxa"/>
              <w:left w:w="20" w:type="dxa"/>
              <w:bottom w:w="40" w:type="dxa"/>
              <w:right w:w="20" w:type="dxa"/>
            </w:tcMar>
          </w:tcPr>
          <w:p w14:paraId="35D09083" w14:textId="77777777" w:rsidR="00D42204" w:rsidRDefault="004E439D">
            <w:pPr>
              <w:textAlignment w:val="top"/>
            </w:pPr>
            <w:r>
              <w:rPr>
                <w:rFonts w:ascii="Times New Roman" w:eastAsia="宋体" w:hAnsi="Times New Roman"/>
                <w:color w:val="000000"/>
                <w:sz w:val="20"/>
                <w:szCs w:val="20"/>
              </w:rPr>
              <w:t>Suresh Kumar</w:t>
            </w:r>
          </w:p>
        </w:tc>
        <w:tc>
          <w:tcPr>
            <w:tcW w:w="0" w:type="auto"/>
            <w:gridSpan w:val="3"/>
            <w:shd w:val="clear" w:color="auto" w:fill="auto"/>
            <w:tcMar>
              <w:top w:w="0" w:type="dxa"/>
              <w:left w:w="20" w:type="dxa"/>
              <w:bottom w:w="0" w:type="dxa"/>
              <w:right w:w="20" w:type="dxa"/>
            </w:tcMar>
            <w:vAlign w:val="bottom"/>
          </w:tcPr>
          <w:p w14:paraId="35D09084"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9085" w14:textId="77777777" w:rsidR="00D42204" w:rsidRDefault="004E439D">
            <w:pPr>
              <w:jc w:val="both"/>
              <w:textAlignment w:val="top"/>
            </w:pPr>
            <w:r>
              <w:rPr>
                <w:rFonts w:ascii="Times New Roman" w:eastAsia="宋体" w:hAnsi="Times New Roman"/>
                <w:color w:val="000000"/>
                <w:sz w:val="20"/>
                <w:szCs w:val="20"/>
              </w:rPr>
              <w:t>Executive Vice President, Global Chief Technology Officer and Chief Development Officer effective July 2019. From February 2018 until June 2019, Mr. Kumar was Vice President and General Manager at Google LLC. From May 2014 until February 2018, he was Corpo</w:t>
            </w:r>
            <w:r>
              <w:rPr>
                <w:rFonts w:ascii="Times New Roman" w:eastAsia="宋体" w:hAnsi="Times New Roman"/>
                <w:color w:val="000000"/>
                <w:sz w:val="20"/>
                <w:szCs w:val="20"/>
              </w:rPr>
              <w:t xml:space="preserve">rate Vice President at Microsoft Corporation. </w:t>
            </w:r>
          </w:p>
        </w:tc>
        <w:tc>
          <w:tcPr>
            <w:tcW w:w="0" w:type="auto"/>
            <w:gridSpan w:val="3"/>
            <w:shd w:val="clear" w:color="auto" w:fill="auto"/>
            <w:tcMar>
              <w:top w:w="0" w:type="dxa"/>
              <w:left w:w="20" w:type="dxa"/>
              <w:bottom w:w="0" w:type="dxa"/>
              <w:right w:w="20" w:type="dxa"/>
            </w:tcMar>
            <w:vAlign w:val="bottom"/>
          </w:tcPr>
          <w:p w14:paraId="35D09086"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9087" w14:textId="77777777" w:rsidR="00D42204" w:rsidRDefault="004E439D">
            <w:pPr>
              <w:jc w:val="center"/>
              <w:textAlignment w:val="top"/>
            </w:pPr>
            <w:r>
              <w:rPr>
                <w:rFonts w:ascii="Times New Roman" w:eastAsia="宋体" w:hAnsi="Times New Roman"/>
                <w:color w:val="000000"/>
                <w:sz w:val="20"/>
                <w:szCs w:val="20"/>
              </w:rPr>
              <w:t>2019</w:t>
            </w:r>
          </w:p>
        </w:tc>
        <w:tc>
          <w:tcPr>
            <w:tcW w:w="0" w:type="auto"/>
            <w:gridSpan w:val="3"/>
            <w:shd w:val="clear" w:color="auto" w:fill="auto"/>
            <w:tcMar>
              <w:top w:w="0" w:type="dxa"/>
              <w:left w:w="20" w:type="dxa"/>
              <w:bottom w:w="0" w:type="dxa"/>
              <w:right w:w="20" w:type="dxa"/>
            </w:tcMar>
            <w:vAlign w:val="bottom"/>
          </w:tcPr>
          <w:p w14:paraId="35D09088" w14:textId="77777777" w:rsidR="00D42204" w:rsidRDefault="00D42204">
            <w:pPr>
              <w:rPr>
                <w:rFonts w:ascii="宋体"/>
              </w:rPr>
            </w:pPr>
          </w:p>
        </w:tc>
        <w:tc>
          <w:tcPr>
            <w:tcW w:w="0" w:type="auto"/>
            <w:gridSpan w:val="2"/>
            <w:shd w:val="clear" w:color="auto" w:fill="auto"/>
            <w:tcMar>
              <w:top w:w="40" w:type="dxa"/>
              <w:left w:w="20" w:type="dxa"/>
              <w:bottom w:w="40" w:type="dxa"/>
              <w:right w:w="0" w:type="dxa"/>
            </w:tcMar>
          </w:tcPr>
          <w:p w14:paraId="35D09089" w14:textId="77777777" w:rsidR="00D42204" w:rsidRDefault="004E439D">
            <w:pPr>
              <w:jc w:val="right"/>
              <w:textAlignment w:val="top"/>
            </w:pPr>
            <w:r>
              <w:rPr>
                <w:rFonts w:ascii="Times New Roman" w:eastAsia="宋体" w:hAnsi="Times New Roman"/>
                <w:color w:val="000000"/>
                <w:sz w:val="20"/>
                <w:szCs w:val="20"/>
              </w:rPr>
              <w:t>57 </w:t>
            </w:r>
          </w:p>
        </w:tc>
        <w:tc>
          <w:tcPr>
            <w:tcW w:w="0" w:type="auto"/>
            <w:shd w:val="clear" w:color="auto" w:fill="auto"/>
            <w:tcMar>
              <w:top w:w="40" w:type="dxa"/>
              <w:left w:w="0" w:type="dxa"/>
              <w:bottom w:w="40" w:type="dxa"/>
              <w:right w:w="20" w:type="dxa"/>
            </w:tcMar>
          </w:tcPr>
          <w:p w14:paraId="35D0908A" w14:textId="77777777" w:rsidR="00D42204" w:rsidRDefault="00D42204">
            <w:pPr>
              <w:jc w:val="right"/>
              <w:rPr>
                <w:rFonts w:ascii="宋体"/>
              </w:rPr>
            </w:pPr>
          </w:p>
        </w:tc>
      </w:tr>
      <w:tr w:rsidR="00D42204" w14:paraId="35D09093" w14:textId="77777777">
        <w:trPr>
          <w:trHeight w:val="60"/>
        </w:trPr>
        <w:tc>
          <w:tcPr>
            <w:tcW w:w="0" w:type="auto"/>
            <w:gridSpan w:val="3"/>
            <w:shd w:val="clear" w:color="auto" w:fill="auto"/>
            <w:tcMar>
              <w:top w:w="0" w:type="dxa"/>
              <w:left w:w="20" w:type="dxa"/>
              <w:bottom w:w="0" w:type="dxa"/>
              <w:right w:w="20" w:type="dxa"/>
            </w:tcMar>
            <w:vAlign w:val="bottom"/>
          </w:tcPr>
          <w:p w14:paraId="35D0908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8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8E"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8F"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90"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91"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92" w14:textId="77777777" w:rsidR="00D42204" w:rsidRDefault="00D42204">
            <w:pPr>
              <w:rPr>
                <w:rFonts w:ascii="宋体"/>
              </w:rPr>
            </w:pPr>
          </w:p>
        </w:tc>
      </w:tr>
      <w:tr w:rsidR="00D42204" w14:paraId="35D0909C" w14:textId="77777777">
        <w:tc>
          <w:tcPr>
            <w:tcW w:w="0" w:type="auto"/>
            <w:gridSpan w:val="3"/>
            <w:shd w:val="clear" w:color="auto" w:fill="auto"/>
            <w:tcMar>
              <w:top w:w="40" w:type="dxa"/>
              <w:left w:w="20" w:type="dxa"/>
              <w:bottom w:w="40" w:type="dxa"/>
              <w:right w:w="20" w:type="dxa"/>
            </w:tcMar>
          </w:tcPr>
          <w:p w14:paraId="35D09094" w14:textId="77777777" w:rsidR="00D42204" w:rsidRDefault="004E439D">
            <w:pPr>
              <w:textAlignment w:val="top"/>
            </w:pPr>
            <w:r>
              <w:rPr>
                <w:rFonts w:ascii="Times New Roman" w:eastAsia="宋体" w:hAnsi="Times New Roman"/>
                <w:color w:val="000000"/>
                <w:sz w:val="20"/>
                <w:szCs w:val="20"/>
              </w:rPr>
              <w:t>Judith McKenna</w:t>
            </w:r>
          </w:p>
        </w:tc>
        <w:tc>
          <w:tcPr>
            <w:tcW w:w="0" w:type="auto"/>
            <w:gridSpan w:val="3"/>
            <w:shd w:val="clear" w:color="auto" w:fill="auto"/>
            <w:tcMar>
              <w:top w:w="0" w:type="dxa"/>
              <w:left w:w="20" w:type="dxa"/>
              <w:bottom w:w="0" w:type="dxa"/>
              <w:right w:w="20" w:type="dxa"/>
            </w:tcMar>
            <w:vAlign w:val="bottom"/>
          </w:tcPr>
          <w:p w14:paraId="35D09095"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9096" w14:textId="77777777" w:rsidR="00D42204" w:rsidRDefault="004E439D">
            <w:pPr>
              <w:jc w:val="both"/>
              <w:textAlignment w:val="top"/>
            </w:pPr>
            <w:r>
              <w:rPr>
                <w:rFonts w:ascii="Times New Roman" w:eastAsia="宋体" w:hAnsi="Times New Roman"/>
                <w:color w:val="000000"/>
                <w:sz w:val="20"/>
                <w:szCs w:val="20"/>
              </w:rPr>
              <w:t xml:space="preserve">Executive Vice President, President and Chief Executive Officer, Walmart International, effective February 2018. From February 2015 to January 2018, she served as Executive Vice President and Chief Operating Officer of Walmart U.S. </w:t>
            </w:r>
          </w:p>
        </w:tc>
        <w:tc>
          <w:tcPr>
            <w:tcW w:w="0" w:type="auto"/>
            <w:gridSpan w:val="3"/>
            <w:shd w:val="clear" w:color="auto" w:fill="auto"/>
            <w:tcMar>
              <w:top w:w="0" w:type="dxa"/>
              <w:left w:w="20" w:type="dxa"/>
              <w:bottom w:w="0" w:type="dxa"/>
              <w:right w:w="20" w:type="dxa"/>
            </w:tcMar>
            <w:vAlign w:val="bottom"/>
          </w:tcPr>
          <w:p w14:paraId="35D09097"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9098" w14:textId="77777777" w:rsidR="00D42204" w:rsidRDefault="004E439D">
            <w:pPr>
              <w:jc w:val="center"/>
              <w:textAlignment w:val="top"/>
            </w:pPr>
            <w:r>
              <w:rPr>
                <w:rFonts w:ascii="Times New Roman" w:eastAsia="宋体" w:hAnsi="Times New Roman"/>
                <w:color w:val="000000"/>
                <w:sz w:val="20"/>
                <w:szCs w:val="20"/>
              </w:rPr>
              <w:t>2018</w:t>
            </w:r>
          </w:p>
        </w:tc>
        <w:tc>
          <w:tcPr>
            <w:tcW w:w="0" w:type="auto"/>
            <w:gridSpan w:val="3"/>
            <w:shd w:val="clear" w:color="auto" w:fill="auto"/>
            <w:tcMar>
              <w:top w:w="0" w:type="dxa"/>
              <w:left w:w="20" w:type="dxa"/>
              <w:bottom w:w="0" w:type="dxa"/>
              <w:right w:w="20" w:type="dxa"/>
            </w:tcMar>
            <w:vAlign w:val="bottom"/>
          </w:tcPr>
          <w:p w14:paraId="35D09099" w14:textId="77777777" w:rsidR="00D42204" w:rsidRDefault="00D42204">
            <w:pPr>
              <w:rPr>
                <w:rFonts w:ascii="宋体"/>
              </w:rPr>
            </w:pPr>
          </w:p>
        </w:tc>
        <w:tc>
          <w:tcPr>
            <w:tcW w:w="0" w:type="auto"/>
            <w:gridSpan w:val="2"/>
            <w:shd w:val="clear" w:color="auto" w:fill="auto"/>
            <w:tcMar>
              <w:top w:w="40" w:type="dxa"/>
              <w:left w:w="20" w:type="dxa"/>
              <w:bottom w:w="40" w:type="dxa"/>
              <w:right w:w="0" w:type="dxa"/>
            </w:tcMar>
          </w:tcPr>
          <w:p w14:paraId="35D0909A" w14:textId="77777777" w:rsidR="00D42204" w:rsidRDefault="004E439D">
            <w:pPr>
              <w:jc w:val="right"/>
              <w:textAlignment w:val="top"/>
            </w:pPr>
            <w:r>
              <w:rPr>
                <w:rFonts w:ascii="Times New Roman" w:eastAsia="宋体" w:hAnsi="Times New Roman"/>
                <w:color w:val="000000"/>
                <w:sz w:val="20"/>
                <w:szCs w:val="20"/>
              </w:rPr>
              <w:t>55 </w:t>
            </w:r>
          </w:p>
        </w:tc>
        <w:tc>
          <w:tcPr>
            <w:tcW w:w="0" w:type="auto"/>
            <w:shd w:val="clear" w:color="auto" w:fill="auto"/>
            <w:tcMar>
              <w:top w:w="40" w:type="dxa"/>
              <w:left w:w="0" w:type="dxa"/>
              <w:bottom w:w="40" w:type="dxa"/>
              <w:right w:w="20" w:type="dxa"/>
            </w:tcMar>
          </w:tcPr>
          <w:p w14:paraId="35D0909B" w14:textId="77777777" w:rsidR="00D42204" w:rsidRDefault="00D42204">
            <w:pPr>
              <w:jc w:val="right"/>
              <w:rPr>
                <w:rFonts w:ascii="宋体"/>
              </w:rPr>
            </w:pPr>
          </w:p>
        </w:tc>
      </w:tr>
      <w:tr w:rsidR="00D42204" w14:paraId="35D090A4" w14:textId="77777777">
        <w:trPr>
          <w:trHeight w:val="60"/>
        </w:trPr>
        <w:tc>
          <w:tcPr>
            <w:tcW w:w="0" w:type="auto"/>
            <w:gridSpan w:val="3"/>
            <w:shd w:val="clear" w:color="auto" w:fill="auto"/>
            <w:tcMar>
              <w:top w:w="0" w:type="dxa"/>
              <w:left w:w="20" w:type="dxa"/>
              <w:bottom w:w="0" w:type="dxa"/>
              <w:right w:w="20" w:type="dxa"/>
            </w:tcMar>
            <w:vAlign w:val="bottom"/>
          </w:tcPr>
          <w:p w14:paraId="35D0909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9E"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9F"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A0"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A1"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A2"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A3" w14:textId="77777777" w:rsidR="00D42204" w:rsidRDefault="00D42204">
            <w:pPr>
              <w:rPr>
                <w:rFonts w:ascii="宋体"/>
              </w:rPr>
            </w:pPr>
          </w:p>
        </w:tc>
      </w:tr>
      <w:tr w:rsidR="00D42204" w14:paraId="35D090AD" w14:textId="77777777">
        <w:tc>
          <w:tcPr>
            <w:tcW w:w="0" w:type="auto"/>
            <w:gridSpan w:val="3"/>
            <w:shd w:val="clear" w:color="auto" w:fill="auto"/>
            <w:tcMar>
              <w:top w:w="40" w:type="dxa"/>
              <w:left w:w="20" w:type="dxa"/>
              <w:bottom w:w="40" w:type="dxa"/>
              <w:right w:w="20" w:type="dxa"/>
            </w:tcMar>
          </w:tcPr>
          <w:p w14:paraId="35D090A5" w14:textId="77777777" w:rsidR="00D42204" w:rsidRDefault="004E439D">
            <w:pPr>
              <w:textAlignment w:val="top"/>
            </w:pPr>
            <w:r>
              <w:rPr>
                <w:rFonts w:ascii="Times New Roman" w:eastAsia="宋体" w:hAnsi="Times New Roman"/>
                <w:color w:val="000000"/>
                <w:sz w:val="20"/>
                <w:szCs w:val="20"/>
              </w:rPr>
              <w:t>Kathryn McLay</w:t>
            </w:r>
          </w:p>
        </w:tc>
        <w:tc>
          <w:tcPr>
            <w:tcW w:w="0" w:type="auto"/>
            <w:gridSpan w:val="3"/>
            <w:shd w:val="clear" w:color="auto" w:fill="auto"/>
            <w:tcMar>
              <w:top w:w="0" w:type="dxa"/>
              <w:left w:w="20" w:type="dxa"/>
              <w:bottom w:w="0" w:type="dxa"/>
              <w:right w:w="20" w:type="dxa"/>
            </w:tcMar>
            <w:vAlign w:val="bottom"/>
          </w:tcPr>
          <w:p w14:paraId="35D090A6"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90A7" w14:textId="77777777" w:rsidR="00D42204" w:rsidRDefault="004E439D">
            <w:pPr>
              <w:jc w:val="both"/>
              <w:textAlignment w:val="top"/>
            </w:pPr>
            <w:r>
              <w:rPr>
                <w:rFonts w:ascii="Times New Roman" w:eastAsia="宋体" w:hAnsi="Times New Roman"/>
                <w:color w:val="000000"/>
                <w:sz w:val="20"/>
                <w:szCs w:val="20"/>
              </w:rPr>
              <w:t xml:space="preserve">Executive Vice President, President and Chief Executive Officer, Sam's Club effective November 15, 2019. </w:t>
            </w:r>
            <w:r>
              <w:rPr>
                <w:rFonts w:ascii="Times New Roman" w:eastAsia="宋体" w:hAnsi="Times New Roman"/>
                <w:color w:val="212529"/>
                <w:sz w:val="20"/>
                <w:szCs w:val="20"/>
              </w:rPr>
              <w:t>From February 2019 to November 2019, she served as Executive Vice President, Walmart U.S. Neighborhood Markets. From December 2015 until</w:t>
            </w:r>
            <w:r>
              <w:rPr>
                <w:rFonts w:ascii="Times New Roman" w:eastAsia="宋体" w:hAnsi="Times New Roman"/>
                <w:color w:val="212529"/>
                <w:sz w:val="20"/>
                <w:szCs w:val="20"/>
              </w:rPr>
              <w:t xml:space="preserve"> February 2019, she served as Senior Vice President, U.S. Supply Chain. Ms. McLay originally joined the Company in April 2015 as Vice President of U.S. Finance and Strategy. </w:t>
            </w:r>
          </w:p>
        </w:tc>
        <w:tc>
          <w:tcPr>
            <w:tcW w:w="0" w:type="auto"/>
            <w:gridSpan w:val="3"/>
            <w:shd w:val="clear" w:color="auto" w:fill="auto"/>
            <w:tcMar>
              <w:top w:w="0" w:type="dxa"/>
              <w:left w:w="20" w:type="dxa"/>
              <w:bottom w:w="0" w:type="dxa"/>
              <w:right w:w="20" w:type="dxa"/>
            </w:tcMar>
            <w:vAlign w:val="bottom"/>
          </w:tcPr>
          <w:p w14:paraId="35D090A8"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90A9" w14:textId="77777777" w:rsidR="00D42204" w:rsidRDefault="004E439D">
            <w:pPr>
              <w:jc w:val="center"/>
              <w:textAlignment w:val="top"/>
            </w:pPr>
            <w:r>
              <w:rPr>
                <w:rFonts w:ascii="Times New Roman" w:eastAsia="宋体" w:hAnsi="Times New Roman"/>
                <w:color w:val="000000"/>
                <w:sz w:val="20"/>
                <w:szCs w:val="20"/>
              </w:rPr>
              <w:t>2019</w:t>
            </w:r>
          </w:p>
        </w:tc>
        <w:tc>
          <w:tcPr>
            <w:tcW w:w="0" w:type="auto"/>
            <w:gridSpan w:val="3"/>
            <w:shd w:val="clear" w:color="auto" w:fill="auto"/>
            <w:tcMar>
              <w:top w:w="0" w:type="dxa"/>
              <w:left w:w="20" w:type="dxa"/>
              <w:bottom w:w="0" w:type="dxa"/>
              <w:right w:w="20" w:type="dxa"/>
            </w:tcMar>
            <w:vAlign w:val="bottom"/>
          </w:tcPr>
          <w:p w14:paraId="35D090AA" w14:textId="77777777" w:rsidR="00D42204" w:rsidRDefault="00D42204">
            <w:pPr>
              <w:rPr>
                <w:rFonts w:ascii="宋体"/>
              </w:rPr>
            </w:pPr>
          </w:p>
        </w:tc>
        <w:tc>
          <w:tcPr>
            <w:tcW w:w="0" w:type="auto"/>
            <w:gridSpan w:val="2"/>
            <w:shd w:val="clear" w:color="auto" w:fill="auto"/>
            <w:tcMar>
              <w:top w:w="40" w:type="dxa"/>
              <w:left w:w="20" w:type="dxa"/>
              <w:bottom w:w="40" w:type="dxa"/>
              <w:right w:w="0" w:type="dxa"/>
            </w:tcMar>
          </w:tcPr>
          <w:p w14:paraId="35D090AB" w14:textId="77777777" w:rsidR="00D42204" w:rsidRDefault="004E439D">
            <w:pPr>
              <w:jc w:val="right"/>
              <w:textAlignment w:val="top"/>
            </w:pPr>
            <w:r>
              <w:rPr>
                <w:rFonts w:ascii="Times New Roman" w:eastAsia="宋体" w:hAnsi="Times New Roman"/>
                <w:color w:val="000000"/>
                <w:sz w:val="20"/>
                <w:szCs w:val="20"/>
              </w:rPr>
              <w:t>48 </w:t>
            </w:r>
          </w:p>
        </w:tc>
        <w:tc>
          <w:tcPr>
            <w:tcW w:w="0" w:type="auto"/>
            <w:shd w:val="clear" w:color="auto" w:fill="auto"/>
            <w:tcMar>
              <w:top w:w="40" w:type="dxa"/>
              <w:left w:w="0" w:type="dxa"/>
              <w:bottom w:w="40" w:type="dxa"/>
              <w:right w:w="20" w:type="dxa"/>
            </w:tcMar>
          </w:tcPr>
          <w:p w14:paraId="35D090AC" w14:textId="77777777" w:rsidR="00D42204" w:rsidRDefault="00D42204">
            <w:pPr>
              <w:jc w:val="right"/>
              <w:rPr>
                <w:rFonts w:ascii="宋体"/>
              </w:rPr>
            </w:pPr>
          </w:p>
        </w:tc>
      </w:tr>
      <w:tr w:rsidR="00D42204" w14:paraId="35D090B5" w14:textId="77777777">
        <w:trPr>
          <w:trHeight w:val="60"/>
        </w:trPr>
        <w:tc>
          <w:tcPr>
            <w:tcW w:w="0" w:type="auto"/>
            <w:gridSpan w:val="3"/>
            <w:shd w:val="clear" w:color="auto" w:fill="auto"/>
            <w:tcMar>
              <w:top w:w="0" w:type="dxa"/>
              <w:left w:w="20" w:type="dxa"/>
              <w:bottom w:w="0" w:type="dxa"/>
              <w:right w:w="20" w:type="dxa"/>
            </w:tcMar>
            <w:vAlign w:val="bottom"/>
          </w:tcPr>
          <w:p w14:paraId="35D090AE"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AF"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B0"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B1"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B2"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B3"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B4" w14:textId="77777777" w:rsidR="00D42204" w:rsidRDefault="00D42204">
            <w:pPr>
              <w:rPr>
                <w:rFonts w:ascii="宋体"/>
              </w:rPr>
            </w:pPr>
          </w:p>
        </w:tc>
      </w:tr>
      <w:tr w:rsidR="00D42204" w14:paraId="35D090BE" w14:textId="77777777">
        <w:tc>
          <w:tcPr>
            <w:tcW w:w="0" w:type="auto"/>
            <w:gridSpan w:val="3"/>
            <w:shd w:val="clear" w:color="auto" w:fill="auto"/>
            <w:tcMar>
              <w:top w:w="40" w:type="dxa"/>
              <w:left w:w="20" w:type="dxa"/>
              <w:bottom w:w="40" w:type="dxa"/>
              <w:right w:w="20" w:type="dxa"/>
            </w:tcMar>
          </w:tcPr>
          <w:p w14:paraId="35D090B6" w14:textId="77777777" w:rsidR="00D42204" w:rsidRDefault="004E439D">
            <w:pPr>
              <w:textAlignment w:val="top"/>
            </w:pPr>
            <w:r>
              <w:rPr>
                <w:rFonts w:ascii="Times New Roman" w:eastAsia="宋体" w:hAnsi="Times New Roman"/>
                <w:color w:val="000000"/>
                <w:sz w:val="20"/>
                <w:szCs w:val="20"/>
              </w:rPr>
              <w:t>C. Douglas McMillon</w:t>
            </w:r>
          </w:p>
        </w:tc>
        <w:tc>
          <w:tcPr>
            <w:tcW w:w="0" w:type="auto"/>
            <w:gridSpan w:val="3"/>
            <w:shd w:val="clear" w:color="auto" w:fill="auto"/>
            <w:tcMar>
              <w:top w:w="0" w:type="dxa"/>
              <w:left w:w="20" w:type="dxa"/>
              <w:bottom w:w="0" w:type="dxa"/>
              <w:right w:w="20" w:type="dxa"/>
            </w:tcMar>
            <w:vAlign w:val="bottom"/>
          </w:tcPr>
          <w:p w14:paraId="35D090B7"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90B8" w14:textId="77777777" w:rsidR="00D42204" w:rsidRDefault="004E439D">
            <w:pPr>
              <w:jc w:val="both"/>
              <w:textAlignment w:val="top"/>
            </w:pPr>
            <w:r>
              <w:rPr>
                <w:rFonts w:ascii="Times New Roman" w:eastAsia="宋体" w:hAnsi="Times New Roman"/>
                <w:color w:val="000000"/>
                <w:sz w:val="20"/>
                <w:szCs w:val="20"/>
              </w:rPr>
              <w:t xml:space="preserve">President and Chief Executive </w:t>
            </w:r>
            <w:r>
              <w:rPr>
                <w:rFonts w:ascii="Times New Roman" w:eastAsia="宋体" w:hAnsi="Times New Roman"/>
                <w:color w:val="000000"/>
                <w:sz w:val="20"/>
                <w:szCs w:val="20"/>
              </w:rPr>
              <w:t>Officer, effective February 2014. From February 2009 to January 2014, he served as Executive Vice President, President and Chief Executive Officer, Walmart International.</w:t>
            </w:r>
          </w:p>
        </w:tc>
        <w:tc>
          <w:tcPr>
            <w:tcW w:w="0" w:type="auto"/>
            <w:gridSpan w:val="3"/>
            <w:shd w:val="clear" w:color="auto" w:fill="auto"/>
            <w:tcMar>
              <w:top w:w="0" w:type="dxa"/>
              <w:left w:w="20" w:type="dxa"/>
              <w:bottom w:w="0" w:type="dxa"/>
              <w:right w:w="20" w:type="dxa"/>
            </w:tcMar>
            <w:vAlign w:val="bottom"/>
          </w:tcPr>
          <w:p w14:paraId="35D090B9"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90BA" w14:textId="77777777" w:rsidR="00D42204" w:rsidRDefault="004E439D">
            <w:pPr>
              <w:jc w:val="center"/>
              <w:textAlignment w:val="top"/>
            </w:pPr>
            <w:r>
              <w:rPr>
                <w:rFonts w:ascii="Times New Roman" w:eastAsia="宋体" w:hAnsi="Times New Roman"/>
                <w:color w:val="000000"/>
                <w:sz w:val="20"/>
                <w:szCs w:val="20"/>
              </w:rPr>
              <w:t>2014</w:t>
            </w:r>
          </w:p>
        </w:tc>
        <w:tc>
          <w:tcPr>
            <w:tcW w:w="0" w:type="auto"/>
            <w:gridSpan w:val="3"/>
            <w:shd w:val="clear" w:color="auto" w:fill="auto"/>
            <w:tcMar>
              <w:top w:w="0" w:type="dxa"/>
              <w:left w:w="20" w:type="dxa"/>
              <w:bottom w:w="0" w:type="dxa"/>
              <w:right w:w="20" w:type="dxa"/>
            </w:tcMar>
            <w:vAlign w:val="bottom"/>
          </w:tcPr>
          <w:p w14:paraId="35D090BB" w14:textId="77777777" w:rsidR="00D42204" w:rsidRDefault="00D42204">
            <w:pPr>
              <w:rPr>
                <w:rFonts w:ascii="宋体"/>
              </w:rPr>
            </w:pPr>
          </w:p>
        </w:tc>
        <w:tc>
          <w:tcPr>
            <w:tcW w:w="0" w:type="auto"/>
            <w:gridSpan w:val="2"/>
            <w:shd w:val="clear" w:color="auto" w:fill="auto"/>
            <w:tcMar>
              <w:top w:w="40" w:type="dxa"/>
              <w:left w:w="20" w:type="dxa"/>
              <w:bottom w:w="40" w:type="dxa"/>
              <w:right w:w="0" w:type="dxa"/>
            </w:tcMar>
          </w:tcPr>
          <w:p w14:paraId="35D090BC" w14:textId="77777777" w:rsidR="00D42204" w:rsidRDefault="004E439D">
            <w:pPr>
              <w:jc w:val="right"/>
              <w:textAlignment w:val="top"/>
            </w:pPr>
            <w:r>
              <w:rPr>
                <w:rFonts w:ascii="Times New Roman" w:eastAsia="宋体" w:hAnsi="Times New Roman"/>
                <w:color w:val="000000"/>
                <w:sz w:val="20"/>
                <w:szCs w:val="20"/>
              </w:rPr>
              <w:t>55 </w:t>
            </w:r>
          </w:p>
        </w:tc>
        <w:tc>
          <w:tcPr>
            <w:tcW w:w="0" w:type="auto"/>
            <w:shd w:val="clear" w:color="auto" w:fill="auto"/>
            <w:tcMar>
              <w:top w:w="40" w:type="dxa"/>
              <w:left w:w="0" w:type="dxa"/>
              <w:bottom w:w="40" w:type="dxa"/>
              <w:right w:w="20" w:type="dxa"/>
            </w:tcMar>
          </w:tcPr>
          <w:p w14:paraId="35D090BD" w14:textId="77777777" w:rsidR="00D42204" w:rsidRDefault="00D42204">
            <w:pPr>
              <w:jc w:val="right"/>
              <w:rPr>
                <w:rFonts w:ascii="宋体"/>
              </w:rPr>
            </w:pPr>
          </w:p>
        </w:tc>
      </w:tr>
      <w:tr w:rsidR="00D42204" w14:paraId="35D090C6" w14:textId="77777777">
        <w:trPr>
          <w:trHeight w:val="60"/>
        </w:trPr>
        <w:tc>
          <w:tcPr>
            <w:tcW w:w="0" w:type="auto"/>
            <w:gridSpan w:val="3"/>
            <w:shd w:val="clear" w:color="auto" w:fill="auto"/>
            <w:tcMar>
              <w:top w:w="0" w:type="dxa"/>
              <w:left w:w="20" w:type="dxa"/>
              <w:bottom w:w="0" w:type="dxa"/>
              <w:right w:w="20" w:type="dxa"/>
            </w:tcMar>
            <w:vAlign w:val="bottom"/>
          </w:tcPr>
          <w:p w14:paraId="35D090BF"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C0"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C1"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C2"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C3"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C4"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0C5" w14:textId="77777777" w:rsidR="00D42204" w:rsidRDefault="00D42204">
            <w:pPr>
              <w:rPr>
                <w:rFonts w:ascii="宋体"/>
              </w:rPr>
            </w:pPr>
          </w:p>
        </w:tc>
      </w:tr>
      <w:tr w:rsidR="00D42204" w14:paraId="35D090CF" w14:textId="77777777">
        <w:tc>
          <w:tcPr>
            <w:tcW w:w="0" w:type="auto"/>
            <w:gridSpan w:val="3"/>
            <w:shd w:val="clear" w:color="auto" w:fill="auto"/>
            <w:tcMar>
              <w:top w:w="40" w:type="dxa"/>
              <w:left w:w="20" w:type="dxa"/>
              <w:bottom w:w="40" w:type="dxa"/>
              <w:right w:w="20" w:type="dxa"/>
            </w:tcMar>
          </w:tcPr>
          <w:p w14:paraId="35D090C7" w14:textId="77777777" w:rsidR="00D42204" w:rsidRDefault="004E439D">
            <w:pPr>
              <w:textAlignment w:val="top"/>
            </w:pPr>
            <w:r>
              <w:rPr>
                <w:rFonts w:ascii="Times New Roman" w:eastAsia="宋体" w:hAnsi="Times New Roman"/>
                <w:color w:val="000000"/>
                <w:sz w:val="20"/>
                <w:szCs w:val="20"/>
              </w:rPr>
              <w:t>Donna Morris</w:t>
            </w:r>
          </w:p>
        </w:tc>
        <w:tc>
          <w:tcPr>
            <w:tcW w:w="0" w:type="auto"/>
            <w:gridSpan w:val="3"/>
            <w:shd w:val="clear" w:color="auto" w:fill="auto"/>
            <w:tcMar>
              <w:top w:w="0" w:type="dxa"/>
              <w:left w:w="20" w:type="dxa"/>
              <w:bottom w:w="0" w:type="dxa"/>
              <w:right w:w="20" w:type="dxa"/>
            </w:tcMar>
            <w:vAlign w:val="bottom"/>
          </w:tcPr>
          <w:p w14:paraId="35D090C8"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90C9" w14:textId="77777777" w:rsidR="00D42204" w:rsidRDefault="004E439D">
            <w:pPr>
              <w:jc w:val="both"/>
              <w:textAlignment w:val="top"/>
            </w:pPr>
            <w:r>
              <w:rPr>
                <w:rFonts w:ascii="Times New Roman" w:eastAsia="宋体" w:hAnsi="Times New Roman"/>
                <w:color w:val="000000"/>
                <w:sz w:val="20"/>
                <w:szCs w:val="20"/>
              </w:rPr>
              <w:t xml:space="preserve">Executive Vice President, Global People, and </w:t>
            </w:r>
            <w:r>
              <w:rPr>
                <w:rFonts w:ascii="Times New Roman" w:eastAsia="宋体" w:hAnsi="Times New Roman"/>
                <w:color w:val="000000"/>
                <w:sz w:val="20"/>
                <w:szCs w:val="20"/>
              </w:rPr>
              <w:t>Chief People Officer, effective February 2020.  From April 2002 to January 2020, she worked at Adobe Inc. in various roles, including most recently, Chief Human Resources Officer and Executive Vice President, Employee Experience.</w:t>
            </w:r>
          </w:p>
        </w:tc>
        <w:tc>
          <w:tcPr>
            <w:tcW w:w="0" w:type="auto"/>
            <w:gridSpan w:val="3"/>
            <w:shd w:val="clear" w:color="auto" w:fill="auto"/>
            <w:tcMar>
              <w:top w:w="0" w:type="dxa"/>
              <w:left w:w="20" w:type="dxa"/>
              <w:bottom w:w="0" w:type="dxa"/>
              <w:right w:w="20" w:type="dxa"/>
            </w:tcMar>
            <w:vAlign w:val="bottom"/>
          </w:tcPr>
          <w:p w14:paraId="35D090CA"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90CB" w14:textId="77777777" w:rsidR="00D42204" w:rsidRDefault="004E439D">
            <w:pPr>
              <w:jc w:val="center"/>
              <w:textAlignment w:val="top"/>
            </w:pPr>
            <w:r>
              <w:rPr>
                <w:rFonts w:ascii="Times New Roman" w:eastAsia="宋体" w:hAnsi="Times New Roman"/>
                <w:color w:val="000000"/>
                <w:sz w:val="20"/>
                <w:szCs w:val="20"/>
              </w:rPr>
              <w:t>2020</w:t>
            </w:r>
          </w:p>
        </w:tc>
        <w:tc>
          <w:tcPr>
            <w:tcW w:w="0" w:type="auto"/>
            <w:gridSpan w:val="3"/>
            <w:shd w:val="clear" w:color="auto" w:fill="auto"/>
            <w:tcMar>
              <w:top w:w="0" w:type="dxa"/>
              <w:left w:w="20" w:type="dxa"/>
              <w:bottom w:w="0" w:type="dxa"/>
              <w:right w:w="20" w:type="dxa"/>
            </w:tcMar>
            <w:vAlign w:val="bottom"/>
          </w:tcPr>
          <w:p w14:paraId="35D090CC" w14:textId="77777777" w:rsidR="00D42204" w:rsidRDefault="00D42204">
            <w:pPr>
              <w:rPr>
                <w:rFonts w:ascii="宋体"/>
              </w:rPr>
            </w:pPr>
          </w:p>
        </w:tc>
        <w:tc>
          <w:tcPr>
            <w:tcW w:w="0" w:type="auto"/>
            <w:gridSpan w:val="2"/>
            <w:shd w:val="clear" w:color="auto" w:fill="auto"/>
            <w:tcMar>
              <w:top w:w="40" w:type="dxa"/>
              <w:left w:w="20" w:type="dxa"/>
              <w:bottom w:w="40" w:type="dxa"/>
              <w:right w:w="0" w:type="dxa"/>
            </w:tcMar>
          </w:tcPr>
          <w:p w14:paraId="35D090CD" w14:textId="77777777" w:rsidR="00D42204" w:rsidRDefault="004E439D">
            <w:pPr>
              <w:jc w:val="right"/>
              <w:textAlignment w:val="top"/>
            </w:pPr>
            <w:r>
              <w:rPr>
                <w:rFonts w:ascii="Times New Roman" w:eastAsia="宋体" w:hAnsi="Times New Roman"/>
                <w:color w:val="000000"/>
                <w:sz w:val="20"/>
                <w:szCs w:val="20"/>
              </w:rPr>
              <w:t>54 </w:t>
            </w:r>
          </w:p>
        </w:tc>
        <w:tc>
          <w:tcPr>
            <w:tcW w:w="0" w:type="auto"/>
            <w:shd w:val="clear" w:color="auto" w:fill="auto"/>
            <w:tcMar>
              <w:top w:w="40" w:type="dxa"/>
              <w:left w:w="0" w:type="dxa"/>
              <w:bottom w:w="40" w:type="dxa"/>
              <w:right w:w="20" w:type="dxa"/>
            </w:tcMar>
          </w:tcPr>
          <w:p w14:paraId="35D090CE" w14:textId="77777777" w:rsidR="00D42204" w:rsidRDefault="00D42204">
            <w:pPr>
              <w:jc w:val="right"/>
              <w:rPr>
                <w:rFonts w:ascii="宋体"/>
              </w:rPr>
            </w:pPr>
          </w:p>
        </w:tc>
      </w:tr>
    </w:tbl>
    <w:p w14:paraId="35D090D0" w14:textId="77777777" w:rsidR="00D42204" w:rsidRDefault="00D42204"/>
    <w:p w14:paraId="35D090D1" w14:textId="77777777" w:rsidR="00D42204" w:rsidRDefault="004E439D">
      <w:pPr>
        <w:jc w:val="center"/>
      </w:pPr>
      <w:r>
        <w:rPr>
          <w:rFonts w:ascii="Times New Roman" w:eastAsia="宋体" w:hAnsi="Times New Roman"/>
          <w:color w:val="000000"/>
          <w:sz w:val="20"/>
          <w:szCs w:val="20"/>
        </w:rPr>
        <w:t>14</w:t>
      </w:r>
    </w:p>
    <w:p w14:paraId="35D090D2" w14:textId="77777777" w:rsidR="00D42204" w:rsidRDefault="004E439D">
      <w:r>
        <w:pict w14:anchorId="35D0C367">
          <v:rect id="_x0000_i1038" style="width:415.3pt;height:1.5pt" o:hralign="center" o:hrstd="t" o:hr="t" fillcolor="#a0a0a0" stroked="f"/>
        </w:pict>
      </w:r>
    </w:p>
    <w:p w14:paraId="35D090D3" w14:textId="77777777" w:rsidR="00D42204" w:rsidRDefault="00D42204"/>
    <w:p w14:paraId="35D090D4" w14:textId="77777777" w:rsidR="00D42204" w:rsidRDefault="004E439D">
      <w:pPr>
        <w:spacing w:before="180"/>
      </w:pPr>
      <w:r>
        <w:rPr>
          <w:rFonts w:ascii="Times New Roman" w:eastAsia="宋体" w:hAnsi="Times New Roman"/>
          <w:b/>
          <w:bCs/>
          <w:color w:val="000000"/>
          <w:sz w:val="20"/>
          <w:szCs w:val="20"/>
        </w:rPr>
        <w:t xml:space="preserve">Our </w:t>
      </w:r>
      <w:r>
        <w:rPr>
          <w:rFonts w:ascii="Times New Roman" w:eastAsia="宋体" w:hAnsi="Times New Roman"/>
          <w:b/>
          <w:bCs/>
          <w:color w:val="000000"/>
          <w:sz w:val="20"/>
          <w:szCs w:val="20"/>
        </w:rPr>
        <w:t>Website and Availability of SEC Reports and Other Information</w:t>
      </w:r>
    </w:p>
    <w:p w14:paraId="35D090D5" w14:textId="77777777" w:rsidR="00D42204" w:rsidRDefault="004E439D">
      <w:pPr>
        <w:spacing w:before="100"/>
      </w:pPr>
      <w:r>
        <w:rPr>
          <w:rFonts w:ascii="Times New Roman" w:eastAsia="宋体" w:hAnsi="Times New Roman"/>
          <w:color w:val="000000"/>
          <w:sz w:val="20"/>
          <w:szCs w:val="20"/>
        </w:rPr>
        <w:t xml:space="preserve">Our corporate website is located at www.stock.walmart.com. We file with or furnish to the SEC Annual Reports on Form 10-K, Quarterly Reports on Form 10-Q, Current Reports on Form 8-K, </w:t>
      </w:r>
      <w:r>
        <w:rPr>
          <w:rFonts w:ascii="Times New Roman" w:eastAsia="宋体" w:hAnsi="Times New Roman"/>
          <w:color w:val="000000"/>
          <w:sz w:val="20"/>
          <w:szCs w:val="20"/>
        </w:rPr>
        <w:t>amendments to those reports, proxy statements and annual reports to shareholders, and, from time to time, other documents. The reports and other documents filed with or furnished to the SEC are available to investors on or through our corporate website fre</w:t>
      </w:r>
      <w:r>
        <w:rPr>
          <w:rFonts w:ascii="Times New Roman" w:eastAsia="宋体" w:hAnsi="Times New Roman"/>
          <w:color w:val="000000"/>
          <w:sz w:val="20"/>
          <w:szCs w:val="20"/>
        </w:rPr>
        <w:t>e of charge as soon as reasonably practicable after we electronically file them with or furnish them to the SEC. The SEC maintains a website that contains reports, proxy and information statements and other information regarding issuers, such as the Compan</w:t>
      </w:r>
      <w:r>
        <w:rPr>
          <w:rFonts w:ascii="Times New Roman" w:eastAsia="宋体" w:hAnsi="Times New Roman"/>
          <w:color w:val="000000"/>
          <w:sz w:val="20"/>
          <w:szCs w:val="20"/>
        </w:rPr>
        <w:t>y, that file electronically with the SEC. The address of that website is www.sec.gov. Our SEC filings, our Reporting Protocols for Senior Financial Officers and our Code of Conduct can be found on our website at www.stock.walmart.com. These documents are a</w:t>
      </w:r>
      <w:r>
        <w:rPr>
          <w:rFonts w:ascii="Times New Roman" w:eastAsia="宋体" w:hAnsi="Times New Roman"/>
          <w:color w:val="000000"/>
          <w:sz w:val="20"/>
          <w:szCs w:val="20"/>
        </w:rPr>
        <w:t>vailable in print to any shareholder who requests a copy by writing or calling our Investor Relations Department, which is located at our principal offices.</w:t>
      </w:r>
    </w:p>
    <w:p w14:paraId="35D090D6" w14:textId="77777777" w:rsidR="00D42204" w:rsidRDefault="004E439D">
      <w:pPr>
        <w:spacing w:before="100"/>
      </w:pPr>
      <w:r>
        <w:rPr>
          <w:rFonts w:ascii="Times New Roman" w:eastAsia="宋体" w:hAnsi="Times New Roman"/>
          <w:color w:val="000000"/>
          <w:sz w:val="20"/>
          <w:szCs w:val="20"/>
        </w:rPr>
        <w:t>A description of any substantive amendment or waiver of Walmart's Reporting Protocols for Senior Fi</w:t>
      </w:r>
      <w:r>
        <w:rPr>
          <w:rFonts w:ascii="Times New Roman" w:eastAsia="宋体" w:hAnsi="Times New Roman"/>
          <w:color w:val="000000"/>
          <w:sz w:val="20"/>
          <w:szCs w:val="20"/>
        </w:rPr>
        <w:t>nancial Officers or our Code of Conduct for our chief executive officer, our chief financial officer and our controller, who is our principal accounting officer, will be disclosed on our website at www.stock.walmart.com under the Corporate Governance secti</w:t>
      </w:r>
      <w:r>
        <w:rPr>
          <w:rFonts w:ascii="Times New Roman" w:eastAsia="宋体" w:hAnsi="Times New Roman"/>
          <w:color w:val="000000"/>
          <w:sz w:val="20"/>
          <w:szCs w:val="20"/>
        </w:rPr>
        <w:t>on. Any such description will be located on our website for a period of 12 months following the amendment or waiver.</w:t>
      </w:r>
    </w:p>
    <w:tbl>
      <w:tblPr>
        <w:tblW w:w="1506" w:type="pct"/>
        <w:tblCellMar>
          <w:top w:w="15" w:type="dxa"/>
          <w:left w:w="15" w:type="dxa"/>
          <w:bottom w:w="15" w:type="dxa"/>
          <w:right w:w="15" w:type="dxa"/>
        </w:tblCellMar>
        <w:tblLook w:val="04A0" w:firstRow="1" w:lastRow="0" w:firstColumn="1" w:lastColumn="0" w:noHBand="0" w:noVBand="1"/>
      </w:tblPr>
      <w:tblGrid>
        <w:gridCol w:w="37"/>
        <w:gridCol w:w="890"/>
        <w:gridCol w:w="36"/>
        <w:gridCol w:w="37"/>
        <w:gridCol w:w="1475"/>
        <w:gridCol w:w="36"/>
      </w:tblGrid>
      <w:tr w:rsidR="00D42204" w14:paraId="35D090DD" w14:textId="77777777">
        <w:tc>
          <w:tcPr>
            <w:tcW w:w="50" w:type="pct"/>
            <w:shd w:val="clear" w:color="auto" w:fill="auto"/>
            <w:vAlign w:val="bottom"/>
          </w:tcPr>
          <w:p w14:paraId="35D090D7" w14:textId="77777777" w:rsidR="00D42204" w:rsidRDefault="00D42204">
            <w:pPr>
              <w:rPr>
                <w:rFonts w:ascii="宋体"/>
              </w:rPr>
            </w:pPr>
          </w:p>
        </w:tc>
        <w:tc>
          <w:tcPr>
            <w:tcW w:w="1716" w:type="pct"/>
            <w:shd w:val="clear" w:color="auto" w:fill="auto"/>
            <w:vAlign w:val="bottom"/>
          </w:tcPr>
          <w:p w14:paraId="35D090D8" w14:textId="77777777" w:rsidR="00D42204" w:rsidRDefault="00D42204">
            <w:pPr>
              <w:rPr>
                <w:rFonts w:ascii="宋体"/>
              </w:rPr>
            </w:pPr>
          </w:p>
        </w:tc>
        <w:tc>
          <w:tcPr>
            <w:tcW w:w="5" w:type="pct"/>
            <w:shd w:val="clear" w:color="auto" w:fill="auto"/>
            <w:vAlign w:val="bottom"/>
          </w:tcPr>
          <w:p w14:paraId="35D090D9" w14:textId="77777777" w:rsidR="00D42204" w:rsidRDefault="00D42204">
            <w:pPr>
              <w:rPr>
                <w:rFonts w:ascii="宋体"/>
              </w:rPr>
            </w:pPr>
          </w:p>
        </w:tc>
        <w:tc>
          <w:tcPr>
            <w:tcW w:w="50" w:type="pct"/>
            <w:shd w:val="clear" w:color="auto" w:fill="auto"/>
            <w:vAlign w:val="bottom"/>
          </w:tcPr>
          <w:p w14:paraId="35D090DA" w14:textId="77777777" w:rsidR="00D42204" w:rsidRDefault="00D42204">
            <w:pPr>
              <w:rPr>
                <w:rFonts w:ascii="宋体"/>
              </w:rPr>
            </w:pPr>
          </w:p>
        </w:tc>
        <w:tc>
          <w:tcPr>
            <w:tcW w:w="3173" w:type="pct"/>
            <w:shd w:val="clear" w:color="auto" w:fill="auto"/>
            <w:vAlign w:val="bottom"/>
          </w:tcPr>
          <w:p w14:paraId="35D090DB" w14:textId="77777777" w:rsidR="00D42204" w:rsidRDefault="00D42204">
            <w:pPr>
              <w:rPr>
                <w:rFonts w:ascii="宋体"/>
              </w:rPr>
            </w:pPr>
          </w:p>
        </w:tc>
        <w:tc>
          <w:tcPr>
            <w:tcW w:w="5" w:type="pct"/>
            <w:shd w:val="clear" w:color="auto" w:fill="auto"/>
            <w:vAlign w:val="bottom"/>
          </w:tcPr>
          <w:p w14:paraId="35D090DC" w14:textId="77777777" w:rsidR="00D42204" w:rsidRDefault="00D42204">
            <w:pPr>
              <w:rPr>
                <w:rFonts w:ascii="宋体"/>
              </w:rPr>
            </w:pPr>
          </w:p>
        </w:tc>
      </w:tr>
      <w:tr w:rsidR="00D42204" w14:paraId="35D090E0" w14:textId="77777777">
        <w:tc>
          <w:tcPr>
            <w:tcW w:w="0" w:type="auto"/>
            <w:gridSpan w:val="3"/>
            <w:shd w:val="clear" w:color="auto" w:fill="FFFFFF"/>
            <w:tcMar>
              <w:top w:w="40" w:type="dxa"/>
              <w:left w:w="20" w:type="dxa"/>
              <w:bottom w:w="40" w:type="dxa"/>
              <w:right w:w="20" w:type="dxa"/>
            </w:tcMar>
          </w:tcPr>
          <w:p w14:paraId="35D090DE" w14:textId="77777777" w:rsidR="00D42204" w:rsidRDefault="004E439D">
            <w:pPr>
              <w:textAlignment w:val="top"/>
            </w:pPr>
            <w:r>
              <w:rPr>
                <w:rFonts w:ascii="Times New Roman" w:eastAsia="宋体" w:hAnsi="Times New Roman"/>
                <w:b/>
                <w:bCs/>
                <w:color w:val="000000"/>
                <w:sz w:val="20"/>
                <w:szCs w:val="20"/>
                <w:u w:val="single"/>
              </w:rPr>
              <w:t>ITEM 1A.</w:t>
            </w:r>
          </w:p>
        </w:tc>
        <w:tc>
          <w:tcPr>
            <w:tcW w:w="0" w:type="auto"/>
            <w:gridSpan w:val="3"/>
            <w:shd w:val="clear" w:color="auto" w:fill="FFFFFF"/>
            <w:tcMar>
              <w:top w:w="40" w:type="dxa"/>
              <w:left w:w="20" w:type="dxa"/>
              <w:bottom w:w="40" w:type="dxa"/>
              <w:right w:w="20" w:type="dxa"/>
            </w:tcMar>
          </w:tcPr>
          <w:p w14:paraId="35D090DF" w14:textId="77777777" w:rsidR="00D42204" w:rsidRDefault="004E439D">
            <w:pPr>
              <w:textAlignment w:val="top"/>
            </w:pPr>
            <w:r>
              <w:rPr>
                <w:rFonts w:ascii="Times New Roman" w:eastAsia="宋体" w:hAnsi="Times New Roman"/>
                <w:b/>
                <w:bCs/>
                <w:color w:val="000000"/>
                <w:sz w:val="20"/>
                <w:szCs w:val="20"/>
                <w:u w:val="single"/>
              </w:rPr>
              <w:t>RISK FACTORS</w:t>
            </w:r>
          </w:p>
        </w:tc>
      </w:tr>
    </w:tbl>
    <w:p w14:paraId="35D090E1" w14:textId="77777777" w:rsidR="00D42204" w:rsidRDefault="004E439D">
      <w:r>
        <w:rPr>
          <w:rFonts w:ascii="Times New Roman" w:eastAsia="宋体" w:hAnsi="Times New Roman"/>
          <w:color w:val="000000"/>
          <w:sz w:val="20"/>
          <w:szCs w:val="20"/>
        </w:rPr>
        <w:t xml:space="preserve">The risks described below could, in ways we may or may not be able to accurately predict, </w:t>
      </w:r>
      <w:r>
        <w:rPr>
          <w:rFonts w:ascii="Times New Roman" w:eastAsia="宋体" w:hAnsi="Times New Roman"/>
          <w:color w:val="000000"/>
          <w:sz w:val="20"/>
          <w:szCs w:val="20"/>
        </w:rPr>
        <w:t>materially and adversely affect our business, results of operations, financial position and liquidity. Our business operations could also be affected by additional factors that apply to all companies operating in the U.S. and globally. The following risk f</w:t>
      </w:r>
      <w:r>
        <w:rPr>
          <w:rFonts w:ascii="Times New Roman" w:eastAsia="宋体" w:hAnsi="Times New Roman"/>
          <w:color w:val="000000"/>
          <w:sz w:val="20"/>
          <w:szCs w:val="20"/>
        </w:rPr>
        <w:t>actors do not identify all risks that we may face.</w:t>
      </w:r>
    </w:p>
    <w:p w14:paraId="35D090E2" w14:textId="77777777" w:rsidR="00D42204" w:rsidRDefault="004E439D">
      <w:pPr>
        <w:spacing w:before="180"/>
      </w:pPr>
      <w:r>
        <w:rPr>
          <w:rFonts w:ascii="Times New Roman" w:eastAsia="宋体" w:hAnsi="Times New Roman"/>
          <w:b/>
          <w:bCs/>
          <w:color w:val="000000"/>
          <w:sz w:val="20"/>
          <w:szCs w:val="20"/>
          <w:u w:val="single"/>
        </w:rPr>
        <w:t>Strategic Risks</w:t>
      </w:r>
    </w:p>
    <w:p w14:paraId="35D090E3" w14:textId="77777777" w:rsidR="00D42204" w:rsidRDefault="004E439D">
      <w:pPr>
        <w:spacing w:before="100"/>
      </w:pPr>
      <w:r>
        <w:rPr>
          <w:rFonts w:ascii="Times New Roman" w:eastAsia="宋体" w:hAnsi="Times New Roman"/>
          <w:b/>
          <w:bCs/>
          <w:color w:val="000000"/>
          <w:sz w:val="20"/>
          <w:szCs w:val="20"/>
        </w:rPr>
        <w:t>Failure to successfully execute our omni-channel strategy and the cost of our investments in eCommerce and technology may materially adversely affect our market position, net sales and fina</w:t>
      </w:r>
      <w:r>
        <w:rPr>
          <w:rFonts w:ascii="Times New Roman" w:eastAsia="宋体" w:hAnsi="Times New Roman"/>
          <w:b/>
          <w:bCs/>
          <w:color w:val="000000"/>
          <w:sz w:val="20"/>
          <w:szCs w:val="20"/>
        </w:rPr>
        <w:t>ncial performance.</w:t>
      </w:r>
    </w:p>
    <w:p w14:paraId="35D090E4" w14:textId="77777777" w:rsidR="00D42204" w:rsidRDefault="004E439D">
      <w:pPr>
        <w:spacing w:before="100"/>
      </w:pPr>
      <w:r>
        <w:rPr>
          <w:rFonts w:ascii="Times New Roman" w:eastAsia="宋体" w:hAnsi="Times New Roman"/>
          <w:color w:val="000000"/>
          <w:sz w:val="20"/>
          <w:szCs w:val="20"/>
        </w:rPr>
        <w:t>The retail business continues to rapidly evolve and consumers increasingly embrace digital shopping. As a result, the portion of total consumer expenditures with retailers and wholesale clubs occurring through digital platforms is increa</w:t>
      </w:r>
      <w:r>
        <w:rPr>
          <w:rFonts w:ascii="Times New Roman" w:eastAsia="宋体" w:hAnsi="Times New Roman"/>
          <w:color w:val="000000"/>
          <w:sz w:val="20"/>
          <w:szCs w:val="20"/>
        </w:rPr>
        <w:t xml:space="preserve">sing and the pace of this increase could continue to accelerate. </w:t>
      </w:r>
    </w:p>
    <w:p w14:paraId="35D090E5" w14:textId="77777777" w:rsidR="00D42204" w:rsidRDefault="004E439D">
      <w:pPr>
        <w:spacing w:before="100"/>
      </w:pPr>
      <w:r>
        <w:rPr>
          <w:rFonts w:ascii="Times New Roman" w:eastAsia="宋体" w:hAnsi="Times New Roman"/>
          <w:color w:val="000000"/>
          <w:sz w:val="20"/>
          <w:szCs w:val="20"/>
        </w:rPr>
        <w:t>Our strategy, which includes investments in eCommerce, technology, talent, supply chain automation, acquisitions, joint ventures, store remodels and other customer initiatives, may not adequ</w:t>
      </w:r>
      <w:r>
        <w:rPr>
          <w:rFonts w:ascii="Times New Roman" w:eastAsia="宋体" w:hAnsi="Times New Roman"/>
          <w:color w:val="000000"/>
          <w:sz w:val="20"/>
          <w:szCs w:val="20"/>
        </w:rPr>
        <w:t>ately or effectively allow us to continue to grow our eCommerce business, increase comparable sales, maintain or grow our overall market position or otherwise offset the impact on the growth of our business of a moderated pace of new store and club opening</w:t>
      </w:r>
      <w:r>
        <w:rPr>
          <w:rFonts w:ascii="Times New Roman" w:eastAsia="宋体" w:hAnsi="Times New Roman"/>
          <w:color w:val="000000"/>
          <w:sz w:val="20"/>
          <w:szCs w:val="20"/>
        </w:rPr>
        <w:t>s. The success of this strategy will depend in large measure on our ability to continue building and delivering a seamless omni-channel shopping experience and interconnected ecosystem for our customers that deepens our relationships with our customers acr</w:t>
      </w:r>
      <w:r>
        <w:rPr>
          <w:rFonts w:ascii="Times New Roman" w:eastAsia="宋体" w:hAnsi="Times New Roman"/>
          <w:color w:val="000000"/>
          <w:sz w:val="20"/>
          <w:szCs w:val="20"/>
        </w:rPr>
        <w:t xml:space="preserve">oss our various businesses and partnerships and reinforces our overall flywheel strategy. The success of this strategy is further subject to the related risks discussed in this </w:t>
      </w:r>
      <w:hyperlink r:id="rId84" w:anchor="i1ba69ebb72ec48f9b754a5e96c4cdf3f_37" w:history="1">
        <w:r>
          <w:rPr>
            <w:rStyle w:val="a5"/>
            <w:rFonts w:ascii="Times New Roman" w:eastAsia="宋体" w:hAnsi="Times New Roman"/>
            <w:sz w:val="20"/>
            <w:szCs w:val="20"/>
          </w:rPr>
          <w:t>Item 1A</w:t>
        </w:r>
      </w:hyperlink>
      <w:r>
        <w:rPr>
          <w:rFonts w:ascii="Times New Roman" w:eastAsia="宋体" w:hAnsi="Times New Roman"/>
          <w:color w:val="000000"/>
          <w:sz w:val="20"/>
          <w:szCs w:val="20"/>
        </w:rPr>
        <w:t>. With the interconnected components of this flywheel strategy and an increasing allocation of capital expenditures focused on these initiatives, our failure to successfully e</w:t>
      </w:r>
      <w:r>
        <w:rPr>
          <w:rFonts w:ascii="Times New Roman" w:eastAsia="宋体" w:hAnsi="Times New Roman"/>
          <w:color w:val="000000"/>
          <w:sz w:val="20"/>
          <w:szCs w:val="20"/>
        </w:rPr>
        <w:t>xecute on individual components of this strategy may adversely affect our market position, net sales and financial performance which could also result in impairment charges to intangible assets or other long-lived assets. In addition, a greater concentrati</w:t>
      </w:r>
      <w:r>
        <w:rPr>
          <w:rFonts w:ascii="Times New Roman" w:eastAsia="宋体" w:hAnsi="Times New Roman"/>
          <w:color w:val="000000"/>
          <w:sz w:val="20"/>
          <w:szCs w:val="20"/>
        </w:rPr>
        <w:t>on of eCommerce sales, including increasing online grocery sales, could result in a reduction in the amount of traffic in our stores and clubs, which would, in turn, reduce the opportunities for cross-store or cross-club sales of merchandise that such traf</w:t>
      </w:r>
      <w:r>
        <w:rPr>
          <w:rFonts w:ascii="Times New Roman" w:eastAsia="宋体" w:hAnsi="Times New Roman"/>
          <w:color w:val="000000"/>
          <w:sz w:val="20"/>
          <w:szCs w:val="20"/>
        </w:rPr>
        <w:t>fic creates and could reduce our sales within our stores and clubs and materially adversely affect our financial performance.</w:t>
      </w:r>
    </w:p>
    <w:p w14:paraId="35D090E6" w14:textId="77777777" w:rsidR="00D42204" w:rsidRDefault="004E439D">
      <w:pPr>
        <w:spacing w:before="100"/>
      </w:pPr>
      <w:r>
        <w:rPr>
          <w:rFonts w:ascii="Times New Roman" w:eastAsia="宋体" w:hAnsi="Times New Roman"/>
          <w:color w:val="000000"/>
          <w:sz w:val="20"/>
          <w:szCs w:val="20"/>
        </w:rPr>
        <w:t>Furthermore, the cost of certain investments in eCommerce, technology, talent, automation, including any operating losses incurred</w:t>
      </w:r>
      <w:r>
        <w:rPr>
          <w:rFonts w:ascii="Times New Roman" w:eastAsia="宋体" w:hAnsi="Times New Roman"/>
          <w:color w:val="000000"/>
          <w:sz w:val="20"/>
          <w:szCs w:val="20"/>
        </w:rPr>
        <w:t>, will adversely impact our financial performance in the short-term and failure to realize the benefits of these investments may adversely impact our financial performance over the longer term.</w:t>
      </w:r>
    </w:p>
    <w:p w14:paraId="35D090E7" w14:textId="77777777" w:rsidR="00D42204" w:rsidRDefault="004E439D">
      <w:pPr>
        <w:spacing w:before="180"/>
      </w:pPr>
      <w:r>
        <w:rPr>
          <w:rFonts w:ascii="Times New Roman" w:eastAsia="宋体" w:hAnsi="Times New Roman"/>
          <w:b/>
          <w:bCs/>
          <w:color w:val="000000"/>
          <w:sz w:val="20"/>
          <w:szCs w:val="20"/>
        </w:rPr>
        <w:t>If we do not timely identify or effectively respond to consume</w:t>
      </w:r>
      <w:r>
        <w:rPr>
          <w:rFonts w:ascii="Times New Roman" w:eastAsia="宋体" w:hAnsi="Times New Roman"/>
          <w:b/>
          <w:bCs/>
          <w:color w:val="000000"/>
          <w:sz w:val="20"/>
          <w:szCs w:val="20"/>
        </w:rPr>
        <w:t>r trends or preferences, it could negatively affect our relationship with our customers, demand for the products and services we sell, our market share and the growth of our business.</w:t>
      </w:r>
    </w:p>
    <w:p w14:paraId="35D090E8" w14:textId="77777777" w:rsidR="00D42204" w:rsidRDefault="004E439D">
      <w:pPr>
        <w:spacing w:before="100"/>
      </w:pPr>
      <w:r>
        <w:rPr>
          <w:rFonts w:ascii="Times New Roman" w:eastAsia="宋体" w:hAnsi="Times New Roman"/>
          <w:color w:val="000000"/>
          <w:sz w:val="20"/>
          <w:szCs w:val="20"/>
        </w:rPr>
        <w:t>It is difficult to predict consistently and successfully the products an</w:t>
      </w:r>
      <w:r>
        <w:rPr>
          <w:rFonts w:ascii="Times New Roman" w:eastAsia="宋体" w:hAnsi="Times New Roman"/>
          <w:color w:val="000000"/>
          <w:sz w:val="20"/>
          <w:szCs w:val="20"/>
        </w:rPr>
        <w:t>d services our customers will demand and changes in their shopping patterns. The success of our business depends in part on how accurately we predict consumer demand, availability of merchandise, the related impact on the demand for existing products and s</w:t>
      </w:r>
      <w:r>
        <w:rPr>
          <w:rFonts w:ascii="Times New Roman" w:eastAsia="宋体" w:hAnsi="Times New Roman"/>
          <w:color w:val="000000"/>
          <w:sz w:val="20"/>
          <w:szCs w:val="20"/>
        </w:rPr>
        <w:t xml:space="preserve">ervices and the competitive environment. Price transparency, assortment of products, customer experience, convenience, ease and the speed and cost of shipping are of primary importance to customers and continue to increase in importance, particularly as a </w:t>
      </w:r>
      <w:r>
        <w:rPr>
          <w:rFonts w:ascii="Times New Roman" w:eastAsia="宋体" w:hAnsi="Times New Roman"/>
          <w:color w:val="000000"/>
          <w:sz w:val="20"/>
          <w:szCs w:val="20"/>
        </w:rPr>
        <w:t>result of digital tools and social media available to consumers and the choices available to consumers for purchasing products. Our failure to adequately or effectively respond to changing consumer tastes, preferences (including those related to ESG issues</w:t>
      </w:r>
      <w:r>
        <w:rPr>
          <w:rFonts w:ascii="Times New Roman" w:eastAsia="宋体" w:hAnsi="Times New Roman"/>
          <w:color w:val="000000"/>
          <w:sz w:val="20"/>
          <w:szCs w:val="20"/>
        </w:rPr>
        <w:t xml:space="preserve">) and shopping patterns, or any other failure on our part to timely identify or effectively respond to changing consumer tastes, preferences and shopping patterns </w:t>
      </w:r>
    </w:p>
    <w:p w14:paraId="35D090E9" w14:textId="77777777" w:rsidR="00D42204" w:rsidRDefault="004E439D">
      <w:pPr>
        <w:jc w:val="center"/>
      </w:pPr>
      <w:r>
        <w:rPr>
          <w:rFonts w:ascii="Times New Roman" w:eastAsia="宋体" w:hAnsi="Times New Roman"/>
          <w:color w:val="000000"/>
          <w:sz w:val="20"/>
          <w:szCs w:val="20"/>
        </w:rPr>
        <w:t>15</w:t>
      </w:r>
    </w:p>
    <w:p w14:paraId="35D090EA" w14:textId="77777777" w:rsidR="00D42204" w:rsidRDefault="004E439D">
      <w:r>
        <w:pict w14:anchorId="35D0C368">
          <v:rect id="_x0000_i1039" style="width:415.3pt;height:1.5pt" o:hralign="center" o:hrstd="t" o:hr="t" fillcolor="#a0a0a0" stroked="f"/>
        </w:pict>
      </w:r>
    </w:p>
    <w:p w14:paraId="35D090EB" w14:textId="77777777" w:rsidR="00D42204" w:rsidRDefault="00D42204"/>
    <w:p w14:paraId="35D090EC" w14:textId="77777777" w:rsidR="00D42204" w:rsidRDefault="004E439D">
      <w:pPr>
        <w:spacing w:before="100"/>
      </w:pPr>
      <w:r>
        <w:rPr>
          <w:rFonts w:ascii="Times New Roman" w:eastAsia="宋体" w:hAnsi="Times New Roman"/>
          <w:color w:val="000000"/>
          <w:sz w:val="20"/>
          <w:szCs w:val="20"/>
        </w:rPr>
        <w:t>could negatively affect our reputation and relationship with our customers, the demand</w:t>
      </w:r>
      <w:r>
        <w:rPr>
          <w:rFonts w:ascii="Times New Roman" w:eastAsia="宋体" w:hAnsi="Times New Roman"/>
          <w:color w:val="000000"/>
          <w:sz w:val="20"/>
          <w:szCs w:val="20"/>
        </w:rPr>
        <w:t xml:space="preserve"> for the products we sell or services we offer, our market share and the growth of our business.</w:t>
      </w:r>
    </w:p>
    <w:p w14:paraId="35D090ED" w14:textId="77777777" w:rsidR="00D42204" w:rsidRDefault="004E439D">
      <w:pPr>
        <w:spacing w:before="180"/>
      </w:pPr>
      <w:r>
        <w:rPr>
          <w:rFonts w:ascii="Times New Roman" w:eastAsia="宋体" w:hAnsi="Times New Roman"/>
          <w:b/>
          <w:bCs/>
          <w:color w:val="000000"/>
          <w:sz w:val="20"/>
          <w:szCs w:val="20"/>
        </w:rPr>
        <w:t>We face strong competition from other retailers, wholesale club operators, omni-channel retailers, and other businesses which could materially adversely affect</w:t>
      </w:r>
      <w:r>
        <w:rPr>
          <w:rFonts w:ascii="Times New Roman" w:eastAsia="宋体" w:hAnsi="Times New Roman"/>
          <w:b/>
          <w:bCs/>
          <w:color w:val="000000"/>
          <w:sz w:val="20"/>
          <w:szCs w:val="20"/>
        </w:rPr>
        <w:t xml:space="preserve"> our financial performance.</w:t>
      </w:r>
    </w:p>
    <w:p w14:paraId="35D090EE" w14:textId="77777777" w:rsidR="00D42204" w:rsidRDefault="004E439D">
      <w:pPr>
        <w:spacing w:before="100"/>
      </w:pPr>
      <w:r>
        <w:rPr>
          <w:rFonts w:ascii="Times New Roman" w:eastAsia="宋体" w:hAnsi="Times New Roman"/>
          <w:color w:val="000000"/>
          <w:sz w:val="20"/>
          <w:szCs w:val="20"/>
        </w:rPr>
        <w:t>Each of our segments competes for customers, employees, digital prominence, products and services and in other important aspects of its business with many other local, regional, national and global physical, eCommerce and omni-c</w:t>
      </w:r>
      <w:r>
        <w:rPr>
          <w:rFonts w:ascii="Times New Roman" w:eastAsia="宋体" w:hAnsi="Times New Roman"/>
          <w:color w:val="000000"/>
          <w:sz w:val="20"/>
          <w:szCs w:val="20"/>
        </w:rPr>
        <w:t>hannel retailers, wholesale club operators and retail intermediaries, as well as companies that offer services in digital advertising, fulfillment and delivery services, health and wellness, and financial services. The omni-channel retail landscape is high</w:t>
      </w:r>
      <w:r>
        <w:rPr>
          <w:rFonts w:ascii="Times New Roman" w:eastAsia="宋体" w:hAnsi="Times New Roman"/>
          <w:color w:val="000000"/>
          <w:sz w:val="20"/>
          <w:szCs w:val="20"/>
        </w:rPr>
        <w:t>ly competitive and rapidly evolving, and the entry of new, well-funded competitors may increase competitive pressures. In addition, for eCommerce and other internet-based businesses, newer or smaller businesses may be better able to innovate and compete wi</w:t>
      </w:r>
      <w:r>
        <w:rPr>
          <w:rFonts w:ascii="Times New Roman" w:eastAsia="宋体" w:hAnsi="Times New Roman"/>
          <w:color w:val="000000"/>
          <w:sz w:val="20"/>
          <w:szCs w:val="20"/>
        </w:rPr>
        <w:t>th us.</w:t>
      </w:r>
    </w:p>
    <w:p w14:paraId="35D090EF" w14:textId="77777777" w:rsidR="00D42204" w:rsidRDefault="004E439D">
      <w:pPr>
        <w:spacing w:before="100"/>
      </w:pPr>
      <w:r>
        <w:rPr>
          <w:rFonts w:ascii="Times New Roman" w:eastAsia="宋体" w:hAnsi="Times New Roman"/>
          <w:color w:val="000000"/>
          <w:sz w:val="20"/>
          <w:szCs w:val="20"/>
        </w:rPr>
        <w:t>We compete in a variety of ways, including the prices at which we sell our merchandise, merchandise selection and availability, services offered to customers, location, store hours, in-store amenities, the shopping convenience and overall shopping e</w:t>
      </w:r>
      <w:r>
        <w:rPr>
          <w:rFonts w:ascii="Times New Roman" w:eastAsia="宋体" w:hAnsi="Times New Roman"/>
          <w:color w:val="000000"/>
          <w:sz w:val="20"/>
          <w:szCs w:val="20"/>
        </w:rPr>
        <w:t>xperience we offer, the attractiveness and ease of use of our digital platforms, cost and speed of and options for delivery to customers of merchandise purchased through our digital platforms or through our omni-channel integration of our physical and digi</w:t>
      </w:r>
      <w:r>
        <w:rPr>
          <w:rFonts w:ascii="Times New Roman" w:eastAsia="宋体" w:hAnsi="Times New Roman"/>
          <w:color w:val="000000"/>
          <w:sz w:val="20"/>
          <w:szCs w:val="20"/>
        </w:rPr>
        <w:t>tal operations.</w:t>
      </w:r>
    </w:p>
    <w:p w14:paraId="35D090F0" w14:textId="77777777" w:rsidR="00D42204" w:rsidRDefault="004E439D">
      <w:pPr>
        <w:spacing w:before="100"/>
      </w:pPr>
      <w:r>
        <w:rPr>
          <w:rFonts w:ascii="Times New Roman" w:eastAsia="宋体" w:hAnsi="Times New Roman"/>
          <w:color w:val="000000"/>
          <w:sz w:val="20"/>
          <w:szCs w:val="20"/>
        </w:rPr>
        <w:t xml:space="preserve">A failure to respond effectively to competitive pressures and changes in the retail and other markets in which we operate, omni-channel innovations and omni-channel ecosystems developed by our competitors or delays or failure in </w:t>
      </w:r>
      <w:r>
        <w:rPr>
          <w:rFonts w:ascii="Times New Roman" w:eastAsia="宋体" w:hAnsi="Times New Roman"/>
          <w:color w:val="000000"/>
          <w:sz w:val="20"/>
          <w:szCs w:val="20"/>
        </w:rPr>
        <w:t>execution of our strategy could materially adversely affect our financial performance. See "</w:t>
      </w:r>
      <w:hyperlink r:id="rId85" w:anchor="i1ba69ebb72ec48f9b754a5e96c4cdf3f_16" w:history="1">
        <w:r>
          <w:rPr>
            <w:rStyle w:val="a5"/>
            <w:rFonts w:ascii="Times New Roman" w:eastAsia="宋体" w:hAnsi="Times New Roman"/>
            <w:sz w:val="20"/>
            <w:szCs w:val="20"/>
          </w:rPr>
          <w:t>Item 1. Busine</w:t>
        </w:r>
        <w:r>
          <w:rPr>
            <w:rStyle w:val="a5"/>
            <w:rFonts w:ascii="Times New Roman" w:eastAsia="宋体" w:hAnsi="Times New Roman"/>
            <w:sz w:val="20"/>
            <w:szCs w:val="20"/>
          </w:rPr>
          <w:t>ss</w:t>
        </w:r>
      </w:hyperlink>
      <w:r>
        <w:rPr>
          <w:rFonts w:ascii="Times New Roman" w:eastAsia="宋体" w:hAnsi="Times New Roman"/>
          <w:color w:val="000000"/>
          <w:sz w:val="20"/>
          <w:szCs w:val="20"/>
        </w:rPr>
        <w:t>" above for additional discussion of the competitive situation of each of our reportable segments.</w:t>
      </w:r>
    </w:p>
    <w:p w14:paraId="35D090F1" w14:textId="77777777" w:rsidR="00D42204" w:rsidRDefault="004E439D">
      <w:pPr>
        <w:spacing w:before="100"/>
      </w:pPr>
      <w:r>
        <w:rPr>
          <w:rFonts w:ascii="Times New Roman" w:eastAsia="宋体" w:hAnsi="Times New Roman"/>
          <w:color w:val="000000"/>
          <w:sz w:val="20"/>
          <w:szCs w:val="20"/>
        </w:rPr>
        <w:t>Certain segments of the retail industry are undergoing consolidation or substantially reducing operations, whether due to bankruptcy, consolidation or o</w:t>
      </w:r>
      <w:r>
        <w:rPr>
          <w:rFonts w:ascii="Times New Roman" w:eastAsia="宋体" w:hAnsi="Times New Roman"/>
          <w:color w:val="000000"/>
          <w:sz w:val="20"/>
          <w:szCs w:val="20"/>
        </w:rPr>
        <w:t>ther factors. Such consolidation, or other business combinations or alliances, competitive omni-channel ecosystems, or reductions in operations may result in competitors with greatly improved financial resources, improved access to merchandise, greater mar</w:t>
      </w:r>
      <w:r>
        <w:rPr>
          <w:rFonts w:ascii="Times New Roman" w:eastAsia="宋体" w:hAnsi="Times New Roman"/>
          <w:color w:val="000000"/>
          <w:sz w:val="20"/>
          <w:szCs w:val="20"/>
        </w:rPr>
        <w:t>ket penetration and other improvements in their competitive positions. Such business combinations or alliances could allow these companies to provide a wider variety of products and services at competitive prices, which could adversely affect our financial</w:t>
      </w:r>
      <w:r>
        <w:rPr>
          <w:rFonts w:ascii="Times New Roman" w:eastAsia="宋体" w:hAnsi="Times New Roman"/>
          <w:color w:val="000000"/>
          <w:sz w:val="20"/>
          <w:szCs w:val="20"/>
        </w:rPr>
        <w:t xml:space="preserve"> performance.</w:t>
      </w:r>
    </w:p>
    <w:p w14:paraId="35D090F2" w14:textId="77777777" w:rsidR="00D42204" w:rsidRDefault="004E439D">
      <w:pPr>
        <w:spacing w:before="180"/>
      </w:pPr>
      <w:r>
        <w:rPr>
          <w:rFonts w:ascii="Times New Roman" w:eastAsia="宋体" w:hAnsi="Times New Roman"/>
          <w:b/>
          <w:bCs/>
          <w:color w:val="000000"/>
          <w:sz w:val="20"/>
          <w:szCs w:val="20"/>
        </w:rPr>
        <w:t>General or macro-economic factors, both domestically and internationally, may materially adversely affect our financial performance.</w:t>
      </w:r>
    </w:p>
    <w:p w14:paraId="35D090F3" w14:textId="77777777" w:rsidR="00D42204" w:rsidRDefault="004E439D">
      <w:pPr>
        <w:spacing w:before="100"/>
      </w:pPr>
      <w:r>
        <w:rPr>
          <w:rFonts w:ascii="Times New Roman" w:eastAsia="宋体" w:hAnsi="Times New Roman"/>
          <w:color w:val="000000"/>
          <w:sz w:val="20"/>
          <w:szCs w:val="20"/>
        </w:rPr>
        <w:t>General economic conditions and other economic factors, globally or in one or more of the markets we serve, m</w:t>
      </w:r>
      <w:r>
        <w:rPr>
          <w:rFonts w:ascii="Times New Roman" w:eastAsia="宋体" w:hAnsi="Times New Roman"/>
          <w:color w:val="000000"/>
          <w:sz w:val="20"/>
          <w:szCs w:val="20"/>
        </w:rPr>
        <w:t xml:space="preserve">ay adversely affect our financial performance. Higher interest rates, lower or higher prices of petroleum products, including crude oil, natural gas, gasoline, and diesel fuel, higher costs for electricity and other energy, weakness in the housing market, </w:t>
      </w:r>
      <w:r>
        <w:rPr>
          <w:rFonts w:ascii="Times New Roman" w:eastAsia="宋体" w:hAnsi="Times New Roman"/>
          <w:color w:val="000000"/>
          <w:sz w:val="20"/>
          <w:szCs w:val="20"/>
        </w:rPr>
        <w:t>inflation, deflation, increased costs of essential services, such as medical care and utilities, higher levels of unemployment, decreases in consumer disposable income, unavailability of consumer credit, higher consumer debt levels, changes in consumer spe</w:t>
      </w:r>
      <w:r>
        <w:rPr>
          <w:rFonts w:ascii="Times New Roman" w:eastAsia="宋体" w:hAnsi="Times New Roman"/>
          <w:color w:val="000000"/>
          <w:sz w:val="20"/>
          <w:szCs w:val="20"/>
        </w:rPr>
        <w:t>nding and shopping patterns, fluctuations in currency exchange rates, higher tax rates, imposition of new taxes or other changes in tax laws, changes in healthcare laws, other regulatory changes, the imposition of tariffs or other measures that create barr</w:t>
      </w:r>
      <w:r>
        <w:rPr>
          <w:rFonts w:ascii="Times New Roman" w:eastAsia="宋体" w:hAnsi="Times New Roman"/>
          <w:color w:val="000000"/>
          <w:sz w:val="20"/>
          <w:szCs w:val="20"/>
        </w:rPr>
        <w:t xml:space="preserve">iers to or increase the costs associated with international trade, overall economic slowdown or recession and other economic factors in the U.S. or in any of the other markets in which we operate could adversely affect consumer demand for the products and </w:t>
      </w:r>
      <w:r>
        <w:rPr>
          <w:rFonts w:ascii="Times New Roman" w:eastAsia="宋体" w:hAnsi="Times New Roman"/>
          <w:color w:val="000000"/>
          <w:sz w:val="20"/>
          <w:szCs w:val="20"/>
        </w:rPr>
        <w:t>services we sell in the U.S. or such other markets, change the mix of products we sell to one with a lower average gross margin, cause a slowdown in discretionary purchases of goods, adversely affect our net sales and result in slower inventory turnover an</w:t>
      </w:r>
      <w:r>
        <w:rPr>
          <w:rFonts w:ascii="Times New Roman" w:eastAsia="宋体" w:hAnsi="Times New Roman"/>
          <w:color w:val="000000"/>
          <w:sz w:val="20"/>
          <w:szCs w:val="20"/>
        </w:rPr>
        <w:t>d greater markdowns of inventory, or otherwise materially adversely affect our operations and operating results and could result in impairment charges to intangible assets, goodwill or other long-lived assets.</w:t>
      </w:r>
    </w:p>
    <w:p w14:paraId="35D090F4" w14:textId="77777777" w:rsidR="00D42204" w:rsidRDefault="004E439D">
      <w:pPr>
        <w:spacing w:before="100"/>
      </w:pPr>
      <w:r>
        <w:rPr>
          <w:rFonts w:ascii="Times New Roman" w:eastAsia="宋体" w:hAnsi="Times New Roman"/>
          <w:color w:val="000000"/>
          <w:sz w:val="20"/>
          <w:szCs w:val="20"/>
        </w:rPr>
        <w:t>In addition, the economic factors listed above</w:t>
      </w:r>
      <w:r>
        <w:rPr>
          <w:rFonts w:ascii="Times New Roman" w:eastAsia="宋体" w:hAnsi="Times New Roman"/>
          <w:color w:val="000000"/>
          <w:sz w:val="20"/>
          <w:szCs w:val="20"/>
        </w:rPr>
        <w:t>, any other economic factors or circumstances resulting in higher transportation, labor, insurance or healthcare costs or commodity prices, and other economic factors in the U.S. and other countries in which we operate can increase our cost of sales and op</w:t>
      </w:r>
      <w:r>
        <w:rPr>
          <w:rFonts w:ascii="Times New Roman" w:eastAsia="宋体" w:hAnsi="Times New Roman"/>
          <w:color w:val="000000"/>
          <w:sz w:val="20"/>
          <w:szCs w:val="20"/>
        </w:rPr>
        <w:t>erating, selling, general and administrative expenses and otherwise materially adversely affect our operations and operating results.</w:t>
      </w:r>
    </w:p>
    <w:p w14:paraId="35D090F5" w14:textId="77777777" w:rsidR="00D42204" w:rsidRDefault="004E439D">
      <w:pPr>
        <w:spacing w:before="100"/>
      </w:pPr>
      <w:r>
        <w:rPr>
          <w:rFonts w:ascii="Times New Roman" w:eastAsia="宋体" w:hAnsi="Times New Roman"/>
          <w:color w:val="000000"/>
          <w:sz w:val="20"/>
          <w:szCs w:val="20"/>
        </w:rPr>
        <w:t xml:space="preserve">The economic factors that affect our operations may also adversely affect the operations of our suppliers, which can </w:t>
      </w:r>
      <w:r>
        <w:rPr>
          <w:rFonts w:ascii="Times New Roman" w:eastAsia="宋体" w:hAnsi="Times New Roman"/>
          <w:color w:val="000000"/>
          <w:sz w:val="20"/>
          <w:szCs w:val="20"/>
        </w:rPr>
        <w:t>result in an increase in the cost to us of the goods we sell to our customers or, in more extreme cases, in certain suppliers not producing goods in the volume typically available to us for sale.</w:t>
      </w:r>
    </w:p>
    <w:p w14:paraId="35D090F6" w14:textId="77777777" w:rsidR="00D42204" w:rsidRDefault="004E439D">
      <w:pPr>
        <w:spacing w:before="180"/>
      </w:pPr>
      <w:r>
        <w:rPr>
          <w:rFonts w:ascii="Times New Roman" w:eastAsia="宋体" w:hAnsi="Times New Roman"/>
          <w:b/>
          <w:bCs/>
          <w:color w:val="000000"/>
          <w:sz w:val="20"/>
          <w:szCs w:val="20"/>
        </w:rPr>
        <w:t>The performance of strategic alliances and other business re</w:t>
      </w:r>
      <w:r>
        <w:rPr>
          <w:rFonts w:ascii="Times New Roman" w:eastAsia="宋体" w:hAnsi="Times New Roman"/>
          <w:b/>
          <w:bCs/>
          <w:color w:val="000000"/>
          <w:sz w:val="20"/>
          <w:szCs w:val="20"/>
        </w:rPr>
        <w:t>lationships to support the expansion of our business could materially adversely affect our financial performance.</w:t>
      </w:r>
    </w:p>
    <w:p w14:paraId="35D090F7" w14:textId="77777777" w:rsidR="00D42204" w:rsidRDefault="004E439D">
      <w:pPr>
        <w:spacing w:before="100"/>
      </w:pPr>
      <w:r>
        <w:rPr>
          <w:rFonts w:ascii="Times New Roman" w:eastAsia="宋体" w:hAnsi="Times New Roman"/>
          <w:color w:val="000000"/>
          <w:sz w:val="20"/>
          <w:szCs w:val="20"/>
        </w:rPr>
        <w:t>We may enter into strategic alliances and other business relationships in the countries in which we have existing operations or in other marke</w:t>
      </w:r>
      <w:r>
        <w:rPr>
          <w:rFonts w:ascii="Times New Roman" w:eastAsia="宋体" w:hAnsi="Times New Roman"/>
          <w:color w:val="000000"/>
          <w:sz w:val="20"/>
          <w:szCs w:val="20"/>
        </w:rPr>
        <w:t xml:space="preserve">ts to expand our business. These arrangements may not generate the level of sales we anticipate when entering into the arrangement or may otherwise adversely impact our business and competitive position relative to the results we could </w:t>
      </w:r>
    </w:p>
    <w:p w14:paraId="35D090F8" w14:textId="77777777" w:rsidR="00D42204" w:rsidRDefault="004E439D">
      <w:pPr>
        <w:jc w:val="center"/>
      </w:pPr>
      <w:r>
        <w:rPr>
          <w:rFonts w:ascii="Times New Roman" w:eastAsia="宋体" w:hAnsi="Times New Roman"/>
          <w:color w:val="000000"/>
          <w:sz w:val="20"/>
          <w:szCs w:val="20"/>
        </w:rPr>
        <w:t>16</w:t>
      </w:r>
    </w:p>
    <w:p w14:paraId="35D090F9" w14:textId="77777777" w:rsidR="00D42204" w:rsidRDefault="004E439D">
      <w:r>
        <w:pict w14:anchorId="35D0C369">
          <v:rect id="_x0000_i1040" style="width:415.3pt;height:1.5pt" o:hralign="center" o:hrstd="t" o:hr="t" fillcolor="#a0a0a0" stroked="f"/>
        </w:pict>
      </w:r>
    </w:p>
    <w:p w14:paraId="35D090FA" w14:textId="77777777" w:rsidR="00D42204" w:rsidRDefault="00D42204"/>
    <w:p w14:paraId="35D090FB" w14:textId="77777777" w:rsidR="00D42204" w:rsidRDefault="004E439D">
      <w:pPr>
        <w:spacing w:before="100"/>
      </w:pPr>
      <w:r>
        <w:rPr>
          <w:rFonts w:ascii="Times New Roman" w:eastAsia="宋体" w:hAnsi="Times New Roman"/>
          <w:color w:val="000000"/>
          <w:sz w:val="20"/>
          <w:szCs w:val="20"/>
        </w:rPr>
        <w:t>have achieved</w:t>
      </w:r>
      <w:r>
        <w:rPr>
          <w:rFonts w:ascii="Times New Roman" w:eastAsia="宋体" w:hAnsi="Times New Roman"/>
          <w:color w:val="000000"/>
          <w:sz w:val="20"/>
          <w:szCs w:val="20"/>
        </w:rPr>
        <w:t xml:space="preserve"> in the absence of such alliance. In addition, any investment we make in connection with a strategic alliance, business relationship or in certain of our recently divested markets, could materially adversely affect our financial performance.</w:t>
      </w:r>
    </w:p>
    <w:p w14:paraId="35D090FC" w14:textId="77777777" w:rsidR="00D42204" w:rsidRDefault="004E439D">
      <w:pPr>
        <w:spacing w:before="180"/>
      </w:pPr>
      <w:r>
        <w:rPr>
          <w:rFonts w:ascii="Times New Roman" w:eastAsia="宋体" w:hAnsi="Times New Roman"/>
          <w:b/>
          <w:bCs/>
          <w:color w:val="000000"/>
          <w:sz w:val="20"/>
          <w:szCs w:val="20"/>
          <w:u w:val="single"/>
        </w:rPr>
        <w:t>Operational Ri</w:t>
      </w:r>
      <w:r>
        <w:rPr>
          <w:rFonts w:ascii="Times New Roman" w:eastAsia="宋体" w:hAnsi="Times New Roman"/>
          <w:b/>
          <w:bCs/>
          <w:color w:val="000000"/>
          <w:sz w:val="20"/>
          <w:szCs w:val="20"/>
          <w:u w:val="single"/>
        </w:rPr>
        <w:t>sks</w:t>
      </w:r>
    </w:p>
    <w:p w14:paraId="35D090FD" w14:textId="77777777" w:rsidR="00D42204" w:rsidRDefault="004E439D">
      <w:pPr>
        <w:spacing w:before="100"/>
      </w:pPr>
      <w:r>
        <w:rPr>
          <w:rFonts w:ascii="Times New Roman" w:eastAsia="宋体" w:hAnsi="Times New Roman"/>
          <w:b/>
          <w:bCs/>
          <w:color w:val="000000"/>
          <w:sz w:val="20"/>
          <w:szCs w:val="20"/>
        </w:rPr>
        <w:t xml:space="preserve">The impact of the COVID-19 pandemic on our business, financial position and results of operations continues to be unpredictable, and we may be unable to sustain our revenue growth rate in the future. </w:t>
      </w:r>
    </w:p>
    <w:p w14:paraId="35D090FE" w14:textId="77777777" w:rsidR="00D42204" w:rsidRDefault="004E439D">
      <w:pPr>
        <w:spacing w:before="100"/>
      </w:pPr>
      <w:r>
        <w:rPr>
          <w:rFonts w:ascii="Times New Roman" w:eastAsia="宋体" w:hAnsi="Times New Roman"/>
          <w:color w:val="000000"/>
          <w:sz w:val="20"/>
          <w:szCs w:val="20"/>
        </w:rPr>
        <w:t>The impacts of the COVID-19 pandemic continue to be</w:t>
      </w:r>
      <w:r>
        <w:rPr>
          <w:rFonts w:ascii="Times New Roman" w:eastAsia="宋体" w:hAnsi="Times New Roman"/>
          <w:color w:val="000000"/>
          <w:sz w:val="20"/>
          <w:szCs w:val="20"/>
        </w:rPr>
        <w:t xml:space="preserve"> highly unpredictable and volatile in light of the potential for a resurgence of infection rates or as a result of future mutations, variants, or related strains of the virus. Recent years have demonstrated the widespread and varying impacts of the pandemi</w:t>
      </w:r>
      <w:r>
        <w:rPr>
          <w:rFonts w:ascii="Times New Roman" w:eastAsia="宋体" w:hAnsi="Times New Roman"/>
          <w:color w:val="000000"/>
          <w:sz w:val="20"/>
          <w:szCs w:val="20"/>
        </w:rPr>
        <w:t>c on certain business operations, demand for our products and services, in-stock positions, costs of doing business, access to inventory, supply chain operations, the extent and duration of measures to try to contain the virus (such as travel bans and rest</w:t>
      </w:r>
      <w:r>
        <w:rPr>
          <w:rFonts w:ascii="Times New Roman" w:eastAsia="宋体" w:hAnsi="Times New Roman"/>
          <w:color w:val="000000"/>
          <w:sz w:val="20"/>
          <w:szCs w:val="20"/>
        </w:rPr>
        <w:t>rictions, quarantines, shelter-in-place orders, business and government shutdowns, and other restrictions on retailers), our ability to predict future performance, exposure to litigation, and our financial performance, among other things.</w:t>
      </w:r>
    </w:p>
    <w:p w14:paraId="35D090FF" w14:textId="77777777" w:rsidR="00D42204" w:rsidRDefault="004E439D">
      <w:pPr>
        <w:spacing w:before="100"/>
      </w:pPr>
      <w:r>
        <w:rPr>
          <w:rFonts w:ascii="Times New Roman" w:eastAsia="宋体" w:hAnsi="Times New Roman"/>
          <w:color w:val="000000"/>
          <w:sz w:val="20"/>
          <w:szCs w:val="20"/>
        </w:rPr>
        <w:t>Customer behavior</w:t>
      </w:r>
      <w:r>
        <w:rPr>
          <w:rFonts w:ascii="Times New Roman" w:eastAsia="宋体" w:hAnsi="Times New Roman"/>
          <w:color w:val="000000"/>
          <w:sz w:val="20"/>
          <w:szCs w:val="20"/>
        </w:rPr>
        <w:t>s have changed rapidly during the course of the COVID-19 pandemic. In the event of a resurgence of infections or future mutations, variants or related strains of the virus become prevalent, customer demand for certain products may fluctuate and customer be</w:t>
      </w:r>
      <w:r>
        <w:rPr>
          <w:rFonts w:ascii="Times New Roman" w:eastAsia="宋体" w:hAnsi="Times New Roman"/>
          <w:color w:val="000000"/>
          <w:sz w:val="20"/>
          <w:szCs w:val="20"/>
        </w:rPr>
        <w:t>haviors may change, which may challenge our ability to anticipate and/or adjust inventory levels to meet that demand. These factors may result in higher out-of-stock positions in certain products, as well as delays in delivering those products, and could i</w:t>
      </w:r>
      <w:r>
        <w:rPr>
          <w:rFonts w:ascii="Times New Roman" w:eastAsia="宋体" w:hAnsi="Times New Roman"/>
          <w:color w:val="000000"/>
          <w:sz w:val="20"/>
          <w:szCs w:val="20"/>
        </w:rPr>
        <w:t xml:space="preserve">mpact inventory levels in the future. </w:t>
      </w:r>
    </w:p>
    <w:p w14:paraId="35D09100" w14:textId="77777777" w:rsidR="00D42204" w:rsidRDefault="004E439D">
      <w:pPr>
        <w:spacing w:before="100"/>
      </w:pPr>
      <w:r>
        <w:rPr>
          <w:rFonts w:ascii="Times New Roman" w:eastAsia="宋体" w:hAnsi="Times New Roman"/>
          <w:color w:val="000000"/>
          <w:sz w:val="20"/>
          <w:szCs w:val="20"/>
        </w:rPr>
        <w:t xml:space="preserve">Other factors and uncertainties include, but are not limited to: the severity and duration of the pandemic, including whether there are additional outbreaks or spikes in the number of COVID-19 cases, future mutations </w:t>
      </w:r>
      <w:r>
        <w:rPr>
          <w:rFonts w:ascii="Times New Roman" w:eastAsia="宋体" w:hAnsi="Times New Roman"/>
          <w:color w:val="000000"/>
          <w:sz w:val="20"/>
          <w:szCs w:val="20"/>
        </w:rPr>
        <w:t>or related strains of the virus in areas in which we and our suppliers operate; further increased operational costs associated with operating during a global pandemic; evolving macroeconomic factors, including general economic uncertainty, unemployment rat</w:t>
      </w:r>
      <w:r>
        <w:rPr>
          <w:rFonts w:ascii="Times New Roman" w:eastAsia="宋体" w:hAnsi="Times New Roman"/>
          <w:color w:val="000000"/>
          <w:sz w:val="20"/>
          <w:szCs w:val="20"/>
        </w:rPr>
        <w:t>es, and recessionary pressures; unknown consequences on our business performance and initiatives stemming from the substantial investment of time, capital and other resources to the pandemic response; the effectiveness and extent of administration of vacci</w:t>
      </w:r>
      <w:r>
        <w:rPr>
          <w:rFonts w:ascii="Times New Roman" w:eastAsia="宋体" w:hAnsi="Times New Roman"/>
          <w:color w:val="000000"/>
          <w:sz w:val="20"/>
          <w:szCs w:val="20"/>
        </w:rPr>
        <w:t xml:space="preserve">nations and medical treatments for COVID-19 or other variants; the pace of recovery when the pandemic subsides; and the long-term impact of the COVID-19 pandemic on our business, including consumer behaviors. These risks and their impacts are difficult to </w:t>
      </w:r>
      <w:r>
        <w:rPr>
          <w:rFonts w:ascii="Times New Roman" w:eastAsia="宋体" w:hAnsi="Times New Roman"/>
          <w:color w:val="000000"/>
          <w:sz w:val="20"/>
          <w:szCs w:val="20"/>
        </w:rPr>
        <w:t>predict and could otherwise disrupt and adversely affect our operations and our financial performance.</w:t>
      </w:r>
    </w:p>
    <w:p w14:paraId="35D09101" w14:textId="77777777" w:rsidR="00D42204" w:rsidRDefault="004E439D">
      <w:pPr>
        <w:spacing w:before="100"/>
      </w:pPr>
      <w:r>
        <w:rPr>
          <w:rFonts w:ascii="Times New Roman" w:eastAsia="宋体" w:hAnsi="Times New Roman"/>
          <w:color w:val="000000"/>
          <w:sz w:val="20"/>
          <w:szCs w:val="20"/>
        </w:rPr>
        <w:t>The COVID-19 pandemic has led to increased revenue growth relative to historic trends, and has particularly accelerated our eCommerce growth. These resul</w:t>
      </w:r>
      <w:r>
        <w:rPr>
          <w:rFonts w:ascii="Times New Roman" w:eastAsia="宋体" w:hAnsi="Times New Roman"/>
          <w:color w:val="000000"/>
          <w:sz w:val="20"/>
          <w:szCs w:val="20"/>
        </w:rPr>
        <w:t xml:space="preserve">ts, as well as those of other metrics such as net income and other financial and operating data, may not be indicative of results for future periods. Once the impact of the COVID-19 pandemic subsides, particularly as vaccines become more widely available, </w:t>
      </w:r>
      <w:r>
        <w:rPr>
          <w:rFonts w:ascii="Times New Roman" w:eastAsia="宋体" w:hAnsi="Times New Roman"/>
          <w:color w:val="000000"/>
          <w:sz w:val="20"/>
          <w:szCs w:val="20"/>
        </w:rPr>
        <w:t>and customers return to work or school or are otherwise no longer subject to the aforementioned containment directives and similar mandates, a failure by us to continue capitalizing on growth opportunities may result in declining revenue and future operati</w:t>
      </w:r>
      <w:r>
        <w:rPr>
          <w:rFonts w:ascii="Times New Roman" w:eastAsia="宋体" w:hAnsi="Times New Roman"/>
          <w:color w:val="000000"/>
          <w:sz w:val="20"/>
          <w:szCs w:val="20"/>
        </w:rPr>
        <w:t>ng results may fall below expectations.</w:t>
      </w:r>
    </w:p>
    <w:p w14:paraId="35D09102" w14:textId="77777777" w:rsidR="00D42204" w:rsidRDefault="004E439D">
      <w:pPr>
        <w:spacing w:before="100"/>
      </w:pPr>
      <w:r>
        <w:rPr>
          <w:rFonts w:ascii="Times New Roman" w:eastAsia="宋体" w:hAnsi="Times New Roman"/>
          <w:color w:val="000000"/>
          <w:sz w:val="20"/>
          <w:szCs w:val="20"/>
        </w:rPr>
        <w:t>To the extent that the COVID-19 pandemic continues to adversely affect the U.S. and the global economy, it may also heighten other risks described in this section, including but not limited to those related to consum</w:t>
      </w:r>
      <w:r>
        <w:rPr>
          <w:rFonts w:ascii="Times New Roman" w:eastAsia="宋体" w:hAnsi="Times New Roman"/>
          <w:color w:val="000000"/>
          <w:sz w:val="20"/>
          <w:szCs w:val="20"/>
        </w:rPr>
        <w:t>er behavior and expectations, competition, our reputation, implementation of strategic initiatives, cybersecurity threats, payment-related risks, technology systems disruption, supply chain disruptions, labor availability and cost, litigation, and regulato</w:t>
      </w:r>
      <w:r>
        <w:rPr>
          <w:rFonts w:ascii="Times New Roman" w:eastAsia="宋体" w:hAnsi="Times New Roman"/>
          <w:color w:val="000000"/>
          <w:sz w:val="20"/>
          <w:szCs w:val="20"/>
        </w:rPr>
        <w:t>ry requirements.</w:t>
      </w:r>
    </w:p>
    <w:p w14:paraId="35D09103" w14:textId="77777777" w:rsidR="00D42204" w:rsidRDefault="004E439D">
      <w:pPr>
        <w:spacing w:before="180"/>
      </w:pPr>
      <w:r>
        <w:rPr>
          <w:rFonts w:ascii="Times New Roman" w:eastAsia="宋体" w:hAnsi="Times New Roman"/>
          <w:b/>
          <w:bCs/>
          <w:color w:val="000000"/>
          <w:sz w:val="20"/>
          <w:szCs w:val="20"/>
        </w:rPr>
        <w:t>Natural disasters, climate change, geopolitical events, global health epidemics or pandemics and catastrophic events could materially adversely affect our financial performance.</w:t>
      </w:r>
    </w:p>
    <w:p w14:paraId="35D09104" w14:textId="77777777" w:rsidR="00D42204" w:rsidRDefault="004E439D">
      <w:pPr>
        <w:spacing w:before="100"/>
      </w:pPr>
      <w:r>
        <w:rPr>
          <w:rFonts w:ascii="Times New Roman" w:eastAsia="宋体" w:hAnsi="Times New Roman"/>
          <w:color w:val="000000"/>
          <w:sz w:val="20"/>
          <w:szCs w:val="20"/>
        </w:rPr>
        <w:t>The occurrence of one or more natural disasters, such as hurr</w:t>
      </w:r>
      <w:r>
        <w:rPr>
          <w:rFonts w:ascii="Times New Roman" w:eastAsia="宋体" w:hAnsi="Times New Roman"/>
          <w:color w:val="000000"/>
          <w:sz w:val="20"/>
          <w:szCs w:val="20"/>
        </w:rPr>
        <w:t>icanes, tropical storms, floods, fires, earthquakes, tsunamis, cyclones, typhoons; weather conditions such as major or extended winter storms, droughts and tornadoes, whether as a result of climate change or otherwise; geopolitical events; global health ep</w:t>
      </w:r>
      <w:r>
        <w:rPr>
          <w:rFonts w:ascii="Times New Roman" w:eastAsia="宋体" w:hAnsi="Times New Roman"/>
          <w:color w:val="000000"/>
          <w:sz w:val="20"/>
          <w:szCs w:val="20"/>
        </w:rPr>
        <w:t>idemics or pandemics or other contagious outbreaks such as the ongoing COVID-19 pandemic; and catastrophic events, such as war, civil unrest, terrorist attacks or other acts of violence, including active shooter situations (such as those that have occurred</w:t>
      </w:r>
      <w:r>
        <w:rPr>
          <w:rFonts w:ascii="Times New Roman" w:eastAsia="宋体" w:hAnsi="Times New Roman"/>
          <w:color w:val="000000"/>
          <w:sz w:val="20"/>
          <w:szCs w:val="20"/>
        </w:rPr>
        <w:t xml:space="preserve"> in our U.S. stores), in countries in which we operate, in which our suppliers are located, or in other areas of the world (such as in Ukraine where armed hostilities currently exist between Ukraine and Russia) could adversely affect our operations and fin</w:t>
      </w:r>
      <w:r>
        <w:rPr>
          <w:rFonts w:ascii="Times New Roman" w:eastAsia="宋体" w:hAnsi="Times New Roman"/>
          <w:color w:val="000000"/>
          <w:sz w:val="20"/>
          <w:szCs w:val="20"/>
        </w:rPr>
        <w:t xml:space="preserve">ancial performance. </w:t>
      </w:r>
    </w:p>
    <w:p w14:paraId="35D09105" w14:textId="77777777" w:rsidR="00D42204" w:rsidRDefault="004E439D">
      <w:pPr>
        <w:spacing w:before="100"/>
      </w:pPr>
      <w:r>
        <w:rPr>
          <w:rFonts w:ascii="Times New Roman" w:eastAsia="宋体" w:hAnsi="Times New Roman"/>
          <w:color w:val="000000"/>
          <w:sz w:val="20"/>
          <w:szCs w:val="20"/>
        </w:rPr>
        <w:t xml:space="preserve">Such events could result in physical damage to, or the complete loss of, one or more of our properties, the closure of one or more stores, clubs and distribution or fulfillment centers, limitations on store or club operating hours, the lack of an adequate </w:t>
      </w:r>
      <w:r>
        <w:rPr>
          <w:rFonts w:ascii="Times New Roman" w:eastAsia="宋体" w:hAnsi="Times New Roman"/>
          <w:color w:val="000000"/>
          <w:sz w:val="20"/>
          <w:szCs w:val="20"/>
        </w:rPr>
        <w:t>work force in a market, the inability of customers and associates to reach or have transportation to our stores and clubs affected by such events, the evacuation of the populace from areas in which our stores, clubs and distribution and fulfillment centers</w:t>
      </w:r>
      <w:r>
        <w:rPr>
          <w:rFonts w:ascii="Times New Roman" w:eastAsia="宋体" w:hAnsi="Times New Roman"/>
          <w:color w:val="000000"/>
          <w:sz w:val="20"/>
          <w:szCs w:val="20"/>
        </w:rPr>
        <w:t xml:space="preserve"> are located, the unavailability of our digital platforms to our customers, changes in the purchasing patterns of consumers (including the frequency of visits by consumers to physical retail locations, whether as a result of limitations on large gatherings</w:t>
      </w:r>
      <w:r>
        <w:rPr>
          <w:rFonts w:ascii="Times New Roman" w:eastAsia="宋体" w:hAnsi="Times New Roman"/>
          <w:color w:val="000000"/>
          <w:sz w:val="20"/>
          <w:szCs w:val="20"/>
        </w:rPr>
        <w:t>, travel and movement limitations or otherwise) and in consumers' disposable income, the temporary or long-term disruption in the supply of products from some suppliers, the disruption in the transport of goods from overseas, the disruption or delay in the</w:t>
      </w:r>
      <w:r>
        <w:rPr>
          <w:rFonts w:ascii="Times New Roman" w:eastAsia="宋体" w:hAnsi="Times New Roman"/>
          <w:color w:val="000000"/>
          <w:sz w:val="20"/>
          <w:szCs w:val="20"/>
        </w:rPr>
        <w:t xml:space="preserve"> delivery of goods to our distribution and fulfillment centers or stores within a country in which we are operating, the reduction in the availability of products in our stores, increases in the costs of procuring products as a result of either reduced ava</w:t>
      </w:r>
      <w:r>
        <w:rPr>
          <w:rFonts w:ascii="Times New Roman" w:eastAsia="宋体" w:hAnsi="Times New Roman"/>
          <w:color w:val="000000"/>
          <w:sz w:val="20"/>
          <w:szCs w:val="20"/>
        </w:rPr>
        <w:t xml:space="preserve">ilability </w:t>
      </w:r>
    </w:p>
    <w:p w14:paraId="35D09106" w14:textId="77777777" w:rsidR="00D42204" w:rsidRDefault="004E439D">
      <w:pPr>
        <w:jc w:val="center"/>
      </w:pPr>
      <w:r>
        <w:rPr>
          <w:rFonts w:ascii="Times New Roman" w:eastAsia="宋体" w:hAnsi="Times New Roman"/>
          <w:color w:val="000000"/>
          <w:sz w:val="20"/>
          <w:szCs w:val="20"/>
        </w:rPr>
        <w:t>17</w:t>
      </w:r>
    </w:p>
    <w:p w14:paraId="35D09107" w14:textId="77777777" w:rsidR="00D42204" w:rsidRDefault="004E439D">
      <w:r>
        <w:pict w14:anchorId="35D0C36A">
          <v:rect id="_x0000_i1041" style="width:415.3pt;height:1.5pt" o:hralign="center" o:hrstd="t" o:hr="t" fillcolor="#a0a0a0" stroked="f"/>
        </w:pict>
      </w:r>
    </w:p>
    <w:p w14:paraId="35D09108" w14:textId="77777777" w:rsidR="00D42204" w:rsidRDefault="00D42204"/>
    <w:p w14:paraId="35D09109" w14:textId="77777777" w:rsidR="00D42204" w:rsidRDefault="004E439D">
      <w:pPr>
        <w:spacing w:before="100"/>
      </w:pPr>
      <w:r>
        <w:rPr>
          <w:rFonts w:ascii="Times New Roman" w:eastAsia="宋体" w:hAnsi="Times New Roman"/>
          <w:color w:val="000000"/>
          <w:sz w:val="20"/>
          <w:szCs w:val="20"/>
        </w:rPr>
        <w:t xml:space="preserve">or economic sanctions, increased transportation costs (whether due to fuel prices, fuel supply, or otherwise), the disruption (whether directly or indirectly) of critical infrastructure systems, banking systems, utility services or energy </w:t>
      </w:r>
      <w:r>
        <w:rPr>
          <w:rFonts w:ascii="Times New Roman" w:eastAsia="宋体" w:hAnsi="Times New Roman"/>
          <w:color w:val="000000"/>
          <w:sz w:val="20"/>
          <w:szCs w:val="20"/>
        </w:rPr>
        <w:t xml:space="preserve">availability to our stores, clubs and our facilities, and the disruption in our communications with our stores, clubs and our other facilities. </w:t>
      </w:r>
    </w:p>
    <w:p w14:paraId="35D0910A" w14:textId="77777777" w:rsidR="00D42204" w:rsidRDefault="004E439D">
      <w:pPr>
        <w:spacing w:before="100"/>
      </w:pPr>
      <w:r>
        <w:rPr>
          <w:rFonts w:ascii="Times New Roman" w:eastAsia="宋体" w:hAnsi="Times New Roman"/>
          <w:color w:val="000000"/>
          <w:sz w:val="20"/>
          <w:szCs w:val="20"/>
        </w:rPr>
        <w:t>Furthermore, the long-term impacts of climate change, whether involving physical risks (such as extreme weather</w:t>
      </w:r>
      <w:r>
        <w:rPr>
          <w:rFonts w:ascii="Times New Roman" w:eastAsia="宋体" w:hAnsi="Times New Roman"/>
          <w:color w:val="000000"/>
          <w:sz w:val="20"/>
          <w:szCs w:val="20"/>
        </w:rPr>
        <w:t xml:space="preserve"> conditions, drought, or rising sea levels) or transition risks (such as regulatory or technology changes) are expected to be widespread and unpredictable. Certain impacts of physical risk may include: temperature changes that increase the heating and cool</w:t>
      </w:r>
      <w:r>
        <w:rPr>
          <w:rFonts w:ascii="Times New Roman" w:eastAsia="宋体" w:hAnsi="Times New Roman"/>
          <w:color w:val="000000"/>
          <w:sz w:val="20"/>
          <w:szCs w:val="20"/>
        </w:rPr>
        <w:t>ing costs at stores, clubs, and distribution or fulfillment centers; extreme weather patterns that affect the production or sourcing of certain commodities; flooding and extreme storms that damage or destroy our buildings and inventory; and heat and extrem</w:t>
      </w:r>
      <w:r>
        <w:rPr>
          <w:rFonts w:ascii="Times New Roman" w:eastAsia="宋体" w:hAnsi="Times New Roman"/>
          <w:color w:val="000000"/>
          <w:sz w:val="20"/>
          <w:szCs w:val="20"/>
        </w:rPr>
        <w:t>e weather events that cause long-term disruption or threats to the habitability of the communities in which Walmart operates. Relative to transition risk, certain impacts may include: changes in energy and commodity prices driven by climate-related weather</w:t>
      </w:r>
      <w:r>
        <w:rPr>
          <w:rFonts w:ascii="Times New Roman" w:eastAsia="宋体" w:hAnsi="Times New Roman"/>
          <w:color w:val="000000"/>
          <w:sz w:val="20"/>
          <w:szCs w:val="20"/>
        </w:rPr>
        <w:t xml:space="preserve"> events; prolonged climate-related events affecting macroeconomic conditions with related effects on consumer spending and confidence; stakeholder perception of our engagement in climate-related policies; and new regulatory requirements resulting in higher</w:t>
      </w:r>
      <w:r>
        <w:rPr>
          <w:rFonts w:ascii="Times New Roman" w:eastAsia="宋体" w:hAnsi="Times New Roman"/>
          <w:color w:val="000000"/>
          <w:sz w:val="20"/>
          <w:szCs w:val="20"/>
        </w:rPr>
        <w:t xml:space="preserve"> compliance risk and operational costs.</w:t>
      </w:r>
    </w:p>
    <w:p w14:paraId="35D0910B" w14:textId="77777777" w:rsidR="00D42204" w:rsidRDefault="004E439D">
      <w:pPr>
        <w:spacing w:before="100"/>
      </w:pPr>
      <w:r>
        <w:rPr>
          <w:rFonts w:ascii="Times New Roman" w:eastAsia="宋体" w:hAnsi="Times New Roman"/>
          <w:color w:val="000000"/>
          <w:sz w:val="20"/>
          <w:szCs w:val="20"/>
        </w:rPr>
        <w:t>We bear the risk of losses incurred as a result of physical damage to, or destruction of, any stores, clubs and distribution or fulfillment centers, loss or spoilage of inventory and business interruption caused by s</w:t>
      </w:r>
      <w:r>
        <w:rPr>
          <w:rFonts w:ascii="Times New Roman" w:eastAsia="宋体" w:hAnsi="Times New Roman"/>
          <w:color w:val="000000"/>
          <w:sz w:val="20"/>
          <w:szCs w:val="20"/>
        </w:rPr>
        <w:t>uch events. These events and their impacts could otherwise disrupt and adversely affect our operations and could materially adversely affect our financial performance.</w:t>
      </w:r>
    </w:p>
    <w:p w14:paraId="35D0910C" w14:textId="77777777" w:rsidR="00D42204" w:rsidRDefault="004E439D">
      <w:pPr>
        <w:spacing w:before="180"/>
      </w:pPr>
      <w:r>
        <w:rPr>
          <w:rFonts w:ascii="Times New Roman" w:eastAsia="宋体" w:hAnsi="Times New Roman"/>
          <w:b/>
          <w:bCs/>
          <w:color w:val="000000"/>
          <w:sz w:val="20"/>
          <w:szCs w:val="20"/>
        </w:rPr>
        <w:t>Risks associated with our suppliers could materially adversely affect our financial perf</w:t>
      </w:r>
      <w:r>
        <w:rPr>
          <w:rFonts w:ascii="Times New Roman" w:eastAsia="宋体" w:hAnsi="Times New Roman"/>
          <w:b/>
          <w:bCs/>
          <w:color w:val="000000"/>
          <w:sz w:val="20"/>
          <w:szCs w:val="20"/>
        </w:rPr>
        <w:t>ormance.</w:t>
      </w:r>
    </w:p>
    <w:p w14:paraId="35D0910D" w14:textId="77777777" w:rsidR="00D42204" w:rsidRDefault="004E439D">
      <w:pPr>
        <w:spacing w:before="100"/>
      </w:pPr>
      <w:r>
        <w:rPr>
          <w:rFonts w:ascii="Times New Roman" w:eastAsia="宋体" w:hAnsi="Times New Roman"/>
          <w:color w:val="000000"/>
          <w:sz w:val="20"/>
          <w:szCs w:val="20"/>
        </w:rPr>
        <w:t>The products we sell are sourced from a wide variety of domestic and international suppliers. Global sourcing of many of the products we sell is an important factor in our financial performance. We expect our suppliers to comply with applicable la</w:t>
      </w:r>
      <w:r>
        <w:rPr>
          <w:rFonts w:ascii="Times New Roman" w:eastAsia="宋体" w:hAnsi="Times New Roman"/>
          <w:color w:val="000000"/>
          <w:sz w:val="20"/>
          <w:szCs w:val="20"/>
        </w:rPr>
        <w:t>ws, including labor, safety, anti-corruption and environmental laws, and to otherwise meet our required supplier standards of conduct. Our ability to find qualified suppliers who uphold our standards, and to access products in a timely and efficient manner</w:t>
      </w:r>
      <w:r>
        <w:rPr>
          <w:rFonts w:ascii="Times New Roman" w:eastAsia="宋体" w:hAnsi="Times New Roman"/>
          <w:color w:val="000000"/>
          <w:sz w:val="20"/>
          <w:szCs w:val="20"/>
        </w:rPr>
        <w:t xml:space="preserve"> and in the large volumes we may demand, is a significant challenge, especially with respect to suppliers located and goods sourced outside the U.S.</w:t>
      </w:r>
    </w:p>
    <w:p w14:paraId="35D0910E" w14:textId="77777777" w:rsidR="00D42204" w:rsidRDefault="004E439D">
      <w:pPr>
        <w:spacing w:before="100"/>
      </w:pPr>
      <w:r>
        <w:rPr>
          <w:rFonts w:ascii="Times New Roman" w:eastAsia="宋体" w:hAnsi="Times New Roman"/>
          <w:color w:val="000000"/>
          <w:sz w:val="20"/>
          <w:szCs w:val="20"/>
        </w:rPr>
        <w:t>Political and economic instability, as well as other impactful events and circumstances in the countries in</w:t>
      </w:r>
      <w:r>
        <w:rPr>
          <w:rFonts w:ascii="Times New Roman" w:eastAsia="宋体" w:hAnsi="Times New Roman"/>
          <w:color w:val="000000"/>
          <w:sz w:val="20"/>
          <w:szCs w:val="20"/>
        </w:rPr>
        <w:t xml:space="preserve"> which our suppliers and their manufacturers are located (such as the ongoing COVID-19 pandemic), the financial instability of suppliers, suppliers' failure to meet our terms and conditions or our supplier standards (including our responsible sourcing stan</w:t>
      </w:r>
      <w:r>
        <w:rPr>
          <w:rFonts w:ascii="Times New Roman" w:eastAsia="宋体" w:hAnsi="Times New Roman"/>
          <w:color w:val="000000"/>
          <w:sz w:val="20"/>
          <w:szCs w:val="20"/>
        </w:rPr>
        <w:t>dards), labor problems experienced by our suppliers and their manufacturers, the availability of raw materials to suppliers, merchandise safety and quality issues, disruption or delay in the transportation of merchandise from the suppliers and manufacturer</w:t>
      </w:r>
      <w:r>
        <w:rPr>
          <w:rFonts w:ascii="Times New Roman" w:eastAsia="宋体" w:hAnsi="Times New Roman"/>
          <w:color w:val="000000"/>
          <w:sz w:val="20"/>
          <w:szCs w:val="20"/>
        </w:rPr>
        <w:t xml:space="preserve">s to our stores, clubs, and other facilities, including as a result of labor slowdowns at any port at which a material amount of merchandise we purchase enters into the markets in which we operate, currency exchange rates, transport availability and cost, </w:t>
      </w:r>
      <w:r>
        <w:rPr>
          <w:rFonts w:ascii="Times New Roman" w:eastAsia="宋体" w:hAnsi="Times New Roman"/>
          <w:color w:val="000000"/>
          <w:sz w:val="20"/>
          <w:szCs w:val="20"/>
        </w:rPr>
        <w:t>transport security, inflation and other factors relating to the suppliers and the countries in which they are located are beyond our control.</w:t>
      </w:r>
    </w:p>
    <w:p w14:paraId="35D0910F" w14:textId="77777777" w:rsidR="00D42204" w:rsidRDefault="004E439D">
      <w:pPr>
        <w:spacing w:before="100"/>
      </w:pPr>
      <w:r>
        <w:rPr>
          <w:rFonts w:ascii="Times New Roman" w:eastAsia="宋体" w:hAnsi="Times New Roman"/>
          <w:color w:val="000000"/>
          <w:sz w:val="20"/>
          <w:szCs w:val="20"/>
        </w:rPr>
        <w:t>In addition, the U.S. foreign trade policies, tariffs and other impositions on imported goods, trade sanctions imp</w:t>
      </w:r>
      <w:r>
        <w:rPr>
          <w:rFonts w:ascii="Times New Roman" w:eastAsia="宋体" w:hAnsi="Times New Roman"/>
          <w:color w:val="000000"/>
          <w:sz w:val="20"/>
          <w:szCs w:val="20"/>
        </w:rPr>
        <w:t>osed on certain countries and entities, the limitation on the importation of certain types of goods or of goods containing certain materials from other countries and other factors relating to foreign trade are beyond our control. These and other factors af</w:t>
      </w:r>
      <w:r>
        <w:rPr>
          <w:rFonts w:ascii="Times New Roman" w:eastAsia="宋体" w:hAnsi="Times New Roman"/>
          <w:color w:val="000000"/>
          <w:sz w:val="20"/>
          <w:szCs w:val="20"/>
        </w:rPr>
        <w:t>fecting our suppliers and our access to products could adversely affect our financial performance.</w:t>
      </w:r>
    </w:p>
    <w:p w14:paraId="35D09110" w14:textId="77777777" w:rsidR="00D42204" w:rsidRDefault="004E439D">
      <w:pPr>
        <w:spacing w:before="180"/>
      </w:pPr>
      <w:r>
        <w:rPr>
          <w:rFonts w:ascii="Times New Roman" w:eastAsia="宋体" w:hAnsi="Times New Roman"/>
          <w:b/>
          <w:bCs/>
          <w:color w:val="000000"/>
          <w:sz w:val="20"/>
          <w:szCs w:val="20"/>
        </w:rPr>
        <w:t>If the products we sell are not safe or otherwise fail to meet our customers' expectations, we could lose customers, incur liability for any injuries suffere</w:t>
      </w:r>
      <w:r>
        <w:rPr>
          <w:rFonts w:ascii="Times New Roman" w:eastAsia="宋体" w:hAnsi="Times New Roman"/>
          <w:b/>
          <w:bCs/>
          <w:color w:val="000000"/>
          <w:sz w:val="20"/>
          <w:szCs w:val="20"/>
        </w:rPr>
        <w:t>d by customers using or consuming a product we sell or otherwise experience a material impact to our brand, reputation and financial performance. We are also subject to reputational and other risks related to third-party sales on our digital platforms.</w:t>
      </w:r>
    </w:p>
    <w:p w14:paraId="35D09111" w14:textId="77777777" w:rsidR="00D42204" w:rsidRDefault="004E439D">
      <w:pPr>
        <w:spacing w:before="100"/>
      </w:pPr>
      <w:r>
        <w:rPr>
          <w:rFonts w:ascii="Times New Roman" w:eastAsia="宋体" w:hAnsi="Times New Roman"/>
          <w:color w:val="000000"/>
          <w:sz w:val="20"/>
          <w:szCs w:val="20"/>
        </w:rPr>
        <w:t>Our customers count on us to provide them with safe products. Concerns regarding the safety of food and non-food products that we source from our suppliers or that we prepare and then sell could cause customers to avoid purchasing certain products from us,</w:t>
      </w:r>
      <w:r>
        <w:rPr>
          <w:rFonts w:ascii="Times New Roman" w:eastAsia="宋体" w:hAnsi="Times New Roman"/>
          <w:color w:val="000000"/>
          <w:sz w:val="20"/>
          <w:szCs w:val="20"/>
        </w:rPr>
        <w:t xml:space="preserve"> or to seek alternative sources of supply for all of their food and non-food needs, even if the basis for the concern is outside of our control. Any lost confidence on the part of our customers would be difficult and costly to reestablish and such products</w:t>
      </w:r>
      <w:r>
        <w:rPr>
          <w:rFonts w:ascii="Times New Roman" w:eastAsia="宋体" w:hAnsi="Times New Roman"/>
          <w:color w:val="000000"/>
          <w:sz w:val="20"/>
          <w:szCs w:val="20"/>
        </w:rPr>
        <w:t xml:space="preserve"> also expose us to product liability or food safety claims. As such, any issue regarding the safety of any food or non-food items we sell, regardless of the cause, could adversely affect our brand, reputation and financial performance. In addition, third-p</w:t>
      </w:r>
      <w:r>
        <w:rPr>
          <w:rFonts w:ascii="Times New Roman" w:eastAsia="宋体" w:hAnsi="Times New Roman"/>
          <w:color w:val="000000"/>
          <w:sz w:val="20"/>
          <w:szCs w:val="20"/>
        </w:rPr>
        <w:t>arties sell goods on some of our digital platforms, which we refer to as marketplace transactions. Whether laws related to these marketplace transactions apply to us is currently unsettled and any unfavorable changes could expose us to loss of sales, reduc</w:t>
      </w:r>
      <w:r>
        <w:rPr>
          <w:rFonts w:ascii="Times New Roman" w:eastAsia="宋体" w:hAnsi="Times New Roman"/>
          <w:color w:val="000000"/>
          <w:sz w:val="20"/>
          <w:szCs w:val="20"/>
        </w:rPr>
        <w:t xml:space="preserve">tion in transactions and deterioration of our competitive position. In addition, we may face reputational, financial and other risks, including liability, for third-party sales of goods that are controversial, counterfeit, pirated, or stolen, or otherwise </w:t>
      </w:r>
      <w:r>
        <w:rPr>
          <w:rFonts w:ascii="Times New Roman" w:eastAsia="宋体" w:hAnsi="Times New Roman"/>
          <w:color w:val="000000"/>
          <w:sz w:val="20"/>
          <w:szCs w:val="20"/>
        </w:rPr>
        <w:t>fail to comply with applicable law or the proprietary rights of others. Although we impose contractual terms on sellers that are intended to prohibit sales of certain type of products, we may not be able to detect, enforce, or collect sufficient damages fo</w:t>
      </w:r>
      <w:r>
        <w:rPr>
          <w:rFonts w:ascii="Times New Roman" w:eastAsia="宋体" w:hAnsi="Times New Roman"/>
          <w:color w:val="000000"/>
          <w:sz w:val="20"/>
          <w:szCs w:val="20"/>
        </w:rPr>
        <w:t xml:space="preserve">r breaches of such agreements. Any of these events could have a material adverse impact on our business and results of operations and impede the execution of our eCommerce growth and flywheel strategy. </w:t>
      </w:r>
    </w:p>
    <w:p w14:paraId="35D09112" w14:textId="77777777" w:rsidR="00D42204" w:rsidRDefault="004E439D">
      <w:pPr>
        <w:jc w:val="center"/>
      </w:pPr>
      <w:r>
        <w:rPr>
          <w:rFonts w:ascii="Times New Roman" w:eastAsia="宋体" w:hAnsi="Times New Roman"/>
          <w:color w:val="000000"/>
          <w:sz w:val="20"/>
          <w:szCs w:val="20"/>
        </w:rPr>
        <w:t>18</w:t>
      </w:r>
    </w:p>
    <w:p w14:paraId="35D09113" w14:textId="77777777" w:rsidR="00D42204" w:rsidRDefault="004E439D">
      <w:r>
        <w:pict w14:anchorId="35D0C36B">
          <v:rect id="_x0000_i1042" style="width:415.3pt;height:1.5pt" o:hralign="center" o:hrstd="t" o:hr="t" fillcolor="#a0a0a0" stroked="f"/>
        </w:pict>
      </w:r>
    </w:p>
    <w:p w14:paraId="35D09114" w14:textId="77777777" w:rsidR="00D42204" w:rsidRDefault="00D42204"/>
    <w:p w14:paraId="35D09115" w14:textId="77777777" w:rsidR="00D42204" w:rsidRDefault="004E439D">
      <w:pPr>
        <w:spacing w:before="180"/>
      </w:pPr>
      <w:r>
        <w:rPr>
          <w:rFonts w:ascii="Times New Roman" w:eastAsia="宋体" w:hAnsi="Times New Roman"/>
          <w:b/>
          <w:bCs/>
          <w:color w:val="000000"/>
          <w:sz w:val="20"/>
          <w:szCs w:val="20"/>
        </w:rPr>
        <w:t>We rely extensively on information systems to p</w:t>
      </w:r>
      <w:r>
        <w:rPr>
          <w:rFonts w:ascii="Times New Roman" w:eastAsia="宋体" w:hAnsi="Times New Roman"/>
          <w:b/>
          <w:bCs/>
          <w:color w:val="000000"/>
          <w:sz w:val="20"/>
          <w:szCs w:val="20"/>
        </w:rPr>
        <w:t>rocess transactions, summarize results and manage our business. Disruptions in our systems could harm our ability to conduct our operations.</w:t>
      </w:r>
    </w:p>
    <w:p w14:paraId="35D09116" w14:textId="77777777" w:rsidR="00D42204" w:rsidRDefault="004E439D">
      <w:pPr>
        <w:spacing w:before="100"/>
      </w:pPr>
      <w:r>
        <w:rPr>
          <w:rFonts w:ascii="Times New Roman" w:eastAsia="宋体" w:hAnsi="Times New Roman"/>
          <w:color w:val="000000"/>
          <w:sz w:val="20"/>
          <w:szCs w:val="20"/>
        </w:rPr>
        <w:t>Given the number of individual transactions we have each year, it is crucial that we maintain uninterrupted operati</w:t>
      </w:r>
      <w:r>
        <w:rPr>
          <w:rFonts w:ascii="Times New Roman" w:eastAsia="宋体" w:hAnsi="Times New Roman"/>
          <w:color w:val="000000"/>
          <w:sz w:val="20"/>
          <w:szCs w:val="20"/>
        </w:rPr>
        <w:t>on of our business-critical information systems. Our information systems are subject to damage or interruption from power outages, computer and telecommunications failures, computer viruses, worms, other malicious computer programs, denial-of-service attac</w:t>
      </w:r>
      <w:r>
        <w:rPr>
          <w:rFonts w:ascii="Times New Roman" w:eastAsia="宋体" w:hAnsi="Times New Roman"/>
          <w:color w:val="000000"/>
          <w:sz w:val="20"/>
          <w:szCs w:val="20"/>
        </w:rPr>
        <w:t>ks, security incidents and breaches (through cyberattacks, which may be from cybercriminals or sophisticated state-sponsored threat actors), catastrophic events such as fires, major or extended winter storms, tornadoes, earthquakes and hurricanes, usage er</w:t>
      </w:r>
      <w:r>
        <w:rPr>
          <w:rFonts w:ascii="Times New Roman" w:eastAsia="宋体" w:hAnsi="Times New Roman"/>
          <w:color w:val="000000"/>
          <w:sz w:val="20"/>
          <w:szCs w:val="20"/>
        </w:rPr>
        <w:t>rors by our associates or contractors, civil or political unrest, or armed hostilities. Our information systems are essential to our business operations, including the processing of transactions, management of our associates, facilities, logistics, invento</w:t>
      </w:r>
      <w:r>
        <w:rPr>
          <w:rFonts w:ascii="Times New Roman" w:eastAsia="宋体" w:hAnsi="Times New Roman"/>
          <w:color w:val="000000"/>
          <w:sz w:val="20"/>
          <w:szCs w:val="20"/>
        </w:rPr>
        <w:t>ries, physical stores and clubs and our online operations. Our information systems are not fully redundant and our disaster recovery planning cannot account for all eventualities. If our systems are damaged, breached, attacked, or cease to function properl</w:t>
      </w:r>
      <w:r>
        <w:rPr>
          <w:rFonts w:ascii="Times New Roman" w:eastAsia="宋体" w:hAnsi="Times New Roman"/>
          <w:color w:val="000000"/>
          <w:sz w:val="20"/>
          <w:szCs w:val="20"/>
        </w:rPr>
        <w:t>y, we may have to make a significant investment to repair or replace them, and may experience loss or corruption of critical data as well as suffer interruptions in our business operations in the interim. Any interruption to our information systems may hav</w:t>
      </w:r>
      <w:r>
        <w:rPr>
          <w:rFonts w:ascii="Times New Roman" w:eastAsia="宋体" w:hAnsi="Times New Roman"/>
          <w:color w:val="000000"/>
          <w:sz w:val="20"/>
          <w:szCs w:val="20"/>
        </w:rPr>
        <w:t>e a material adverse effect on our business or results of operations. In addition, we frequently update our information technology hardware, software, processes and systems. The risk of system disruption is increased when significant system changes are und</w:t>
      </w:r>
      <w:r>
        <w:rPr>
          <w:rFonts w:ascii="Times New Roman" w:eastAsia="宋体" w:hAnsi="Times New Roman"/>
          <w:color w:val="000000"/>
          <w:sz w:val="20"/>
          <w:szCs w:val="20"/>
        </w:rPr>
        <w:t>ertaken. If we fail to timely integrate and update our information systems and processes, we may fail to realize the cost savings or operational benefits anticipated to be derived from these initiatives.</w:t>
      </w:r>
    </w:p>
    <w:p w14:paraId="35D09117" w14:textId="77777777" w:rsidR="00D42204" w:rsidRDefault="004E439D">
      <w:pPr>
        <w:spacing w:before="180"/>
      </w:pPr>
      <w:r>
        <w:rPr>
          <w:rFonts w:ascii="Times New Roman" w:eastAsia="宋体" w:hAnsi="Times New Roman"/>
          <w:b/>
          <w:bCs/>
          <w:color w:val="000000"/>
          <w:sz w:val="20"/>
          <w:szCs w:val="20"/>
        </w:rPr>
        <w:t>If the technology-based systems that give our custom</w:t>
      </w:r>
      <w:r>
        <w:rPr>
          <w:rFonts w:ascii="Times New Roman" w:eastAsia="宋体" w:hAnsi="Times New Roman"/>
          <w:b/>
          <w:bCs/>
          <w:color w:val="000000"/>
          <w:sz w:val="20"/>
          <w:szCs w:val="20"/>
        </w:rPr>
        <w:t>ers the ability to shop with us online do not function effectively, our operating results, as well as our ability to grow our omni-channel business globally, could be materially adversely affected.</w:t>
      </w:r>
    </w:p>
    <w:p w14:paraId="35D09118" w14:textId="77777777" w:rsidR="00D42204" w:rsidRDefault="004E439D">
      <w:pPr>
        <w:spacing w:before="100"/>
      </w:pPr>
      <w:r>
        <w:rPr>
          <w:rFonts w:ascii="Times New Roman" w:eastAsia="宋体" w:hAnsi="Times New Roman"/>
          <w:color w:val="000000"/>
          <w:sz w:val="20"/>
          <w:szCs w:val="20"/>
        </w:rPr>
        <w:t xml:space="preserve">Increasingly, customers are using computers, tablets, and </w:t>
      </w:r>
      <w:r>
        <w:rPr>
          <w:rFonts w:ascii="Times New Roman" w:eastAsia="宋体" w:hAnsi="Times New Roman"/>
          <w:color w:val="000000"/>
          <w:sz w:val="20"/>
          <w:szCs w:val="20"/>
        </w:rPr>
        <w:t xml:space="preserve">smart phones to shop with us and with our competitors and to do comparison shopping. We use social media, online advertising, and email to interact with our customers and as a means to enhance their shopping experience. As a part of our omni-channel sales </w:t>
      </w:r>
      <w:r>
        <w:rPr>
          <w:rFonts w:ascii="Times New Roman" w:eastAsia="宋体" w:hAnsi="Times New Roman"/>
          <w:color w:val="000000"/>
          <w:sz w:val="20"/>
          <w:szCs w:val="20"/>
        </w:rPr>
        <w:t>strategy, we offer various pickup, delivery and shipping programs including options where many products available for purchase online can be picked up by the customer or member at a local Walmart store or Sam's Club, which provides additional customer traf</w:t>
      </w:r>
      <w:r>
        <w:rPr>
          <w:rFonts w:ascii="Times New Roman" w:eastAsia="宋体" w:hAnsi="Times New Roman"/>
          <w:color w:val="000000"/>
          <w:sz w:val="20"/>
          <w:szCs w:val="20"/>
        </w:rPr>
        <w:t>fic at such stores and clubs. Omni-channel retailing is a rapidly evolving part of the retail industry and of our operations around the world. We must anticipate and meet our customers' changing expectations while adjusting for technology investments and d</w:t>
      </w:r>
      <w:r>
        <w:rPr>
          <w:rFonts w:ascii="Times New Roman" w:eastAsia="宋体" w:hAnsi="Times New Roman"/>
          <w:color w:val="000000"/>
          <w:sz w:val="20"/>
          <w:szCs w:val="20"/>
        </w:rPr>
        <w:t xml:space="preserve">evelopments in our competitors' operations through focusing on the building and delivery of a seamless shopping experience across all channels by each operating segment. Any failure on our part to provide attractive, user-friendly secure digital platforms </w:t>
      </w:r>
      <w:r>
        <w:rPr>
          <w:rFonts w:ascii="Times New Roman" w:eastAsia="宋体" w:hAnsi="Times New Roman"/>
          <w:color w:val="000000"/>
          <w:sz w:val="20"/>
          <w:szCs w:val="20"/>
        </w:rPr>
        <w:t xml:space="preserve">that offer a wide assortment of merchandise at competitive prices and with low cost and rapid delivery options and that continually meet the changing expectations of online shoppers and developments in online and digital platform merchandising and related </w:t>
      </w:r>
      <w:r>
        <w:rPr>
          <w:rFonts w:ascii="Times New Roman" w:eastAsia="宋体" w:hAnsi="Times New Roman"/>
          <w:color w:val="000000"/>
          <w:sz w:val="20"/>
          <w:szCs w:val="20"/>
        </w:rPr>
        <w:t>technology could place us at a competitive disadvantage, result in the loss of eCommerce and other sales, harm our reputation with customers, have a material adverse impact on the growth of our eCommerce business globally and have a material adverse impact</w:t>
      </w:r>
      <w:r>
        <w:rPr>
          <w:rFonts w:ascii="Times New Roman" w:eastAsia="宋体" w:hAnsi="Times New Roman"/>
          <w:color w:val="000000"/>
          <w:sz w:val="20"/>
          <w:szCs w:val="20"/>
        </w:rPr>
        <w:t xml:space="preserve"> on our business and results of operations.</w:t>
      </w:r>
    </w:p>
    <w:p w14:paraId="35D09119" w14:textId="77777777" w:rsidR="00D42204" w:rsidRDefault="004E439D">
      <w:pPr>
        <w:spacing w:before="100"/>
      </w:pPr>
      <w:r>
        <w:rPr>
          <w:rFonts w:ascii="Times New Roman" w:eastAsia="宋体" w:hAnsi="Times New Roman"/>
          <w:color w:val="000000"/>
          <w:sz w:val="20"/>
          <w:szCs w:val="20"/>
        </w:rPr>
        <w:t>Our digital platforms, which are increasingly important to our business and continue to grow in complexity and scope, and the systems on which they run, including those applications and systems in our acquired eC</w:t>
      </w:r>
      <w:r>
        <w:rPr>
          <w:rFonts w:ascii="Times New Roman" w:eastAsia="宋体" w:hAnsi="Times New Roman"/>
          <w:color w:val="000000"/>
          <w:sz w:val="20"/>
          <w:szCs w:val="20"/>
        </w:rPr>
        <w:t>ommerce businesses, are regularly subject to cyberattacks. Those attacks involve attempts to gain unauthorized access to our eCommerce websites (including marketplace platforms) or mobile commerce applications to obtain and misuse customers' or members' in</w:t>
      </w:r>
      <w:r>
        <w:rPr>
          <w:rFonts w:ascii="Times New Roman" w:eastAsia="宋体" w:hAnsi="Times New Roman"/>
          <w:color w:val="000000"/>
          <w:sz w:val="20"/>
          <w:szCs w:val="20"/>
        </w:rPr>
        <w:t xml:space="preserve">formation including payment information and related risks discussed in this </w:t>
      </w:r>
      <w:hyperlink r:id="rId86" w:anchor="i1ba69ebb72ec48f9b754a5e96c4cdf3f_37" w:history="1">
        <w:r>
          <w:rPr>
            <w:rStyle w:val="a5"/>
            <w:rFonts w:ascii="Times New Roman" w:eastAsia="宋体" w:hAnsi="Times New Roman"/>
            <w:sz w:val="20"/>
            <w:szCs w:val="20"/>
          </w:rPr>
          <w:t>Item 1A</w:t>
        </w:r>
      </w:hyperlink>
      <w:r>
        <w:rPr>
          <w:rFonts w:ascii="Times New Roman" w:eastAsia="宋体" w:hAnsi="Times New Roman"/>
          <w:color w:val="000000"/>
          <w:sz w:val="20"/>
          <w:szCs w:val="20"/>
        </w:rPr>
        <w:t>. Such attacks, if s</w:t>
      </w:r>
      <w:r>
        <w:rPr>
          <w:rFonts w:ascii="Times New Roman" w:eastAsia="宋体" w:hAnsi="Times New Roman"/>
          <w:color w:val="000000"/>
          <w:sz w:val="20"/>
          <w:szCs w:val="20"/>
        </w:rPr>
        <w:t>uccessful, in addition to potential data misuse and/or loss, may also create denials of service or otherwise disable, degrade or sabotage one or more of our digital platforms or otherwise significantly disrupt our customers' and members' shopping experienc</w:t>
      </w:r>
      <w:r>
        <w:rPr>
          <w:rFonts w:ascii="Times New Roman" w:eastAsia="宋体" w:hAnsi="Times New Roman"/>
          <w:color w:val="000000"/>
          <w:sz w:val="20"/>
          <w:szCs w:val="20"/>
        </w:rPr>
        <w:t>e, our supply chain integrity and continuity, and our ability to efficiently operate our business. If we are unable to maintain the security of our digital platforms and keep them operating within acceptable parameters, we could suffer loss of sales, reduc</w:t>
      </w:r>
      <w:r>
        <w:rPr>
          <w:rFonts w:ascii="Times New Roman" w:eastAsia="宋体" w:hAnsi="Times New Roman"/>
          <w:color w:val="000000"/>
          <w:sz w:val="20"/>
          <w:szCs w:val="20"/>
        </w:rPr>
        <w:t>tions in transactions, reputational damage and deterioration of our competitive position and incur liability for any damage to customers or others whose personal or confidential information is unlawfully obtained and misused, any of which events could have</w:t>
      </w:r>
      <w:r>
        <w:rPr>
          <w:rFonts w:ascii="Times New Roman" w:eastAsia="宋体" w:hAnsi="Times New Roman"/>
          <w:color w:val="000000"/>
          <w:sz w:val="20"/>
          <w:szCs w:val="20"/>
        </w:rPr>
        <w:t xml:space="preserve"> a material adverse impact on our business and results of operations and impede the execution of our strategy for the growth of our business.</w:t>
      </w:r>
    </w:p>
    <w:p w14:paraId="35D0911A" w14:textId="77777777" w:rsidR="00D42204" w:rsidRDefault="004E439D">
      <w:pPr>
        <w:spacing w:before="100"/>
      </w:pPr>
      <w:r>
        <w:rPr>
          <w:rFonts w:ascii="Times New Roman" w:eastAsia="宋体" w:hAnsi="Times New Roman"/>
          <w:b/>
          <w:bCs/>
          <w:color w:val="000000"/>
          <w:sz w:val="20"/>
          <w:szCs w:val="20"/>
        </w:rPr>
        <w:t>Any failure to maintain the privacy or security of the information relating to our company, customers, members, as</w:t>
      </w:r>
      <w:r>
        <w:rPr>
          <w:rFonts w:ascii="Times New Roman" w:eastAsia="宋体" w:hAnsi="Times New Roman"/>
          <w:b/>
          <w:bCs/>
          <w:color w:val="000000"/>
          <w:sz w:val="20"/>
          <w:szCs w:val="20"/>
        </w:rPr>
        <w:t>sociates and vendors, whether as a result of cyberattacks on our information systems or otherwise, could damage our reputation, result in litigation or other legal actions against us, cause us to incur substantial additional costs, and materially adversely</w:t>
      </w:r>
      <w:r>
        <w:rPr>
          <w:rFonts w:ascii="Times New Roman" w:eastAsia="宋体" w:hAnsi="Times New Roman"/>
          <w:b/>
          <w:bCs/>
          <w:color w:val="000000"/>
          <w:sz w:val="20"/>
          <w:szCs w:val="20"/>
        </w:rPr>
        <w:t xml:space="preserve"> affect our business and operating results.</w:t>
      </w:r>
    </w:p>
    <w:p w14:paraId="35D0911B" w14:textId="77777777" w:rsidR="00D42204" w:rsidRDefault="004E439D">
      <w:pPr>
        <w:spacing w:before="100"/>
      </w:pPr>
      <w:r>
        <w:rPr>
          <w:rFonts w:ascii="Times New Roman" w:eastAsia="宋体" w:hAnsi="Times New Roman"/>
          <w:color w:val="000000"/>
          <w:sz w:val="20"/>
          <w:szCs w:val="20"/>
        </w:rPr>
        <w:t xml:space="preserve">Like most retailers, we receive and store in our information systems personal information about our customers and members, and we receive and store information concerning our associates and vendors. Some of that </w:t>
      </w:r>
      <w:r>
        <w:rPr>
          <w:rFonts w:ascii="Times New Roman" w:eastAsia="宋体" w:hAnsi="Times New Roman"/>
          <w:color w:val="000000"/>
          <w:sz w:val="20"/>
          <w:szCs w:val="20"/>
        </w:rPr>
        <w:t>information is stored digitally in connection with the digital platforms that we use to conduct and facilitate our various businesses.</w:t>
      </w:r>
      <w:r>
        <w:rPr>
          <w:rFonts w:ascii="Times New Roman" w:eastAsia="宋体" w:hAnsi="Times New Roman"/>
          <w:color w:val="000000"/>
        </w:rPr>
        <w:t xml:space="preserve"> </w:t>
      </w:r>
      <w:r>
        <w:rPr>
          <w:rFonts w:ascii="Times New Roman" w:eastAsia="宋体" w:hAnsi="Times New Roman"/>
          <w:color w:val="000000"/>
          <w:sz w:val="20"/>
          <w:szCs w:val="20"/>
        </w:rPr>
        <w:t xml:space="preserve">In addition, we and our third-party service providers store and maintain health-related personal information, pharmacy, and medical records in connection with our health and wellness and pharmacy business. We also utilize third-party service providers for </w:t>
      </w:r>
      <w:r>
        <w:rPr>
          <w:rFonts w:ascii="Times New Roman" w:eastAsia="宋体" w:hAnsi="Times New Roman"/>
          <w:color w:val="000000"/>
          <w:sz w:val="20"/>
          <w:szCs w:val="20"/>
        </w:rPr>
        <w:t>a variety of reasons, including, without limitation, for digital storage technology, content delivery to customers and members, back-office support, and other functions. Such providers may have access to information we hold about our customers, members, as</w:t>
      </w:r>
      <w:r>
        <w:rPr>
          <w:rFonts w:ascii="Times New Roman" w:eastAsia="宋体" w:hAnsi="Times New Roman"/>
          <w:color w:val="000000"/>
          <w:sz w:val="20"/>
          <w:szCs w:val="20"/>
        </w:rPr>
        <w:t xml:space="preserve">sociates or </w:t>
      </w:r>
    </w:p>
    <w:p w14:paraId="35D0911C" w14:textId="77777777" w:rsidR="00D42204" w:rsidRDefault="004E439D">
      <w:pPr>
        <w:jc w:val="center"/>
      </w:pPr>
      <w:r>
        <w:rPr>
          <w:rFonts w:ascii="Times New Roman" w:eastAsia="宋体" w:hAnsi="Times New Roman"/>
          <w:color w:val="000000"/>
          <w:sz w:val="20"/>
          <w:szCs w:val="20"/>
        </w:rPr>
        <w:t>19</w:t>
      </w:r>
    </w:p>
    <w:p w14:paraId="35D0911D" w14:textId="77777777" w:rsidR="00D42204" w:rsidRDefault="004E439D">
      <w:r>
        <w:pict w14:anchorId="35D0C36C">
          <v:rect id="_x0000_i1043" style="width:415.3pt;height:1.5pt" o:hralign="center" o:hrstd="t" o:hr="t" fillcolor="#a0a0a0" stroked="f"/>
        </w:pict>
      </w:r>
    </w:p>
    <w:p w14:paraId="35D0911E" w14:textId="77777777" w:rsidR="00D42204" w:rsidRDefault="00D42204"/>
    <w:p w14:paraId="35D0911F" w14:textId="77777777" w:rsidR="00D42204" w:rsidRDefault="004E439D">
      <w:pPr>
        <w:spacing w:before="100"/>
      </w:pPr>
      <w:r>
        <w:rPr>
          <w:rFonts w:ascii="Times New Roman" w:eastAsia="宋体" w:hAnsi="Times New Roman"/>
          <w:color w:val="000000"/>
          <w:sz w:val="20"/>
          <w:szCs w:val="20"/>
        </w:rPr>
        <w:t>vendors. In addition, our eCommerce operations depend upon the secure transmission of confidential information over public networks, including information permitting cashless payments.</w:t>
      </w:r>
    </w:p>
    <w:p w14:paraId="35D09120" w14:textId="77777777" w:rsidR="00D42204" w:rsidRDefault="004E439D">
      <w:pPr>
        <w:spacing w:before="100"/>
      </w:pPr>
      <w:r>
        <w:rPr>
          <w:rFonts w:ascii="Times New Roman" w:eastAsia="宋体" w:hAnsi="Times New Roman"/>
          <w:color w:val="000000"/>
          <w:sz w:val="20"/>
          <w:szCs w:val="20"/>
        </w:rPr>
        <w:t>Cyber threats are rapidly evolving and those threats</w:t>
      </w:r>
      <w:r>
        <w:rPr>
          <w:rFonts w:ascii="Times New Roman" w:eastAsia="宋体" w:hAnsi="Times New Roman"/>
          <w:color w:val="000000"/>
          <w:sz w:val="20"/>
          <w:szCs w:val="20"/>
        </w:rPr>
        <w:t xml:space="preserve"> and the means for obtaining access to information in digital and other storage media are becoming increasingly sophisticated and frequent. Attacks against information systems and devices, whether our own or those of our third-party service providers, crea</w:t>
      </w:r>
      <w:r>
        <w:rPr>
          <w:rFonts w:ascii="Times New Roman" w:eastAsia="宋体" w:hAnsi="Times New Roman"/>
          <w:color w:val="000000"/>
          <w:sz w:val="20"/>
          <w:szCs w:val="20"/>
        </w:rPr>
        <w:t>te risk of cybersecurity incidents, including ransomware, malware, phishing incidents. We expect to continue to experience such attempted attacks in the future. Cyberattacks and threat actors can be sponsored by particular countries or sophisticated crimin</w:t>
      </w:r>
      <w:r>
        <w:rPr>
          <w:rFonts w:ascii="Times New Roman" w:eastAsia="宋体" w:hAnsi="Times New Roman"/>
          <w:color w:val="000000"/>
          <w:sz w:val="20"/>
          <w:szCs w:val="20"/>
        </w:rPr>
        <w:t>al organizations or be the work of hackers with a wide range of motives and expertise. We and the businesses with which we interact have experienced and continue to experience threats to data and systems, including by perpetrators of random or targeted mal</w:t>
      </w:r>
      <w:r>
        <w:rPr>
          <w:rFonts w:ascii="Times New Roman" w:eastAsia="宋体" w:hAnsi="Times New Roman"/>
          <w:color w:val="000000"/>
          <w:sz w:val="20"/>
          <w:szCs w:val="20"/>
        </w:rPr>
        <w:t>icious cyberattacks, computer viruses, phishing incidents, worms, bot attacks, ransomware or other destructive or disruptive software and attempts to misappropriate customer information, including credit card and payment information, and cause system failu</w:t>
      </w:r>
      <w:r>
        <w:rPr>
          <w:rFonts w:ascii="Times New Roman" w:eastAsia="宋体" w:hAnsi="Times New Roman"/>
          <w:color w:val="000000"/>
          <w:sz w:val="20"/>
          <w:szCs w:val="20"/>
        </w:rPr>
        <w:t>res and disruptions. Mitigation and remediation recommendations continue to evolve, and addressing vulnerabilities is a priority for us. The increased use of remote work infrastructure due to the COVID-19 pandemic has also increased the possible attack sur</w:t>
      </w:r>
      <w:r>
        <w:rPr>
          <w:rFonts w:ascii="Times New Roman" w:eastAsia="宋体" w:hAnsi="Times New Roman"/>
          <w:color w:val="000000"/>
          <w:sz w:val="20"/>
          <w:szCs w:val="20"/>
        </w:rPr>
        <w:t>faces. Some of our systems and third-party service providers' systems have experienced security incidents or breaches and although they did not have a material adverse effect on our operating results, there can be no assurance of a similar result in the fu</w:t>
      </w:r>
      <w:r>
        <w:rPr>
          <w:rFonts w:ascii="Times New Roman" w:eastAsia="宋体" w:hAnsi="Times New Roman"/>
          <w:color w:val="000000"/>
          <w:sz w:val="20"/>
          <w:szCs w:val="20"/>
        </w:rPr>
        <w:t>ture.</w:t>
      </w:r>
    </w:p>
    <w:p w14:paraId="35D09121" w14:textId="77777777" w:rsidR="00D42204" w:rsidRDefault="004E439D">
      <w:pPr>
        <w:spacing w:before="100"/>
      </w:pPr>
      <w:r>
        <w:rPr>
          <w:rFonts w:ascii="Times New Roman" w:eastAsia="宋体" w:hAnsi="Times New Roman"/>
          <w:color w:val="000000"/>
          <w:sz w:val="20"/>
          <w:szCs w:val="20"/>
        </w:rPr>
        <w:t>Associate error or malfeasance, faulty password management, social engineering or other vulnerabilities and irregularities may also result in a defeat of our or our third-party service providers' security measures and a compromise or breach of our or</w:t>
      </w:r>
      <w:r>
        <w:rPr>
          <w:rFonts w:ascii="Times New Roman" w:eastAsia="宋体" w:hAnsi="Times New Roman"/>
          <w:color w:val="000000"/>
          <w:sz w:val="20"/>
          <w:szCs w:val="20"/>
        </w:rPr>
        <w:t xml:space="preserve"> their information systems. Moreover, hardware, software or applications we use may have inherent vulnerabilities or defects of design, manufacture or operations or could be inadvertently or intentionally implemented or used in a manner that could compromi</w:t>
      </w:r>
      <w:r>
        <w:rPr>
          <w:rFonts w:ascii="Times New Roman" w:eastAsia="宋体" w:hAnsi="Times New Roman"/>
          <w:color w:val="000000"/>
          <w:sz w:val="20"/>
          <w:szCs w:val="20"/>
        </w:rPr>
        <w:t xml:space="preserve">se information security. </w:t>
      </w:r>
    </w:p>
    <w:p w14:paraId="35D09122" w14:textId="77777777" w:rsidR="00D42204" w:rsidRDefault="004E439D">
      <w:pPr>
        <w:spacing w:before="100"/>
      </w:pPr>
      <w:r>
        <w:rPr>
          <w:rFonts w:ascii="Times New Roman" w:eastAsia="宋体" w:hAnsi="Times New Roman"/>
          <w:color w:val="000000"/>
          <w:sz w:val="20"/>
          <w:szCs w:val="20"/>
        </w:rPr>
        <w:t>Any compromise of our data security systems or of those of businesses with which we interact, which results in confidential information being accessed, obtained, damaged, disclosed, destroyed, modified, lost or used by unauthorize</w:t>
      </w:r>
      <w:r>
        <w:rPr>
          <w:rFonts w:ascii="Times New Roman" w:eastAsia="宋体" w:hAnsi="Times New Roman"/>
          <w:color w:val="000000"/>
          <w:sz w:val="20"/>
          <w:szCs w:val="20"/>
        </w:rPr>
        <w:t xml:space="preserve">d persons could harm our reputation and expose us to regulatory actions (including, with respect to health information, liability under the Health Insurance Portability and Accountability Act of 1996, or "HIPAA"), customer attrition, remediation expenses, </w:t>
      </w:r>
      <w:r>
        <w:rPr>
          <w:rFonts w:ascii="Times New Roman" w:eastAsia="宋体" w:hAnsi="Times New Roman"/>
          <w:color w:val="000000"/>
          <w:sz w:val="20"/>
          <w:szCs w:val="20"/>
        </w:rPr>
        <w:t xml:space="preserve">and claims from customers, members, associates, vendors, financial institutions, payment card networks and other persons, any of which could materially and adversely affect our business operations, financial position and results of operations. Because the </w:t>
      </w:r>
      <w:r>
        <w:rPr>
          <w:rFonts w:ascii="Times New Roman" w:eastAsia="宋体" w:hAnsi="Times New Roman"/>
          <w:color w:val="000000"/>
          <w:sz w:val="20"/>
          <w:szCs w:val="20"/>
        </w:rPr>
        <w:t>techniques used to obtain unauthorized access, disable or degrade service, or sabotage systems change frequently and may not immediately produce signs of a compromise, we may be unable to anticipate these techniques or to implement adequate preventative me</w:t>
      </w:r>
      <w:r>
        <w:rPr>
          <w:rFonts w:ascii="Times New Roman" w:eastAsia="宋体" w:hAnsi="Times New Roman"/>
          <w:color w:val="000000"/>
          <w:sz w:val="20"/>
          <w:szCs w:val="20"/>
        </w:rPr>
        <w:t>asures and we or our third-party service providers may not discover any security event, breach, vulnerability or compromise of information for a significant period of time after the security incident occurs. To the extent that any cyberattack, ransomware o</w:t>
      </w:r>
      <w:r>
        <w:rPr>
          <w:rFonts w:ascii="Times New Roman" w:eastAsia="宋体" w:hAnsi="Times New Roman"/>
          <w:color w:val="000000"/>
          <w:sz w:val="20"/>
          <w:szCs w:val="20"/>
        </w:rPr>
        <w:t xml:space="preserve">r incursion in our or one of our third-party service provider's information systems results in the loss, damage, misappropriation or other compromise of information, we may be materially adversely affected by claims from customers, financial institutions, </w:t>
      </w:r>
      <w:r>
        <w:rPr>
          <w:rFonts w:ascii="Times New Roman" w:eastAsia="宋体" w:hAnsi="Times New Roman"/>
          <w:color w:val="000000"/>
          <w:sz w:val="20"/>
          <w:szCs w:val="20"/>
        </w:rPr>
        <w:t>regulatory authorities, payment card networks and others.</w:t>
      </w:r>
    </w:p>
    <w:p w14:paraId="35D09123" w14:textId="77777777" w:rsidR="00D42204" w:rsidRDefault="004E439D">
      <w:pPr>
        <w:spacing w:before="100"/>
      </w:pPr>
      <w:r>
        <w:rPr>
          <w:rFonts w:ascii="Times New Roman" w:eastAsia="宋体" w:hAnsi="Times New Roman"/>
          <w:color w:val="000000"/>
          <w:sz w:val="20"/>
          <w:szCs w:val="20"/>
        </w:rPr>
        <w:t>Our compliance programs, information technology, and enterprise risk management efforts cannot eliminate all systemic risk. Disruptions in our systems caused by security incidents, breaches or cyber</w:t>
      </w:r>
      <w:r>
        <w:rPr>
          <w:rFonts w:ascii="Times New Roman" w:eastAsia="宋体" w:hAnsi="Times New Roman"/>
          <w:color w:val="000000"/>
          <w:sz w:val="20"/>
          <w:szCs w:val="20"/>
        </w:rPr>
        <w:t>attacks – including attacks on those parties we do business with (such as strategic partners, suppliers, banks, or utility companies) – could harm our ability to conduct our operations, which may have a material effect on us, may result in losses that coul</w:t>
      </w:r>
      <w:r>
        <w:rPr>
          <w:rFonts w:ascii="Times New Roman" w:eastAsia="宋体" w:hAnsi="Times New Roman"/>
          <w:color w:val="000000"/>
          <w:sz w:val="20"/>
          <w:szCs w:val="20"/>
        </w:rPr>
        <w:t>d have a material adverse effect on our financial position or results of operations, or may have a cascading effect that adversely impacts our partners, third-party service providers, customers, financial services firms, and other third parties that we int</w:t>
      </w:r>
      <w:r>
        <w:rPr>
          <w:rFonts w:ascii="Times New Roman" w:eastAsia="宋体" w:hAnsi="Times New Roman"/>
          <w:color w:val="000000"/>
          <w:sz w:val="20"/>
          <w:szCs w:val="20"/>
        </w:rPr>
        <w:t>eract with on a regular basis.</w:t>
      </w:r>
    </w:p>
    <w:p w14:paraId="35D09124" w14:textId="77777777" w:rsidR="00D42204" w:rsidRDefault="004E439D">
      <w:pPr>
        <w:spacing w:before="100"/>
      </w:pPr>
      <w:r>
        <w:rPr>
          <w:rFonts w:ascii="Times New Roman" w:eastAsia="宋体" w:hAnsi="Times New Roman"/>
          <w:color w:val="000000"/>
          <w:sz w:val="20"/>
          <w:szCs w:val="20"/>
        </w:rPr>
        <w:t xml:space="preserve">In addition, such security-related events could be widely publicized and could materially adversely affect our reputation with our customers, members, associates, vendors and shareholders, could harm our competitive position </w:t>
      </w:r>
      <w:r>
        <w:rPr>
          <w:rFonts w:ascii="Times New Roman" w:eastAsia="宋体" w:hAnsi="Times New Roman"/>
          <w:color w:val="000000"/>
          <w:sz w:val="20"/>
          <w:szCs w:val="20"/>
        </w:rPr>
        <w:t xml:space="preserve">particularly with respect to our eCommerce operations, and could result in a material reduction in our net sales in our eCommerce operations, as well as in our stores thereby materially adversely affecting our operations, net sales, results of operations, </w:t>
      </w:r>
      <w:r>
        <w:rPr>
          <w:rFonts w:ascii="Times New Roman" w:eastAsia="宋体" w:hAnsi="Times New Roman"/>
          <w:color w:val="000000"/>
          <w:sz w:val="20"/>
          <w:szCs w:val="20"/>
        </w:rPr>
        <w:t>financial position, cash flows and liquidity. Such events could also result in the release to the public of confidential information about our operations and financial position and performance and could result in litigation or other legal actions against u</w:t>
      </w:r>
      <w:r>
        <w:rPr>
          <w:rFonts w:ascii="Times New Roman" w:eastAsia="宋体" w:hAnsi="Times New Roman"/>
          <w:color w:val="000000"/>
          <w:sz w:val="20"/>
          <w:szCs w:val="20"/>
        </w:rPr>
        <w:t>s or the imposition of penalties, fines, fees or liabilities, which may not be covered by our insurance policies. Moreover, a security compromise or ransomware event could require us to devote significant management resources to address the problems create</w:t>
      </w:r>
      <w:r>
        <w:rPr>
          <w:rFonts w:ascii="Times New Roman" w:eastAsia="宋体" w:hAnsi="Times New Roman"/>
          <w:color w:val="000000"/>
          <w:sz w:val="20"/>
          <w:szCs w:val="20"/>
        </w:rPr>
        <w:t>d by the issue and to expend significant additional resources to upgrade further the security measures we employ to guard personal and confidential information against cyberattacks and other attempts to access or otherwise compromise such information and c</w:t>
      </w:r>
      <w:r>
        <w:rPr>
          <w:rFonts w:ascii="Times New Roman" w:eastAsia="宋体" w:hAnsi="Times New Roman"/>
          <w:color w:val="000000"/>
          <w:sz w:val="20"/>
          <w:szCs w:val="20"/>
        </w:rPr>
        <w:t>ould result in a disruption of our operations, particularly our digital operations.</w:t>
      </w:r>
    </w:p>
    <w:p w14:paraId="35D09125" w14:textId="77777777" w:rsidR="00D42204" w:rsidRDefault="004E439D">
      <w:pPr>
        <w:spacing w:before="100"/>
      </w:pPr>
      <w:r>
        <w:rPr>
          <w:rFonts w:ascii="Times New Roman" w:eastAsia="宋体" w:hAnsi="Times New Roman"/>
          <w:color w:val="000000"/>
          <w:sz w:val="20"/>
          <w:szCs w:val="20"/>
        </w:rPr>
        <w:t>We accept payments using a variety of methods, including cash, checks, credit and debit cards, and our private label credit cards and gift cards, and we may offer new payme</w:t>
      </w:r>
      <w:r>
        <w:rPr>
          <w:rFonts w:ascii="Times New Roman" w:eastAsia="宋体" w:hAnsi="Times New Roman"/>
          <w:color w:val="000000"/>
          <w:sz w:val="20"/>
          <w:szCs w:val="20"/>
        </w:rPr>
        <w:t xml:space="preserve">nt options over time, which may have information security risk implications. As a retailer accepting debit and credit cards for payment, we are subject to various industry data protection standards and protocols, such as payment network security operating </w:t>
      </w:r>
      <w:r>
        <w:rPr>
          <w:rFonts w:ascii="Times New Roman" w:eastAsia="宋体" w:hAnsi="Times New Roman"/>
          <w:color w:val="000000"/>
          <w:sz w:val="20"/>
          <w:szCs w:val="20"/>
        </w:rPr>
        <w:t xml:space="preserve">guidelines and the Payment Card Industry Data Security Standard. We cannot be certain that the security measures we maintain to protect all of our information technology systems are able to prevent, contain or detect cyberattacks, cyberterrorism, security </w:t>
      </w:r>
      <w:r>
        <w:rPr>
          <w:rFonts w:ascii="Times New Roman" w:eastAsia="宋体" w:hAnsi="Times New Roman"/>
          <w:color w:val="000000"/>
          <w:sz w:val="20"/>
          <w:szCs w:val="20"/>
        </w:rPr>
        <w:t xml:space="preserve">incidents, breaches, or other compromises from known malware or ransomware or other threats that may be developed in the future. In certain circumstances, our contracts with </w:t>
      </w:r>
    </w:p>
    <w:p w14:paraId="35D09126" w14:textId="77777777" w:rsidR="00D42204" w:rsidRDefault="004E439D">
      <w:pPr>
        <w:jc w:val="center"/>
      </w:pPr>
      <w:r>
        <w:rPr>
          <w:rFonts w:ascii="Times New Roman" w:eastAsia="宋体" w:hAnsi="Times New Roman"/>
          <w:color w:val="000000"/>
          <w:sz w:val="20"/>
          <w:szCs w:val="20"/>
        </w:rPr>
        <w:t>20</w:t>
      </w:r>
    </w:p>
    <w:p w14:paraId="35D09127" w14:textId="77777777" w:rsidR="00D42204" w:rsidRDefault="004E439D">
      <w:r>
        <w:pict w14:anchorId="35D0C36D">
          <v:rect id="_x0000_i1044" style="width:415.3pt;height:1.5pt" o:hralign="center" o:hrstd="t" o:hr="t" fillcolor="#a0a0a0" stroked="f"/>
        </w:pict>
      </w:r>
    </w:p>
    <w:p w14:paraId="35D09128" w14:textId="77777777" w:rsidR="00D42204" w:rsidRDefault="00D42204"/>
    <w:p w14:paraId="35D09129" w14:textId="77777777" w:rsidR="00D42204" w:rsidRDefault="004E439D">
      <w:pPr>
        <w:spacing w:before="100"/>
      </w:pPr>
      <w:r>
        <w:rPr>
          <w:rFonts w:ascii="Times New Roman" w:eastAsia="宋体" w:hAnsi="Times New Roman"/>
          <w:color w:val="000000"/>
          <w:sz w:val="20"/>
          <w:szCs w:val="20"/>
        </w:rPr>
        <w:t>payment card processors and payment card networks (such as Visa, Mastercard</w:t>
      </w:r>
      <w:r>
        <w:rPr>
          <w:rFonts w:ascii="Times New Roman" w:eastAsia="宋体" w:hAnsi="Times New Roman"/>
          <w:color w:val="000000"/>
          <w:sz w:val="20"/>
          <w:szCs w:val="20"/>
        </w:rPr>
        <w:t>, American Express and Discover) generally require us to adhere to payment card network rules which could make us liable to payment card issuers and others if information in connection with payment cards and payment card transactions that we process is com</w:t>
      </w:r>
      <w:r>
        <w:rPr>
          <w:rFonts w:ascii="Times New Roman" w:eastAsia="宋体" w:hAnsi="Times New Roman"/>
          <w:color w:val="000000"/>
          <w:sz w:val="20"/>
          <w:szCs w:val="20"/>
        </w:rPr>
        <w:t xml:space="preserve">promised, which liabilities could be substantial. </w:t>
      </w:r>
    </w:p>
    <w:p w14:paraId="35D0912A" w14:textId="77777777" w:rsidR="00D42204" w:rsidRDefault="004E439D">
      <w:pPr>
        <w:spacing w:before="100"/>
      </w:pPr>
      <w:r>
        <w:rPr>
          <w:rFonts w:ascii="Times New Roman" w:eastAsia="宋体" w:hAnsi="Times New Roman"/>
          <w:color w:val="000000"/>
          <w:sz w:val="20"/>
          <w:szCs w:val="20"/>
        </w:rPr>
        <w:t>Additionally, through various financial service partners, we offer money transfers, digital payment platforms, bill payment, money orders, check cashing, prepaid access, co-branded credits cards, installme</w:t>
      </w:r>
      <w:r>
        <w:rPr>
          <w:rFonts w:ascii="Times New Roman" w:eastAsia="宋体" w:hAnsi="Times New Roman"/>
          <w:color w:val="000000"/>
          <w:sz w:val="20"/>
          <w:szCs w:val="20"/>
        </w:rPr>
        <w:t>nt lending, and earned wage access. These products and services require us to comply with legal and regulatory requirements, including global anti-money laundering and sanctions laws and regulations as well as international, federal and state consumer fina</w:t>
      </w:r>
      <w:r>
        <w:rPr>
          <w:rFonts w:ascii="Times New Roman" w:eastAsia="宋体" w:hAnsi="Times New Roman"/>
          <w:color w:val="000000"/>
          <w:sz w:val="20"/>
          <w:szCs w:val="20"/>
        </w:rPr>
        <w:t>ncial laws and regulations. Failure to comply with these laws and regulations could result in fines, sanctions, penalties and harm to our reputation.</w:t>
      </w:r>
    </w:p>
    <w:p w14:paraId="35D0912B" w14:textId="77777777" w:rsidR="00D42204" w:rsidRDefault="004E439D">
      <w:pPr>
        <w:spacing w:before="100"/>
      </w:pPr>
      <w:r>
        <w:rPr>
          <w:rFonts w:ascii="Times New Roman" w:eastAsia="宋体" w:hAnsi="Times New Roman"/>
          <w:color w:val="000000"/>
          <w:sz w:val="20"/>
          <w:szCs w:val="20"/>
        </w:rPr>
        <w:t>The Company also has compliance obligations associated with privacy laws enacted to protect and regulate t</w:t>
      </w:r>
      <w:r>
        <w:rPr>
          <w:rFonts w:ascii="Times New Roman" w:eastAsia="宋体" w:hAnsi="Times New Roman"/>
          <w:color w:val="000000"/>
          <w:sz w:val="20"/>
          <w:szCs w:val="20"/>
        </w:rPr>
        <w:t>he collection, use, retention, disclosure and transfer of personal information, which include liability for security and privacy breaches. Among other obligations, breaches may trigger obligations under federal and state laws to notify affected individuals</w:t>
      </w:r>
      <w:r>
        <w:rPr>
          <w:rFonts w:ascii="Times New Roman" w:eastAsia="宋体" w:hAnsi="Times New Roman"/>
          <w:color w:val="000000"/>
          <w:sz w:val="20"/>
          <w:szCs w:val="20"/>
        </w:rPr>
        <w:t>, government agencies and the media. Consequently, cybersecurity attacks that cause a data breach could subject us to fines, sanctions and other legal liability and harm our reputation.</w:t>
      </w:r>
      <w:r>
        <w:rPr>
          <w:rFonts w:ascii="Times New Roman" w:eastAsia="宋体" w:hAnsi="Times New Roman"/>
          <w:color w:val="000000"/>
          <w:sz w:val="22"/>
          <w:szCs w:val="22"/>
        </w:rPr>
        <w:t xml:space="preserve"> </w:t>
      </w:r>
    </w:p>
    <w:p w14:paraId="35D0912C" w14:textId="77777777" w:rsidR="00D42204" w:rsidRDefault="004E439D">
      <w:pPr>
        <w:spacing w:before="180"/>
      </w:pPr>
      <w:r>
        <w:rPr>
          <w:rFonts w:ascii="Times New Roman" w:eastAsia="宋体" w:hAnsi="Times New Roman"/>
          <w:b/>
          <w:bCs/>
          <w:color w:val="000000"/>
          <w:sz w:val="20"/>
          <w:szCs w:val="20"/>
        </w:rPr>
        <w:t>Changes in the results of our health and wellness business could adve</w:t>
      </w:r>
      <w:r>
        <w:rPr>
          <w:rFonts w:ascii="Times New Roman" w:eastAsia="宋体" w:hAnsi="Times New Roman"/>
          <w:b/>
          <w:bCs/>
          <w:color w:val="000000"/>
          <w:sz w:val="20"/>
          <w:szCs w:val="20"/>
        </w:rPr>
        <w:t>rsely affect our overall results of operations, cash flows and liquidity.</w:t>
      </w:r>
    </w:p>
    <w:p w14:paraId="35D0912D" w14:textId="77777777" w:rsidR="00D42204" w:rsidRDefault="004E439D">
      <w:pPr>
        <w:spacing w:before="100"/>
      </w:pPr>
      <w:r>
        <w:rPr>
          <w:rFonts w:ascii="Times New Roman" w:eastAsia="宋体" w:hAnsi="Times New Roman"/>
          <w:color w:val="000000"/>
          <w:sz w:val="20"/>
          <w:szCs w:val="20"/>
        </w:rPr>
        <w:t xml:space="preserve">Walmart has retail pharmacy operations in our Walmart U.S. and Sam's Club segments, as well as the recent addition of Walmart Health locations in a number of states which offer </w:t>
      </w:r>
      <w:r>
        <w:rPr>
          <w:rFonts w:ascii="Times New Roman" w:eastAsia="宋体" w:hAnsi="Times New Roman"/>
          <w:color w:val="000000"/>
          <w:sz w:val="20"/>
          <w:szCs w:val="20"/>
        </w:rPr>
        <w:t>medical, dental, optometry, immunizations, and other health services. A large majority of our retail pharmacy net sales are generated by filling prescriptions for which we receive payment through established contractual relationships with third-party payer</w:t>
      </w:r>
      <w:r>
        <w:rPr>
          <w:rFonts w:ascii="Times New Roman" w:eastAsia="宋体" w:hAnsi="Times New Roman"/>
          <w:color w:val="000000"/>
          <w:sz w:val="20"/>
          <w:szCs w:val="20"/>
        </w:rPr>
        <w:t>s and payment administrators, such as private insurers, governmental agencies and pharmacy benefit managers ("PBMs").</w:t>
      </w:r>
    </w:p>
    <w:p w14:paraId="35D0912E" w14:textId="77777777" w:rsidR="00D42204" w:rsidRDefault="004E439D">
      <w:pPr>
        <w:spacing w:before="100"/>
      </w:pPr>
      <w:r>
        <w:rPr>
          <w:rFonts w:ascii="Times New Roman" w:eastAsia="宋体" w:hAnsi="Times New Roman"/>
          <w:color w:val="000000"/>
          <w:sz w:val="20"/>
          <w:szCs w:val="20"/>
        </w:rPr>
        <w:t>These operations are subject to numerous risks, including: reductions in the third-party reimbursement rates for drugs; changes in our pay</w:t>
      </w:r>
      <w:r>
        <w:rPr>
          <w:rFonts w:ascii="Times New Roman" w:eastAsia="宋体" w:hAnsi="Times New Roman"/>
          <w:color w:val="000000"/>
          <w:sz w:val="20"/>
          <w:szCs w:val="20"/>
        </w:rPr>
        <w:t>er mix (i.e., shifts in the relative distribution of our pharmacy customers across drug insurance plans and programs toward plans and programs with less favorable reimbursement terms); changes in third-party payer drug formularies (i.e., the schedule of pr</w:t>
      </w:r>
      <w:r>
        <w:rPr>
          <w:rFonts w:ascii="Times New Roman" w:eastAsia="宋体" w:hAnsi="Times New Roman"/>
          <w:color w:val="000000"/>
          <w:sz w:val="20"/>
          <w:szCs w:val="20"/>
        </w:rPr>
        <w:t>escription drugs approved for reimbursement or which otherwise receive preferential coverage treatment); growth in, and our participation in or exclusion from, pharmacy payer network arrangements including exclusive and preferred pharmacy network arrangeme</w:t>
      </w:r>
      <w:r>
        <w:rPr>
          <w:rFonts w:ascii="Times New Roman" w:eastAsia="宋体" w:hAnsi="Times New Roman"/>
          <w:color w:val="000000"/>
          <w:sz w:val="20"/>
          <w:szCs w:val="20"/>
        </w:rPr>
        <w:t>nts operated by PBMs and/or any insurance plan or program; increases in the prices we pay for brand name and generic prescription drugs we sell; increases in the administrative burdens associated with seeking third-party reimbursement; changes in the frequ</w:t>
      </w:r>
      <w:r>
        <w:rPr>
          <w:rFonts w:ascii="Times New Roman" w:eastAsia="宋体" w:hAnsi="Times New Roman"/>
          <w:color w:val="000000"/>
          <w:sz w:val="20"/>
          <w:szCs w:val="20"/>
        </w:rPr>
        <w:t>ency with which new brand name pharmaceuticals become available to consumers; introduction of lower cost generic drugs as substitutes for existing brand name drugs for which there was no prior generic drug competition; changes in drug mix (i.e., the relati</w:t>
      </w:r>
      <w:r>
        <w:rPr>
          <w:rFonts w:ascii="Times New Roman" w:eastAsia="宋体" w:hAnsi="Times New Roman"/>
          <w:color w:val="000000"/>
          <w:sz w:val="20"/>
          <w:szCs w:val="20"/>
        </w:rPr>
        <w:t>ve distribution of drugs customers purchase at our pharmacies between brands and generics); changes in the health insurance market generally; changes in the scope of or the elimination of Medicare Part D or Medicaid drug programs; increased competition fro</w:t>
      </w:r>
      <w:r>
        <w:rPr>
          <w:rFonts w:ascii="Times New Roman" w:eastAsia="宋体" w:hAnsi="Times New Roman"/>
          <w:color w:val="000000"/>
          <w:sz w:val="20"/>
          <w:szCs w:val="20"/>
        </w:rPr>
        <w:t>m other retail pharmacy operations including competitors offering online retail pharmacy options with or without home delivery options; further consolidation and strategic alliances among third-party payers, PBMs or purchasers of drugs; overall economic co</w:t>
      </w:r>
      <w:r>
        <w:rPr>
          <w:rFonts w:ascii="Times New Roman" w:eastAsia="宋体" w:hAnsi="Times New Roman"/>
          <w:color w:val="000000"/>
          <w:sz w:val="20"/>
          <w:szCs w:val="20"/>
        </w:rPr>
        <w:t>nditions and the ability of our pharmacy customers to pay for drugs prescribed for them to the extent the costs are not reimbursed by a third-party; failure to meet any performance or incentive thresholds to which our level of third-party reimbursement may</w:t>
      </w:r>
      <w:r>
        <w:rPr>
          <w:rFonts w:ascii="Times New Roman" w:eastAsia="宋体" w:hAnsi="Times New Roman"/>
          <w:color w:val="000000"/>
          <w:sz w:val="20"/>
          <w:szCs w:val="20"/>
        </w:rPr>
        <w:t xml:space="preserve"> be subject; changes in laws or regulations or the practices of third-party payers and PBMs related to the use of third-party financial assistance to assist our pharmacy customers with paying for drugs prescribed for them; and any additional</w:t>
      </w:r>
      <w:r>
        <w:rPr>
          <w:rFonts w:ascii="Times New Roman" w:eastAsia="宋体" w:hAnsi="Times New Roman"/>
          <w:color w:val="000000"/>
        </w:rPr>
        <w:t xml:space="preserve"> </w:t>
      </w:r>
      <w:r>
        <w:rPr>
          <w:rFonts w:ascii="Times New Roman" w:eastAsia="宋体" w:hAnsi="Times New Roman"/>
          <w:color w:val="000000"/>
          <w:sz w:val="20"/>
          <w:szCs w:val="20"/>
        </w:rPr>
        <w:t>changes in the</w:t>
      </w:r>
      <w:r>
        <w:rPr>
          <w:rFonts w:ascii="Times New Roman" w:eastAsia="宋体" w:hAnsi="Times New Roman"/>
          <w:color w:val="000000"/>
          <w:sz w:val="20"/>
          <w:szCs w:val="20"/>
        </w:rPr>
        <w:t xml:space="preserve"> regulatory environment for the retail pharmacy industry and the pharmaceutical industry, including as a result of restrictions on the further implementation of or the repeal of the Patient Protection and Affordable Care Act or the enactment and implementa</w:t>
      </w:r>
      <w:r>
        <w:rPr>
          <w:rFonts w:ascii="Times New Roman" w:eastAsia="宋体" w:hAnsi="Times New Roman"/>
          <w:color w:val="000000"/>
          <w:sz w:val="20"/>
          <w:szCs w:val="20"/>
        </w:rPr>
        <w:t>tion of a law replacing such act, and other changes in laws, rules and regulations that affect our retail pharmacy business.</w:t>
      </w:r>
    </w:p>
    <w:p w14:paraId="35D0912F" w14:textId="77777777" w:rsidR="00D42204" w:rsidRDefault="004E439D">
      <w:pPr>
        <w:spacing w:before="100"/>
      </w:pPr>
      <w:r>
        <w:rPr>
          <w:rFonts w:ascii="Times New Roman" w:eastAsia="宋体" w:hAnsi="Times New Roman"/>
          <w:color w:val="000000"/>
          <w:sz w:val="20"/>
          <w:szCs w:val="20"/>
        </w:rPr>
        <w:t>If the supply of certain pharmaceuticals provided by one or more of our vendors were to be disrupted for any reason, our pharmacy o</w:t>
      </w:r>
      <w:r>
        <w:rPr>
          <w:rFonts w:ascii="Times New Roman" w:eastAsia="宋体" w:hAnsi="Times New Roman"/>
          <w:color w:val="000000"/>
          <w:sz w:val="20"/>
          <w:szCs w:val="20"/>
        </w:rPr>
        <w:t>perations could be severely affected until at least such time as we could obtain a new supplier for such pharmaceuticals. Any such disruption could cause reputational damage and result in a significant number of our pharmacy customers transferring their pr</w:t>
      </w:r>
      <w:r>
        <w:rPr>
          <w:rFonts w:ascii="Times New Roman" w:eastAsia="宋体" w:hAnsi="Times New Roman"/>
          <w:color w:val="000000"/>
          <w:sz w:val="20"/>
          <w:szCs w:val="20"/>
        </w:rPr>
        <w:t>escriptions to other pharmacies.</w:t>
      </w:r>
    </w:p>
    <w:p w14:paraId="35D09130" w14:textId="77777777" w:rsidR="00D42204" w:rsidRDefault="004E439D">
      <w:pPr>
        <w:spacing w:before="100"/>
      </w:pPr>
      <w:r>
        <w:rPr>
          <w:rFonts w:ascii="Times New Roman" w:eastAsia="宋体" w:hAnsi="Times New Roman"/>
          <w:color w:val="000000"/>
          <w:sz w:val="20"/>
          <w:szCs w:val="20"/>
        </w:rPr>
        <w:t>One or a combination of such factors may adversely affect the volumes of brand name and generic pharmaceuticals we sell, our cost of sales associated with our retail pharmacy operations, and the net sales and gross margin o</w:t>
      </w:r>
      <w:r>
        <w:rPr>
          <w:rFonts w:ascii="Times New Roman" w:eastAsia="宋体" w:hAnsi="Times New Roman"/>
          <w:color w:val="000000"/>
          <w:sz w:val="20"/>
          <w:szCs w:val="20"/>
        </w:rPr>
        <w:t>f those operations or result in the loss of cross-store or cross-club selling opportunities and, in turn, adversely affect our overall net sales, other results of operations, cash flows and liquidity.</w:t>
      </w:r>
    </w:p>
    <w:p w14:paraId="35D09131" w14:textId="77777777" w:rsidR="00D42204" w:rsidRDefault="004E439D">
      <w:pPr>
        <w:spacing w:before="180"/>
      </w:pPr>
      <w:r>
        <w:rPr>
          <w:rFonts w:ascii="Times New Roman" w:eastAsia="宋体" w:hAnsi="Times New Roman"/>
          <w:b/>
          <w:bCs/>
          <w:color w:val="000000"/>
          <w:sz w:val="20"/>
          <w:szCs w:val="20"/>
        </w:rPr>
        <w:t>Our failure to attract and retain qualified associates,</w:t>
      </w:r>
      <w:r>
        <w:rPr>
          <w:rFonts w:ascii="Times New Roman" w:eastAsia="宋体" w:hAnsi="Times New Roman"/>
          <w:b/>
          <w:bCs/>
          <w:color w:val="000000"/>
          <w:sz w:val="20"/>
          <w:szCs w:val="20"/>
        </w:rPr>
        <w:t xml:space="preserve"> increases in wage and benefit costs, changes in laws and other labor issues could materially adversely affect our financial performance.</w:t>
      </w:r>
    </w:p>
    <w:p w14:paraId="35D09132" w14:textId="77777777" w:rsidR="00D42204" w:rsidRDefault="004E439D">
      <w:pPr>
        <w:spacing w:before="100"/>
      </w:pPr>
      <w:r>
        <w:rPr>
          <w:rFonts w:ascii="Times New Roman" w:eastAsia="宋体" w:hAnsi="Times New Roman"/>
          <w:color w:val="000000"/>
          <w:sz w:val="20"/>
          <w:szCs w:val="20"/>
        </w:rPr>
        <w:t xml:space="preserve">Our ability to continue to conduct and expand our operations depends on our ability to attract and retain a large and </w:t>
      </w:r>
      <w:r>
        <w:rPr>
          <w:rFonts w:ascii="Times New Roman" w:eastAsia="宋体" w:hAnsi="Times New Roman"/>
          <w:color w:val="000000"/>
          <w:sz w:val="20"/>
          <w:szCs w:val="20"/>
        </w:rPr>
        <w:t>growing number of qualified associates globally. Our ability to meet our labor needs, including our ability to find qualified personnel to fill positions that become vacant at our existing stores, clubs, distribution and fulfillment centers and corporate o</w:t>
      </w:r>
      <w:r>
        <w:rPr>
          <w:rFonts w:ascii="Times New Roman" w:eastAsia="宋体" w:hAnsi="Times New Roman"/>
          <w:color w:val="000000"/>
          <w:sz w:val="20"/>
          <w:szCs w:val="20"/>
        </w:rPr>
        <w:t xml:space="preserve">ffices, while </w:t>
      </w:r>
    </w:p>
    <w:p w14:paraId="35D09133" w14:textId="77777777" w:rsidR="00D42204" w:rsidRDefault="004E439D">
      <w:pPr>
        <w:jc w:val="center"/>
      </w:pPr>
      <w:r>
        <w:rPr>
          <w:rFonts w:ascii="Times New Roman" w:eastAsia="宋体" w:hAnsi="Times New Roman"/>
          <w:color w:val="000000"/>
          <w:sz w:val="20"/>
          <w:szCs w:val="20"/>
        </w:rPr>
        <w:t>21</w:t>
      </w:r>
    </w:p>
    <w:p w14:paraId="35D09134" w14:textId="77777777" w:rsidR="00D42204" w:rsidRDefault="004E439D">
      <w:r>
        <w:pict w14:anchorId="35D0C36E">
          <v:rect id="_x0000_i1045" style="width:415.3pt;height:1.5pt" o:hralign="center" o:hrstd="t" o:hr="t" fillcolor="#a0a0a0" stroked="f"/>
        </w:pict>
      </w:r>
    </w:p>
    <w:p w14:paraId="35D09135" w14:textId="77777777" w:rsidR="00D42204" w:rsidRDefault="00D42204"/>
    <w:p w14:paraId="35D09136" w14:textId="77777777" w:rsidR="00D42204" w:rsidRDefault="004E439D">
      <w:pPr>
        <w:spacing w:before="100"/>
      </w:pPr>
      <w:r>
        <w:rPr>
          <w:rFonts w:ascii="Times New Roman" w:eastAsia="宋体" w:hAnsi="Times New Roman"/>
          <w:color w:val="000000"/>
          <w:sz w:val="20"/>
          <w:szCs w:val="20"/>
        </w:rPr>
        <w:t>controlling our associate wage and related labor costs, is generally subject to numerous external factors, including the availability of a sufficient number of qualified persons in the work force of the markets in which we operate, une</w:t>
      </w:r>
      <w:r>
        <w:rPr>
          <w:rFonts w:ascii="Times New Roman" w:eastAsia="宋体" w:hAnsi="Times New Roman"/>
          <w:color w:val="000000"/>
          <w:sz w:val="20"/>
          <w:szCs w:val="20"/>
        </w:rPr>
        <w:t>mployment levels within those markets, prevailing wage rates, changing demographics, health and other insurance costs and adoption of new or revised employment and labor laws and regulations. Additionally, our ability to successfully execute organizational</w:t>
      </w:r>
      <w:r>
        <w:rPr>
          <w:rFonts w:ascii="Times New Roman" w:eastAsia="宋体" w:hAnsi="Times New Roman"/>
          <w:color w:val="000000"/>
          <w:sz w:val="20"/>
          <w:szCs w:val="20"/>
        </w:rPr>
        <w:t xml:space="preserve"> changes, including management transitions within the Company's senior leadership, and to effectively motivate and retain associates are critical to our business success.</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If we are unable to locate, attract or retain qualified personnel, or manage leadersh</w:t>
      </w:r>
      <w:r>
        <w:rPr>
          <w:rFonts w:ascii="Times New Roman" w:eastAsia="宋体" w:hAnsi="Times New Roman"/>
          <w:color w:val="000000"/>
          <w:sz w:val="20"/>
          <w:szCs w:val="20"/>
        </w:rPr>
        <w:t>ip transition successfully, the quality of service we provide to our customers may decrease and our financial performance may be adversely affected.</w:t>
      </w:r>
    </w:p>
    <w:p w14:paraId="35D09137" w14:textId="77777777" w:rsidR="00D42204" w:rsidRDefault="004E439D">
      <w:pPr>
        <w:spacing w:before="100"/>
      </w:pPr>
      <w:r>
        <w:rPr>
          <w:rFonts w:ascii="Times New Roman" w:eastAsia="宋体" w:hAnsi="Times New Roman"/>
          <w:color w:val="000000"/>
          <w:sz w:val="20"/>
          <w:szCs w:val="20"/>
        </w:rPr>
        <w:t>In addition, if our costs of labor or related costs increase for other reasons or if new or revised labor l</w:t>
      </w:r>
      <w:r>
        <w:rPr>
          <w:rFonts w:ascii="Times New Roman" w:eastAsia="宋体" w:hAnsi="Times New Roman"/>
          <w:color w:val="000000"/>
          <w:sz w:val="20"/>
          <w:szCs w:val="20"/>
        </w:rPr>
        <w:t>aws, rules or regulations or healthcare laws are adopted or implemented that further increase our labor costs, our financial performance could be materially adversely affected.</w:t>
      </w:r>
    </w:p>
    <w:p w14:paraId="35D09138" w14:textId="77777777" w:rsidR="00D42204" w:rsidRDefault="004E439D">
      <w:pPr>
        <w:spacing w:before="180"/>
      </w:pPr>
      <w:r>
        <w:rPr>
          <w:rFonts w:ascii="Times New Roman" w:eastAsia="宋体" w:hAnsi="Times New Roman"/>
          <w:b/>
          <w:bCs/>
          <w:color w:val="000000"/>
          <w:sz w:val="20"/>
          <w:szCs w:val="20"/>
          <w:u w:val="single"/>
        </w:rPr>
        <w:t>Financial Risks</w:t>
      </w:r>
    </w:p>
    <w:p w14:paraId="35D09139" w14:textId="77777777" w:rsidR="00D42204" w:rsidRDefault="004E439D">
      <w:pPr>
        <w:spacing w:before="180"/>
      </w:pPr>
      <w:r>
        <w:rPr>
          <w:rFonts w:ascii="Times New Roman" w:eastAsia="宋体" w:hAnsi="Times New Roman"/>
          <w:b/>
          <w:bCs/>
          <w:color w:val="000000"/>
          <w:sz w:val="20"/>
          <w:szCs w:val="20"/>
        </w:rPr>
        <w:t xml:space="preserve">Failure to meet market expectations for our financial </w:t>
      </w:r>
      <w:r>
        <w:rPr>
          <w:rFonts w:ascii="Times New Roman" w:eastAsia="宋体" w:hAnsi="Times New Roman"/>
          <w:b/>
          <w:bCs/>
          <w:color w:val="000000"/>
          <w:sz w:val="20"/>
          <w:szCs w:val="20"/>
        </w:rPr>
        <w:t>performance could adversely affect the market price and volatility of our stock.</w:t>
      </w:r>
    </w:p>
    <w:p w14:paraId="35D0913A" w14:textId="77777777" w:rsidR="00D42204" w:rsidRDefault="004E439D">
      <w:pPr>
        <w:spacing w:before="100"/>
      </w:pPr>
      <w:r>
        <w:rPr>
          <w:rFonts w:ascii="Times New Roman" w:eastAsia="宋体" w:hAnsi="Times New Roman"/>
          <w:color w:val="000000"/>
          <w:sz w:val="20"/>
          <w:szCs w:val="20"/>
        </w:rPr>
        <w:t>We believe that the price of our stock generally reflects high market expectations for our future operating results. Any failure to meet or delay in meeting these expectations</w:t>
      </w:r>
      <w:r>
        <w:rPr>
          <w:rFonts w:ascii="Times New Roman" w:eastAsia="宋体" w:hAnsi="Times New Roman"/>
          <w:color w:val="000000"/>
          <w:sz w:val="20"/>
          <w:szCs w:val="20"/>
        </w:rPr>
        <w:t>, including our consolidated net sales, consolidated operating income, capital expenditures, comparable store and club sales growth rates, eCommerce growth rates, gross margin, or earnings and adjusted earnings per share could cause the market price of our</w:t>
      </w:r>
      <w:r>
        <w:rPr>
          <w:rFonts w:ascii="Times New Roman" w:eastAsia="宋体" w:hAnsi="Times New Roman"/>
          <w:color w:val="000000"/>
          <w:sz w:val="20"/>
          <w:szCs w:val="20"/>
        </w:rPr>
        <w:t xml:space="preserve"> stock to decline, as could changes in our dividend or stock repurchase programs or policies, changes in our effective tax rates, changes in our financial estimates and recommendations by securities analysts or, failure of Walmart's performance to compare </w:t>
      </w:r>
      <w:r>
        <w:rPr>
          <w:rFonts w:ascii="Times New Roman" w:eastAsia="宋体" w:hAnsi="Times New Roman"/>
          <w:color w:val="000000"/>
          <w:sz w:val="20"/>
          <w:szCs w:val="20"/>
        </w:rPr>
        <w:t xml:space="preserve">favorably to that of other retailers may have a negative effect on the price of our stock. </w:t>
      </w:r>
    </w:p>
    <w:p w14:paraId="35D0913B" w14:textId="77777777" w:rsidR="00D42204" w:rsidRDefault="004E439D">
      <w:pPr>
        <w:spacing w:before="180"/>
      </w:pPr>
      <w:r>
        <w:rPr>
          <w:rFonts w:ascii="Times New Roman" w:eastAsia="宋体" w:hAnsi="Times New Roman"/>
          <w:b/>
          <w:bCs/>
          <w:color w:val="000000"/>
          <w:sz w:val="20"/>
          <w:szCs w:val="20"/>
        </w:rPr>
        <w:t>Fluctuations in foreign exchange rates may materially adversely affect our financial performance and our reported results of operations.</w:t>
      </w:r>
    </w:p>
    <w:p w14:paraId="35D0913C" w14:textId="77777777" w:rsidR="00D42204" w:rsidRDefault="004E439D">
      <w:pPr>
        <w:spacing w:before="100"/>
      </w:pPr>
      <w:r>
        <w:rPr>
          <w:rFonts w:ascii="Times New Roman" w:eastAsia="宋体" w:hAnsi="Times New Roman"/>
          <w:color w:val="000000"/>
          <w:sz w:val="20"/>
          <w:szCs w:val="20"/>
        </w:rPr>
        <w:t>Our operations in countries</w:t>
      </w:r>
      <w:r>
        <w:rPr>
          <w:rFonts w:ascii="Times New Roman" w:eastAsia="宋体" w:hAnsi="Times New Roman"/>
          <w:color w:val="000000"/>
          <w:sz w:val="20"/>
          <w:szCs w:val="20"/>
        </w:rPr>
        <w:t xml:space="preserve"> other than the U.S. are conducted primarily in the local currencies of those countries. Our Consolidated Financial Statements are denominated in U.S. dollars, and to prepare those financial statements we must translate the amounts of the assets, liabiliti</w:t>
      </w:r>
      <w:r>
        <w:rPr>
          <w:rFonts w:ascii="Times New Roman" w:eastAsia="宋体" w:hAnsi="Times New Roman"/>
          <w:color w:val="000000"/>
          <w:sz w:val="20"/>
          <w:szCs w:val="20"/>
        </w:rPr>
        <w:t>es, net sales, other revenues and expenses of our operations outside of the U.S. from local currencies into U.S. dollars using exchange rates for the current period. In recent years, fluctuations in currency exchange rates that were unfavorable have had ad</w:t>
      </w:r>
      <w:r>
        <w:rPr>
          <w:rFonts w:ascii="Times New Roman" w:eastAsia="宋体" w:hAnsi="Times New Roman"/>
          <w:color w:val="000000"/>
          <w:sz w:val="20"/>
          <w:szCs w:val="20"/>
        </w:rPr>
        <w:t>verse effects on our reported results of operations.</w:t>
      </w:r>
    </w:p>
    <w:p w14:paraId="35D0913D" w14:textId="77777777" w:rsidR="00D42204" w:rsidRDefault="004E439D">
      <w:pPr>
        <w:spacing w:before="100"/>
      </w:pPr>
      <w:r>
        <w:rPr>
          <w:rFonts w:ascii="Times New Roman" w:eastAsia="宋体" w:hAnsi="Times New Roman"/>
          <w:color w:val="000000"/>
          <w:sz w:val="20"/>
          <w:szCs w:val="20"/>
        </w:rPr>
        <w:t xml:space="preserve">As a result of such translations, fluctuations in currency exchange rates from period-to-period that are unfavorable to us may also result in our Consolidated Financial Statements reflecting significant </w:t>
      </w:r>
      <w:r>
        <w:rPr>
          <w:rFonts w:ascii="Times New Roman" w:eastAsia="宋体" w:hAnsi="Times New Roman"/>
          <w:color w:val="000000"/>
          <w:sz w:val="20"/>
          <w:szCs w:val="20"/>
        </w:rPr>
        <w:t>adverse period-over-period changes in our financial performance or reflecting a period-over-period improvement in our financial performance that is not as robust as it would be without such fluctuations in the currency exchange rates. Such unfavorable curr</w:t>
      </w:r>
      <w:r>
        <w:rPr>
          <w:rFonts w:ascii="Times New Roman" w:eastAsia="宋体" w:hAnsi="Times New Roman"/>
          <w:color w:val="000000"/>
          <w:sz w:val="20"/>
          <w:szCs w:val="20"/>
        </w:rPr>
        <w:t>ency exchange rate fluctuations will adversely affect the reported performance of our Walmart International operating segment and have a corresponding adverse effect on our reported consolidated results of operations.</w:t>
      </w:r>
    </w:p>
    <w:p w14:paraId="35D0913E" w14:textId="77777777" w:rsidR="00D42204" w:rsidRDefault="004E439D">
      <w:pPr>
        <w:spacing w:before="100"/>
      </w:pPr>
      <w:r>
        <w:rPr>
          <w:rFonts w:ascii="Times New Roman" w:eastAsia="宋体" w:hAnsi="Times New Roman"/>
          <w:color w:val="000000"/>
          <w:sz w:val="20"/>
          <w:szCs w:val="20"/>
        </w:rPr>
        <w:t>We may pay for products we purchase fo</w:t>
      </w:r>
      <w:r>
        <w:rPr>
          <w:rFonts w:ascii="Times New Roman" w:eastAsia="宋体" w:hAnsi="Times New Roman"/>
          <w:color w:val="000000"/>
          <w:sz w:val="20"/>
          <w:szCs w:val="20"/>
        </w:rPr>
        <w:t>r sale in our stores and clubs around the world with a currency other than the local currency of the country in which the goods will be sold. When we must acquire the currency to pay for such products and the exchange rates for the payment currency fluctua</w:t>
      </w:r>
      <w:r>
        <w:rPr>
          <w:rFonts w:ascii="Times New Roman" w:eastAsia="宋体" w:hAnsi="Times New Roman"/>
          <w:color w:val="000000"/>
          <w:sz w:val="20"/>
          <w:szCs w:val="20"/>
        </w:rPr>
        <w:t>te in a manner unfavorable to us, our cost of sales may increase and we may be unable or unwilling to change the prices at which we sell those goods to address that increase in our costs, with a corresponding adverse effect on our gross profit. Consequentl</w:t>
      </w:r>
      <w:r>
        <w:rPr>
          <w:rFonts w:ascii="Times New Roman" w:eastAsia="宋体" w:hAnsi="Times New Roman"/>
          <w:color w:val="000000"/>
          <w:sz w:val="20"/>
          <w:szCs w:val="20"/>
        </w:rPr>
        <w:t xml:space="preserve">y, unfavorable fluctuations in currency exchange rates have and may continue to adversely affect our results of operations. </w:t>
      </w:r>
    </w:p>
    <w:p w14:paraId="35D0913F" w14:textId="77777777" w:rsidR="00D42204" w:rsidRDefault="004E439D">
      <w:pPr>
        <w:spacing w:before="180"/>
      </w:pPr>
      <w:r>
        <w:rPr>
          <w:rFonts w:ascii="Times New Roman" w:eastAsia="宋体" w:hAnsi="Times New Roman"/>
          <w:b/>
          <w:bCs/>
          <w:color w:val="000000"/>
          <w:sz w:val="20"/>
          <w:szCs w:val="20"/>
          <w:u w:val="single"/>
        </w:rPr>
        <w:t>Legal, Tax, Regulatory, Compliance, Reputational and Other Risks</w:t>
      </w:r>
    </w:p>
    <w:p w14:paraId="35D09140" w14:textId="77777777" w:rsidR="00D42204" w:rsidRDefault="004E439D">
      <w:pPr>
        <w:spacing w:before="180"/>
      </w:pPr>
      <w:r>
        <w:rPr>
          <w:rFonts w:ascii="Times New Roman" w:eastAsia="宋体" w:hAnsi="Times New Roman"/>
          <w:b/>
          <w:bCs/>
          <w:color w:val="000000"/>
          <w:sz w:val="20"/>
          <w:szCs w:val="20"/>
        </w:rPr>
        <w:t xml:space="preserve">Our international operations subject us to legislative, judicial, </w:t>
      </w:r>
      <w:r>
        <w:rPr>
          <w:rFonts w:ascii="Times New Roman" w:eastAsia="宋体" w:hAnsi="Times New Roman"/>
          <w:b/>
          <w:bCs/>
          <w:color w:val="000000"/>
          <w:sz w:val="20"/>
          <w:szCs w:val="20"/>
        </w:rPr>
        <w:t>accounting, legal, regulatory, tax, political and economic risks and conditions specific to the countries or regions in which we operate, which could materially adversely affect our business or financial performance.</w:t>
      </w:r>
    </w:p>
    <w:p w14:paraId="35D09141" w14:textId="77777777" w:rsidR="00D42204" w:rsidRDefault="004E439D">
      <w:pPr>
        <w:spacing w:before="100"/>
      </w:pPr>
      <w:r>
        <w:rPr>
          <w:rFonts w:ascii="Times New Roman" w:eastAsia="宋体" w:hAnsi="Times New Roman"/>
          <w:color w:val="000000"/>
          <w:sz w:val="20"/>
          <w:szCs w:val="20"/>
        </w:rPr>
        <w:t xml:space="preserve">In addition to our U.S. operations, we </w:t>
      </w:r>
      <w:r>
        <w:rPr>
          <w:rFonts w:ascii="Times New Roman" w:eastAsia="宋体" w:hAnsi="Times New Roman"/>
          <w:color w:val="000000"/>
          <w:sz w:val="20"/>
          <w:szCs w:val="20"/>
        </w:rPr>
        <w:t>operate our retail business in Africa, Canada, Central America, Chile, China, India and Mexico.</w:t>
      </w:r>
    </w:p>
    <w:p w14:paraId="35D09142" w14:textId="77777777" w:rsidR="00D42204" w:rsidRDefault="004E439D">
      <w:pPr>
        <w:spacing w:before="100"/>
      </w:pPr>
      <w:r>
        <w:rPr>
          <w:rFonts w:ascii="Times New Roman" w:eastAsia="宋体" w:hAnsi="Times New Roman"/>
          <w:color w:val="000000"/>
          <w:sz w:val="20"/>
          <w:szCs w:val="20"/>
        </w:rPr>
        <w:t>During fiscal 2022, our Walmart International operations generated approximately 18% of our consolidated net sales. Walmart International's operations in variou</w:t>
      </w:r>
      <w:r>
        <w:rPr>
          <w:rFonts w:ascii="Times New Roman" w:eastAsia="宋体" w:hAnsi="Times New Roman"/>
          <w:color w:val="000000"/>
          <w:sz w:val="20"/>
          <w:szCs w:val="20"/>
        </w:rPr>
        <w:t>s countries also source goods and services from other countries. Our future operating results in these countries could be negatively affected by a variety of factors, most of which are beyond our control. These factors include political conditions, includi</w:t>
      </w:r>
      <w:r>
        <w:rPr>
          <w:rFonts w:ascii="Times New Roman" w:eastAsia="宋体" w:hAnsi="Times New Roman"/>
          <w:color w:val="000000"/>
          <w:sz w:val="20"/>
          <w:szCs w:val="20"/>
        </w:rPr>
        <w:t>ng political instability, local and global economic conditions, legal and regulatory constraints (such as regulation of product and service offerings including regulatory restrictions (such as foreign ownership restrictions) on eCommerce and retail operati</w:t>
      </w:r>
      <w:r>
        <w:rPr>
          <w:rFonts w:ascii="Times New Roman" w:eastAsia="宋体" w:hAnsi="Times New Roman"/>
          <w:color w:val="000000"/>
          <w:sz w:val="20"/>
          <w:szCs w:val="20"/>
        </w:rPr>
        <w:t xml:space="preserve">ons in international markets, such as India), restrictive governmental actions (such as trade protection measures), antitrust and competition law regulatory matters (such as the competition investigations currently </w:t>
      </w:r>
    </w:p>
    <w:p w14:paraId="35D09143" w14:textId="77777777" w:rsidR="00D42204" w:rsidRDefault="004E439D">
      <w:pPr>
        <w:jc w:val="center"/>
      </w:pPr>
      <w:r>
        <w:rPr>
          <w:rFonts w:ascii="Times New Roman" w:eastAsia="宋体" w:hAnsi="Times New Roman"/>
          <w:color w:val="000000"/>
          <w:sz w:val="20"/>
          <w:szCs w:val="20"/>
        </w:rPr>
        <w:t>22</w:t>
      </w:r>
    </w:p>
    <w:p w14:paraId="35D09144" w14:textId="77777777" w:rsidR="00D42204" w:rsidRDefault="004E439D">
      <w:r>
        <w:pict w14:anchorId="35D0C36F">
          <v:rect id="_x0000_i1046" style="width:415.3pt;height:1.5pt" o:hralign="center" o:hrstd="t" o:hr="t" fillcolor="#a0a0a0" stroked="f"/>
        </w:pict>
      </w:r>
    </w:p>
    <w:p w14:paraId="35D09145" w14:textId="77777777" w:rsidR="00D42204" w:rsidRDefault="00D42204"/>
    <w:p w14:paraId="35D09146" w14:textId="77777777" w:rsidR="00D42204" w:rsidRDefault="004E439D">
      <w:pPr>
        <w:spacing w:before="100"/>
      </w:pPr>
      <w:r>
        <w:rPr>
          <w:rFonts w:ascii="Times New Roman" w:eastAsia="宋体" w:hAnsi="Times New Roman"/>
          <w:color w:val="000000"/>
          <w:sz w:val="20"/>
          <w:szCs w:val="20"/>
        </w:rPr>
        <w:t xml:space="preserve">underway in Mexico related to our </w:t>
      </w:r>
      <w:r>
        <w:rPr>
          <w:rFonts w:ascii="Times New Roman" w:eastAsia="宋体" w:hAnsi="Times New Roman"/>
          <w:color w:val="000000"/>
          <w:sz w:val="20"/>
          <w:szCs w:val="20"/>
        </w:rPr>
        <w:t>subsidiary Wal-Mart de Mexico, in Canada related to our subsidiary Wal-Mart Canada and competition proceedings in India related to our Flipkart subsidiary),</w:t>
      </w:r>
      <w:r>
        <w:rPr>
          <w:rFonts w:ascii="Times New Roman" w:eastAsia="宋体" w:hAnsi="Times New Roman"/>
          <w:color w:val="000000"/>
        </w:rPr>
        <w:t xml:space="preserve"> </w:t>
      </w:r>
      <w:r>
        <w:rPr>
          <w:rFonts w:ascii="Times New Roman" w:eastAsia="宋体" w:hAnsi="Times New Roman"/>
          <w:color w:val="000000"/>
          <w:sz w:val="20"/>
          <w:szCs w:val="20"/>
        </w:rPr>
        <w:t>local product safety and environmental laws, tax regulations, local labor laws, anti-money launderi</w:t>
      </w:r>
      <w:r>
        <w:rPr>
          <w:rFonts w:ascii="Times New Roman" w:eastAsia="宋体" w:hAnsi="Times New Roman"/>
          <w:color w:val="000000"/>
          <w:sz w:val="20"/>
          <w:szCs w:val="20"/>
        </w:rPr>
        <w:t>ng laws and regulations, trade policies, currency regulations, laws and regulations regarding consumer and data protection, and other matters in any of the countries or regions in which we operate, now or in the future.</w:t>
      </w:r>
    </w:p>
    <w:p w14:paraId="35D09147" w14:textId="77777777" w:rsidR="00D42204" w:rsidRDefault="004E439D">
      <w:pPr>
        <w:spacing w:before="100"/>
      </w:pPr>
      <w:r>
        <w:rPr>
          <w:rFonts w:ascii="Times New Roman" w:eastAsia="宋体" w:hAnsi="Times New Roman"/>
          <w:color w:val="000000"/>
          <w:sz w:val="20"/>
          <w:szCs w:val="20"/>
        </w:rPr>
        <w:t>The economies of some of the countri</w:t>
      </w:r>
      <w:r>
        <w:rPr>
          <w:rFonts w:ascii="Times New Roman" w:eastAsia="宋体" w:hAnsi="Times New Roman"/>
          <w:color w:val="000000"/>
          <w:sz w:val="20"/>
          <w:szCs w:val="20"/>
        </w:rPr>
        <w:t>es in which we have operations have in the past suffered from high rates of inflation and currency devaluations, which, if they occurred again, could adversely affect our financial performance. Other factors which may impact our international operations in</w:t>
      </w:r>
      <w:r>
        <w:rPr>
          <w:rFonts w:ascii="Times New Roman" w:eastAsia="宋体" w:hAnsi="Times New Roman"/>
          <w:color w:val="000000"/>
          <w:sz w:val="20"/>
          <w:szCs w:val="20"/>
        </w:rPr>
        <w:t>clude foreign trade, monetary and fiscal policies of the U.S. and of other countries, laws, regulations and other activities of foreign governments, agencies and similar organizations, and risks associated with having numerous facilities located in countri</w:t>
      </w:r>
      <w:r>
        <w:rPr>
          <w:rFonts w:ascii="Times New Roman" w:eastAsia="宋体" w:hAnsi="Times New Roman"/>
          <w:color w:val="000000"/>
          <w:sz w:val="20"/>
          <w:szCs w:val="20"/>
        </w:rPr>
        <w:t>es that have historically been less stable than the U.S. Additional risks inherent in our international operations generally include, among others, the costs and difficulties of managing international operations, adverse tax consequences and greater diffic</w:t>
      </w:r>
      <w:r>
        <w:rPr>
          <w:rFonts w:ascii="Times New Roman" w:eastAsia="宋体" w:hAnsi="Times New Roman"/>
          <w:color w:val="000000"/>
          <w:sz w:val="20"/>
          <w:szCs w:val="20"/>
        </w:rPr>
        <w:t>ulty in enforcing intellectual property rights in countries other than the U.S. The various risks inherent in doing business in the U.S. generally also exist when doing business outside of the U.S., and may be exaggerated by the difficulty of doing busines</w:t>
      </w:r>
      <w:r>
        <w:rPr>
          <w:rFonts w:ascii="Times New Roman" w:eastAsia="宋体" w:hAnsi="Times New Roman"/>
          <w:color w:val="000000"/>
          <w:sz w:val="20"/>
          <w:szCs w:val="20"/>
        </w:rPr>
        <w:t>s in numerous sovereign jurisdictions due to differences in culture, laws and regulations.</w:t>
      </w:r>
    </w:p>
    <w:p w14:paraId="35D09148" w14:textId="77777777" w:rsidR="00D42204" w:rsidRDefault="004E439D">
      <w:pPr>
        <w:spacing w:before="100"/>
      </w:pPr>
      <w:r>
        <w:rPr>
          <w:rFonts w:ascii="Times New Roman" w:eastAsia="宋体" w:hAnsi="Times New Roman"/>
          <w:color w:val="000000"/>
          <w:sz w:val="20"/>
          <w:szCs w:val="20"/>
        </w:rPr>
        <w:t>In foreign countries in which we have operations, a risk exists that our associates, contractors or agents could, in contravention of our policies, engage in busines</w:t>
      </w:r>
      <w:r>
        <w:rPr>
          <w:rFonts w:ascii="Times New Roman" w:eastAsia="宋体" w:hAnsi="Times New Roman"/>
          <w:color w:val="000000"/>
          <w:sz w:val="20"/>
          <w:szCs w:val="20"/>
        </w:rPr>
        <w:t>s practices prohibited by U.S. laws and regulations applicable to us, such as the Foreign Corrupt Practices Act or the laws and regulations of other countries. We maintain a global policy prohibiting such business practices and have in place a global anti-</w:t>
      </w:r>
      <w:r>
        <w:rPr>
          <w:rFonts w:ascii="Times New Roman" w:eastAsia="宋体" w:hAnsi="Times New Roman"/>
          <w:color w:val="000000"/>
          <w:sz w:val="20"/>
          <w:szCs w:val="20"/>
        </w:rPr>
        <w:t>corruption compliance program designed to ensure compliance with these laws and regulations. Nevertheless, we remain subject to the risk that one or more of our associates, contractors or agents, including those based in or from countries where practices t</w:t>
      </w:r>
      <w:r>
        <w:rPr>
          <w:rFonts w:ascii="Times New Roman" w:eastAsia="宋体" w:hAnsi="Times New Roman"/>
          <w:color w:val="000000"/>
          <w:sz w:val="20"/>
          <w:szCs w:val="20"/>
        </w:rPr>
        <w:t>hat violate such U.S. laws and regulations or the laws and regulations of other countries may be customary, will engage in business practices that are prohibited by our policies, circumvent our compliance programs and, by doing so, violate such laws and re</w:t>
      </w:r>
      <w:r>
        <w:rPr>
          <w:rFonts w:ascii="Times New Roman" w:eastAsia="宋体" w:hAnsi="Times New Roman"/>
          <w:color w:val="000000"/>
          <w:sz w:val="20"/>
          <w:szCs w:val="20"/>
        </w:rPr>
        <w:t>gulations. Any such violations, even if prohibited by our internal policies, could adversely affect our business or financial performance and our reputation.</w:t>
      </w:r>
    </w:p>
    <w:p w14:paraId="35D09149" w14:textId="77777777" w:rsidR="00D42204" w:rsidRDefault="004E439D">
      <w:pPr>
        <w:spacing w:before="180"/>
      </w:pPr>
      <w:r>
        <w:rPr>
          <w:rFonts w:ascii="Times New Roman" w:eastAsia="宋体" w:hAnsi="Times New Roman"/>
          <w:b/>
          <w:bCs/>
          <w:color w:val="000000"/>
          <w:sz w:val="20"/>
          <w:szCs w:val="20"/>
        </w:rPr>
        <w:t xml:space="preserve">Changes in tax and trade laws and regulations could materially adversely affect our </w:t>
      </w:r>
      <w:r>
        <w:rPr>
          <w:rFonts w:ascii="Times New Roman" w:eastAsia="宋体" w:hAnsi="Times New Roman"/>
          <w:b/>
          <w:bCs/>
          <w:color w:val="000000"/>
          <w:sz w:val="20"/>
          <w:szCs w:val="20"/>
        </w:rPr>
        <w:t>financial performance.</w:t>
      </w:r>
    </w:p>
    <w:p w14:paraId="35D0914A" w14:textId="77777777" w:rsidR="00D42204" w:rsidRDefault="004E439D">
      <w:pPr>
        <w:spacing w:before="100"/>
      </w:pPr>
      <w:r>
        <w:rPr>
          <w:rFonts w:ascii="Times New Roman" w:eastAsia="宋体" w:hAnsi="Times New Roman"/>
          <w:color w:val="000000"/>
          <w:sz w:val="20"/>
          <w:szCs w:val="20"/>
        </w:rPr>
        <w:t>In fiscal 2022, our Walmart U.S. and Sam's Club operating segments generated approximately 82% of our consolidated net sales. Significant changes in tax and trade policies, including tariffs and government regulations affecting trade</w:t>
      </w:r>
      <w:r>
        <w:rPr>
          <w:rFonts w:ascii="Times New Roman" w:eastAsia="宋体" w:hAnsi="Times New Roman"/>
          <w:color w:val="000000"/>
          <w:sz w:val="20"/>
          <w:szCs w:val="20"/>
        </w:rPr>
        <w:t xml:space="preserve"> between the U.S. and other countries where we source many of the products we sell in our stores and clubs could have an adverse effect on our business and financial performance. A significant portion of the general merchandise we sell in our U.S. stores a</w:t>
      </w:r>
      <w:r>
        <w:rPr>
          <w:rFonts w:ascii="Times New Roman" w:eastAsia="宋体" w:hAnsi="Times New Roman"/>
          <w:color w:val="000000"/>
          <w:sz w:val="20"/>
          <w:szCs w:val="20"/>
        </w:rPr>
        <w:t>nd clubs is manufactured in other countries. Any such actions including the imposition of further tariffs on imports could increase the cost to us of such merchandise (whether imported directly or indirectly) and cause increases in the prices at which we s</w:t>
      </w:r>
      <w:r>
        <w:rPr>
          <w:rFonts w:ascii="Times New Roman" w:eastAsia="宋体" w:hAnsi="Times New Roman"/>
          <w:color w:val="000000"/>
          <w:sz w:val="20"/>
          <w:szCs w:val="20"/>
        </w:rPr>
        <w:t>ell such merchandise to our customers, which could materially adversely affect the financial performance of our U.S. operations and our business.</w:t>
      </w:r>
    </w:p>
    <w:p w14:paraId="35D0914B" w14:textId="77777777" w:rsidR="00D42204" w:rsidRDefault="004E439D">
      <w:pPr>
        <w:spacing w:before="100"/>
      </w:pPr>
      <w:r>
        <w:rPr>
          <w:rFonts w:ascii="Times New Roman" w:eastAsia="宋体" w:hAnsi="Times New Roman"/>
          <w:color w:val="000000"/>
          <w:sz w:val="20"/>
          <w:szCs w:val="20"/>
        </w:rPr>
        <w:t>We are subject to income taxes and other taxes in both the U.S. and the foreign jurisdictions in which we curr</w:t>
      </w:r>
      <w:r>
        <w:rPr>
          <w:rFonts w:ascii="Times New Roman" w:eastAsia="宋体" w:hAnsi="Times New Roman"/>
          <w:color w:val="000000"/>
          <w:sz w:val="20"/>
          <w:szCs w:val="20"/>
        </w:rPr>
        <w:t>ently operate or have historically operated. The determination of our worldwide provision for income taxes and current and deferred tax assets and liabilities requires judgment and estimation. Our income taxes could be materially adversely affected by earn</w:t>
      </w:r>
      <w:r>
        <w:rPr>
          <w:rFonts w:ascii="Times New Roman" w:eastAsia="宋体" w:hAnsi="Times New Roman"/>
          <w:color w:val="000000"/>
          <w:sz w:val="20"/>
          <w:szCs w:val="20"/>
        </w:rPr>
        <w:t xml:space="preserve">ings being lower than anticipated in jurisdictions that have lower statutory tax rates and higher than anticipated in jurisdictions that have higher statutory tax rates, by changes in the valuation of our deferred tax assets and liabilities, or by changes </w:t>
      </w:r>
      <w:r>
        <w:rPr>
          <w:rFonts w:ascii="Times New Roman" w:eastAsia="宋体" w:hAnsi="Times New Roman"/>
          <w:color w:val="000000"/>
          <w:sz w:val="20"/>
          <w:szCs w:val="20"/>
        </w:rPr>
        <w:t>in worldwide tax laws, tax rates, regulations or accounting principles.</w:t>
      </w:r>
    </w:p>
    <w:p w14:paraId="35D0914C" w14:textId="77777777" w:rsidR="00D42204" w:rsidRDefault="004E439D">
      <w:pPr>
        <w:spacing w:before="100"/>
      </w:pPr>
      <w:r>
        <w:rPr>
          <w:rFonts w:ascii="Times New Roman" w:eastAsia="宋体" w:hAnsi="Times New Roman"/>
          <w:color w:val="000000"/>
          <w:sz w:val="20"/>
          <w:szCs w:val="20"/>
        </w:rPr>
        <w:t>We are also exposed to future tax legislation, as well as the issuance of future regulations and changes in administrative interpretations of existing tax laws, any of which can impact</w:t>
      </w:r>
      <w:r>
        <w:rPr>
          <w:rFonts w:ascii="Times New Roman" w:eastAsia="宋体" w:hAnsi="Times New Roman"/>
          <w:color w:val="000000"/>
          <w:sz w:val="20"/>
          <w:szCs w:val="20"/>
        </w:rPr>
        <w:t xml:space="preserve"> our current and future years' tax provision. The effect of such changes in tax law could have a material effect on our business, financial position and results of operations. In the U.S., the Tax Cuts and Jobs Act of 2017 (the "Tax Act") significantly cha</w:t>
      </w:r>
      <w:r>
        <w:rPr>
          <w:rFonts w:ascii="Times New Roman" w:eastAsia="宋体" w:hAnsi="Times New Roman"/>
          <w:color w:val="000000"/>
          <w:sz w:val="20"/>
          <w:szCs w:val="20"/>
        </w:rPr>
        <w:t>nged federal income tax laws that affect U.S. corporations. As further guidance is issued by the U.S. Treasury Department, the IRS, and other standard-setting bodies, any resulting changes in our estimates will be treated in accordance with the relevant ac</w:t>
      </w:r>
      <w:r>
        <w:rPr>
          <w:rFonts w:ascii="Times New Roman" w:eastAsia="宋体" w:hAnsi="Times New Roman"/>
          <w:color w:val="000000"/>
          <w:sz w:val="20"/>
          <w:szCs w:val="20"/>
        </w:rPr>
        <w:t>counting guidance. Compliance with the Tax Act and any other new tax rules, regulations, guidance, and interpretations, including collecting information not regularly produced by the Company or unexpected changes in our estimates, may require us to incur a</w:t>
      </w:r>
      <w:r>
        <w:rPr>
          <w:rFonts w:ascii="Times New Roman" w:eastAsia="宋体" w:hAnsi="Times New Roman"/>
          <w:color w:val="000000"/>
          <w:sz w:val="20"/>
          <w:szCs w:val="20"/>
        </w:rPr>
        <w:t>dditional costs and could affect our results of operations.</w:t>
      </w:r>
    </w:p>
    <w:p w14:paraId="35D0914D" w14:textId="77777777" w:rsidR="00D42204" w:rsidRDefault="004E439D">
      <w:pPr>
        <w:spacing w:before="100"/>
      </w:pPr>
      <w:r>
        <w:rPr>
          <w:rFonts w:ascii="Times New Roman" w:eastAsia="宋体" w:hAnsi="Times New Roman"/>
          <w:color w:val="000000"/>
          <w:sz w:val="20"/>
          <w:szCs w:val="20"/>
        </w:rPr>
        <w:t>In addition, legislatures and taxing authorities in many jurisdictions in which we operate may enact changes to their tax rules. These changes could include modifications that have temporary effec</w:t>
      </w:r>
      <w:r>
        <w:rPr>
          <w:rFonts w:ascii="Times New Roman" w:eastAsia="宋体" w:hAnsi="Times New Roman"/>
          <w:color w:val="000000"/>
          <w:sz w:val="20"/>
          <w:szCs w:val="20"/>
        </w:rPr>
        <w:t>t and more permanent changes. The impact of these potential new rules as well as any other changes in domestic and international tax rules and regulations could have a material effect on our effective tax rate.</w:t>
      </w:r>
    </w:p>
    <w:p w14:paraId="35D0914E" w14:textId="77777777" w:rsidR="00D42204" w:rsidRDefault="004E439D">
      <w:pPr>
        <w:spacing w:before="100"/>
      </w:pPr>
      <w:r>
        <w:rPr>
          <w:rFonts w:ascii="Times New Roman" w:eastAsia="宋体" w:hAnsi="Times New Roman"/>
          <w:color w:val="000000"/>
          <w:sz w:val="20"/>
          <w:szCs w:val="20"/>
        </w:rPr>
        <w:t>Furthermore, we are subject to regular review</w:t>
      </w:r>
      <w:r>
        <w:rPr>
          <w:rFonts w:ascii="Times New Roman" w:eastAsia="宋体" w:hAnsi="Times New Roman"/>
          <w:color w:val="000000"/>
          <w:sz w:val="20"/>
          <w:szCs w:val="20"/>
        </w:rPr>
        <w:t xml:space="preserve"> and audit by both domestic and foreign tax authorities as well as subject to the prospective and retrospective effects of changing tax regulations and legislation. Although we believe our tax estimates are reasonable, the ultimate tax outcome may material</w:t>
      </w:r>
      <w:r>
        <w:rPr>
          <w:rFonts w:ascii="Times New Roman" w:eastAsia="宋体" w:hAnsi="Times New Roman"/>
          <w:color w:val="000000"/>
          <w:sz w:val="20"/>
          <w:szCs w:val="20"/>
        </w:rPr>
        <w:t xml:space="preserve">ly differ from the tax amounts recorded in our Consolidated Financial </w:t>
      </w:r>
    </w:p>
    <w:p w14:paraId="35D0914F" w14:textId="77777777" w:rsidR="00D42204" w:rsidRDefault="004E439D">
      <w:pPr>
        <w:jc w:val="center"/>
      </w:pPr>
      <w:r>
        <w:rPr>
          <w:rFonts w:ascii="Times New Roman" w:eastAsia="宋体" w:hAnsi="Times New Roman"/>
          <w:color w:val="000000"/>
          <w:sz w:val="20"/>
          <w:szCs w:val="20"/>
        </w:rPr>
        <w:t>23</w:t>
      </w:r>
    </w:p>
    <w:p w14:paraId="35D09150" w14:textId="77777777" w:rsidR="00D42204" w:rsidRDefault="004E439D">
      <w:r>
        <w:pict w14:anchorId="35D0C370">
          <v:rect id="_x0000_i1047" style="width:415.3pt;height:1.5pt" o:hralign="center" o:hrstd="t" o:hr="t" fillcolor="#a0a0a0" stroked="f"/>
        </w:pict>
      </w:r>
    </w:p>
    <w:p w14:paraId="35D09151" w14:textId="77777777" w:rsidR="00D42204" w:rsidRDefault="00D42204"/>
    <w:p w14:paraId="35D09152" w14:textId="77777777" w:rsidR="00D42204" w:rsidRDefault="004E439D">
      <w:pPr>
        <w:spacing w:before="100"/>
      </w:pPr>
      <w:r>
        <w:rPr>
          <w:rFonts w:ascii="Times New Roman" w:eastAsia="宋体" w:hAnsi="Times New Roman"/>
          <w:color w:val="000000"/>
          <w:sz w:val="20"/>
          <w:szCs w:val="20"/>
        </w:rPr>
        <w:t>Statements and may materially affect our income tax provision, net income, or cash flows in the period or periods for which such determination and settlement is made.</w:t>
      </w:r>
    </w:p>
    <w:p w14:paraId="35D09153" w14:textId="77777777" w:rsidR="00D42204" w:rsidRDefault="004E439D">
      <w:pPr>
        <w:spacing w:before="100"/>
      </w:pPr>
      <w:r>
        <w:rPr>
          <w:rFonts w:ascii="Times New Roman" w:eastAsia="宋体" w:hAnsi="Times New Roman"/>
          <w:b/>
          <w:bCs/>
          <w:color w:val="000000"/>
          <w:sz w:val="20"/>
          <w:szCs w:val="20"/>
        </w:rPr>
        <w:t>Changes in a</w:t>
      </w:r>
      <w:r>
        <w:rPr>
          <w:rFonts w:ascii="Times New Roman" w:eastAsia="宋体" w:hAnsi="Times New Roman"/>
          <w:b/>
          <w:bCs/>
          <w:color w:val="000000"/>
          <w:sz w:val="20"/>
          <w:szCs w:val="20"/>
        </w:rPr>
        <w:t>nd/or failure to comply with other laws, regulations, and interpretations of such laws and regulations specific to the businesses and jurisdictions in which we operate</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could materially adversely affect our reputation, market position, or our business and f</w:t>
      </w:r>
      <w:r>
        <w:rPr>
          <w:rFonts w:ascii="Times New Roman" w:eastAsia="宋体" w:hAnsi="Times New Roman"/>
          <w:b/>
          <w:bCs/>
          <w:color w:val="000000"/>
          <w:sz w:val="20"/>
          <w:szCs w:val="20"/>
        </w:rPr>
        <w:t>inancial performance.</w:t>
      </w:r>
    </w:p>
    <w:p w14:paraId="35D09154" w14:textId="77777777" w:rsidR="00D42204" w:rsidRDefault="004E439D">
      <w:pPr>
        <w:spacing w:before="100"/>
      </w:pPr>
      <w:r>
        <w:rPr>
          <w:rFonts w:ascii="Times New Roman" w:eastAsia="宋体" w:hAnsi="Times New Roman"/>
          <w:color w:val="000000"/>
          <w:sz w:val="20"/>
          <w:szCs w:val="20"/>
        </w:rPr>
        <w:t>We operate in complex regulated environments in the U.S. and in the other countries in which we operate and could be adversely affected by changes to existing legal requirements including the related interpretations and enforcement pr</w:t>
      </w:r>
      <w:r>
        <w:rPr>
          <w:rFonts w:ascii="Times New Roman" w:eastAsia="宋体" w:hAnsi="Times New Roman"/>
          <w:color w:val="000000"/>
          <w:sz w:val="20"/>
          <w:szCs w:val="20"/>
        </w:rPr>
        <w:t>actices, new legal requirements and/or any failure to comply with applicable regulations.</w:t>
      </w:r>
    </w:p>
    <w:p w14:paraId="35D09155" w14:textId="77777777" w:rsidR="00D42204" w:rsidRDefault="004E439D">
      <w:pPr>
        <w:spacing w:before="100"/>
      </w:pPr>
      <w:r>
        <w:rPr>
          <w:rFonts w:ascii="Times New Roman" w:eastAsia="宋体" w:hAnsi="Times New Roman"/>
          <w:color w:val="000000"/>
          <w:sz w:val="20"/>
          <w:szCs w:val="20"/>
        </w:rPr>
        <w:t>Our operations in the U.S. are subject to numerous federal, state and local regulations including licensing and other requirements and reimbursement arrangements affe</w:t>
      </w:r>
      <w:r>
        <w:rPr>
          <w:rFonts w:ascii="Times New Roman" w:eastAsia="宋体" w:hAnsi="Times New Roman"/>
          <w:color w:val="000000"/>
          <w:sz w:val="20"/>
          <w:szCs w:val="20"/>
        </w:rPr>
        <w:t>cting our health and wellness operations. The laws and regulations to which we are subject include, but are not limited to: federal and state registration and regulation of pharmacies; dispensing and sale of controlled substances and products containing ps</w:t>
      </w:r>
      <w:r>
        <w:rPr>
          <w:rFonts w:ascii="Times New Roman" w:eastAsia="宋体" w:hAnsi="Times New Roman"/>
          <w:color w:val="000000"/>
          <w:sz w:val="20"/>
          <w:szCs w:val="20"/>
        </w:rPr>
        <w:t>eudoephedrine; applicable governmental payer regulations including Medicare and Medicaid; data privacy and security laws and regulations including the Health Insurance Portability and Accountability Act and the Affordable Care Act; laws and regulations rel</w:t>
      </w:r>
      <w:r>
        <w:rPr>
          <w:rFonts w:ascii="Times New Roman" w:eastAsia="宋体" w:hAnsi="Times New Roman"/>
          <w:color w:val="000000"/>
          <w:sz w:val="20"/>
          <w:szCs w:val="20"/>
        </w:rPr>
        <w:t xml:space="preserve">ating to the protection of the environment and health and safety matters, including those governing exposure to, and the management and disposal of, hazardous substances; regulations regarding food and drug safety including those of the U.S. Food and Drug </w:t>
      </w:r>
      <w:r>
        <w:rPr>
          <w:rFonts w:ascii="Times New Roman" w:eastAsia="宋体" w:hAnsi="Times New Roman"/>
          <w:color w:val="000000"/>
          <w:sz w:val="20"/>
          <w:szCs w:val="20"/>
        </w:rPr>
        <w:t>Administration (the "FDA") and the Drug Enforcement Administration (the "DEA"); trade regulations including those of the U.S. Federal Trade Commission, the U.S. Department of the Treasury, and consumer protection and safety regulations including those of t</w:t>
      </w:r>
      <w:r>
        <w:rPr>
          <w:rFonts w:ascii="Times New Roman" w:eastAsia="宋体" w:hAnsi="Times New Roman"/>
          <w:color w:val="000000"/>
          <w:sz w:val="20"/>
          <w:szCs w:val="20"/>
        </w:rPr>
        <w:t>he Consumer Product Safety Commission, as well as state regulatory authorities, governing the availability, sale, advertisement and promotion of products we sell and the financial services we offer (including through our digital channels and stores and clu</w:t>
      </w:r>
      <w:r>
        <w:rPr>
          <w:rFonts w:ascii="Times New Roman" w:eastAsia="宋体" w:hAnsi="Times New Roman"/>
          <w:color w:val="000000"/>
          <w:sz w:val="20"/>
          <w:szCs w:val="20"/>
        </w:rPr>
        <w:t>bs as well as our previously announced fintech joint venture); anti-kickback laws; anti-money laundering laws; consumer financial protection laws; the Office of Foreign Assets Control regulations; false claims laws; patient inducement regulations; and fede</w:t>
      </w:r>
      <w:r>
        <w:rPr>
          <w:rFonts w:ascii="Times New Roman" w:eastAsia="宋体" w:hAnsi="Times New Roman"/>
          <w:color w:val="000000"/>
          <w:sz w:val="20"/>
          <w:szCs w:val="20"/>
        </w:rPr>
        <w:t xml:space="preserve">ral and state laws governing health care fraud and abuse, quality and standards of medical equipment, and the qualifications and practice of the professions of medical, pharmacy, optical care and health care services. </w:t>
      </w:r>
    </w:p>
    <w:p w14:paraId="35D09156" w14:textId="77777777" w:rsidR="00D42204" w:rsidRDefault="004E439D">
      <w:pPr>
        <w:spacing w:before="100"/>
      </w:pPr>
      <w:r>
        <w:rPr>
          <w:rFonts w:ascii="Times New Roman" w:eastAsia="宋体" w:hAnsi="Times New Roman"/>
          <w:color w:val="000000"/>
          <w:sz w:val="20"/>
          <w:szCs w:val="20"/>
        </w:rPr>
        <w:t>For example, in the U.S., the DEA and</w:t>
      </w:r>
      <w:r>
        <w:rPr>
          <w:rFonts w:ascii="Times New Roman" w:eastAsia="宋体" w:hAnsi="Times New Roman"/>
          <w:color w:val="000000"/>
          <w:sz w:val="20"/>
          <w:szCs w:val="20"/>
        </w:rPr>
        <w:t xml:space="preserve"> various other regulatory authorities regulate the purchase, distribution, maintenance and dispensing of pharmaceuticals and controlled substances. We are required to hold valid DEA and state-level licenses, meet various security and operating standards an</w:t>
      </w:r>
      <w:r>
        <w:rPr>
          <w:rFonts w:ascii="Times New Roman" w:eastAsia="宋体" w:hAnsi="Times New Roman"/>
          <w:color w:val="000000"/>
          <w:sz w:val="20"/>
          <w:szCs w:val="20"/>
        </w:rPr>
        <w:t>d comply with the federal and various state controlled substance acts and related regulations governing the sale, dispensing, disposal and holding of controlled substances. The DEA, the FDA and state regulatory authorities have broad enforcement powers, in</w:t>
      </w:r>
      <w:r>
        <w:rPr>
          <w:rFonts w:ascii="Times New Roman" w:eastAsia="宋体" w:hAnsi="Times New Roman"/>
          <w:color w:val="000000"/>
          <w:sz w:val="20"/>
          <w:szCs w:val="20"/>
        </w:rPr>
        <w:t>cluding the ability to seize or recall products and impose significant criminal, civil and administrative sanctions for violations of these laws and regulations. In addition, other health-related legislation at the federal and state level may have an adver</w:t>
      </w:r>
      <w:r>
        <w:rPr>
          <w:rFonts w:ascii="Times New Roman" w:eastAsia="宋体" w:hAnsi="Times New Roman"/>
          <w:color w:val="000000"/>
          <w:sz w:val="20"/>
          <w:szCs w:val="20"/>
        </w:rPr>
        <w:t>se effect on our business or require us to modify certain aspects of our operations. Also, upon the successful completion of the previously announced pending acquisitions by our fintech joint venture, there may be an increased degree of scrutiny by financi</w:t>
      </w:r>
      <w:r>
        <w:rPr>
          <w:rFonts w:ascii="Times New Roman" w:eastAsia="宋体" w:hAnsi="Times New Roman"/>
          <w:color w:val="000000"/>
          <w:sz w:val="20"/>
          <w:szCs w:val="20"/>
        </w:rPr>
        <w:t>al regulatory authorities over the newly acquired fintech related businesses, which may result in higher operational costs and an increased possibility for fines and penalties if there is non-compliance with the applicable laws and regulations.</w:t>
      </w:r>
    </w:p>
    <w:p w14:paraId="35D09157" w14:textId="77777777" w:rsidR="00D42204" w:rsidRDefault="004E439D">
      <w:pPr>
        <w:spacing w:before="100"/>
      </w:pPr>
      <w:r>
        <w:rPr>
          <w:rFonts w:ascii="Times New Roman" w:eastAsia="宋体" w:hAnsi="Times New Roman"/>
          <w:color w:val="000000"/>
          <w:sz w:val="20"/>
          <w:szCs w:val="20"/>
        </w:rPr>
        <w:t xml:space="preserve">We are </w:t>
      </w:r>
      <w:r>
        <w:rPr>
          <w:rFonts w:ascii="Times New Roman" w:eastAsia="宋体" w:hAnsi="Times New Roman"/>
          <w:color w:val="000000"/>
          <w:sz w:val="20"/>
          <w:szCs w:val="20"/>
        </w:rPr>
        <w:t>also governed by foreign, national and state laws and regulations of general applicability, including laws and regulations related to working conditions, health and safety, equal employment opportunity, employee benefit and other labor and employment matte</w:t>
      </w:r>
      <w:r>
        <w:rPr>
          <w:rFonts w:ascii="Times New Roman" w:eastAsia="宋体" w:hAnsi="Times New Roman"/>
          <w:color w:val="000000"/>
          <w:sz w:val="20"/>
          <w:szCs w:val="20"/>
        </w:rPr>
        <w:t xml:space="preserve">rs, laws and regulations related to competition and antitrust matters, and health and wellness related regulations for our pharmacy operations outside of the U.S. Increasing governmental and societal attention to ESG matters, including expanding mandatory </w:t>
      </w:r>
      <w:r>
        <w:rPr>
          <w:rFonts w:ascii="Times New Roman" w:eastAsia="宋体" w:hAnsi="Times New Roman"/>
          <w:color w:val="000000"/>
          <w:sz w:val="20"/>
          <w:szCs w:val="20"/>
        </w:rPr>
        <w:t xml:space="preserve">and voluntary reporting diligence, and disclosure topics such as climate change, sustainability (including with respect to our supply chain), natural resources, waste reduction, energy, human capital, and risk oversight could expand the nature, scope, and </w:t>
      </w:r>
      <w:r>
        <w:rPr>
          <w:rFonts w:ascii="Times New Roman" w:eastAsia="宋体" w:hAnsi="Times New Roman"/>
          <w:color w:val="000000"/>
          <w:sz w:val="20"/>
          <w:szCs w:val="20"/>
        </w:rPr>
        <w:t>complexity of matters that we are required to control, assess, and report.</w:t>
      </w:r>
      <w:r>
        <w:rPr>
          <w:rFonts w:ascii="Times New Roman" w:eastAsia="宋体" w:hAnsi="Times New Roman"/>
          <w:color w:val="000000"/>
        </w:rPr>
        <w:t xml:space="preserve"> </w:t>
      </w:r>
      <w:r>
        <w:rPr>
          <w:rFonts w:ascii="Times New Roman" w:eastAsia="宋体" w:hAnsi="Times New Roman"/>
          <w:color w:val="000000"/>
          <w:sz w:val="20"/>
          <w:szCs w:val="20"/>
        </w:rPr>
        <w:t>In addition, certain financial services we offer or make available are subject to legal and regulatory requirements, including those intended to help detect and prevent money launde</w:t>
      </w:r>
      <w:r>
        <w:rPr>
          <w:rFonts w:ascii="Times New Roman" w:eastAsia="宋体" w:hAnsi="Times New Roman"/>
          <w:color w:val="000000"/>
          <w:sz w:val="20"/>
          <w:szCs w:val="20"/>
        </w:rPr>
        <w:t>ring, fraud and other illicit activity as well as consumer financial protections laws and U.S. sanctions. We are also subject to data privacy and protection laws regulating the collection, use, retention, disclosure, transfer and processing of personal inf</w:t>
      </w:r>
      <w:r>
        <w:rPr>
          <w:rFonts w:ascii="Times New Roman" w:eastAsia="宋体" w:hAnsi="Times New Roman"/>
          <w:color w:val="000000"/>
          <w:sz w:val="20"/>
          <w:szCs w:val="20"/>
        </w:rPr>
        <w:t>ormation, such as the California Consumer Privacy Act ("CCPA"), which was significantly modified by the California Privacy Rights Act ("CPRA"), new comprehensive privacy legislation passed in 2021 in Virginia and Colorado, as well as the European Union's G</w:t>
      </w:r>
      <w:r>
        <w:rPr>
          <w:rFonts w:ascii="Times New Roman" w:eastAsia="宋体" w:hAnsi="Times New Roman"/>
          <w:color w:val="000000"/>
          <w:sz w:val="20"/>
          <w:szCs w:val="20"/>
        </w:rPr>
        <w:t>eneral Data Protection Regulation ("GDPR") and China's Personal Information Protection Act. The potential effects of these laws are far-reaching and may require us to modify our data processing practices and policies and to incur substantial costs and expe</w:t>
      </w:r>
      <w:r>
        <w:rPr>
          <w:rFonts w:ascii="Times New Roman" w:eastAsia="宋体" w:hAnsi="Times New Roman"/>
          <w:color w:val="000000"/>
          <w:sz w:val="20"/>
          <w:szCs w:val="20"/>
        </w:rPr>
        <w:t>nses to comply. In the case of non-compliance with a material provision of the GDPR (such as non-adherence to the core principles of processing personal data), regulators have the authority to levy a fine in an amount that is up to the greater of €20 milli</w:t>
      </w:r>
      <w:r>
        <w:rPr>
          <w:rFonts w:ascii="Times New Roman" w:eastAsia="宋体" w:hAnsi="Times New Roman"/>
          <w:color w:val="000000"/>
          <w:sz w:val="20"/>
          <w:szCs w:val="20"/>
        </w:rPr>
        <w:t>on or 4% of global annual turnover in the prior year. These administrative fines are discretionary and based, in each case, on a multi-factored approach. Residents in jurisdictions with comprehensive privacy laws have expanded rights to access, correct and</w:t>
      </w:r>
      <w:r>
        <w:rPr>
          <w:rFonts w:ascii="Times New Roman" w:eastAsia="宋体" w:hAnsi="Times New Roman"/>
          <w:color w:val="000000"/>
          <w:sz w:val="20"/>
          <w:szCs w:val="20"/>
        </w:rPr>
        <w:t xml:space="preserve"> require deletion of their personal information, opt out of certain personal information sharing and receive detailed information about how their personal information is used. The CCPA and CPRA provide for civil penalties for violations, as well as a priva</w:t>
      </w:r>
      <w:r>
        <w:rPr>
          <w:rFonts w:ascii="Times New Roman" w:eastAsia="宋体" w:hAnsi="Times New Roman"/>
          <w:color w:val="000000"/>
          <w:sz w:val="20"/>
          <w:szCs w:val="20"/>
        </w:rPr>
        <w:t xml:space="preserve">te right of action for data breaches. Furthermore, our marketing and customer engagement activities are subject to communications privacy laws such as the Telephone Consumer </w:t>
      </w:r>
    </w:p>
    <w:p w14:paraId="35D09158" w14:textId="77777777" w:rsidR="00D42204" w:rsidRDefault="004E439D">
      <w:pPr>
        <w:jc w:val="center"/>
      </w:pPr>
      <w:r>
        <w:rPr>
          <w:rFonts w:ascii="Times New Roman" w:eastAsia="宋体" w:hAnsi="Times New Roman"/>
          <w:color w:val="000000"/>
          <w:sz w:val="20"/>
          <w:szCs w:val="20"/>
        </w:rPr>
        <w:t>24</w:t>
      </w:r>
    </w:p>
    <w:p w14:paraId="35D09159" w14:textId="77777777" w:rsidR="00D42204" w:rsidRDefault="004E439D">
      <w:r>
        <w:pict w14:anchorId="35D0C371">
          <v:rect id="_x0000_i1048" style="width:415.3pt;height:1.5pt" o:hralign="center" o:hrstd="t" o:hr="t" fillcolor="#a0a0a0" stroked="f"/>
        </w:pict>
      </w:r>
    </w:p>
    <w:p w14:paraId="35D0915A" w14:textId="77777777" w:rsidR="00D42204" w:rsidRDefault="00D42204"/>
    <w:p w14:paraId="35D0915B" w14:textId="77777777" w:rsidR="00D42204" w:rsidRDefault="004E439D">
      <w:pPr>
        <w:spacing w:before="100"/>
      </w:pPr>
      <w:r>
        <w:rPr>
          <w:rFonts w:ascii="Times New Roman" w:eastAsia="宋体" w:hAnsi="Times New Roman"/>
          <w:color w:val="000000"/>
          <w:sz w:val="20"/>
          <w:szCs w:val="20"/>
        </w:rPr>
        <w:t>Protection Act. We may be subjected to penalties and other consequences for</w:t>
      </w:r>
      <w:r>
        <w:rPr>
          <w:rFonts w:ascii="Times New Roman" w:eastAsia="宋体" w:hAnsi="Times New Roman"/>
          <w:color w:val="000000"/>
          <w:sz w:val="20"/>
          <w:szCs w:val="20"/>
        </w:rPr>
        <w:t xml:space="preserve"> noncompliance, including changing some portions of our business. Even an unsuccessful challenge by customer or regulatory authorities of our activities could result in adverse publicity and could require a costly response from and defense by us.</w:t>
      </w:r>
    </w:p>
    <w:p w14:paraId="35D0915C" w14:textId="77777777" w:rsidR="00D42204" w:rsidRDefault="004E439D">
      <w:pPr>
        <w:spacing w:before="100"/>
      </w:pPr>
      <w:r>
        <w:rPr>
          <w:rFonts w:ascii="Times New Roman" w:eastAsia="宋体" w:hAnsi="Times New Roman"/>
          <w:color w:val="000000"/>
          <w:sz w:val="20"/>
          <w:szCs w:val="20"/>
        </w:rPr>
        <w:t>The impac</w:t>
      </w:r>
      <w:r>
        <w:rPr>
          <w:rFonts w:ascii="Times New Roman" w:eastAsia="宋体" w:hAnsi="Times New Roman"/>
          <w:color w:val="000000"/>
          <w:sz w:val="20"/>
          <w:szCs w:val="20"/>
        </w:rPr>
        <w:t>t of new laws, regulations and policies and the related interpretations, as well as changes in enforcement practices or regulatory scrutiny generally cannot be predicted, and changes in applicable laws, regulations and policies and the related interpretati</w:t>
      </w:r>
      <w:r>
        <w:rPr>
          <w:rFonts w:ascii="Times New Roman" w:eastAsia="宋体" w:hAnsi="Times New Roman"/>
          <w:color w:val="000000"/>
          <w:sz w:val="20"/>
          <w:szCs w:val="20"/>
        </w:rPr>
        <w:t>ons and enforcement practices may require extensive system and operational changes, be difficult to implement, increase our operating costs, require significant capital expenditures, or adversely impact the cost or attractiveness of the products or service</w:t>
      </w:r>
      <w:r>
        <w:rPr>
          <w:rFonts w:ascii="Times New Roman" w:eastAsia="宋体" w:hAnsi="Times New Roman"/>
          <w:color w:val="000000"/>
          <w:sz w:val="20"/>
          <w:szCs w:val="20"/>
        </w:rPr>
        <w:t>s we offer, or result in adverse publicity and harm our reputation. If we fail to respond adequately to changes, including by implementing strategic and operational initiatives, or do not respond as effectively as our competitors, our business, operations,</w:t>
      </w:r>
      <w:r>
        <w:rPr>
          <w:rFonts w:ascii="Times New Roman" w:eastAsia="宋体" w:hAnsi="Times New Roman"/>
          <w:color w:val="000000"/>
          <w:sz w:val="20"/>
          <w:szCs w:val="20"/>
        </w:rPr>
        <w:t xml:space="preserve"> and financial performance may be adversely affected.</w:t>
      </w:r>
    </w:p>
    <w:p w14:paraId="35D0915D" w14:textId="77777777" w:rsidR="00D42204" w:rsidRDefault="004E439D">
      <w:pPr>
        <w:spacing w:before="100"/>
      </w:pPr>
      <w:r>
        <w:rPr>
          <w:rFonts w:ascii="Times New Roman" w:eastAsia="宋体" w:hAnsi="Times New Roman"/>
          <w:color w:val="000000"/>
          <w:sz w:val="20"/>
          <w:szCs w:val="20"/>
        </w:rPr>
        <w:t>While we strive to adhere our practices and procedures to these laws, they are subject to evolving regulations, interpretations, enforcement priorities of regulatory authorities, and regulator discretio</w:t>
      </w:r>
      <w:r>
        <w:rPr>
          <w:rFonts w:ascii="Times New Roman" w:eastAsia="宋体" w:hAnsi="Times New Roman"/>
          <w:color w:val="000000"/>
          <w:sz w:val="20"/>
          <w:szCs w:val="20"/>
        </w:rPr>
        <w:t>n. The regulatory, political, and media scrutiny we face, which may continue, amplifies these risks. We may face audits or investigations by one or more government agencies relating to our compliance with applicable laws and regulations. To the extent a re</w:t>
      </w:r>
      <w:r>
        <w:rPr>
          <w:rFonts w:ascii="Times New Roman" w:eastAsia="宋体" w:hAnsi="Times New Roman"/>
          <w:color w:val="000000"/>
          <w:sz w:val="20"/>
          <w:szCs w:val="20"/>
        </w:rPr>
        <w:t>gulator or court disagrees with our interpretation of these laws and determines that our practices are not in compliance with applicable laws and regulations, we could be subject to civil and criminal penalties that could adversely affect the continued ope</w:t>
      </w:r>
      <w:r>
        <w:rPr>
          <w:rFonts w:ascii="Times New Roman" w:eastAsia="宋体" w:hAnsi="Times New Roman"/>
          <w:color w:val="000000"/>
          <w:sz w:val="20"/>
          <w:szCs w:val="20"/>
        </w:rPr>
        <w:t>ration of our businesses, including: suspension of payments from government programs; loss of required government certifications; loss of authorizations to participate in or exclusion from government programs, including the Medicare and Medicaid programs i</w:t>
      </w:r>
      <w:r>
        <w:rPr>
          <w:rFonts w:ascii="Times New Roman" w:eastAsia="宋体" w:hAnsi="Times New Roman"/>
          <w:color w:val="000000"/>
          <w:sz w:val="20"/>
          <w:szCs w:val="20"/>
        </w:rPr>
        <w:t>n the U.S.; loss of licenses; termination from contractual relationships, including those with our drug suppliers and third-party payers; and significant fines or monetary damages and/or criminal and civil penalties. Failure to comply with applicable legal</w:t>
      </w:r>
      <w:r>
        <w:rPr>
          <w:rFonts w:ascii="Times New Roman" w:eastAsia="宋体" w:hAnsi="Times New Roman"/>
          <w:color w:val="000000"/>
          <w:sz w:val="20"/>
          <w:szCs w:val="20"/>
        </w:rPr>
        <w:t xml:space="preserve"> or regulatory requirements in the U.S. or in any of the countries in which we operate could result in significant legal and financial exposure, damage to our reputation, and have a material adverse effect on our business operations, financial position and</w:t>
      </w:r>
      <w:r>
        <w:rPr>
          <w:rFonts w:ascii="Times New Roman" w:eastAsia="宋体" w:hAnsi="Times New Roman"/>
          <w:color w:val="000000"/>
          <w:sz w:val="20"/>
          <w:szCs w:val="20"/>
        </w:rPr>
        <w:t xml:space="preserve"> results of operations.</w:t>
      </w:r>
    </w:p>
    <w:p w14:paraId="35D0915E" w14:textId="77777777" w:rsidR="00D42204" w:rsidRDefault="004E439D">
      <w:pPr>
        <w:spacing w:before="180"/>
      </w:pPr>
      <w:r>
        <w:rPr>
          <w:rFonts w:ascii="Times New Roman" w:eastAsia="宋体" w:hAnsi="Times New Roman"/>
          <w:b/>
          <w:bCs/>
          <w:color w:val="000000"/>
          <w:sz w:val="20"/>
          <w:szCs w:val="20"/>
        </w:rPr>
        <w:t>We are subject to risks related to litigation and other legal proceedings that may materially adversely affect our results of operations, financial position and liquidity.</w:t>
      </w:r>
    </w:p>
    <w:p w14:paraId="35D0915F" w14:textId="77777777" w:rsidR="00D42204" w:rsidRDefault="004E439D">
      <w:pPr>
        <w:spacing w:before="100"/>
      </w:pPr>
      <w:r>
        <w:rPr>
          <w:rFonts w:ascii="Times New Roman" w:eastAsia="宋体" w:hAnsi="Times New Roman"/>
          <w:color w:val="000000"/>
          <w:sz w:val="20"/>
          <w:szCs w:val="20"/>
        </w:rPr>
        <w:t xml:space="preserve">We operate in a highly regulated and litigious environment. </w:t>
      </w:r>
      <w:r>
        <w:rPr>
          <w:rFonts w:ascii="Times New Roman" w:eastAsia="宋体" w:hAnsi="Times New Roman"/>
          <w:color w:val="000000"/>
          <w:sz w:val="20"/>
          <w:szCs w:val="20"/>
        </w:rPr>
        <w:t xml:space="preserve">We are involved in legal proceedings, including litigation, arbitration and other claims, and investigations, inspections, audits, claims, inquiries and similar actions by pharmacy, healthcare, tax, environmental and other governmental authorities. We may </w:t>
      </w:r>
      <w:r>
        <w:rPr>
          <w:rFonts w:ascii="Times New Roman" w:eastAsia="宋体" w:hAnsi="Times New Roman"/>
          <w:color w:val="000000"/>
          <w:sz w:val="20"/>
          <w:szCs w:val="20"/>
        </w:rPr>
        <w:t>also have indemnification obligations for legal commitments of certain businesses we have divested. Legal proceedings, in general, and securities, derivative action and class action and multi-district litigation, in particular, can be expensive and disrupt</w:t>
      </w:r>
      <w:r>
        <w:rPr>
          <w:rFonts w:ascii="Times New Roman" w:eastAsia="宋体" w:hAnsi="Times New Roman"/>
          <w:color w:val="000000"/>
          <w:sz w:val="20"/>
          <w:szCs w:val="20"/>
        </w:rPr>
        <w:t>ive. Some of these suits may purport or may be determined to be class actions and/or involve parties seeking large and/or indeterminate amounts, including punitive or exemplary damages, and may remain unresolved for several years. For example, we are curre</w:t>
      </w:r>
      <w:r>
        <w:rPr>
          <w:rFonts w:ascii="Times New Roman" w:eastAsia="宋体" w:hAnsi="Times New Roman"/>
          <w:color w:val="000000"/>
          <w:sz w:val="20"/>
          <w:szCs w:val="20"/>
        </w:rPr>
        <w:t>ntly a defendant in a number of cases containing class or collective-action allegations, or both, in which the plaintiffs have brought claims under federal and state wage and hour laws, as well as a number of cases containing class-action allegations in wh</w:t>
      </w:r>
      <w:r>
        <w:rPr>
          <w:rFonts w:ascii="Times New Roman" w:eastAsia="宋体" w:hAnsi="Times New Roman"/>
          <w:color w:val="000000"/>
          <w:sz w:val="20"/>
          <w:szCs w:val="20"/>
        </w:rPr>
        <w:t>ich the plaintiffs have brought claims under federal and state consumer laws.</w:t>
      </w:r>
    </w:p>
    <w:p w14:paraId="35D09160" w14:textId="77777777" w:rsidR="00D42204" w:rsidRDefault="004E439D">
      <w:pPr>
        <w:spacing w:before="100"/>
      </w:pPr>
      <w:r>
        <w:rPr>
          <w:rFonts w:ascii="Times New Roman" w:eastAsia="宋体" w:hAnsi="Times New Roman"/>
          <w:color w:val="000000"/>
          <w:sz w:val="20"/>
          <w:szCs w:val="20"/>
        </w:rPr>
        <w:t>The Company has also been responding to subpoenas, information requests and investigations from governmental entities related to nationwide controlled substance dispensing and di</w:t>
      </w:r>
      <w:r>
        <w:rPr>
          <w:rFonts w:ascii="Times New Roman" w:eastAsia="宋体" w:hAnsi="Times New Roman"/>
          <w:color w:val="000000"/>
          <w:sz w:val="20"/>
          <w:szCs w:val="20"/>
        </w:rPr>
        <w:t xml:space="preserve">stribution practices involving opioids and is also a defendant in numerous litigation proceedings related to opioids, including the consolidated multidistrict litigation entitled </w:t>
      </w:r>
      <w:r>
        <w:rPr>
          <w:rFonts w:ascii="Times New Roman" w:eastAsia="宋体" w:hAnsi="Times New Roman"/>
          <w:i/>
          <w:iCs/>
          <w:color w:val="000000"/>
          <w:sz w:val="20"/>
          <w:szCs w:val="20"/>
        </w:rPr>
        <w:t>In re National Prescription Opiate Litigation (MDL No. 2804)</w:t>
      </w:r>
      <w:r>
        <w:rPr>
          <w:rFonts w:ascii="Times New Roman" w:eastAsia="宋体" w:hAnsi="Times New Roman"/>
          <w:color w:val="000000"/>
          <w:sz w:val="20"/>
          <w:szCs w:val="20"/>
        </w:rPr>
        <w:t xml:space="preserve"> currently pendin</w:t>
      </w:r>
      <w:r>
        <w:rPr>
          <w:rFonts w:ascii="Times New Roman" w:eastAsia="宋体" w:hAnsi="Times New Roman"/>
          <w:color w:val="000000"/>
          <w:sz w:val="20"/>
          <w:szCs w:val="20"/>
        </w:rPr>
        <w:t>g in the U.S. District Court for the Northern District of Ohio. Similar cases that name the Company have also been filed in state courts by state, local and tribal governments, health care providers and other plaintiffs. Plaintiffs are seeking compensatory</w:t>
      </w:r>
      <w:r>
        <w:rPr>
          <w:rFonts w:ascii="Times New Roman" w:eastAsia="宋体" w:hAnsi="Times New Roman"/>
          <w:color w:val="000000"/>
          <w:sz w:val="20"/>
          <w:szCs w:val="20"/>
        </w:rPr>
        <w:t xml:space="preserve"> and punitive damages, as well as injunctive relief including abatement. On October 22, 2020, the Company filed a declaratory judgment action in the U.S. District Court for the Eastern District of Texas against the U.S. Department of Justice (the "DOJ") an</w:t>
      </w:r>
      <w:r>
        <w:rPr>
          <w:rFonts w:ascii="Times New Roman" w:eastAsia="宋体" w:hAnsi="Times New Roman"/>
          <w:color w:val="000000"/>
          <w:sz w:val="20"/>
          <w:szCs w:val="20"/>
        </w:rPr>
        <w:t>d the U.S. Drug Enforcement Administration, asking a federal court to clarify the roles and responsibilities of pharmacists and pharmacies as to the dispensing and distribution of opioids under the Controlled Substances Act (the "CSA"). The Company's actio</w:t>
      </w:r>
      <w:r>
        <w:rPr>
          <w:rFonts w:ascii="Times New Roman" w:eastAsia="宋体" w:hAnsi="Times New Roman"/>
          <w:color w:val="000000"/>
          <w:sz w:val="20"/>
          <w:szCs w:val="20"/>
        </w:rPr>
        <w:t>n was dismissed. The Company appealed this decision to the Fifth Circuit. On December 22, 2021, the Fifth Circuit affirmed the dismissal of the action. On December 22, 2020, the DOJ filed a civil complaint against the Company in the U.S. District Court for</w:t>
      </w:r>
      <w:r>
        <w:rPr>
          <w:rFonts w:ascii="Times New Roman" w:eastAsia="宋体" w:hAnsi="Times New Roman"/>
          <w:color w:val="000000"/>
          <w:sz w:val="20"/>
          <w:szCs w:val="20"/>
        </w:rPr>
        <w:t xml:space="preserve"> the District of Delaware alleging that the Company unlawfully dispensed controlled substances from its pharmacies and unlawfully distributed controlled substances to those pharmacies in violation of the CSA. The DOJ is seeking civil penalties and injuncti</w:t>
      </w:r>
      <w:r>
        <w:rPr>
          <w:rFonts w:ascii="Times New Roman" w:eastAsia="宋体" w:hAnsi="Times New Roman"/>
          <w:color w:val="000000"/>
          <w:sz w:val="20"/>
          <w:szCs w:val="20"/>
        </w:rPr>
        <w:t>ve relief. The Company filed a motion to dismiss the DOJ complaint on February 22, 2021. Since that time, the District Court stayed further proceedings in the DOJ complaint pending the decision of the United States Supreme Court in two other cases interpre</w:t>
      </w:r>
      <w:r>
        <w:rPr>
          <w:rFonts w:ascii="Times New Roman" w:eastAsia="宋体" w:hAnsi="Times New Roman"/>
          <w:color w:val="000000"/>
          <w:sz w:val="20"/>
          <w:szCs w:val="20"/>
        </w:rPr>
        <w:t xml:space="preserve">ting the CSA, which have been consolidated into </w:t>
      </w:r>
      <w:r>
        <w:rPr>
          <w:rFonts w:ascii="Times New Roman" w:eastAsia="宋体" w:hAnsi="Times New Roman"/>
          <w:i/>
          <w:iCs/>
          <w:color w:val="000000"/>
          <w:sz w:val="20"/>
          <w:szCs w:val="20"/>
        </w:rPr>
        <w:t>Ruan v. United States</w:t>
      </w:r>
      <w:r>
        <w:rPr>
          <w:rFonts w:ascii="Times New Roman" w:eastAsia="宋体" w:hAnsi="Times New Roman"/>
          <w:color w:val="000000"/>
          <w:sz w:val="20"/>
          <w:szCs w:val="20"/>
        </w:rPr>
        <w:t xml:space="preserve">, 142 S. Ct. 457 (2021). </w:t>
      </w:r>
    </w:p>
    <w:p w14:paraId="35D09161" w14:textId="77777777" w:rsidR="00D42204" w:rsidRDefault="004E439D">
      <w:pPr>
        <w:spacing w:before="100"/>
      </w:pPr>
      <w:r>
        <w:rPr>
          <w:rFonts w:ascii="Times New Roman" w:eastAsia="宋体" w:hAnsi="Times New Roman"/>
          <w:color w:val="000000"/>
          <w:sz w:val="20"/>
          <w:szCs w:val="20"/>
        </w:rPr>
        <w:t>In addition, the Company is the subject of a consolidated securities class action alleging violations of the federal securities laws regarding the Company's disc</w:t>
      </w:r>
      <w:r>
        <w:rPr>
          <w:rFonts w:ascii="Times New Roman" w:eastAsia="宋体" w:hAnsi="Times New Roman"/>
          <w:color w:val="000000"/>
          <w:sz w:val="20"/>
          <w:szCs w:val="20"/>
        </w:rPr>
        <w:t>losures with respect to opioids filed in the U.S. District Court for the District of Delaware on January 20, 2021 purportedly on behalf of a class of investors who acquired Walmart stock from March 30, 2016 through December 22, 2020. On May 11, 2021 the U.</w:t>
      </w:r>
      <w:r>
        <w:rPr>
          <w:rFonts w:ascii="Times New Roman" w:eastAsia="宋体" w:hAnsi="Times New Roman"/>
          <w:color w:val="000000"/>
          <w:sz w:val="20"/>
          <w:szCs w:val="20"/>
        </w:rPr>
        <w:t>S. District Court in Delaware consolidated the class actions and appointed a lead plaintiff and lead counsel. The defendants filed a motion to dismiss the consolidated securities class action on October 8, 2021; the lead plaintiff responded to the motion o</w:t>
      </w:r>
      <w:r>
        <w:rPr>
          <w:rFonts w:ascii="Times New Roman" w:eastAsia="宋体" w:hAnsi="Times New Roman"/>
          <w:color w:val="000000"/>
          <w:sz w:val="20"/>
          <w:szCs w:val="20"/>
        </w:rPr>
        <w:t xml:space="preserve">n January 10, 2022; and the defendants filed their reply brief on February 10, 2022. </w:t>
      </w:r>
    </w:p>
    <w:p w14:paraId="35D09162" w14:textId="77777777" w:rsidR="00D42204" w:rsidRDefault="004E439D">
      <w:pPr>
        <w:jc w:val="center"/>
      </w:pPr>
      <w:r>
        <w:rPr>
          <w:rFonts w:ascii="Times New Roman" w:eastAsia="宋体" w:hAnsi="Times New Roman"/>
          <w:color w:val="000000"/>
          <w:sz w:val="20"/>
          <w:szCs w:val="20"/>
        </w:rPr>
        <w:t>25</w:t>
      </w:r>
    </w:p>
    <w:p w14:paraId="35D09163" w14:textId="77777777" w:rsidR="00D42204" w:rsidRDefault="004E439D">
      <w:r>
        <w:pict w14:anchorId="35D0C372">
          <v:rect id="_x0000_i1049" style="width:415.3pt;height:1.5pt" o:hralign="center" o:hrstd="t" o:hr="t" fillcolor="#a0a0a0" stroked="f"/>
        </w:pict>
      </w:r>
    </w:p>
    <w:p w14:paraId="35D09164" w14:textId="77777777" w:rsidR="00D42204" w:rsidRDefault="00D42204"/>
    <w:p w14:paraId="35D09165" w14:textId="77777777" w:rsidR="00D42204" w:rsidRDefault="004E439D">
      <w:pPr>
        <w:spacing w:before="100"/>
      </w:pPr>
      <w:r>
        <w:rPr>
          <w:rFonts w:ascii="Times New Roman" w:eastAsia="宋体" w:hAnsi="Times New Roman"/>
          <w:color w:val="000000"/>
          <w:sz w:val="20"/>
          <w:szCs w:val="20"/>
        </w:rPr>
        <w:t xml:space="preserve">Two derivative actions were also filed by certain of the Company's shareholders in the U.S. District Court for the District of Delaware on February 9, 2021 and April 16, 2021 alleging breach of fiduciary duties against certain of the Company's current and </w:t>
      </w:r>
      <w:r>
        <w:rPr>
          <w:rFonts w:ascii="Times New Roman" w:eastAsia="宋体" w:hAnsi="Times New Roman"/>
          <w:color w:val="000000"/>
          <w:sz w:val="20"/>
          <w:szCs w:val="20"/>
        </w:rPr>
        <w:t xml:space="preserve">former directors with respect to oversight of the Company's distribution and dispensing of opioids, and those suits have been stayed pending further developments in other Opioids litigation matters. </w:t>
      </w:r>
    </w:p>
    <w:p w14:paraId="35D09166" w14:textId="77777777" w:rsidR="00D42204" w:rsidRDefault="004E439D">
      <w:pPr>
        <w:spacing w:before="100"/>
      </w:pPr>
      <w:r>
        <w:rPr>
          <w:rFonts w:ascii="Times New Roman" w:eastAsia="宋体" w:hAnsi="Times New Roman"/>
          <w:color w:val="000000"/>
          <w:sz w:val="20"/>
          <w:szCs w:val="20"/>
        </w:rPr>
        <w:t>Other shareholders filed a third derivative action makin</w:t>
      </w:r>
      <w:r>
        <w:rPr>
          <w:rFonts w:ascii="Times New Roman" w:eastAsia="宋体" w:hAnsi="Times New Roman"/>
          <w:color w:val="000000"/>
          <w:sz w:val="20"/>
          <w:szCs w:val="20"/>
        </w:rPr>
        <w:t>g similar allegations in the Delaware Court of Chancery on September 27, 2021. The defendants in this derivative suit filed the opening brief on their motion to dismiss that case on December 21, 2021; and the plaintiffs responded by filing an amended compl</w:t>
      </w:r>
      <w:r>
        <w:rPr>
          <w:rFonts w:ascii="Times New Roman" w:eastAsia="宋体" w:hAnsi="Times New Roman"/>
          <w:color w:val="000000"/>
          <w:sz w:val="20"/>
          <w:szCs w:val="20"/>
        </w:rPr>
        <w:t>aint on February 22, 2022.</w:t>
      </w:r>
    </w:p>
    <w:p w14:paraId="35D09167" w14:textId="77777777" w:rsidR="00D42204" w:rsidRDefault="004E439D">
      <w:pPr>
        <w:spacing w:before="100"/>
      </w:pPr>
      <w:r>
        <w:rPr>
          <w:rFonts w:ascii="Times New Roman" w:eastAsia="宋体" w:hAnsi="Times New Roman"/>
          <w:color w:val="000000"/>
          <w:sz w:val="20"/>
          <w:szCs w:val="20"/>
        </w:rPr>
        <w:t>The Company cannot predict the number of such claims that may be filed, and cannot reasonably estimate any loss or range of loss that may arise from such claims and the related opioid matters.</w:t>
      </w:r>
    </w:p>
    <w:p w14:paraId="35D09168" w14:textId="77777777" w:rsidR="00D42204" w:rsidRDefault="004E439D">
      <w:pPr>
        <w:spacing w:before="100"/>
      </w:pPr>
      <w:r>
        <w:rPr>
          <w:rFonts w:ascii="Times New Roman" w:eastAsia="宋体" w:hAnsi="Times New Roman"/>
          <w:color w:val="000000"/>
          <w:sz w:val="20"/>
          <w:szCs w:val="20"/>
        </w:rPr>
        <w:t>We discuss these cases and other lit</w:t>
      </w:r>
      <w:r>
        <w:rPr>
          <w:rFonts w:ascii="Times New Roman" w:eastAsia="宋体" w:hAnsi="Times New Roman"/>
          <w:color w:val="000000"/>
          <w:sz w:val="20"/>
          <w:szCs w:val="20"/>
        </w:rPr>
        <w:t>igation to which we are party below under the caption "</w:t>
      </w:r>
      <w:hyperlink r:id="rId87" w:anchor="i1ba69ebb72ec48f9b754a5e96c4cdf3f_49" w:history="1">
        <w:r>
          <w:rPr>
            <w:rStyle w:val="a5"/>
            <w:rFonts w:ascii="Times New Roman" w:eastAsia="宋体" w:hAnsi="Times New Roman"/>
            <w:sz w:val="20"/>
            <w:szCs w:val="20"/>
          </w:rPr>
          <w:t>Item 3. Legal Proceedings</w:t>
        </w:r>
      </w:hyperlink>
      <w:r>
        <w:rPr>
          <w:rFonts w:ascii="Times New Roman" w:eastAsia="宋体" w:hAnsi="Times New Roman"/>
          <w:color w:val="000000"/>
          <w:sz w:val="20"/>
          <w:szCs w:val="20"/>
        </w:rPr>
        <w:t xml:space="preserve">" and in </w:t>
      </w:r>
      <w:hyperlink r:id="rId88" w:anchor="i1ba69ebb72ec48f9b754a5e96c4cdf3f_184" w:history="1">
        <w:r>
          <w:rPr>
            <w:rStyle w:val="a5"/>
            <w:rFonts w:ascii="Times New Roman" w:eastAsia="宋体" w:hAnsi="Times New Roman"/>
            <w:sz w:val="20"/>
            <w:szCs w:val="20"/>
          </w:rPr>
          <w:t>Note 10</w:t>
        </w:r>
      </w:hyperlink>
      <w:r>
        <w:rPr>
          <w:rFonts w:ascii="Times New Roman" w:eastAsia="宋体" w:hAnsi="Times New Roman"/>
          <w:color w:val="000000"/>
          <w:sz w:val="20"/>
          <w:szCs w:val="20"/>
        </w:rPr>
        <w:t xml:space="preserve"> in the "</w:t>
      </w:r>
      <w:hyperlink r:id="rId89" w:anchor="i1ba69ebb72ec48f9b754a5e96c4cdf3f_148" w:history="1">
        <w:r>
          <w:rPr>
            <w:rStyle w:val="a5"/>
            <w:rFonts w:ascii="Times New Roman" w:eastAsia="宋体" w:hAnsi="Times New Roman"/>
            <w:sz w:val="20"/>
            <w:szCs w:val="20"/>
          </w:rPr>
          <w:t>Notes to our Consolidated Financial Statements</w:t>
        </w:r>
      </w:hyperlink>
      <w:r>
        <w:rPr>
          <w:rFonts w:ascii="Times New Roman" w:eastAsia="宋体" w:hAnsi="Times New Roman"/>
          <w:color w:val="000000"/>
          <w:sz w:val="20"/>
          <w:szCs w:val="20"/>
        </w:rPr>
        <w:t>," which are part of this Annual Report on Form 10-K.</w:t>
      </w:r>
    </w:p>
    <w:p w14:paraId="35D09169" w14:textId="77777777" w:rsidR="00D42204" w:rsidRDefault="004E439D">
      <w:pPr>
        <w:spacing w:before="180"/>
      </w:pPr>
      <w:r>
        <w:rPr>
          <w:rFonts w:ascii="Times New Roman" w:eastAsia="宋体" w:hAnsi="Times New Roman"/>
          <w:b/>
          <w:bCs/>
          <w:color w:val="000000"/>
          <w:sz w:val="20"/>
          <w:szCs w:val="20"/>
        </w:rPr>
        <w:t>Our amended and restated bylaws designate the Court of Chancery of the State of Delaware</w:t>
      </w:r>
      <w:r>
        <w:rPr>
          <w:rFonts w:ascii="Times New Roman" w:eastAsia="宋体" w:hAnsi="Times New Roman"/>
          <w:b/>
          <w:bCs/>
          <w:color w:val="000000"/>
          <w:sz w:val="20"/>
          <w:szCs w:val="20"/>
        </w:rPr>
        <w:t xml:space="preserve"> as the sole and exclusive forum for certain types of actions and proceedings that may be initiated by our shareholders, which could increase the costs for our shareholders to bring claims, discourage our shareholders from bringing claims, or</w:t>
      </w:r>
      <w:r>
        <w:rPr>
          <w:rFonts w:ascii="Times New Roman" w:eastAsia="宋体" w:hAnsi="Times New Roman"/>
          <w:b/>
          <w:bCs/>
          <w:color w:val="000000"/>
          <w:sz w:val="17"/>
          <w:szCs w:val="17"/>
        </w:rPr>
        <w:t xml:space="preserve"> </w:t>
      </w:r>
      <w:r>
        <w:rPr>
          <w:rFonts w:ascii="Times New Roman" w:eastAsia="宋体" w:hAnsi="Times New Roman"/>
          <w:b/>
          <w:bCs/>
          <w:color w:val="000000"/>
          <w:sz w:val="20"/>
          <w:szCs w:val="20"/>
        </w:rPr>
        <w:t>limit our sha</w:t>
      </w:r>
      <w:r>
        <w:rPr>
          <w:rFonts w:ascii="Times New Roman" w:eastAsia="宋体" w:hAnsi="Times New Roman"/>
          <w:b/>
          <w:bCs/>
          <w:color w:val="000000"/>
          <w:sz w:val="20"/>
          <w:szCs w:val="20"/>
        </w:rPr>
        <w:t>reholders' ability to obtain a favorable judicial forum for disputes with us or our directors, officers, associates or shareholders in such capacity.</w:t>
      </w:r>
    </w:p>
    <w:p w14:paraId="35D0916A" w14:textId="77777777" w:rsidR="00D42204" w:rsidRDefault="004E439D">
      <w:pPr>
        <w:spacing w:before="100"/>
      </w:pPr>
      <w:r>
        <w:rPr>
          <w:rFonts w:ascii="Times New Roman" w:eastAsia="宋体" w:hAnsi="Times New Roman"/>
          <w:color w:val="000000"/>
          <w:sz w:val="20"/>
          <w:szCs w:val="20"/>
        </w:rPr>
        <w:t xml:space="preserve">Our bylaws provide that, unless we consent in writing to the selection of an alternative forum, the Court </w:t>
      </w:r>
      <w:r>
        <w:rPr>
          <w:rFonts w:ascii="Times New Roman" w:eastAsia="宋体" w:hAnsi="Times New Roman"/>
          <w:color w:val="000000"/>
          <w:sz w:val="20"/>
          <w:szCs w:val="20"/>
        </w:rPr>
        <w:t>of Chancery of the State of Delaware will, to the fullest extent permitted by law, be the sole and exclusive forum for claims, including derivative claims that are based upon a violation of a duty by a current or former director, officer, associate or shar</w:t>
      </w:r>
      <w:r>
        <w:rPr>
          <w:rFonts w:ascii="Times New Roman" w:eastAsia="宋体" w:hAnsi="Times New Roman"/>
          <w:color w:val="000000"/>
          <w:sz w:val="20"/>
          <w:szCs w:val="20"/>
        </w:rPr>
        <w:t xml:space="preserve">eholder in such capacity or as to which the Delaware General Corporation Law confers jurisdiction upon the Court of Chancery. The exclusive forum provision may increase the costs for a shareholder to bring a claim or limit a shareholder's ability to bring </w:t>
      </w:r>
      <w:r>
        <w:rPr>
          <w:rFonts w:ascii="Times New Roman" w:eastAsia="宋体" w:hAnsi="Times New Roman"/>
          <w:color w:val="000000"/>
          <w:sz w:val="20"/>
          <w:szCs w:val="20"/>
        </w:rPr>
        <w:t>a claim in a judicial forum that the shareholder finds favorable for disputes with us or our directors, officers, associates or shareholders in such capacity, which may discourage such lawsuits against us and such persons. Alternatively, if a court were to</w:t>
      </w:r>
      <w:r>
        <w:rPr>
          <w:rFonts w:ascii="Times New Roman" w:eastAsia="宋体" w:hAnsi="Times New Roman"/>
          <w:color w:val="000000"/>
          <w:sz w:val="20"/>
          <w:szCs w:val="20"/>
        </w:rPr>
        <w:t xml:space="preserve"> find these provisions of our bylaws inapplicable to, or unenforceable in respect of, the claims as to which they are intended to apply, then we may incur additional costs associated with resolving such matters in other jurisdictions, which could adversely</w:t>
      </w:r>
      <w:r>
        <w:rPr>
          <w:rFonts w:ascii="Times New Roman" w:eastAsia="宋体" w:hAnsi="Times New Roman"/>
          <w:color w:val="000000"/>
          <w:sz w:val="20"/>
          <w:szCs w:val="20"/>
        </w:rPr>
        <w:t xml:space="preserve"> affect our business, financial position or results of operations. While the exclusive forum provision applies to state and federal law claims, our shareholders will not be deemed to have waived our compliance with, and the exclusive forum provision will n</w:t>
      </w:r>
      <w:r>
        <w:rPr>
          <w:rFonts w:ascii="Times New Roman" w:eastAsia="宋体" w:hAnsi="Times New Roman"/>
          <w:color w:val="000000"/>
          <w:sz w:val="20"/>
          <w:szCs w:val="20"/>
        </w:rPr>
        <w:t>ot preclude or contract the scope of exclusive federal or concurrent jurisdiction for actions brought under, the federal securities laws, including the Securities Exchange Act of 1934, as amended, or the Securities Act of 1933, as amended, and the rules an</w:t>
      </w:r>
      <w:r>
        <w:rPr>
          <w:rFonts w:ascii="Times New Roman" w:eastAsia="宋体" w:hAnsi="Times New Roman"/>
          <w:color w:val="000000"/>
          <w:sz w:val="20"/>
          <w:szCs w:val="20"/>
        </w:rPr>
        <w:t>d regulations promulgated thereunder.</w:t>
      </w:r>
    </w:p>
    <w:p w14:paraId="35D0916B" w14:textId="77777777" w:rsidR="00D42204" w:rsidRDefault="004E439D">
      <w:pPr>
        <w:spacing w:before="180"/>
      </w:pPr>
      <w:r>
        <w:rPr>
          <w:rFonts w:ascii="Times New Roman" w:eastAsia="宋体" w:hAnsi="Times New Roman"/>
          <w:b/>
          <w:bCs/>
          <w:color w:val="000000"/>
          <w:sz w:val="20"/>
          <w:szCs w:val="20"/>
        </w:rPr>
        <w:t>Our reputation may be adversely affected if we are not able to achieve our ESG goals.</w:t>
      </w:r>
    </w:p>
    <w:p w14:paraId="35D0916C" w14:textId="77777777" w:rsidR="00D42204" w:rsidRDefault="004E439D">
      <w:pPr>
        <w:spacing w:before="100"/>
      </w:pPr>
      <w:r>
        <w:rPr>
          <w:rFonts w:ascii="Times New Roman" w:eastAsia="宋体" w:hAnsi="Times New Roman"/>
          <w:color w:val="000000"/>
          <w:sz w:val="20"/>
          <w:szCs w:val="20"/>
        </w:rPr>
        <w:t>We strive to deliver shared value through our business and our diverse stakeholders expect us to make significant progress in certai</w:t>
      </w:r>
      <w:r>
        <w:rPr>
          <w:rFonts w:ascii="Times New Roman" w:eastAsia="宋体" w:hAnsi="Times New Roman"/>
          <w:color w:val="000000"/>
          <w:sz w:val="20"/>
          <w:szCs w:val="20"/>
        </w:rPr>
        <w:t>n ESG priority issue areas. From time to time, we announce certain aspirations and goals relevant to our priority ESG issues. We periodically publish information about our ESG priorities, strategies, and progress on our corporate website and update our ESG</w:t>
      </w:r>
      <w:r>
        <w:rPr>
          <w:rFonts w:ascii="Times New Roman" w:eastAsia="宋体" w:hAnsi="Times New Roman"/>
          <w:color w:val="000000"/>
          <w:sz w:val="20"/>
          <w:szCs w:val="20"/>
        </w:rPr>
        <w:t xml:space="preserve"> reporting from time to time. Achievement of these aspirations and goals is subject to risks and uncertainties, many of which are outside of our control, and it is possible that we may fail, or be perceived to have failed, in the achievement of our ESG goa</w:t>
      </w:r>
      <w:r>
        <w:rPr>
          <w:rFonts w:ascii="Times New Roman" w:eastAsia="宋体" w:hAnsi="Times New Roman"/>
          <w:color w:val="000000"/>
          <w:sz w:val="20"/>
          <w:szCs w:val="20"/>
        </w:rPr>
        <w:t>ls or certain of our customers, associates, shareholders, investors, suppliers, business partners, government agencies, and non-governmental organizations might not be satisfied with our efforts. Certain challenges we face in the achievement of our ESG obj</w:t>
      </w:r>
      <w:r>
        <w:rPr>
          <w:rFonts w:ascii="Times New Roman" w:eastAsia="宋体" w:hAnsi="Times New Roman"/>
          <w:color w:val="000000"/>
          <w:sz w:val="20"/>
          <w:szCs w:val="20"/>
        </w:rPr>
        <w:t xml:space="preserve">ectives are also captured within our ESG reporting, which is not incorporated by reference into and does not form any part of this Annual Report on Form 10-K. A failure or perceived failure to meet our goals could adversely affect public perception of our </w:t>
      </w:r>
      <w:r>
        <w:rPr>
          <w:rFonts w:ascii="Times New Roman" w:eastAsia="宋体" w:hAnsi="Times New Roman"/>
          <w:color w:val="000000"/>
          <w:sz w:val="20"/>
          <w:szCs w:val="20"/>
        </w:rPr>
        <w:t>business, associate morale or customer or shareholder support.</w:t>
      </w:r>
    </w:p>
    <w:tbl>
      <w:tblPr>
        <w:tblW w:w="4766" w:type="pct"/>
        <w:tblCellMar>
          <w:top w:w="15" w:type="dxa"/>
          <w:left w:w="15" w:type="dxa"/>
          <w:bottom w:w="15" w:type="dxa"/>
          <w:right w:w="15" w:type="dxa"/>
        </w:tblCellMar>
        <w:tblLook w:val="04A0" w:firstRow="1" w:lastRow="0" w:firstColumn="1" w:lastColumn="0" w:noHBand="0" w:noVBand="1"/>
      </w:tblPr>
      <w:tblGrid>
        <w:gridCol w:w="79"/>
        <w:gridCol w:w="821"/>
        <w:gridCol w:w="36"/>
        <w:gridCol w:w="47"/>
        <w:gridCol w:w="6927"/>
        <w:gridCol w:w="36"/>
      </w:tblGrid>
      <w:tr w:rsidR="00D42204" w14:paraId="35D09173" w14:textId="77777777">
        <w:tc>
          <w:tcPr>
            <w:tcW w:w="50" w:type="pct"/>
            <w:shd w:val="clear" w:color="auto" w:fill="auto"/>
            <w:vAlign w:val="bottom"/>
          </w:tcPr>
          <w:p w14:paraId="35D0916D" w14:textId="77777777" w:rsidR="00D42204" w:rsidRDefault="00D42204">
            <w:pPr>
              <w:rPr>
                <w:rFonts w:ascii="宋体"/>
              </w:rPr>
            </w:pPr>
          </w:p>
        </w:tc>
        <w:tc>
          <w:tcPr>
            <w:tcW w:w="520" w:type="pct"/>
            <w:shd w:val="clear" w:color="auto" w:fill="auto"/>
            <w:vAlign w:val="bottom"/>
          </w:tcPr>
          <w:p w14:paraId="35D0916E" w14:textId="77777777" w:rsidR="00D42204" w:rsidRDefault="00D42204">
            <w:pPr>
              <w:rPr>
                <w:rFonts w:ascii="宋体"/>
              </w:rPr>
            </w:pPr>
          </w:p>
        </w:tc>
        <w:tc>
          <w:tcPr>
            <w:tcW w:w="5" w:type="pct"/>
            <w:shd w:val="clear" w:color="auto" w:fill="auto"/>
            <w:vAlign w:val="bottom"/>
          </w:tcPr>
          <w:p w14:paraId="35D0916F" w14:textId="77777777" w:rsidR="00D42204" w:rsidRDefault="00D42204">
            <w:pPr>
              <w:rPr>
                <w:rFonts w:ascii="宋体"/>
              </w:rPr>
            </w:pPr>
          </w:p>
        </w:tc>
        <w:tc>
          <w:tcPr>
            <w:tcW w:w="50" w:type="pct"/>
            <w:shd w:val="clear" w:color="auto" w:fill="auto"/>
            <w:vAlign w:val="bottom"/>
          </w:tcPr>
          <w:p w14:paraId="35D09170" w14:textId="77777777" w:rsidR="00D42204" w:rsidRDefault="00D42204">
            <w:pPr>
              <w:rPr>
                <w:rFonts w:ascii="宋体"/>
              </w:rPr>
            </w:pPr>
          </w:p>
        </w:tc>
        <w:tc>
          <w:tcPr>
            <w:tcW w:w="4369" w:type="pct"/>
            <w:shd w:val="clear" w:color="auto" w:fill="auto"/>
            <w:vAlign w:val="bottom"/>
          </w:tcPr>
          <w:p w14:paraId="35D09171" w14:textId="77777777" w:rsidR="00D42204" w:rsidRDefault="00D42204">
            <w:pPr>
              <w:rPr>
                <w:rFonts w:ascii="宋体"/>
              </w:rPr>
            </w:pPr>
          </w:p>
        </w:tc>
        <w:tc>
          <w:tcPr>
            <w:tcW w:w="5" w:type="pct"/>
            <w:shd w:val="clear" w:color="auto" w:fill="auto"/>
            <w:vAlign w:val="bottom"/>
          </w:tcPr>
          <w:p w14:paraId="35D09172" w14:textId="77777777" w:rsidR="00D42204" w:rsidRDefault="00D42204">
            <w:pPr>
              <w:rPr>
                <w:rFonts w:ascii="宋体"/>
              </w:rPr>
            </w:pPr>
          </w:p>
        </w:tc>
      </w:tr>
      <w:tr w:rsidR="00D42204" w14:paraId="35D09176" w14:textId="77777777">
        <w:tc>
          <w:tcPr>
            <w:tcW w:w="0" w:type="auto"/>
            <w:gridSpan w:val="3"/>
            <w:shd w:val="clear" w:color="auto" w:fill="auto"/>
            <w:tcMar>
              <w:top w:w="40" w:type="dxa"/>
              <w:left w:w="20" w:type="dxa"/>
              <w:bottom w:w="40" w:type="dxa"/>
              <w:right w:w="20" w:type="dxa"/>
            </w:tcMar>
          </w:tcPr>
          <w:p w14:paraId="35D09174" w14:textId="77777777" w:rsidR="00D42204" w:rsidRDefault="004E439D">
            <w:pPr>
              <w:textAlignment w:val="top"/>
            </w:pPr>
            <w:r>
              <w:rPr>
                <w:rFonts w:ascii="Times New Roman" w:eastAsia="宋体" w:hAnsi="Times New Roman"/>
                <w:b/>
                <w:bCs/>
                <w:color w:val="000000"/>
                <w:sz w:val="20"/>
                <w:szCs w:val="20"/>
                <w:u w:val="single"/>
              </w:rPr>
              <w:t>ITEM 1B.</w:t>
            </w:r>
          </w:p>
        </w:tc>
        <w:tc>
          <w:tcPr>
            <w:tcW w:w="0" w:type="auto"/>
            <w:gridSpan w:val="3"/>
            <w:shd w:val="clear" w:color="auto" w:fill="auto"/>
            <w:tcMar>
              <w:top w:w="40" w:type="dxa"/>
              <w:left w:w="20" w:type="dxa"/>
              <w:bottom w:w="40" w:type="dxa"/>
              <w:right w:w="20" w:type="dxa"/>
            </w:tcMar>
          </w:tcPr>
          <w:p w14:paraId="35D09175" w14:textId="77777777" w:rsidR="00D42204" w:rsidRDefault="004E439D">
            <w:pPr>
              <w:textAlignment w:val="top"/>
            </w:pPr>
            <w:r>
              <w:rPr>
                <w:rFonts w:ascii="Times New Roman" w:eastAsia="宋体" w:hAnsi="Times New Roman"/>
                <w:b/>
                <w:bCs/>
                <w:color w:val="000000"/>
                <w:sz w:val="20"/>
                <w:szCs w:val="20"/>
                <w:u w:val="single"/>
              </w:rPr>
              <w:t>UNRESOLVED STAFF COMMENTS</w:t>
            </w:r>
          </w:p>
        </w:tc>
      </w:tr>
    </w:tbl>
    <w:p w14:paraId="35D09177" w14:textId="77777777" w:rsidR="00D42204" w:rsidRDefault="004E439D">
      <w:r>
        <w:rPr>
          <w:rFonts w:ascii="Times New Roman" w:eastAsia="宋体" w:hAnsi="Times New Roman"/>
          <w:color w:val="000000"/>
          <w:sz w:val="20"/>
          <w:szCs w:val="20"/>
        </w:rPr>
        <w:t>None.</w:t>
      </w:r>
    </w:p>
    <w:p w14:paraId="35D09178" w14:textId="77777777" w:rsidR="00D42204" w:rsidRDefault="004E439D">
      <w:pPr>
        <w:jc w:val="center"/>
      </w:pPr>
      <w:r>
        <w:rPr>
          <w:rFonts w:ascii="Times New Roman" w:eastAsia="宋体" w:hAnsi="Times New Roman"/>
          <w:color w:val="000000"/>
          <w:sz w:val="20"/>
          <w:szCs w:val="20"/>
        </w:rPr>
        <w:t>26</w:t>
      </w:r>
    </w:p>
    <w:p w14:paraId="35D09179" w14:textId="77777777" w:rsidR="00D42204" w:rsidRDefault="004E439D">
      <w:r>
        <w:pict w14:anchorId="35D0C373">
          <v:rect id="_x0000_i1050" style="width:415.3pt;height:1.5pt" o:hralign="center" o:hrstd="t" o:hr="t" fillcolor="#a0a0a0" stroked="f"/>
        </w:pict>
      </w:r>
    </w:p>
    <w:p w14:paraId="35D0917A" w14:textId="77777777" w:rsidR="00D42204" w:rsidRDefault="00D42204"/>
    <w:tbl>
      <w:tblPr>
        <w:tblW w:w="1520" w:type="pct"/>
        <w:tblCellMar>
          <w:top w:w="15" w:type="dxa"/>
          <w:left w:w="15" w:type="dxa"/>
          <w:bottom w:w="15" w:type="dxa"/>
          <w:right w:w="15" w:type="dxa"/>
        </w:tblCellMar>
        <w:tblLook w:val="04A0" w:firstRow="1" w:lastRow="0" w:firstColumn="1" w:lastColumn="0" w:noHBand="0" w:noVBand="1"/>
      </w:tblPr>
      <w:tblGrid>
        <w:gridCol w:w="37"/>
        <w:gridCol w:w="840"/>
        <w:gridCol w:w="36"/>
        <w:gridCol w:w="37"/>
        <w:gridCol w:w="1548"/>
        <w:gridCol w:w="36"/>
      </w:tblGrid>
      <w:tr w:rsidR="00D42204" w14:paraId="35D09181" w14:textId="77777777">
        <w:tc>
          <w:tcPr>
            <w:tcW w:w="50" w:type="pct"/>
            <w:shd w:val="clear" w:color="auto" w:fill="auto"/>
            <w:vAlign w:val="bottom"/>
          </w:tcPr>
          <w:p w14:paraId="35D0917B" w14:textId="77777777" w:rsidR="00D42204" w:rsidRDefault="00D42204">
            <w:pPr>
              <w:rPr>
                <w:rFonts w:ascii="宋体"/>
              </w:rPr>
            </w:pPr>
          </w:p>
        </w:tc>
        <w:tc>
          <w:tcPr>
            <w:tcW w:w="1747" w:type="pct"/>
            <w:shd w:val="clear" w:color="auto" w:fill="auto"/>
            <w:vAlign w:val="bottom"/>
          </w:tcPr>
          <w:p w14:paraId="35D0917C" w14:textId="77777777" w:rsidR="00D42204" w:rsidRDefault="00D42204">
            <w:pPr>
              <w:rPr>
                <w:rFonts w:ascii="宋体"/>
              </w:rPr>
            </w:pPr>
          </w:p>
        </w:tc>
        <w:tc>
          <w:tcPr>
            <w:tcW w:w="5" w:type="pct"/>
            <w:shd w:val="clear" w:color="auto" w:fill="auto"/>
            <w:vAlign w:val="bottom"/>
          </w:tcPr>
          <w:p w14:paraId="35D0917D" w14:textId="77777777" w:rsidR="00D42204" w:rsidRDefault="00D42204">
            <w:pPr>
              <w:rPr>
                <w:rFonts w:ascii="宋体"/>
              </w:rPr>
            </w:pPr>
          </w:p>
        </w:tc>
        <w:tc>
          <w:tcPr>
            <w:tcW w:w="50" w:type="pct"/>
            <w:shd w:val="clear" w:color="auto" w:fill="auto"/>
            <w:vAlign w:val="bottom"/>
          </w:tcPr>
          <w:p w14:paraId="35D0917E" w14:textId="77777777" w:rsidR="00D42204" w:rsidRDefault="00D42204">
            <w:pPr>
              <w:rPr>
                <w:rFonts w:ascii="宋体"/>
              </w:rPr>
            </w:pPr>
          </w:p>
        </w:tc>
        <w:tc>
          <w:tcPr>
            <w:tcW w:w="3142" w:type="pct"/>
            <w:shd w:val="clear" w:color="auto" w:fill="auto"/>
            <w:vAlign w:val="bottom"/>
          </w:tcPr>
          <w:p w14:paraId="35D0917F" w14:textId="77777777" w:rsidR="00D42204" w:rsidRDefault="00D42204">
            <w:pPr>
              <w:rPr>
                <w:rFonts w:ascii="宋体"/>
              </w:rPr>
            </w:pPr>
          </w:p>
        </w:tc>
        <w:tc>
          <w:tcPr>
            <w:tcW w:w="5" w:type="pct"/>
            <w:shd w:val="clear" w:color="auto" w:fill="auto"/>
            <w:vAlign w:val="bottom"/>
          </w:tcPr>
          <w:p w14:paraId="35D09180" w14:textId="77777777" w:rsidR="00D42204" w:rsidRDefault="00D42204">
            <w:pPr>
              <w:rPr>
                <w:rFonts w:ascii="宋体"/>
              </w:rPr>
            </w:pPr>
          </w:p>
        </w:tc>
      </w:tr>
      <w:tr w:rsidR="00D42204" w14:paraId="35D09184" w14:textId="77777777">
        <w:tc>
          <w:tcPr>
            <w:tcW w:w="0" w:type="auto"/>
            <w:gridSpan w:val="3"/>
            <w:shd w:val="clear" w:color="auto" w:fill="auto"/>
            <w:tcMar>
              <w:top w:w="40" w:type="dxa"/>
              <w:left w:w="20" w:type="dxa"/>
              <w:bottom w:w="40" w:type="dxa"/>
              <w:right w:w="20" w:type="dxa"/>
            </w:tcMar>
          </w:tcPr>
          <w:p w14:paraId="35D09182" w14:textId="77777777" w:rsidR="00D42204" w:rsidRDefault="004E439D">
            <w:pPr>
              <w:textAlignment w:val="top"/>
            </w:pPr>
            <w:r>
              <w:rPr>
                <w:rFonts w:ascii="Times New Roman" w:eastAsia="宋体" w:hAnsi="Times New Roman"/>
                <w:b/>
                <w:bCs/>
                <w:color w:val="000000"/>
                <w:sz w:val="20"/>
                <w:szCs w:val="20"/>
                <w:u w:val="single"/>
              </w:rPr>
              <w:t>ITEM 2.</w:t>
            </w:r>
          </w:p>
        </w:tc>
        <w:tc>
          <w:tcPr>
            <w:tcW w:w="0" w:type="auto"/>
            <w:gridSpan w:val="3"/>
            <w:shd w:val="clear" w:color="auto" w:fill="auto"/>
            <w:tcMar>
              <w:top w:w="40" w:type="dxa"/>
              <w:left w:w="20" w:type="dxa"/>
              <w:bottom w:w="40" w:type="dxa"/>
              <w:right w:w="20" w:type="dxa"/>
            </w:tcMar>
          </w:tcPr>
          <w:p w14:paraId="35D09183" w14:textId="77777777" w:rsidR="00D42204" w:rsidRDefault="004E439D">
            <w:pPr>
              <w:textAlignment w:val="top"/>
            </w:pPr>
            <w:r>
              <w:rPr>
                <w:rFonts w:ascii="Times New Roman" w:eastAsia="宋体" w:hAnsi="Times New Roman"/>
                <w:b/>
                <w:bCs/>
                <w:color w:val="000000"/>
                <w:sz w:val="20"/>
                <w:szCs w:val="20"/>
                <w:u w:val="single"/>
              </w:rPr>
              <w:t>PROPERTIES</w:t>
            </w:r>
          </w:p>
        </w:tc>
      </w:tr>
    </w:tbl>
    <w:p w14:paraId="35D09185" w14:textId="77777777" w:rsidR="00D42204" w:rsidRDefault="004E439D">
      <w:r>
        <w:rPr>
          <w:rFonts w:ascii="Times New Roman" w:eastAsia="宋体" w:hAnsi="Times New Roman"/>
          <w:b/>
          <w:bCs/>
          <w:color w:val="000000"/>
          <w:sz w:val="20"/>
          <w:szCs w:val="20"/>
        </w:rPr>
        <w:t>United States</w:t>
      </w:r>
    </w:p>
    <w:p w14:paraId="35D09186" w14:textId="77777777" w:rsidR="00D42204" w:rsidRDefault="004E439D">
      <w:pPr>
        <w:spacing w:before="80"/>
      </w:pPr>
      <w:r>
        <w:rPr>
          <w:rFonts w:ascii="Times New Roman" w:eastAsia="宋体" w:hAnsi="Times New Roman"/>
          <w:color w:val="000000"/>
          <w:sz w:val="20"/>
          <w:szCs w:val="20"/>
        </w:rPr>
        <w:t xml:space="preserve">The Walmart U.S. and Sam's Club segments comprise the Company's operations in the U.S. As of </w:t>
      </w:r>
      <w:r>
        <w:rPr>
          <w:rFonts w:ascii="Times New Roman" w:eastAsia="宋体" w:hAnsi="Times New Roman"/>
          <w:color w:val="000000"/>
          <w:sz w:val="20"/>
          <w:szCs w:val="20"/>
        </w:rPr>
        <w:t>January 31, 2022, unit counts for Walmart U.S. and Sam's Club are summarized by format for each state and territory as follows:</w:t>
      </w:r>
    </w:p>
    <w:tbl>
      <w:tblPr>
        <w:tblW w:w="4985" w:type="pct"/>
        <w:tblCellMar>
          <w:top w:w="15" w:type="dxa"/>
          <w:left w:w="15" w:type="dxa"/>
          <w:bottom w:w="15" w:type="dxa"/>
          <w:right w:w="15" w:type="dxa"/>
        </w:tblCellMar>
        <w:tblLook w:val="04A0" w:firstRow="1" w:lastRow="0" w:firstColumn="1" w:lastColumn="0" w:noHBand="0" w:noVBand="1"/>
      </w:tblPr>
      <w:tblGrid>
        <w:gridCol w:w="39"/>
        <w:gridCol w:w="2959"/>
        <w:gridCol w:w="38"/>
        <w:gridCol w:w="36"/>
        <w:gridCol w:w="36"/>
        <w:gridCol w:w="36"/>
        <w:gridCol w:w="81"/>
        <w:gridCol w:w="849"/>
        <w:gridCol w:w="37"/>
        <w:gridCol w:w="37"/>
        <w:gridCol w:w="37"/>
        <w:gridCol w:w="37"/>
        <w:gridCol w:w="95"/>
        <w:gridCol w:w="1008"/>
        <w:gridCol w:w="36"/>
        <w:gridCol w:w="36"/>
        <w:gridCol w:w="36"/>
        <w:gridCol w:w="36"/>
        <w:gridCol w:w="87"/>
        <w:gridCol w:w="923"/>
        <w:gridCol w:w="36"/>
        <w:gridCol w:w="36"/>
        <w:gridCol w:w="36"/>
        <w:gridCol w:w="36"/>
        <w:gridCol w:w="44"/>
        <w:gridCol w:w="573"/>
        <w:gridCol w:w="36"/>
        <w:gridCol w:w="36"/>
        <w:gridCol w:w="36"/>
        <w:gridCol w:w="36"/>
        <w:gridCol w:w="77"/>
        <w:gridCol w:w="814"/>
        <w:gridCol w:w="36"/>
      </w:tblGrid>
      <w:tr w:rsidR="00D42204" w14:paraId="35D091A8" w14:textId="77777777">
        <w:tc>
          <w:tcPr>
            <w:tcW w:w="50" w:type="pct"/>
            <w:shd w:val="clear" w:color="auto" w:fill="auto"/>
            <w:vAlign w:val="bottom"/>
          </w:tcPr>
          <w:p w14:paraId="35D09187" w14:textId="77777777" w:rsidR="00D42204" w:rsidRDefault="00D42204">
            <w:pPr>
              <w:rPr>
                <w:rFonts w:ascii="宋体"/>
              </w:rPr>
            </w:pPr>
          </w:p>
        </w:tc>
        <w:tc>
          <w:tcPr>
            <w:tcW w:w="1829" w:type="pct"/>
            <w:shd w:val="clear" w:color="auto" w:fill="auto"/>
            <w:vAlign w:val="bottom"/>
          </w:tcPr>
          <w:p w14:paraId="35D09188" w14:textId="77777777" w:rsidR="00D42204" w:rsidRDefault="00D42204">
            <w:pPr>
              <w:rPr>
                <w:rFonts w:ascii="宋体"/>
              </w:rPr>
            </w:pPr>
          </w:p>
        </w:tc>
        <w:tc>
          <w:tcPr>
            <w:tcW w:w="5" w:type="pct"/>
            <w:shd w:val="clear" w:color="auto" w:fill="auto"/>
            <w:vAlign w:val="bottom"/>
          </w:tcPr>
          <w:p w14:paraId="35D09189" w14:textId="77777777" w:rsidR="00D42204" w:rsidRDefault="00D42204">
            <w:pPr>
              <w:rPr>
                <w:rFonts w:ascii="宋体"/>
              </w:rPr>
            </w:pPr>
          </w:p>
        </w:tc>
        <w:tc>
          <w:tcPr>
            <w:tcW w:w="5" w:type="pct"/>
            <w:shd w:val="clear" w:color="auto" w:fill="auto"/>
            <w:vAlign w:val="bottom"/>
          </w:tcPr>
          <w:p w14:paraId="35D0918A" w14:textId="77777777" w:rsidR="00D42204" w:rsidRDefault="00D42204">
            <w:pPr>
              <w:rPr>
                <w:rFonts w:ascii="宋体"/>
              </w:rPr>
            </w:pPr>
          </w:p>
        </w:tc>
        <w:tc>
          <w:tcPr>
            <w:tcW w:w="26" w:type="pct"/>
            <w:shd w:val="clear" w:color="auto" w:fill="auto"/>
            <w:vAlign w:val="bottom"/>
          </w:tcPr>
          <w:p w14:paraId="35D0918B" w14:textId="77777777" w:rsidR="00D42204" w:rsidRDefault="00D42204">
            <w:pPr>
              <w:rPr>
                <w:rFonts w:ascii="宋体"/>
              </w:rPr>
            </w:pPr>
          </w:p>
        </w:tc>
        <w:tc>
          <w:tcPr>
            <w:tcW w:w="5" w:type="pct"/>
            <w:shd w:val="clear" w:color="auto" w:fill="auto"/>
            <w:vAlign w:val="bottom"/>
          </w:tcPr>
          <w:p w14:paraId="35D0918C" w14:textId="77777777" w:rsidR="00D42204" w:rsidRDefault="00D42204">
            <w:pPr>
              <w:rPr>
                <w:rFonts w:ascii="宋体"/>
              </w:rPr>
            </w:pPr>
          </w:p>
        </w:tc>
        <w:tc>
          <w:tcPr>
            <w:tcW w:w="50" w:type="pct"/>
            <w:shd w:val="clear" w:color="auto" w:fill="auto"/>
            <w:vAlign w:val="bottom"/>
          </w:tcPr>
          <w:p w14:paraId="35D0918D" w14:textId="77777777" w:rsidR="00D42204" w:rsidRDefault="00D42204">
            <w:pPr>
              <w:rPr>
                <w:rFonts w:ascii="宋体"/>
              </w:rPr>
            </w:pPr>
          </w:p>
        </w:tc>
        <w:tc>
          <w:tcPr>
            <w:tcW w:w="531" w:type="pct"/>
            <w:shd w:val="clear" w:color="auto" w:fill="auto"/>
            <w:vAlign w:val="bottom"/>
          </w:tcPr>
          <w:p w14:paraId="35D0918E" w14:textId="77777777" w:rsidR="00D42204" w:rsidRDefault="00D42204">
            <w:pPr>
              <w:rPr>
                <w:rFonts w:ascii="宋体"/>
              </w:rPr>
            </w:pPr>
          </w:p>
        </w:tc>
        <w:tc>
          <w:tcPr>
            <w:tcW w:w="5" w:type="pct"/>
            <w:shd w:val="clear" w:color="auto" w:fill="auto"/>
            <w:vAlign w:val="bottom"/>
          </w:tcPr>
          <w:p w14:paraId="35D0918F" w14:textId="77777777" w:rsidR="00D42204" w:rsidRDefault="00D42204">
            <w:pPr>
              <w:rPr>
                <w:rFonts w:ascii="宋体"/>
              </w:rPr>
            </w:pPr>
          </w:p>
        </w:tc>
        <w:tc>
          <w:tcPr>
            <w:tcW w:w="5" w:type="pct"/>
            <w:shd w:val="clear" w:color="auto" w:fill="auto"/>
            <w:vAlign w:val="bottom"/>
          </w:tcPr>
          <w:p w14:paraId="35D09190" w14:textId="77777777" w:rsidR="00D42204" w:rsidRDefault="00D42204">
            <w:pPr>
              <w:rPr>
                <w:rFonts w:ascii="宋体"/>
              </w:rPr>
            </w:pPr>
          </w:p>
        </w:tc>
        <w:tc>
          <w:tcPr>
            <w:tcW w:w="26" w:type="pct"/>
            <w:shd w:val="clear" w:color="auto" w:fill="auto"/>
            <w:vAlign w:val="bottom"/>
          </w:tcPr>
          <w:p w14:paraId="35D09191" w14:textId="77777777" w:rsidR="00D42204" w:rsidRDefault="00D42204">
            <w:pPr>
              <w:rPr>
                <w:rFonts w:ascii="宋体"/>
              </w:rPr>
            </w:pPr>
          </w:p>
        </w:tc>
        <w:tc>
          <w:tcPr>
            <w:tcW w:w="5" w:type="pct"/>
            <w:shd w:val="clear" w:color="auto" w:fill="auto"/>
            <w:vAlign w:val="bottom"/>
          </w:tcPr>
          <w:p w14:paraId="35D09192" w14:textId="77777777" w:rsidR="00D42204" w:rsidRDefault="00D42204">
            <w:pPr>
              <w:rPr>
                <w:rFonts w:ascii="宋体"/>
              </w:rPr>
            </w:pPr>
          </w:p>
        </w:tc>
        <w:tc>
          <w:tcPr>
            <w:tcW w:w="50" w:type="pct"/>
            <w:shd w:val="clear" w:color="auto" w:fill="auto"/>
            <w:vAlign w:val="bottom"/>
          </w:tcPr>
          <w:p w14:paraId="35D09193" w14:textId="77777777" w:rsidR="00D42204" w:rsidRDefault="00D42204">
            <w:pPr>
              <w:rPr>
                <w:rFonts w:ascii="宋体"/>
              </w:rPr>
            </w:pPr>
          </w:p>
        </w:tc>
        <w:tc>
          <w:tcPr>
            <w:tcW w:w="531" w:type="pct"/>
            <w:shd w:val="clear" w:color="auto" w:fill="auto"/>
            <w:vAlign w:val="bottom"/>
          </w:tcPr>
          <w:p w14:paraId="35D09194" w14:textId="77777777" w:rsidR="00D42204" w:rsidRDefault="00D42204">
            <w:pPr>
              <w:rPr>
                <w:rFonts w:ascii="宋体"/>
              </w:rPr>
            </w:pPr>
          </w:p>
        </w:tc>
        <w:tc>
          <w:tcPr>
            <w:tcW w:w="5" w:type="pct"/>
            <w:shd w:val="clear" w:color="auto" w:fill="auto"/>
            <w:vAlign w:val="bottom"/>
          </w:tcPr>
          <w:p w14:paraId="35D09195" w14:textId="77777777" w:rsidR="00D42204" w:rsidRDefault="00D42204">
            <w:pPr>
              <w:rPr>
                <w:rFonts w:ascii="宋体"/>
              </w:rPr>
            </w:pPr>
          </w:p>
        </w:tc>
        <w:tc>
          <w:tcPr>
            <w:tcW w:w="5" w:type="pct"/>
            <w:shd w:val="clear" w:color="auto" w:fill="auto"/>
            <w:vAlign w:val="bottom"/>
          </w:tcPr>
          <w:p w14:paraId="35D09196" w14:textId="77777777" w:rsidR="00D42204" w:rsidRDefault="00D42204">
            <w:pPr>
              <w:rPr>
                <w:rFonts w:ascii="宋体"/>
              </w:rPr>
            </w:pPr>
          </w:p>
        </w:tc>
        <w:tc>
          <w:tcPr>
            <w:tcW w:w="26" w:type="pct"/>
            <w:shd w:val="clear" w:color="auto" w:fill="auto"/>
            <w:vAlign w:val="bottom"/>
          </w:tcPr>
          <w:p w14:paraId="35D09197" w14:textId="77777777" w:rsidR="00D42204" w:rsidRDefault="00D42204">
            <w:pPr>
              <w:rPr>
                <w:rFonts w:ascii="宋体"/>
              </w:rPr>
            </w:pPr>
          </w:p>
        </w:tc>
        <w:tc>
          <w:tcPr>
            <w:tcW w:w="5" w:type="pct"/>
            <w:shd w:val="clear" w:color="auto" w:fill="auto"/>
            <w:vAlign w:val="bottom"/>
          </w:tcPr>
          <w:p w14:paraId="35D09198" w14:textId="77777777" w:rsidR="00D42204" w:rsidRDefault="00D42204">
            <w:pPr>
              <w:rPr>
                <w:rFonts w:ascii="宋体"/>
              </w:rPr>
            </w:pPr>
          </w:p>
        </w:tc>
        <w:tc>
          <w:tcPr>
            <w:tcW w:w="50" w:type="pct"/>
            <w:shd w:val="clear" w:color="auto" w:fill="auto"/>
            <w:vAlign w:val="bottom"/>
          </w:tcPr>
          <w:p w14:paraId="35D09199" w14:textId="77777777" w:rsidR="00D42204" w:rsidRDefault="00D42204">
            <w:pPr>
              <w:rPr>
                <w:rFonts w:ascii="宋体"/>
              </w:rPr>
            </w:pPr>
          </w:p>
        </w:tc>
        <w:tc>
          <w:tcPr>
            <w:tcW w:w="531" w:type="pct"/>
            <w:shd w:val="clear" w:color="auto" w:fill="auto"/>
            <w:vAlign w:val="bottom"/>
          </w:tcPr>
          <w:p w14:paraId="35D0919A" w14:textId="77777777" w:rsidR="00D42204" w:rsidRDefault="00D42204">
            <w:pPr>
              <w:rPr>
                <w:rFonts w:ascii="宋体"/>
              </w:rPr>
            </w:pPr>
          </w:p>
        </w:tc>
        <w:tc>
          <w:tcPr>
            <w:tcW w:w="5" w:type="pct"/>
            <w:shd w:val="clear" w:color="auto" w:fill="auto"/>
            <w:vAlign w:val="bottom"/>
          </w:tcPr>
          <w:p w14:paraId="35D0919B" w14:textId="77777777" w:rsidR="00D42204" w:rsidRDefault="00D42204">
            <w:pPr>
              <w:rPr>
                <w:rFonts w:ascii="宋体"/>
              </w:rPr>
            </w:pPr>
          </w:p>
        </w:tc>
        <w:tc>
          <w:tcPr>
            <w:tcW w:w="5" w:type="pct"/>
            <w:shd w:val="clear" w:color="auto" w:fill="auto"/>
            <w:vAlign w:val="bottom"/>
          </w:tcPr>
          <w:p w14:paraId="35D0919C" w14:textId="77777777" w:rsidR="00D42204" w:rsidRDefault="00D42204">
            <w:pPr>
              <w:rPr>
                <w:rFonts w:ascii="宋体"/>
              </w:rPr>
            </w:pPr>
          </w:p>
        </w:tc>
        <w:tc>
          <w:tcPr>
            <w:tcW w:w="26" w:type="pct"/>
            <w:shd w:val="clear" w:color="auto" w:fill="auto"/>
            <w:vAlign w:val="bottom"/>
          </w:tcPr>
          <w:p w14:paraId="35D0919D" w14:textId="77777777" w:rsidR="00D42204" w:rsidRDefault="00D42204">
            <w:pPr>
              <w:rPr>
                <w:rFonts w:ascii="宋体"/>
              </w:rPr>
            </w:pPr>
          </w:p>
        </w:tc>
        <w:tc>
          <w:tcPr>
            <w:tcW w:w="5" w:type="pct"/>
            <w:shd w:val="clear" w:color="auto" w:fill="auto"/>
            <w:vAlign w:val="bottom"/>
          </w:tcPr>
          <w:p w14:paraId="35D0919E" w14:textId="77777777" w:rsidR="00D42204" w:rsidRDefault="00D42204">
            <w:pPr>
              <w:rPr>
                <w:rFonts w:ascii="宋体"/>
              </w:rPr>
            </w:pPr>
          </w:p>
        </w:tc>
        <w:tc>
          <w:tcPr>
            <w:tcW w:w="50" w:type="pct"/>
            <w:shd w:val="clear" w:color="auto" w:fill="auto"/>
            <w:vAlign w:val="bottom"/>
          </w:tcPr>
          <w:p w14:paraId="35D0919F" w14:textId="77777777" w:rsidR="00D42204" w:rsidRDefault="00D42204">
            <w:pPr>
              <w:rPr>
                <w:rFonts w:ascii="宋体"/>
              </w:rPr>
            </w:pPr>
          </w:p>
        </w:tc>
        <w:tc>
          <w:tcPr>
            <w:tcW w:w="531" w:type="pct"/>
            <w:shd w:val="clear" w:color="auto" w:fill="auto"/>
            <w:vAlign w:val="bottom"/>
          </w:tcPr>
          <w:p w14:paraId="35D091A0" w14:textId="77777777" w:rsidR="00D42204" w:rsidRDefault="00D42204">
            <w:pPr>
              <w:rPr>
                <w:rFonts w:ascii="宋体"/>
              </w:rPr>
            </w:pPr>
          </w:p>
        </w:tc>
        <w:tc>
          <w:tcPr>
            <w:tcW w:w="5" w:type="pct"/>
            <w:shd w:val="clear" w:color="auto" w:fill="auto"/>
            <w:vAlign w:val="bottom"/>
          </w:tcPr>
          <w:p w14:paraId="35D091A1" w14:textId="77777777" w:rsidR="00D42204" w:rsidRDefault="00D42204">
            <w:pPr>
              <w:rPr>
                <w:rFonts w:ascii="宋体"/>
              </w:rPr>
            </w:pPr>
          </w:p>
        </w:tc>
        <w:tc>
          <w:tcPr>
            <w:tcW w:w="5" w:type="pct"/>
            <w:shd w:val="clear" w:color="auto" w:fill="auto"/>
            <w:vAlign w:val="bottom"/>
          </w:tcPr>
          <w:p w14:paraId="35D091A2" w14:textId="77777777" w:rsidR="00D42204" w:rsidRDefault="00D42204">
            <w:pPr>
              <w:rPr>
                <w:rFonts w:ascii="宋体"/>
              </w:rPr>
            </w:pPr>
          </w:p>
        </w:tc>
        <w:tc>
          <w:tcPr>
            <w:tcW w:w="26" w:type="pct"/>
            <w:shd w:val="clear" w:color="auto" w:fill="auto"/>
            <w:vAlign w:val="bottom"/>
          </w:tcPr>
          <w:p w14:paraId="35D091A3" w14:textId="77777777" w:rsidR="00D42204" w:rsidRDefault="00D42204">
            <w:pPr>
              <w:rPr>
                <w:rFonts w:ascii="宋体"/>
              </w:rPr>
            </w:pPr>
          </w:p>
        </w:tc>
        <w:tc>
          <w:tcPr>
            <w:tcW w:w="5" w:type="pct"/>
            <w:shd w:val="clear" w:color="auto" w:fill="auto"/>
            <w:vAlign w:val="bottom"/>
          </w:tcPr>
          <w:p w14:paraId="35D091A4" w14:textId="77777777" w:rsidR="00D42204" w:rsidRDefault="00D42204">
            <w:pPr>
              <w:rPr>
                <w:rFonts w:ascii="宋体"/>
              </w:rPr>
            </w:pPr>
          </w:p>
        </w:tc>
        <w:tc>
          <w:tcPr>
            <w:tcW w:w="50" w:type="pct"/>
            <w:shd w:val="clear" w:color="auto" w:fill="auto"/>
            <w:vAlign w:val="bottom"/>
          </w:tcPr>
          <w:p w14:paraId="35D091A5" w14:textId="77777777" w:rsidR="00D42204" w:rsidRDefault="00D42204">
            <w:pPr>
              <w:rPr>
                <w:rFonts w:ascii="宋体"/>
              </w:rPr>
            </w:pPr>
          </w:p>
        </w:tc>
        <w:tc>
          <w:tcPr>
            <w:tcW w:w="531" w:type="pct"/>
            <w:shd w:val="clear" w:color="auto" w:fill="auto"/>
            <w:vAlign w:val="bottom"/>
          </w:tcPr>
          <w:p w14:paraId="35D091A6" w14:textId="77777777" w:rsidR="00D42204" w:rsidRDefault="00D42204">
            <w:pPr>
              <w:rPr>
                <w:rFonts w:ascii="宋体"/>
              </w:rPr>
            </w:pPr>
          </w:p>
        </w:tc>
        <w:tc>
          <w:tcPr>
            <w:tcW w:w="5" w:type="pct"/>
            <w:shd w:val="clear" w:color="auto" w:fill="auto"/>
            <w:vAlign w:val="bottom"/>
          </w:tcPr>
          <w:p w14:paraId="35D091A7" w14:textId="77777777" w:rsidR="00D42204" w:rsidRDefault="00D42204">
            <w:pPr>
              <w:rPr>
                <w:rFonts w:ascii="宋体"/>
              </w:rPr>
            </w:pPr>
          </w:p>
        </w:tc>
      </w:tr>
      <w:tr w:rsidR="00D42204" w14:paraId="35D091B0" w14:textId="77777777">
        <w:tc>
          <w:tcPr>
            <w:tcW w:w="0" w:type="auto"/>
            <w:gridSpan w:val="3"/>
            <w:shd w:val="clear" w:color="auto" w:fill="auto"/>
            <w:tcMar>
              <w:top w:w="0" w:type="dxa"/>
              <w:left w:w="20" w:type="dxa"/>
              <w:bottom w:w="0" w:type="dxa"/>
              <w:right w:w="20" w:type="dxa"/>
            </w:tcMar>
            <w:vAlign w:val="bottom"/>
          </w:tcPr>
          <w:p w14:paraId="35D091A9"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1AA"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91AB" w14:textId="77777777" w:rsidR="00D42204" w:rsidRDefault="004E439D">
            <w:pPr>
              <w:jc w:val="center"/>
              <w:textAlignment w:val="bottom"/>
            </w:pPr>
            <w:r>
              <w:rPr>
                <w:rFonts w:ascii="Times New Roman" w:eastAsia="宋体" w:hAnsi="Times New Roman"/>
                <w:b/>
                <w:bCs/>
                <w:color w:val="000000"/>
                <w:sz w:val="16"/>
                <w:szCs w:val="16"/>
              </w:rPr>
              <w:t>Walmart U.S.</w:t>
            </w:r>
          </w:p>
        </w:tc>
        <w:tc>
          <w:tcPr>
            <w:tcW w:w="0" w:type="auto"/>
            <w:gridSpan w:val="3"/>
            <w:shd w:val="clear" w:color="auto" w:fill="auto"/>
            <w:tcMar>
              <w:top w:w="0" w:type="dxa"/>
              <w:left w:w="20" w:type="dxa"/>
              <w:bottom w:w="0" w:type="dxa"/>
              <w:right w:w="20" w:type="dxa"/>
            </w:tcMar>
            <w:vAlign w:val="bottom"/>
          </w:tcPr>
          <w:p w14:paraId="35D091AC"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91AD" w14:textId="77777777" w:rsidR="00D42204" w:rsidRDefault="004E439D">
            <w:pPr>
              <w:jc w:val="center"/>
              <w:textAlignment w:val="bottom"/>
            </w:pPr>
            <w:r>
              <w:rPr>
                <w:rFonts w:ascii="Times New Roman" w:eastAsia="宋体" w:hAnsi="Times New Roman"/>
                <w:b/>
                <w:bCs/>
                <w:color w:val="000000"/>
                <w:sz w:val="16"/>
                <w:szCs w:val="16"/>
              </w:rPr>
              <w:t>Sam's Club</w:t>
            </w:r>
          </w:p>
        </w:tc>
        <w:tc>
          <w:tcPr>
            <w:tcW w:w="0" w:type="auto"/>
            <w:gridSpan w:val="3"/>
            <w:shd w:val="clear" w:color="auto" w:fill="auto"/>
            <w:tcMar>
              <w:top w:w="0" w:type="dxa"/>
              <w:left w:w="20" w:type="dxa"/>
              <w:bottom w:w="0" w:type="dxa"/>
              <w:right w:w="20" w:type="dxa"/>
            </w:tcMar>
            <w:vAlign w:val="bottom"/>
          </w:tcPr>
          <w:p w14:paraId="35D091AE"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1AF" w14:textId="77777777" w:rsidR="00D42204" w:rsidRDefault="00D42204">
            <w:pPr>
              <w:rPr>
                <w:rFonts w:ascii="宋体"/>
              </w:rPr>
            </w:pPr>
          </w:p>
        </w:tc>
      </w:tr>
      <w:tr w:rsidR="00D42204" w14:paraId="35D091BC" w14:textId="77777777">
        <w:tc>
          <w:tcPr>
            <w:tcW w:w="0" w:type="auto"/>
            <w:gridSpan w:val="3"/>
            <w:shd w:val="clear" w:color="auto" w:fill="auto"/>
            <w:tcMar>
              <w:top w:w="40" w:type="dxa"/>
              <w:left w:w="20" w:type="dxa"/>
              <w:bottom w:w="40" w:type="dxa"/>
              <w:right w:w="20" w:type="dxa"/>
            </w:tcMar>
            <w:vAlign w:val="bottom"/>
          </w:tcPr>
          <w:p w14:paraId="35D091B1" w14:textId="77777777" w:rsidR="00D42204" w:rsidRDefault="004E439D">
            <w:pPr>
              <w:textAlignment w:val="bottom"/>
            </w:pPr>
            <w:r>
              <w:rPr>
                <w:rFonts w:ascii="Times New Roman" w:eastAsia="宋体" w:hAnsi="Times New Roman"/>
                <w:b/>
                <w:bCs/>
                <w:color w:val="000000"/>
                <w:sz w:val="16"/>
                <w:szCs w:val="16"/>
              </w:rPr>
              <w:t>State or Territory</w:t>
            </w:r>
          </w:p>
        </w:tc>
        <w:tc>
          <w:tcPr>
            <w:tcW w:w="0" w:type="auto"/>
            <w:gridSpan w:val="3"/>
            <w:shd w:val="clear" w:color="auto" w:fill="auto"/>
            <w:tcMar>
              <w:top w:w="0" w:type="dxa"/>
              <w:left w:w="20" w:type="dxa"/>
              <w:bottom w:w="0" w:type="dxa"/>
              <w:right w:w="20" w:type="dxa"/>
            </w:tcMar>
            <w:vAlign w:val="bottom"/>
          </w:tcPr>
          <w:p w14:paraId="35D091B2"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1B3" w14:textId="77777777" w:rsidR="00D42204" w:rsidRDefault="004E439D">
            <w:pPr>
              <w:jc w:val="center"/>
              <w:textAlignment w:val="bottom"/>
            </w:pPr>
            <w:r>
              <w:rPr>
                <w:rFonts w:ascii="Times New Roman" w:eastAsia="宋体" w:hAnsi="Times New Roman"/>
                <w:b/>
                <w:bCs/>
                <w:color w:val="000000"/>
                <w:sz w:val="16"/>
                <w:szCs w:val="16"/>
              </w:rPr>
              <w:t>Supercenters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1B4"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1B5" w14:textId="77777777" w:rsidR="00D42204" w:rsidRDefault="004E439D">
            <w:pPr>
              <w:jc w:val="center"/>
              <w:textAlignment w:val="bottom"/>
            </w:pPr>
            <w:r>
              <w:rPr>
                <w:rFonts w:ascii="Times New Roman" w:eastAsia="宋体" w:hAnsi="Times New Roman"/>
                <w:b/>
                <w:bCs/>
                <w:color w:val="000000"/>
                <w:sz w:val="16"/>
                <w:szCs w:val="16"/>
              </w:rPr>
              <w:t>Discount Stores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1B6"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1B7" w14:textId="77777777" w:rsidR="00D42204" w:rsidRDefault="004E439D">
            <w:pPr>
              <w:jc w:val="center"/>
              <w:textAlignment w:val="bottom"/>
            </w:pPr>
            <w:r>
              <w:rPr>
                <w:rFonts w:ascii="Times New Roman" w:eastAsia="宋体" w:hAnsi="Times New Roman"/>
                <w:b/>
                <w:bCs/>
                <w:color w:val="000000"/>
                <w:sz w:val="16"/>
                <w:szCs w:val="16"/>
              </w:rPr>
              <w:t>Neighborhood Markets and other small formats</w:t>
            </w:r>
          </w:p>
        </w:tc>
        <w:tc>
          <w:tcPr>
            <w:tcW w:w="0" w:type="auto"/>
            <w:gridSpan w:val="3"/>
            <w:shd w:val="clear" w:color="auto" w:fill="auto"/>
            <w:tcMar>
              <w:top w:w="0" w:type="dxa"/>
              <w:left w:w="20" w:type="dxa"/>
              <w:bottom w:w="0" w:type="dxa"/>
              <w:right w:w="20" w:type="dxa"/>
            </w:tcMar>
            <w:vAlign w:val="bottom"/>
          </w:tcPr>
          <w:p w14:paraId="35D091B8"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1B9" w14:textId="77777777" w:rsidR="00D42204" w:rsidRDefault="004E439D">
            <w:pPr>
              <w:jc w:val="center"/>
              <w:textAlignment w:val="bottom"/>
            </w:pPr>
            <w:r>
              <w:rPr>
                <w:rFonts w:ascii="Times New Roman" w:eastAsia="宋体" w:hAnsi="Times New Roman"/>
                <w:b/>
                <w:bCs/>
                <w:color w:val="000000"/>
                <w:sz w:val="16"/>
                <w:szCs w:val="16"/>
              </w:rPr>
              <w:t>Clubs</w:t>
            </w:r>
          </w:p>
        </w:tc>
        <w:tc>
          <w:tcPr>
            <w:tcW w:w="0" w:type="auto"/>
            <w:gridSpan w:val="3"/>
            <w:shd w:val="clear" w:color="auto" w:fill="auto"/>
            <w:tcMar>
              <w:top w:w="0" w:type="dxa"/>
              <w:left w:w="20" w:type="dxa"/>
              <w:bottom w:w="0" w:type="dxa"/>
              <w:right w:w="20" w:type="dxa"/>
            </w:tcMar>
            <w:vAlign w:val="bottom"/>
          </w:tcPr>
          <w:p w14:paraId="35D091BA"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91BB" w14:textId="77777777" w:rsidR="00D42204" w:rsidRDefault="004E439D">
            <w:pPr>
              <w:jc w:val="center"/>
              <w:textAlignment w:val="bottom"/>
            </w:pPr>
            <w:r>
              <w:rPr>
                <w:rFonts w:ascii="Times New Roman" w:eastAsia="宋体" w:hAnsi="Times New Roman"/>
                <w:b/>
                <w:bCs/>
                <w:color w:val="000000"/>
                <w:sz w:val="16"/>
                <w:szCs w:val="16"/>
              </w:rPr>
              <w:t>Grand Total</w:t>
            </w:r>
          </w:p>
        </w:tc>
      </w:tr>
      <w:tr w:rsidR="00D42204" w14:paraId="35D091CD"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91BD" w14:textId="77777777" w:rsidR="00D42204" w:rsidRDefault="004E439D">
            <w:pPr>
              <w:textAlignment w:val="center"/>
            </w:pPr>
            <w:r>
              <w:rPr>
                <w:rFonts w:ascii="Times New Roman" w:eastAsia="宋体" w:hAnsi="Times New Roman"/>
                <w:color w:val="000000"/>
                <w:sz w:val="16"/>
                <w:szCs w:val="16"/>
              </w:rPr>
              <w:t>Alabama</w:t>
            </w:r>
          </w:p>
        </w:tc>
        <w:tc>
          <w:tcPr>
            <w:tcW w:w="0" w:type="auto"/>
            <w:gridSpan w:val="3"/>
            <w:shd w:val="clear" w:color="auto" w:fill="CCEEFF"/>
            <w:tcMar>
              <w:top w:w="0" w:type="dxa"/>
              <w:left w:w="20" w:type="dxa"/>
              <w:bottom w:w="0" w:type="dxa"/>
              <w:right w:w="20" w:type="dxa"/>
            </w:tcMar>
            <w:vAlign w:val="bottom"/>
          </w:tcPr>
          <w:p w14:paraId="35D091BE"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1BF" w14:textId="77777777" w:rsidR="00D42204" w:rsidRDefault="004E439D">
            <w:pPr>
              <w:jc w:val="right"/>
              <w:textAlignment w:val="center"/>
            </w:pPr>
            <w:r>
              <w:rPr>
                <w:rFonts w:ascii="Times New Roman" w:eastAsia="宋体" w:hAnsi="Times New Roman"/>
                <w:color w:val="000000"/>
                <w:sz w:val="16"/>
                <w:szCs w:val="16"/>
              </w:rPr>
              <w:t>101 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1C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1C1"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1C2" w14:textId="77777777" w:rsidR="00D42204" w:rsidRDefault="004E439D">
            <w:pPr>
              <w:jc w:val="right"/>
              <w:textAlignment w:val="center"/>
            </w:pPr>
            <w:r>
              <w:rPr>
                <w:rFonts w:ascii="Times New Roman" w:eastAsia="宋体" w:hAnsi="Times New Roman"/>
                <w:color w:val="000000"/>
                <w:sz w:val="16"/>
                <w:szCs w:val="16"/>
              </w:rPr>
              <w:t>1 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1C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1C4"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1C5" w14:textId="77777777" w:rsidR="00D42204" w:rsidRDefault="004E439D">
            <w:pPr>
              <w:jc w:val="right"/>
              <w:textAlignment w:val="center"/>
            </w:pPr>
            <w:r>
              <w:rPr>
                <w:rFonts w:ascii="Times New Roman" w:eastAsia="宋体" w:hAnsi="Times New Roman"/>
                <w:color w:val="000000"/>
                <w:sz w:val="16"/>
                <w:szCs w:val="16"/>
              </w:rPr>
              <w:t>29 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1C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1C7"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1C8" w14:textId="77777777" w:rsidR="00D42204" w:rsidRDefault="004E439D">
            <w:pPr>
              <w:jc w:val="right"/>
              <w:textAlignment w:val="center"/>
            </w:pPr>
            <w:r>
              <w:rPr>
                <w:rFonts w:ascii="Times New Roman" w:eastAsia="宋体" w:hAnsi="Times New Roman"/>
                <w:color w:val="000000"/>
                <w:sz w:val="16"/>
                <w:szCs w:val="16"/>
              </w:rPr>
              <w:t>13 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1C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1CA"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1CB" w14:textId="77777777" w:rsidR="00D42204" w:rsidRDefault="004E439D">
            <w:pPr>
              <w:jc w:val="right"/>
              <w:textAlignment w:val="center"/>
            </w:pPr>
            <w:r>
              <w:rPr>
                <w:rFonts w:ascii="Times New Roman" w:eastAsia="宋体" w:hAnsi="Times New Roman"/>
                <w:color w:val="000000"/>
                <w:sz w:val="16"/>
                <w:szCs w:val="16"/>
              </w:rPr>
              <w:t>144 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1CC" w14:textId="77777777" w:rsidR="00D42204" w:rsidRDefault="00D42204">
            <w:pPr>
              <w:jc w:val="right"/>
              <w:rPr>
                <w:rFonts w:ascii="宋体"/>
              </w:rPr>
            </w:pPr>
          </w:p>
        </w:tc>
      </w:tr>
      <w:tr w:rsidR="00D42204" w14:paraId="35D091DE" w14:textId="77777777">
        <w:tc>
          <w:tcPr>
            <w:tcW w:w="0" w:type="auto"/>
            <w:gridSpan w:val="3"/>
            <w:shd w:val="clear" w:color="auto" w:fill="FFFFFF"/>
            <w:tcMar>
              <w:top w:w="40" w:type="dxa"/>
              <w:left w:w="20" w:type="dxa"/>
              <w:bottom w:w="40" w:type="dxa"/>
              <w:right w:w="20" w:type="dxa"/>
            </w:tcMar>
            <w:vAlign w:val="center"/>
          </w:tcPr>
          <w:p w14:paraId="35D091CE" w14:textId="77777777" w:rsidR="00D42204" w:rsidRDefault="004E439D">
            <w:pPr>
              <w:textAlignment w:val="center"/>
            </w:pPr>
            <w:r>
              <w:rPr>
                <w:rFonts w:ascii="Times New Roman" w:eastAsia="宋体" w:hAnsi="Times New Roman"/>
                <w:color w:val="000000"/>
                <w:sz w:val="16"/>
                <w:szCs w:val="16"/>
              </w:rPr>
              <w:t>Alaska</w:t>
            </w:r>
          </w:p>
        </w:tc>
        <w:tc>
          <w:tcPr>
            <w:tcW w:w="0" w:type="auto"/>
            <w:gridSpan w:val="3"/>
            <w:shd w:val="clear" w:color="auto" w:fill="FFFFFF"/>
            <w:tcMar>
              <w:top w:w="0" w:type="dxa"/>
              <w:left w:w="20" w:type="dxa"/>
              <w:bottom w:w="0" w:type="dxa"/>
              <w:right w:w="20" w:type="dxa"/>
            </w:tcMar>
            <w:vAlign w:val="bottom"/>
          </w:tcPr>
          <w:p w14:paraId="35D091C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1D0" w14:textId="77777777" w:rsidR="00D42204" w:rsidRDefault="004E439D">
            <w:pPr>
              <w:jc w:val="right"/>
              <w:textAlignment w:val="center"/>
            </w:pPr>
            <w:r>
              <w:rPr>
                <w:rFonts w:ascii="Times New Roman" w:eastAsia="宋体" w:hAnsi="Times New Roman"/>
                <w:color w:val="000000"/>
                <w:sz w:val="16"/>
                <w:szCs w:val="16"/>
              </w:rPr>
              <w:t>7 </w:t>
            </w:r>
          </w:p>
        </w:tc>
        <w:tc>
          <w:tcPr>
            <w:tcW w:w="0" w:type="auto"/>
            <w:shd w:val="clear" w:color="auto" w:fill="FFFFFF"/>
            <w:tcMar>
              <w:top w:w="40" w:type="dxa"/>
              <w:left w:w="0" w:type="dxa"/>
              <w:bottom w:w="40" w:type="dxa"/>
              <w:right w:w="20" w:type="dxa"/>
            </w:tcMar>
            <w:vAlign w:val="center"/>
          </w:tcPr>
          <w:p w14:paraId="35D091D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1D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1D3" w14:textId="77777777" w:rsidR="00D42204" w:rsidRDefault="004E439D">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35D091D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1D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1D6"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1D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1D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1D9"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1D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1D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1DC" w14:textId="77777777" w:rsidR="00D42204" w:rsidRDefault="004E439D">
            <w:pPr>
              <w:jc w:val="right"/>
              <w:textAlignment w:val="center"/>
            </w:pPr>
            <w:r>
              <w:rPr>
                <w:rFonts w:ascii="Times New Roman" w:eastAsia="宋体" w:hAnsi="Times New Roman"/>
                <w:color w:val="000000"/>
                <w:sz w:val="16"/>
                <w:szCs w:val="16"/>
              </w:rPr>
              <w:t>9 </w:t>
            </w:r>
          </w:p>
        </w:tc>
        <w:tc>
          <w:tcPr>
            <w:tcW w:w="0" w:type="auto"/>
            <w:shd w:val="clear" w:color="auto" w:fill="FFFFFF"/>
            <w:tcMar>
              <w:top w:w="40" w:type="dxa"/>
              <w:left w:w="0" w:type="dxa"/>
              <w:bottom w:w="40" w:type="dxa"/>
              <w:right w:w="20" w:type="dxa"/>
            </w:tcMar>
            <w:vAlign w:val="center"/>
          </w:tcPr>
          <w:p w14:paraId="35D091DD" w14:textId="77777777" w:rsidR="00D42204" w:rsidRDefault="00D42204">
            <w:pPr>
              <w:jc w:val="right"/>
              <w:rPr>
                <w:rFonts w:ascii="宋体"/>
              </w:rPr>
            </w:pPr>
          </w:p>
        </w:tc>
      </w:tr>
      <w:tr w:rsidR="00D42204" w14:paraId="35D091EF" w14:textId="77777777">
        <w:tc>
          <w:tcPr>
            <w:tcW w:w="0" w:type="auto"/>
            <w:gridSpan w:val="3"/>
            <w:shd w:val="clear" w:color="auto" w:fill="CCEEFF"/>
            <w:tcMar>
              <w:top w:w="40" w:type="dxa"/>
              <w:left w:w="20" w:type="dxa"/>
              <w:bottom w:w="40" w:type="dxa"/>
              <w:right w:w="20" w:type="dxa"/>
            </w:tcMar>
            <w:vAlign w:val="center"/>
          </w:tcPr>
          <w:p w14:paraId="35D091DF" w14:textId="77777777" w:rsidR="00D42204" w:rsidRDefault="004E439D">
            <w:pPr>
              <w:textAlignment w:val="center"/>
            </w:pPr>
            <w:r>
              <w:rPr>
                <w:rFonts w:ascii="Times New Roman" w:eastAsia="宋体" w:hAnsi="Times New Roman"/>
                <w:color w:val="000000"/>
                <w:sz w:val="16"/>
                <w:szCs w:val="16"/>
              </w:rPr>
              <w:t>Arizona</w:t>
            </w:r>
          </w:p>
        </w:tc>
        <w:tc>
          <w:tcPr>
            <w:tcW w:w="0" w:type="auto"/>
            <w:gridSpan w:val="3"/>
            <w:shd w:val="clear" w:color="auto" w:fill="CCEEFF"/>
            <w:tcMar>
              <w:top w:w="0" w:type="dxa"/>
              <w:left w:w="20" w:type="dxa"/>
              <w:bottom w:w="0" w:type="dxa"/>
              <w:right w:w="20" w:type="dxa"/>
            </w:tcMar>
            <w:vAlign w:val="bottom"/>
          </w:tcPr>
          <w:p w14:paraId="35D091E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1E1" w14:textId="77777777" w:rsidR="00D42204" w:rsidRDefault="004E439D">
            <w:pPr>
              <w:jc w:val="right"/>
              <w:textAlignment w:val="center"/>
            </w:pPr>
            <w:r>
              <w:rPr>
                <w:rFonts w:ascii="Times New Roman" w:eastAsia="宋体" w:hAnsi="Times New Roman"/>
                <w:color w:val="000000"/>
                <w:sz w:val="16"/>
                <w:szCs w:val="16"/>
              </w:rPr>
              <w:t>83 </w:t>
            </w:r>
          </w:p>
        </w:tc>
        <w:tc>
          <w:tcPr>
            <w:tcW w:w="0" w:type="auto"/>
            <w:shd w:val="clear" w:color="auto" w:fill="CCEEFF"/>
            <w:tcMar>
              <w:top w:w="40" w:type="dxa"/>
              <w:left w:w="0" w:type="dxa"/>
              <w:bottom w:w="40" w:type="dxa"/>
              <w:right w:w="20" w:type="dxa"/>
            </w:tcMar>
            <w:vAlign w:val="center"/>
          </w:tcPr>
          <w:p w14:paraId="35D091E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1E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1E4" w14:textId="77777777" w:rsidR="00D42204" w:rsidRDefault="004E439D">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35D091E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1E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1E7" w14:textId="77777777" w:rsidR="00D42204" w:rsidRDefault="004E439D">
            <w:pPr>
              <w:jc w:val="right"/>
              <w:textAlignment w:val="center"/>
            </w:pPr>
            <w:r>
              <w:rPr>
                <w:rFonts w:ascii="Times New Roman" w:eastAsia="宋体" w:hAnsi="Times New Roman"/>
                <w:color w:val="000000"/>
                <w:sz w:val="16"/>
                <w:szCs w:val="16"/>
              </w:rPr>
              <w:t>28 </w:t>
            </w:r>
          </w:p>
        </w:tc>
        <w:tc>
          <w:tcPr>
            <w:tcW w:w="0" w:type="auto"/>
            <w:shd w:val="clear" w:color="auto" w:fill="CCEEFF"/>
            <w:tcMar>
              <w:top w:w="40" w:type="dxa"/>
              <w:left w:w="0" w:type="dxa"/>
              <w:bottom w:w="40" w:type="dxa"/>
              <w:right w:w="20" w:type="dxa"/>
            </w:tcMar>
            <w:vAlign w:val="center"/>
          </w:tcPr>
          <w:p w14:paraId="35D091E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1E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1EA" w14:textId="77777777" w:rsidR="00D42204" w:rsidRDefault="004E439D">
            <w:pPr>
              <w:jc w:val="right"/>
              <w:textAlignment w:val="center"/>
            </w:pPr>
            <w:r>
              <w:rPr>
                <w:rFonts w:ascii="Times New Roman" w:eastAsia="宋体" w:hAnsi="Times New Roman"/>
                <w:color w:val="000000"/>
                <w:sz w:val="16"/>
                <w:szCs w:val="16"/>
              </w:rPr>
              <w:t>12 </w:t>
            </w:r>
          </w:p>
        </w:tc>
        <w:tc>
          <w:tcPr>
            <w:tcW w:w="0" w:type="auto"/>
            <w:shd w:val="clear" w:color="auto" w:fill="CCEEFF"/>
            <w:tcMar>
              <w:top w:w="40" w:type="dxa"/>
              <w:left w:w="0" w:type="dxa"/>
              <w:bottom w:w="40" w:type="dxa"/>
              <w:right w:w="20" w:type="dxa"/>
            </w:tcMar>
            <w:vAlign w:val="center"/>
          </w:tcPr>
          <w:p w14:paraId="35D091E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1E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1ED" w14:textId="77777777" w:rsidR="00D42204" w:rsidRDefault="004E439D">
            <w:pPr>
              <w:jc w:val="right"/>
              <w:textAlignment w:val="center"/>
            </w:pPr>
            <w:r>
              <w:rPr>
                <w:rFonts w:ascii="Times New Roman" w:eastAsia="宋体" w:hAnsi="Times New Roman"/>
                <w:color w:val="000000"/>
                <w:sz w:val="16"/>
                <w:szCs w:val="16"/>
              </w:rPr>
              <w:t>125 </w:t>
            </w:r>
          </w:p>
        </w:tc>
        <w:tc>
          <w:tcPr>
            <w:tcW w:w="0" w:type="auto"/>
            <w:shd w:val="clear" w:color="auto" w:fill="CCEEFF"/>
            <w:tcMar>
              <w:top w:w="40" w:type="dxa"/>
              <w:left w:w="0" w:type="dxa"/>
              <w:bottom w:w="40" w:type="dxa"/>
              <w:right w:w="20" w:type="dxa"/>
            </w:tcMar>
            <w:vAlign w:val="center"/>
          </w:tcPr>
          <w:p w14:paraId="35D091EE" w14:textId="77777777" w:rsidR="00D42204" w:rsidRDefault="00D42204">
            <w:pPr>
              <w:jc w:val="right"/>
              <w:rPr>
                <w:rFonts w:ascii="宋体"/>
              </w:rPr>
            </w:pPr>
          </w:p>
        </w:tc>
      </w:tr>
      <w:tr w:rsidR="00D42204" w14:paraId="35D09200" w14:textId="77777777">
        <w:tc>
          <w:tcPr>
            <w:tcW w:w="0" w:type="auto"/>
            <w:gridSpan w:val="3"/>
            <w:shd w:val="clear" w:color="auto" w:fill="FFFFFF"/>
            <w:tcMar>
              <w:top w:w="40" w:type="dxa"/>
              <w:left w:w="20" w:type="dxa"/>
              <w:bottom w:w="40" w:type="dxa"/>
              <w:right w:w="20" w:type="dxa"/>
            </w:tcMar>
            <w:vAlign w:val="center"/>
          </w:tcPr>
          <w:p w14:paraId="35D091F0" w14:textId="77777777" w:rsidR="00D42204" w:rsidRDefault="004E439D">
            <w:pPr>
              <w:textAlignment w:val="center"/>
            </w:pPr>
            <w:r>
              <w:rPr>
                <w:rFonts w:ascii="Times New Roman" w:eastAsia="宋体" w:hAnsi="Times New Roman"/>
                <w:color w:val="000000"/>
                <w:sz w:val="16"/>
                <w:szCs w:val="16"/>
              </w:rPr>
              <w:t>Arkansas</w:t>
            </w:r>
          </w:p>
        </w:tc>
        <w:tc>
          <w:tcPr>
            <w:tcW w:w="0" w:type="auto"/>
            <w:gridSpan w:val="3"/>
            <w:shd w:val="clear" w:color="auto" w:fill="FFFFFF"/>
            <w:tcMar>
              <w:top w:w="0" w:type="dxa"/>
              <w:left w:w="20" w:type="dxa"/>
              <w:bottom w:w="0" w:type="dxa"/>
              <w:right w:w="20" w:type="dxa"/>
            </w:tcMar>
            <w:vAlign w:val="bottom"/>
          </w:tcPr>
          <w:p w14:paraId="35D091F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1F2" w14:textId="77777777" w:rsidR="00D42204" w:rsidRDefault="004E439D">
            <w:pPr>
              <w:jc w:val="right"/>
              <w:textAlignment w:val="center"/>
            </w:pPr>
            <w:r>
              <w:rPr>
                <w:rFonts w:ascii="Times New Roman" w:eastAsia="宋体" w:hAnsi="Times New Roman"/>
                <w:color w:val="000000"/>
                <w:sz w:val="16"/>
                <w:szCs w:val="16"/>
              </w:rPr>
              <w:t>76 </w:t>
            </w:r>
          </w:p>
        </w:tc>
        <w:tc>
          <w:tcPr>
            <w:tcW w:w="0" w:type="auto"/>
            <w:shd w:val="clear" w:color="auto" w:fill="FFFFFF"/>
            <w:tcMar>
              <w:top w:w="40" w:type="dxa"/>
              <w:left w:w="0" w:type="dxa"/>
              <w:bottom w:w="40" w:type="dxa"/>
              <w:right w:w="20" w:type="dxa"/>
            </w:tcMar>
            <w:vAlign w:val="center"/>
          </w:tcPr>
          <w:p w14:paraId="35D091F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1F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1F5" w14:textId="77777777" w:rsidR="00D42204" w:rsidRDefault="004E439D">
            <w:pPr>
              <w:jc w:val="right"/>
              <w:textAlignment w:val="center"/>
            </w:pPr>
            <w:r>
              <w:rPr>
                <w:rFonts w:ascii="Times New Roman" w:eastAsia="宋体" w:hAnsi="Times New Roman"/>
                <w:color w:val="000000"/>
                <w:sz w:val="16"/>
                <w:szCs w:val="16"/>
              </w:rPr>
              <w:t>5 </w:t>
            </w:r>
          </w:p>
        </w:tc>
        <w:tc>
          <w:tcPr>
            <w:tcW w:w="0" w:type="auto"/>
            <w:shd w:val="clear" w:color="auto" w:fill="FFFFFF"/>
            <w:tcMar>
              <w:top w:w="40" w:type="dxa"/>
              <w:left w:w="0" w:type="dxa"/>
              <w:bottom w:w="40" w:type="dxa"/>
              <w:right w:w="20" w:type="dxa"/>
            </w:tcMar>
            <w:vAlign w:val="center"/>
          </w:tcPr>
          <w:p w14:paraId="35D091F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1F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1F8" w14:textId="77777777" w:rsidR="00D42204" w:rsidRDefault="004E439D">
            <w:pPr>
              <w:jc w:val="right"/>
              <w:textAlignment w:val="center"/>
            </w:pPr>
            <w:r>
              <w:rPr>
                <w:rFonts w:ascii="Times New Roman" w:eastAsia="宋体" w:hAnsi="Times New Roman"/>
                <w:color w:val="000000"/>
                <w:sz w:val="16"/>
                <w:szCs w:val="16"/>
              </w:rPr>
              <w:t>37 </w:t>
            </w:r>
          </w:p>
        </w:tc>
        <w:tc>
          <w:tcPr>
            <w:tcW w:w="0" w:type="auto"/>
            <w:shd w:val="clear" w:color="auto" w:fill="FFFFFF"/>
            <w:tcMar>
              <w:top w:w="40" w:type="dxa"/>
              <w:left w:w="0" w:type="dxa"/>
              <w:bottom w:w="40" w:type="dxa"/>
              <w:right w:w="20" w:type="dxa"/>
            </w:tcMar>
            <w:vAlign w:val="center"/>
          </w:tcPr>
          <w:p w14:paraId="35D091F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1F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1FB" w14:textId="77777777" w:rsidR="00D42204" w:rsidRDefault="004E439D">
            <w:pPr>
              <w:jc w:val="right"/>
              <w:textAlignment w:val="center"/>
            </w:pPr>
            <w:r>
              <w:rPr>
                <w:rFonts w:ascii="Times New Roman" w:eastAsia="宋体" w:hAnsi="Times New Roman"/>
                <w:color w:val="000000"/>
                <w:sz w:val="16"/>
                <w:szCs w:val="16"/>
              </w:rPr>
              <w:t>9 </w:t>
            </w:r>
          </w:p>
        </w:tc>
        <w:tc>
          <w:tcPr>
            <w:tcW w:w="0" w:type="auto"/>
            <w:shd w:val="clear" w:color="auto" w:fill="FFFFFF"/>
            <w:tcMar>
              <w:top w:w="40" w:type="dxa"/>
              <w:left w:w="0" w:type="dxa"/>
              <w:bottom w:w="40" w:type="dxa"/>
              <w:right w:w="20" w:type="dxa"/>
            </w:tcMar>
            <w:vAlign w:val="center"/>
          </w:tcPr>
          <w:p w14:paraId="35D091F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1F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1FE" w14:textId="77777777" w:rsidR="00D42204" w:rsidRDefault="004E439D">
            <w:pPr>
              <w:jc w:val="right"/>
              <w:textAlignment w:val="center"/>
            </w:pPr>
            <w:r>
              <w:rPr>
                <w:rFonts w:ascii="Times New Roman" w:eastAsia="宋体" w:hAnsi="Times New Roman"/>
                <w:color w:val="000000"/>
                <w:sz w:val="16"/>
                <w:szCs w:val="16"/>
              </w:rPr>
              <w:t>127 </w:t>
            </w:r>
          </w:p>
        </w:tc>
        <w:tc>
          <w:tcPr>
            <w:tcW w:w="0" w:type="auto"/>
            <w:shd w:val="clear" w:color="auto" w:fill="FFFFFF"/>
            <w:tcMar>
              <w:top w:w="40" w:type="dxa"/>
              <w:left w:w="0" w:type="dxa"/>
              <w:bottom w:w="40" w:type="dxa"/>
              <w:right w:w="20" w:type="dxa"/>
            </w:tcMar>
            <w:vAlign w:val="center"/>
          </w:tcPr>
          <w:p w14:paraId="35D091FF" w14:textId="77777777" w:rsidR="00D42204" w:rsidRDefault="00D42204">
            <w:pPr>
              <w:jc w:val="right"/>
              <w:rPr>
                <w:rFonts w:ascii="宋体"/>
              </w:rPr>
            </w:pPr>
          </w:p>
        </w:tc>
      </w:tr>
      <w:tr w:rsidR="00D42204" w14:paraId="35D09211" w14:textId="77777777">
        <w:tc>
          <w:tcPr>
            <w:tcW w:w="0" w:type="auto"/>
            <w:gridSpan w:val="3"/>
            <w:shd w:val="clear" w:color="auto" w:fill="CCEEFF"/>
            <w:tcMar>
              <w:top w:w="40" w:type="dxa"/>
              <w:left w:w="20" w:type="dxa"/>
              <w:bottom w:w="40" w:type="dxa"/>
              <w:right w:w="20" w:type="dxa"/>
            </w:tcMar>
            <w:vAlign w:val="center"/>
          </w:tcPr>
          <w:p w14:paraId="35D09201" w14:textId="77777777" w:rsidR="00D42204" w:rsidRDefault="004E439D">
            <w:pPr>
              <w:textAlignment w:val="center"/>
            </w:pPr>
            <w:r>
              <w:rPr>
                <w:rFonts w:ascii="Times New Roman" w:eastAsia="宋体" w:hAnsi="Times New Roman"/>
                <w:color w:val="000000"/>
                <w:sz w:val="16"/>
                <w:szCs w:val="16"/>
              </w:rPr>
              <w:t>California</w:t>
            </w:r>
          </w:p>
        </w:tc>
        <w:tc>
          <w:tcPr>
            <w:tcW w:w="0" w:type="auto"/>
            <w:gridSpan w:val="3"/>
            <w:shd w:val="clear" w:color="auto" w:fill="CCEEFF"/>
            <w:tcMar>
              <w:top w:w="0" w:type="dxa"/>
              <w:left w:w="20" w:type="dxa"/>
              <w:bottom w:w="0" w:type="dxa"/>
              <w:right w:w="20" w:type="dxa"/>
            </w:tcMar>
            <w:vAlign w:val="bottom"/>
          </w:tcPr>
          <w:p w14:paraId="35D0920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03" w14:textId="77777777" w:rsidR="00D42204" w:rsidRDefault="004E439D">
            <w:pPr>
              <w:jc w:val="right"/>
              <w:textAlignment w:val="center"/>
            </w:pPr>
            <w:r>
              <w:rPr>
                <w:rFonts w:ascii="Times New Roman" w:eastAsia="宋体" w:hAnsi="Times New Roman"/>
                <w:color w:val="000000"/>
                <w:sz w:val="16"/>
                <w:szCs w:val="16"/>
              </w:rPr>
              <w:t>144 </w:t>
            </w:r>
          </w:p>
        </w:tc>
        <w:tc>
          <w:tcPr>
            <w:tcW w:w="0" w:type="auto"/>
            <w:shd w:val="clear" w:color="auto" w:fill="CCEEFF"/>
            <w:tcMar>
              <w:top w:w="40" w:type="dxa"/>
              <w:left w:w="0" w:type="dxa"/>
              <w:bottom w:w="40" w:type="dxa"/>
              <w:right w:w="20" w:type="dxa"/>
            </w:tcMar>
            <w:vAlign w:val="center"/>
          </w:tcPr>
          <w:p w14:paraId="35D0920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0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06" w14:textId="77777777" w:rsidR="00D42204" w:rsidRDefault="004E439D">
            <w:pPr>
              <w:jc w:val="right"/>
              <w:textAlignment w:val="center"/>
            </w:pPr>
            <w:r>
              <w:rPr>
                <w:rFonts w:ascii="Times New Roman" w:eastAsia="宋体" w:hAnsi="Times New Roman"/>
                <w:color w:val="000000"/>
                <w:sz w:val="16"/>
                <w:szCs w:val="16"/>
              </w:rPr>
              <w:t>68 </w:t>
            </w:r>
          </w:p>
        </w:tc>
        <w:tc>
          <w:tcPr>
            <w:tcW w:w="0" w:type="auto"/>
            <w:shd w:val="clear" w:color="auto" w:fill="CCEEFF"/>
            <w:tcMar>
              <w:top w:w="40" w:type="dxa"/>
              <w:left w:w="0" w:type="dxa"/>
              <w:bottom w:w="40" w:type="dxa"/>
              <w:right w:w="20" w:type="dxa"/>
            </w:tcMar>
            <w:vAlign w:val="center"/>
          </w:tcPr>
          <w:p w14:paraId="35D0920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0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09" w14:textId="77777777" w:rsidR="00D42204" w:rsidRDefault="004E439D">
            <w:pPr>
              <w:jc w:val="right"/>
              <w:textAlignment w:val="center"/>
            </w:pPr>
            <w:r>
              <w:rPr>
                <w:rFonts w:ascii="Times New Roman" w:eastAsia="宋体" w:hAnsi="Times New Roman"/>
                <w:color w:val="000000"/>
                <w:sz w:val="16"/>
                <w:szCs w:val="16"/>
              </w:rPr>
              <w:t>79 </w:t>
            </w:r>
          </w:p>
        </w:tc>
        <w:tc>
          <w:tcPr>
            <w:tcW w:w="0" w:type="auto"/>
            <w:shd w:val="clear" w:color="auto" w:fill="CCEEFF"/>
            <w:tcMar>
              <w:top w:w="40" w:type="dxa"/>
              <w:left w:w="0" w:type="dxa"/>
              <w:bottom w:w="40" w:type="dxa"/>
              <w:right w:w="20" w:type="dxa"/>
            </w:tcMar>
            <w:vAlign w:val="center"/>
          </w:tcPr>
          <w:p w14:paraId="35D0920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0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0C" w14:textId="77777777" w:rsidR="00D42204" w:rsidRDefault="004E439D">
            <w:pPr>
              <w:jc w:val="right"/>
              <w:textAlignment w:val="center"/>
            </w:pPr>
            <w:r>
              <w:rPr>
                <w:rFonts w:ascii="Times New Roman" w:eastAsia="宋体" w:hAnsi="Times New Roman"/>
                <w:color w:val="000000"/>
                <w:sz w:val="16"/>
                <w:szCs w:val="16"/>
              </w:rPr>
              <w:t>30 </w:t>
            </w:r>
          </w:p>
        </w:tc>
        <w:tc>
          <w:tcPr>
            <w:tcW w:w="0" w:type="auto"/>
            <w:shd w:val="clear" w:color="auto" w:fill="CCEEFF"/>
            <w:tcMar>
              <w:top w:w="40" w:type="dxa"/>
              <w:left w:w="0" w:type="dxa"/>
              <w:bottom w:w="40" w:type="dxa"/>
              <w:right w:w="20" w:type="dxa"/>
            </w:tcMar>
            <w:vAlign w:val="center"/>
          </w:tcPr>
          <w:p w14:paraId="35D0920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0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0F" w14:textId="77777777" w:rsidR="00D42204" w:rsidRDefault="004E439D">
            <w:pPr>
              <w:jc w:val="right"/>
              <w:textAlignment w:val="center"/>
            </w:pPr>
            <w:r>
              <w:rPr>
                <w:rFonts w:ascii="Times New Roman" w:eastAsia="宋体" w:hAnsi="Times New Roman"/>
                <w:color w:val="000000"/>
                <w:sz w:val="16"/>
                <w:szCs w:val="16"/>
              </w:rPr>
              <w:t>321 </w:t>
            </w:r>
          </w:p>
        </w:tc>
        <w:tc>
          <w:tcPr>
            <w:tcW w:w="0" w:type="auto"/>
            <w:shd w:val="clear" w:color="auto" w:fill="CCEEFF"/>
            <w:tcMar>
              <w:top w:w="40" w:type="dxa"/>
              <w:left w:w="0" w:type="dxa"/>
              <w:bottom w:w="40" w:type="dxa"/>
              <w:right w:w="20" w:type="dxa"/>
            </w:tcMar>
            <w:vAlign w:val="center"/>
          </w:tcPr>
          <w:p w14:paraId="35D09210" w14:textId="77777777" w:rsidR="00D42204" w:rsidRDefault="00D42204">
            <w:pPr>
              <w:jc w:val="right"/>
              <w:rPr>
                <w:rFonts w:ascii="宋体"/>
              </w:rPr>
            </w:pPr>
          </w:p>
        </w:tc>
      </w:tr>
      <w:tr w:rsidR="00D42204" w14:paraId="35D09222" w14:textId="77777777">
        <w:tc>
          <w:tcPr>
            <w:tcW w:w="0" w:type="auto"/>
            <w:gridSpan w:val="3"/>
            <w:shd w:val="clear" w:color="auto" w:fill="FFFFFF"/>
            <w:tcMar>
              <w:top w:w="40" w:type="dxa"/>
              <w:left w:w="20" w:type="dxa"/>
              <w:bottom w:w="40" w:type="dxa"/>
              <w:right w:w="20" w:type="dxa"/>
            </w:tcMar>
            <w:vAlign w:val="center"/>
          </w:tcPr>
          <w:p w14:paraId="35D09212" w14:textId="77777777" w:rsidR="00D42204" w:rsidRDefault="004E439D">
            <w:pPr>
              <w:textAlignment w:val="center"/>
            </w:pPr>
            <w:r>
              <w:rPr>
                <w:rFonts w:ascii="Times New Roman" w:eastAsia="宋体" w:hAnsi="Times New Roman"/>
                <w:color w:val="000000"/>
                <w:sz w:val="16"/>
                <w:szCs w:val="16"/>
              </w:rPr>
              <w:t>Colorado</w:t>
            </w:r>
          </w:p>
        </w:tc>
        <w:tc>
          <w:tcPr>
            <w:tcW w:w="0" w:type="auto"/>
            <w:gridSpan w:val="3"/>
            <w:shd w:val="clear" w:color="auto" w:fill="FFFFFF"/>
            <w:tcMar>
              <w:top w:w="0" w:type="dxa"/>
              <w:left w:w="20" w:type="dxa"/>
              <w:bottom w:w="0" w:type="dxa"/>
              <w:right w:w="20" w:type="dxa"/>
            </w:tcMar>
            <w:vAlign w:val="bottom"/>
          </w:tcPr>
          <w:p w14:paraId="35D0921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14" w14:textId="77777777" w:rsidR="00D42204" w:rsidRDefault="004E439D">
            <w:pPr>
              <w:jc w:val="right"/>
              <w:textAlignment w:val="center"/>
            </w:pPr>
            <w:r>
              <w:rPr>
                <w:rFonts w:ascii="Times New Roman" w:eastAsia="宋体" w:hAnsi="Times New Roman"/>
                <w:color w:val="000000"/>
                <w:sz w:val="16"/>
                <w:szCs w:val="16"/>
              </w:rPr>
              <w:t>70 </w:t>
            </w:r>
          </w:p>
        </w:tc>
        <w:tc>
          <w:tcPr>
            <w:tcW w:w="0" w:type="auto"/>
            <w:shd w:val="clear" w:color="auto" w:fill="FFFFFF"/>
            <w:tcMar>
              <w:top w:w="40" w:type="dxa"/>
              <w:left w:w="0" w:type="dxa"/>
              <w:bottom w:w="40" w:type="dxa"/>
              <w:right w:w="20" w:type="dxa"/>
            </w:tcMar>
            <w:vAlign w:val="center"/>
          </w:tcPr>
          <w:p w14:paraId="35D0921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1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17" w14:textId="77777777" w:rsidR="00D42204" w:rsidRDefault="004E439D">
            <w:pPr>
              <w:jc w:val="right"/>
              <w:textAlignment w:val="center"/>
            </w:pPr>
            <w:r>
              <w:rPr>
                <w:rFonts w:ascii="Times New Roman" w:eastAsia="宋体" w:hAnsi="Times New Roman"/>
                <w:color w:val="000000"/>
                <w:sz w:val="16"/>
                <w:szCs w:val="16"/>
              </w:rPr>
              <w:t>4 </w:t>
            </w:r>
          </w:p>
        </w:tc>
        <w:tc>
          <w:tcPr>
            <w:tcW w:w="0" w:type="auto"/>
            <w:shd w:val="clear" w:color="auto" w:fill="FFFFFF"/>
            <w:tcMar>
              <w:top w:w="40" w:type="dxa"/>
              <w:left w:w="0" w:type="dxa"/>
              <w:bottom w:w="40" w:type="dxa"/>
              <w:right w:w="20" w:type="dxa"/>
            </w:tcMar>
            <w:vAlign w:val="center"/>
          </w:tcPr>
          <w:p w14:paraId="35D0921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1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1A" w14:textId="77777777" w:rsidR="00D42204" w:rsidRDefault="004E439D">
            <w:pPr>
              <w:jc w:val="right"/>
              <w:textAlignment w:val="center"/>
            </w:pPr>
            <w:r>
              <w:rPr>
                <w:rFonts w:ascii="Times New Roman" w:eastAsia="宋体" w:hAnsi="Times New Roman"/>
                <w:color w:val="000000"/>
                <w:sz w:val="16"/>
                <w:szCs w:val="16"/>
              </w:rPr>
              <w:t>18 </w:t>
            </w:r>
          </w:p>
        </w:tc>
        <w:tc>
          <w:tcPr>
            <w:tcW w:w="0" w:type="auto"/>
            <w:shd w:val="clear" w:color="auto" w:fill="FFFFFF"/>
            <w:tcMar>
              <w:top w:w="40" w:type="dxa"/>
              <w:left w:w="0" w:type="dxa"/>
              <w:bottom w:w="40" w:type="dxa"/>
              <w:right w:w="20" w:type="dxa"/>
            </w:tcMar>
            <w:vAlign w:val="center"/>
          </w:tcPr>
          <w:p w14:paraId="35D0921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1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1D" w14:textId="77777777" w:rsidR="00D42204" w:rsidRDefault="004E439D">
            <w:pPr>
              <w:jc w:val="right"/>
              <w:textAlignment w:val="center"/>
            </w:pPr>
            <w:r>
              <w:rPr>
                <w:rFonts w:ascii="Times New Roman" w:eastAsia="宋体" w:hAnsi="Times New Roman"/>
                <w:color w:val="000000"/>
                <w:sz w:val="16"/>
                <w:szCs w:val="16"/>
              </w:rPr>
              <w:t>17 </w:t>
            </w:r>
          </w:p>
        </w:tc>
        <w:tc>
          <w:tcPr>
            <w:tcW w:w="0" w:type="auto"/>
            <w:shd w:val="clear" w:color="auto" w:fill="FFFFFF"/>
            <w:tcMar>
              <w:top w:w="40" w:type="dxa"/>
              <w:left w:w="0" w:type="dxa"/>
              <w:bottom w:w="40" w:type="dxa"/>
              <w:right w:w="20" w:type="dxa"/>
            </w:tcMar>
            <w:vAlign w:val="center"/>
          </w:tcPr>
          <w:p w14:paraId="35D0921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1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20" w14:textId="77777777" w:rsidR="00D42204" w:rsidRDefault="004E439D">
            <w:pPr>
              <w:jc w:val="right"/>
              <w:textAlignment w:val="center"/>
            </w:pPr>
            <w:r>
              <w:rPr>
                <w:rFonts w:ascii="Times New Roman" w:eastAsia="宋体" w:hAnsi="Times New Roman"/>
                <w:color w:val="000000"/>
                <w:sz w:val="16"/>
                <w:szCs w:val="16"/>
              </w:rPr>
              <w:t>109 </w:t>
            </w:r>
          </w:p>
        </w:tc>
        <w:tc>
          <w:tcPr>
            <w:tcW w:w="0" w:type="auto"/>
            <w:shd w:val="clear" w:color="auto" w:fill="FFFFFF"/>
            <w:tcMar>
              <w:top w:w="40" w:type="dxa"/>
              <w:left w:w="0" w:type="dxa"/>
              <w:bottom w:w="40" w:type="dxa"/>
              <w:right w:w="20" w:type="dxa"/>
            </w:tcMar>
            <w:vAlign w:val="center"/>
          </w:tcPr>
          <w:p w14:paraId="35D09221" w14:textId="77777777" w:rsidR="00D42204" w:rsidRDefault="00D42204">
            <w:pPr>
              <w:jc w:val="right"/>
              <w:rPr>
                <w:rFonts w:ascii="宋体"/>
              </w:rPr>
            </w:pPr>
          </w:p>
        </w:tc>
      </w:tr>
      <w:tr w:rsidR="00D42204" w14:paraId="35D09233" w14:textId="77777777">
        <w:tc>
          <w:tcPr>
            <w:tcW w:w="0" w:type="auto"/>
            <w:gridSpan w:val="3"/>
            <w:shd w:val="clear" w:color="auto" w:fill="CCEEFF"/>
            <w:tcMar>
              <w:top w:w="40" w:type="dxa"/>
              <w:left w:w="20" w:type="dxa"/>
              <w:bottom w:w="40" w:type="dxa"/>
              <w:right w:w="20" w:type="dxa"/>
            </w:tcMar>
            <w:vAlign w:val="center"/>
          </w:tcPr>
          <w:p w14:paraId="35D09223" w14:textId="77777777" w:rsidR="00D42204" w:rsidRDefault="004E439D">
            <w:pPr>
              <w:textAlignment w:val="center"/>
            </w:pPr>
            <w:r>
              <w:rPr>
                <w:rFonts w:ascii="Times New Roman" w:eastAsia="宋体" w:hAnsi="Times New Roman"/>
                <w:color w:val="000000"/>
                <w:sz w:val="16"/>
                <w:szCs w:val="16"/>
              </w:rPr>
              <w:t>Connecticut</w:t>
            </w:r>
          </w:p>
        </w:tc>
        <w:tc>
          <w:tcPr>
            <w:tcW w:w="0" w:type="auto"/>
            <w:gridSpan w:val="3"/>
            <w:shd w:val="clear" w:color="auto" w:fill="CCEEFF"/>
            <w:tcMar>
              <w:top w:w="0" w:type="dxa"/>
              <w:left w:w="20" w:type="dxa"/>
              <w:bottom w:w="0" w:type="dxa"/>
              <w:right w:w="20" w:type="dxa"/>
            </w:tcMar>
            <w:vAlign w:val="bottom"/>
          </w:tcPr>
          <w:p w14:paraId="35D0922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25" w14:textId="77777777" w:rsidR="00D42204" w:rsidRDefault="004E439D">
            <w:pPr>
              <w:jc w:val="right"/>
              <w:textAlignment w:val="center"/>
            </w:pPr>
            <w:r>
              <w:rPr>
                <w:rFonts w:ascii="Times New Roman" w:eastAsia="宋体" w:hAnsi="Times New Roman"/>
                <w:color w:val="000000"/>
                <w:sz w:val="16"/>
                <w:szCs w:val="16"/>
              </w:rPr>
              <w:t>12 </w:t>
            </w:r>
          </w:p>
        </w:tc>
        <w:tc>
          <w:tcPr>
            <w:tcW w:w="0" w:type="auto"/>
            <w:shd w:val="clear" w:color="auto" w:fill="CCEEFF"/>
            <w:tcMar>
              <w:top w:w="40" w:type="dxa"/>
              <w:left w:w="0" w:type="dxa"/>
              <w:bottom w:w="40" w:type="dxa"/>
              <w:right w:w="20" w:type="dxa"/>
            </w:tcMar>
            <w:vAlign w:val="center"/>
          </w:tcPr>
          <w:p w14:paraId="35D0922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2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28" w14:textId="77777777" w:rsidR="00D42204" w:rsidRDefault="004E439D">
            <w:pPr>
              <w:jc w:val="right"/>
              <w:textAlignment w:val="center"/>
            </w:pPr>
            <w:r>
              <w:rPr>
                <w:rFonts w:ascii="Times New Roman" w:eastAsia="宋体" w:hAnsi="Times New Roman"/>
                <w:color w:val="000000"/>
                <w:sz w:val="16"/>
                <w:szCs w:val="16"/>
              </w:rPr>
              <w:t>21 </w:t>
            </w:r>
          </w:p>
        </w:tc>
        <w:tc>
          <w:tcPr>
            <w:tcW w:w="0" w:type="auto"/>
            <w:shd w:val="clear" w:color="auto" w:fill="CCEEFF"/>
            <w:tcMar>
              <w:top w:w="40" w:type="dxa"/>
              <w:left w:w="0" w:type="dxa"/>
              <w:bottom w:w="40" w:type="dxa"/>
              <w:right w:w="20" w:type="dxa"/>
            </w:tcMar>
            <w:vAlign w:val="center"/>
          </w:tcPr>
          <w:p w14:paraId="35D0922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2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2B" w14:textId="77777777" w:rsidR="00D42204" w:rsidRDefault="004E439D">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35D0922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2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2E" w14:textId="77777777" w:rsidR="00D42204" w:rsidRDefault="004E439D">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35D0922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3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31" w14:textId="77777777" w:rsidR="00D42204" w:rsidRDefault="004E439D">
            <w:pPr>
              <w:jc w:val="right"/>
              <w:textAlignment w:val="center"/>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center"/>
          </w:tcPr>
          <w:p w14:paraId="35D09232" w14:textId="77777777" w:rsidR="00D42204" w:rsidRDefault="00D42204">
            <w:pPr>
              <w:jc w:val="right"/>
              <w:rPr>
                <w:rFonts w:ascii="宋体"/>
              </w:rPr>
            </w:pPr>
          </w:p>
        </w:tc>
      </w:tr>
      <w:tr w:rsidR="00D42204" w14:paraId="35D09244" w14:textId="77777777">
        <w:tc>
          <w:tcPr>
            <w:tcW w:w="0" w:type="auto"/>
            <w:gridSpan w:val="3"/>
            <w:shd w:val="clear" w:color="auto" w:fill="FFFFFF"/>
            <w:tcMar>
              <w:top w:w="40" w:type="dxa"/>
              <w:left w:w="20" w:type="dxa"/>
              <w:bottom w:w="40" w:type="dxa"/>
              <w:right w:w="20" w:type="dxa"/>
            </w:tcMar>
            <w:vAlign w:val="center"/>
          </w:tcPr>
          <w:p w14:paraId="35D09234" w14:textId="77777777" w:rsidR="00D42204" w:rsidRDefault="004E439D">
            <w:pPr>
              <w:textAlignment w:val="center"/>
            </w:pPr>
            <w:r>
              <w:rPr>
                <w:rFonts w:ascii="Times New Roman" w:eastAsia="宋体" w:hAnsi="Times New Roman"/>
                <w:color w:val="000000"/>
                <w:sz w:val="16"/>
                <w:szCs w:val="16"/>
              </w:rPr>
              <w:t>Delaware</w:t>
            </w:r>
          </w:p>
        </w:tc>
        <w:tc>
          <w:tcPr>
            <w:tcW w:w="0" w:type="auto"/>
            <w:gridSpan w:val="3"/>
            <w:shd w:val="clear" w:color="auto" w:fill="FFFFFF"/>
            <w:tcMar>
              <w:top w:w="0" w:type="dxa"/>
              <w:left w:w="20" w:type="dxa"/>
              <w:bottom w:w="0" w:type="dxa"/>
              <w:right w:w="20" w:type="dxa"/>
            </w:tcMar>
            <w:vAlign w:val="bottom"/>
          </w:tcPr>
          <w:p w14:paraId="35D0923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36" w14:textId="77777777" w:rsidR="00D42204" w:rsidRDefault="004E439D">
            <w:pPr>
              <w:jc w:val="right"/>
              <w:textAlignment w:val="center"/>
            </w:pPr>
            <w:r>
              <w:rPr>
                <w:rFonts w:ascii="Times New Roman" w:eastAsia="宋体" w:hAnsi="Times New Roman"/>
                <w:color w:val="000000"/>
                <w:sz w:val="16"/>
                <w:szCs w:val="16"/>
              </w:rPr>
              <w:t>6 </w:t>
            </w:r>
          </w:p>
        </w:tc>
        <w:tc>
          <w:tcPr>
            <w:tcW w:w="0" w:type="auto"/>
            <w:shd w:val="clear" w:color="auto" w:fill="FFFFFF"/>
            <w:tcMar>
              <w:top w:w="40" w:type="dxa"/>
              <w:left w:w="0" w:type="dxa"/>
              <w:bottom w:w="40" w:type="dxa"/>
              <w:right w:w="20" w:type="dxa"/>
            </w:tcMar>
            <w:vAlign w:val="center"/>
          </w:tcPr>
          <w:p w14:paraId="35D0923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3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39" w14:textId="77777777" w:rsidR="00D42204" w:rsidRDefault="004E439D">
            <w:pPr>
              <w:jc w:val="right"/>
              <w:textAlignment w:val="center"/>
            </w:pPr>
            <w:r>
              <w:rPr>
                <w:rFonts w:ascii="Times New Roman" w:eastAsia="宋体" w:hAnsi="Times New Roman"/>
                <w:color w:val="000000"/>
                <w:sz w:val="16"/>
                <w:szCs w:val="16"/>
              </w:rPr>
              <w:t>3 </w:t>
            </w:r>
          </w:p>
        </w:tc>
        <w:tc>
          <w:tcPr>
            <w:tcW w:w="0" w:type="auto"/>
            <w:shd w:val="clear" w:color="auto" w:fill="FFFFFF"/>
            <w:tcMar>
              <w:top w:w="40" w:type="dxa"/>
              <w:left w:w="0" w:type="dxa"/>
              <w:bottom w:w="40" w:type="dxa"/>
              <w:right w:w="20" w:type="dxa"/>
            </w:tcMar>
            <w:vAlign w:val="center"/>
          </w:tcPr>
          <w:p w14:paraId="35D0923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3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3C"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23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3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3F" w14:textId="77777777" w:rsidR="00D42204" w:rsidRDefault="004E439D">
            <w:pPr>
              <w:jc w:val="right"/>
              <w:textAlignment w:val="center"/>
            </w:pPr>
            <w:r>
              <w:rPr>
                <w:rFonts w:ascii="Times New Roman" w:eastAsia="宋体" w:hAnsi="Times New Roman"/>
                <w:color w:val="000000"/>
                <w:sz w:val="16"/>
                <w:szCs w:val="16"/>
              </w:rPr>
              <w:t>1 </w:t>
            </w:r>
          </w:p>
        </w:tc>
        <w:tc>
          <w:tcPr>
            <w:tcW w:w="0" w:type="auto"/>
            <w:shd w:val="clear" w:color="auto" w:fill="FFFFFF"/>
            <w:tcMar>
              <w:top w:w="40" w:type="dxa"/>
              <w:left w:w="0" w:type="dxa"/>
              <w:bottom w:w="40" w:type="dxa"/>
              <w:right w:w="20" w:type="dxa"/>
            </w:tcMar>
            <w:vAlign w:val="center"/>
          </w:tcPr>
          <w:p w14:paraId="35D0924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4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42" w14:textId="77777777" w:rsidR="00D42204" w:rsidRDefault="004E439D">
            <w:pPr>
              <w:jc w:val="right"/>
              <w:textAlignment w:val="center"/>
            </w:pPr>
            <w:r>
              <w:rPr>
                <w:rFonts w:ascii="Times New Roman" w:eastAsia="宋体" w:hAnsi="Times New Roman"/>
                <w:color w:val="000000"/>
                <w:sz w:val="16"/>
                <w:szCs w:val="16"/>
              </w:rPr>
              <w:t>10 </w:t>
            </w:r>
          </w:p>
        </w:tc>
        <w:tc>
          <w:tcPr>
            <w:tcW w:w="0" w:type="auto"/>
            <w:shd w:val="clear" w:color="auto" w:fill="FFFFFF"/>
            <w:tcMar>
              <w:top w:w="40" w:type="dxa"/>
              <w:left w:w="0" w:type="dxa"/>
              <w:bottom w:w="40" w:type="dxa"/>
              <w:right w:w="20" w:type="dxa"/>
            </w:tcMar>
            <w:vAlign w:val="center"/>
          </w:tcPr>
          <w:p w14:paraId="35D09243" w14:textId="77777777" w:rsidR="00D42204" w:rsidRDefault="00D42204">
            <w:pPr>
              <w:jc w:val="right"/>
              <w:rPr>
                <w:rFonts w:ascii="宋体"/>
              </w:rPr>
            </w:pPr>
          </w:p>
        </w:tc>
      </w:tr>
      <w:tr w:rsidR="00D42204" w14:paraId="35D09255" w14:textId="77777777">
        <w:tc>
          <w:tcPr>
            <w:tcW w:w="0" w:type="auto"/>
            <w:gridSpan w:val="3"/>
            <w:shd w:val="clear" w:color="auto" w:fill="CCEEFF"/>
            <w:tcMar>
              <w:top w:w="40" w:type="dxa"/>
              <w:left w:w="20" w:type="dxa"/>
              <w:bottom w:w="40" w:type="dxa"/>
              <w:right w:w="20" w:type="dxa"/>
            </w:tcMar>
            <w:vAlign w:val="center"/>
          </w:tcPr>
          <w:p w14:paraId="35D09245" w14:textId="77777777" w:rsidR="00D42204" w:rsidRDefault="004E439D">
            <w:pPr>
              <w:textAlignment w:val="center"/>
            </w:pPr>
            <w:r>
              <w:rPr>
                <w:rFonts w:ascii="Times New Roman" w:eastAsia="宋体" w:hAnsi="Times New Roman"/>
                <w:color w:val="000000"/>
                <w:sz w:val="16"/>
                <w:szCs w:val="16"/>
              </w:rPr>
              <w:t>Florida</w:t>
            </w:r>
          </w:p>
        </w:tc>
        <w:tc>
          <w:tcPr>
            <w:tcW w:w="0" w:type="auto"/>
            <w:gridSpan w:val="3"/>
            <w:shd w:val="clear" w:color="auto" w:fill="CCEEFF"/>
            <w:tcMar>
              <w:top w:w="0" w:type="dxa"/>
              <w:left w:w="20" w:type="dxa"/>
              <w:bottom w:w="0" w:type="dxa"/>
              <w:right w:w="20" w:type="dxa"/>
            </w:tcMar>
            <w:vAlign w:val="bottom"/>
          </w:tcPr>
          <w:p w14:paraId="35D0924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47" w14:textId="77777777" w:rsidR="00D42204" w:rsidRDefault="004E439D">
            <w:pPr>
              <w:jc w:val="right"/>
              <w:textAlignment w:val="center"/>
            </w:pPr>
            <w:r>
              <w:rPr>
                <w:rFonts w:ascii="Times New Roman" w:eastAsia="宋体" w:hAnsi="Times New Roman"/>
                <w:color w:val="000000"/>
                <w:sz w:val="16"/>
                <w:szCs w:val="16"/>
              </w:rPr>
              <w:t>233 </w:t>
            </w:r>
          </w:p>
        </w:tc>
        <w:tc>
          <w:tcPr>
            <w:tcW w:w="0" w:type="auto"/>
            <w:shd w:val="clear" w:color="auto" w:fill="CCEEFF"/>
            <w:tcMar>
              <w:top w:w="40" w:type="dxa"/>
              <w:left w:w="0" w:type="dxa"/>
              <w:bottom w:w="40" w:type="dxa"/>
              <w:right w:w="20" w:type="dxa"/>
            </w:tcMar>
            <w:vAlign w:val="center"/>
          </w:tcPr>
          <w:p w14:paraId="35D0924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4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4A" w14:textId="77777777" w:rsidR="00D42204" w:rsidRDefault="004E439D">
            <w:pPr>
              <w:jc w:val="right"/>
              <w:textAlignment w:val="center"/>
            </w:pPr>
            <w:r>
              <w:rPr>
                <w:rFonts w:ascii="Times New Roman" w:eastAsia="宋体" w:hAnsi="Times New Roman"/>
                <w:color w:val="000000"/>
                <w:sz w:val="16"/>
                <w:szCs w:val="16"/>
              </w:rPr>
              <w:t>9 </w:t>
            </w:r>
          </w:p>
        </w:tc>
        <w:tc>
          <w:tcPr>
            <w:tcW w:w="0" w:type="auto"/>
            <w:shd w:val="clear" w:color="auto" w:fill="CCEEFF"/>
            <w:tcMar>
              <w:top w:w="40" w:type="dxa"/>
              <w:left w:w="0" w:type="dxa"/>
              <w:bottom w:w="40" w:type="dxa"/>
              <w:right w:w="20" w:type="dxa"/>
            </w:tcMar>
            <w:vAlign w:val="center"/>
          </w:tcPr>
          <w:p w14:paraId="35D0924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4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4D" w14:textId="77777777" w:rsidR="00D42204" w:rsidRDefault="004E439D">
            <w:pPr>
              <w:jc w:val="right"/>
              <w:textAlignment w:val="center"/>
            </w:pPr>
            <w:r>
              <w:rPr>
                <w:rFonts w:ascii="Times New Roman" w:eastAsia="宋体" w:hAnsi="Times New Roman"/>
                <w:color w:val="000000"/>
                <w:sz w:val="16"/>
                <w:szCs w:val="16"/>
              </w:rPr>
              <w:t>98 </w:t>
            </w:r>
          </w:p>
        </w:tc>
        <w:tc>
          <w:tcPr>
            <w:tcW w:w="0" w:type="auto"/>
            <w:shd w:val="clear" w:color="auto" w:fill="CCEEFF"/>
            <w:tcMar>
              <w:top w:w="40" w:type="dxa"/>
              <w:left w:w="0" w:type="dxa"/>
              <w:bottom w:w="40" w:type="dxa"/>
              <w:right w:w="20" w:type="dxa"/>
            </w:tcMar>
            <w:vAlign w:val="center"/>
          </w:tcPr>
          <w:p w14:paraId="35D0924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4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50" w14:textId="77777777" w:rsidR="00D42204" w:rsidRDefault="004E439D">
            <w:pPr>
              <w:jc w:val="right"/>
              <w:textAlignment w:val="center"/>
            </w:pPr>
            <w:r>
              <w:rPr>
                <w:rFonts w:ascii="Times New Roman" w:eastAsia="宋体" w:hAnsi="Times New Roman"/>
                <w:color w:val="000000"/>
                <w:sz w:val="16"/>
                <w:szCs w:val="16"/>
              </w:rPr>
              <w:t>46 </w:t>
            </w:r>
          </w:p>
        </w:tc>
        <w:tc>
          <w:tcPr>
            <w:tcW w:w="0" w:type="auto"/>
            <w:shd w:val="clear" w:color="auto" w:fill="CCEEFF"/>
            <w:tcMar>
              <w:top w:w="40" w:type="dxa"/>
              <w:left w:w="0" w:type="dxa"/>
              <w:bottom w:w="40" w:type="dxa"/>
              <w:right w:w="20" w:type="dxa"/>
            </w:tcMar>
            <w:vAlign w:val="center"/>
          </w:tcPr>
          <w:p w14:paraId="35D0925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5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53" w14:textId="77777777" w:rsidR="00D42204" w:rsidRDefault="004E439D">
            <w:pPr>
              <w:jc w:val="right"/>
              <w:textAlignment w:val="center"/>
            </w:pPr>
            <w:r>
              <w:rPr>
                <w:rFonts w:ascii="Times New Roman" w:eastAsia="宋体" w:hAnsi="Times New Roman"/>
                <w:color w:val="000000"/>
                <w:sz w:val="16"/>
                <w:szCs w:val="16"/>
              </w:rPr>
              <w:t>386 </w:t>
            </w:r>
          </w:p>
        </w:tc>
        <w:tc>
          <w:tcPr>
            <w:tcW w:w="0" w:type="auto"/>
            <w:shd w:val="clear" w:color="auto" w:fill="CCEEFF"/>
            <w:tcMar>
              <w:top w:w="40" w:type="dxa"/>
              <w:left w:w="0" w:type="dxa"/>
              <w:bottom w:w="40" w:type="dxa"/>
              <w:right w:w="20" w:type="dxa"/>
            </w:tcMar>
            <w:vAlign w:val="center"/>
          </w:tcPr>
          <w:p w14:paraId="35D09254" w14:textId="77777777" w:rsidR="00D42204" w:rsidRDefault="00D42204">
            <w:pPr>
              <w:jc w:val="right"/>
              <w:rPr>
                <w:rFonts w:ascii="宋体"/>
              </w:rPr>
            </w:pPr>
          </w:p>
        </w:tc>
      </w:tr>
      <w:tr w:rsidR="00D42204" w14:paraId="35D09266" w14:textId="77777777">
        <w:tc>
          <w:tcPr>
            <w:tcW w:w="0" w:type="auto"/>
            <w:gridSpan w:val="3"/>
            <w:shd w:val="clear" w:color="auto" w:fill="FFFFFF"/>
            <w:tcMar>
              <w:top w:w="40" w:type="dxa"/>
              <w:left w:w="20" w:type="dxa"/>
              <w:bottom w:w="40" w:type="dxa"/>
              <w:right w:w="20" w:type="dxa"/>
            </w:tcMar>
            <w:vAlign w:val="center"/>
          </w:tcPr>
          <w:p w14:paraId="35D09256" w14:textId="77777777" w:rsidR="00D42204" w:rsidRDefault="004E439D">
            <w:pPr>
              <w:textAlignment w:val="center"/>
            </w:pPr>
            <w:r>
              <w:rPr>
                <w:rFonts w:ascii="Times New Roman" w:eastAsia="宋体" w:hAnsi="Times New Roman"/>
                <w:color w:val="000000"/>
                <w:sz w:val="16"/>
                <w:szCs w:val="16"/>
              </w:rPr>
              <w:t>Georgia</w:t>
            </w:r>
          </w:p>
        </w:tc>
        <w:tc>
          <w:tcPr>
            <w:tcW w:w="0" w:type="auto"/>
            <w:gridSpan w:val="3"/>
            <w:shd w:val="clear" w:color="auto" w:fill="FFFFFF"/>
            <w:tcMar>
              <w:top w:w="0" w:type="dxa"/>
              <w:left w:w="20" w:type="dxa"/>
              <w:bottom w:w="0" w:type="dxa"/>
              <w:right w:w="20" w:type="dxa"/>
            </w:tcMar>
            <w:vAlign w:val="bottom"/>
          </w:tcPr>
          <w:p w14:paraId="35D0925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58" w14:textId="77777777" w:rsidR="00D42204" w:rsidRDefault="004E439D">
            <w:pPr>
              <w:jc w:val="right"/>
              <w:textAlignment w:val="center"/>
            </w:pPr>
            <w:r>
              <w:rPr>
                <w:rFonts w:ascii="Times New Roman" w:eastAsia="宋体" w:hAnsi="Times New Roman"/>
                <w:color w:val="000000"/>
                <w:sz w:val="16"/>
                <w:szCs w:val="16"/>
              </w:rPr>
              <w:t>154 </w:t>
            </w:r>
          </w:p>
        </w:tc>
        <w:tc>
          <w:tcPr>
            <w:tcW w:w="0" w:type="auto"/>
            <w:shd w:val="clear" w:color="auto" w:fill="FFFFFF"/>
            <w:tcMar>
              <w:top w:w="40" w:type="dxa"/>
              <w:left w:w="0" w:type="dxa"/>
              <w:bottom w:w="40" w:type="dxa"/>
              <w:right w:w="20" w:type="dxa"/>
            </w:tcMar>
            <w:vAlign w:val="center"/>
          </w:tcPr>
          <w:p w14:paraId="35D0925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5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5B" w14:textId="77777777" w:rsidR="00D42204" w:rsidRDefault="004E439D">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35D0925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5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5E" w14:textId="77777777" w:rsidR="00D42204" w:rsidRDefault="004E439D">
            <w:pPr>
              <w:jc w:val="right"/>
              <w:textAlignment w:val="center"/>
            </w:pPr>
            <w:r>
              <w:rPr>
                <w:rFonts w:ascii="Times New Roman" w:eastAsia="宋体" w:hAnsi="Times New Roman"/>
                <w:color w:val="000000"/>
                <w:sz w:val="16"/>
                <w:szCs w:val="16"/>
              </w:rPr>
              <w:t>35 </w:t>
            </w:r>
          </w:p>
        </w:tc>
        <w:tc>
          <w:tcPr>
            <w:tcW w:w="0" w:type="auto"/>
            <w:shd w:val="clear" w:color="auto" w:fill="FFFFFF"/>
            <w:tcMar>
              <w:top w:w="40" w:type="dxa"/>
              <w:left w:w="0" w:type="dxa"/>
              <w:bottom w:w="40" w:type="dxa"/>
              <w:right w:w="20" w:type="dxa"/>
            </w:tcMar>
            <w:vAlign w:val="center"/>
          </w:tcPr>
          <w:p w14:paraId="35D0925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6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61" w14:textId="77777777" w:rsidR="00D42204" w:rsidRDefault="004E439D">
            <w:pPr>
              <w:jc w:val="right"/>
              <w:textAlignment w:val="center"/>
            </w:pPr>
            <w:r>
              <w:rPr>
                <w:rFonts w:ascii="Times New Roman" w:eastAsia="宋体" w:hAnsi="Times New Roman"/>
                <w:color w:val="000000"/>
                <w:sz w:val="16"/>
                <w:szCs w:val="16"/>
              </w:rPr>
              <w:t>24 </w:t>
            </w:r>
          </w:p>
        </w:tc>
        <w:tc>
          <w:tcPr>
            <w:tcW w:w="0" w:type="auto"/>
            <w:shd w:val="clear" w:color="auto" w:fill="FFFFFF"/>
            <w:tcMar>
              <w:top w:w="40" w:type="dxa"/>
              <w:left w:w="0" w:type="dxa"/>
              <w:bottom w:w="40" w:type="dxa"/>
              <w:right w:w="20" w:type="dxa"/>
            </w:tcMar>
            <w:vAlign w:val="center"/>
          </w:tcPr>
          <w:p w14:paraId="35D0926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6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64" w14:textId="77777777" w:rsidR="00D42204" w:rsidRDefault="004E439D">
            <w:pPr>
              <w:jc w:val="right"/>
              <w:textAlignment w:val="center"/>
            </w:pPr>
            <w:r>
              <w:rPr>
                <w:rFonts w:ascii="Times New Roman" w:eastAsia="宋体" w:hAnsi="Times New Roman"/>
                <w:color w:val="000000"/>
                <w:sz w:val="16"/>
                <w:szCs w:val="16"/>
              </w:rPr>
              <w:t>215 </w:t>
            </w:r>
          </w:p>
        </w:tc>
        <w:tc>
          <w:tcPr>
            <w:tcW w:w="0" w:type="auto"/>
            <w:shd w:val="clear" w:color="auto" w:fill="FFFFFF"/>
            <w:tcMar>
              <w:top w:w="40" w:type="dxa"/>
              <w:left w:w="0" w:type="dxa"/>
              <w:bottom w:w="40" w:type="dxa"/>
              <w:right w:w="20" w:type="dxa"/>
            </w:tcMar>
            <w:vAlign w:val="center"/>
          </w:tcPr>
          <w:p w14:paraId="35D09265" w14:textId="77777777" w:rsidR="00D42204" w:rsidRDefault="00D42204">
            <w:pPr>
              <w:jc w:val="right"/>
              <w:rPr>
                <w:rFonts w:ascii="宋体"/>
              </w:rPr>
            </w:pPr>
          </w:p>
        </w:tc>
      </w:tr>
      <w:tr w:rsidR="00D42204" w14:paraId="35D09277" w14:textId="77777777">
        <w:tc>
          <w:tcPr>
            <w:tcW w:w="0" w:type="auto"/>
            <w:gridSpan w:val="3"/>
            <w:shd w:val="clear" w:color="auto" w:fill="CCEEFF"/>
            <w:tcMar>
              <w:top w:w="40" w:type="dxa"/>
              <w:left w:w="20" w:type="dxa"/>
              <w:bottom w:w="40" w:type="dxa"/>
              <w:right w:w="20" w:type="dxa"/>
            </w:tcMar>
            <w:vAlign w:val="center"/>
          </w:tcPr>
          <w:p w14:paraId="35D09267" w14:textId="77777777" w:rsidR="00D42204" w:rsidRDefault="004E439D">
            <w:pPr>
              <w:textAlignment w:val="center"/>
            </w:pPr>
            <w:r>
              <w:rPr>
                <w:rFonts w:ascii="Times New Roman" w:eastAsia="宋体" w:hAnsi="Times New Roman"/>
                <w:color w:val="000000"/>
                <w:sz w:val="16"/>
                <w:szCs w:val="16"/>
              </w:rPr>
              <w:t>Hawaii</w:t>
            </w:r>
          </w:p>
        </w:tc>
        <w:tc>
          <w:tcPr>
            <w:tcW w:w="0" w:type="auto"/>
            <w:gridSpan w:val="3"/>
            <w:shd w:val="clear" w:color="auto" w:fill="CCEEFF"/>
            <w:tcMar>
              <w:top w:w="0" w:type="dxa"/>
              <w:left w:w="20" w:type="dxa"/>
              <w:bottom w:w="0" w:type="dxa"/>
              <w:right w:w="20" w:type="dxa"/>
            </w:tcMar>
            <w:vAlign w:val="bottom"/>
          </w:tcPr>
          <w:p w14:paraId="35D0926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69"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926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6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6C" w14:textId="77777777" w:rsidR="00D42204" w:rsidRDefault="004E439D">
            <w:pPr>
              <w:jc w:val="right"/>
              <w:textAlignment w:val="center"/>
            </w:pPr>
            <w:r>
              <w:rPr>
                <w:rFonts w:ascii="Times New Roman" w:eastAsia="宋体" w:hAnsi="Times New Roman"/>
                <w:color w:val="000000"/>
                <w:sz w:val="16"/>
                <w:szCs w:val="16"/>
              </w:rPr>
              <w:t>10 </w:t>
            </w:r>
          </w:p>
        </w:tc>
        <w:tc>
          <w:tcPr>
            <w:tcW w:w="0" w:type="auto"/>
            <w:shd w:val="clear" w:color="auto" w:fill="CCEEFF"/>
            <w:tcMar>
              <w:top w:w="40" w:type="dxa"/>
              <w:left w:w="0" w:type="dxa"/>
              <w:bottom w:w="40" w:type="dxa"/>
              <w:right w:w="20" w:type="dxa"/>
            </w:tcMar>
            <w:vAlign w:val="center"/>
          </w:tcPr>
          <w:p w14:paraId="35D0926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6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6F"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927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7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72" w14:textId="77777777" w:rsidR="00D42204" w:rsidRDefault="004E439D">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35D0927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7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75" w14:textId="77777777" w:rsidR="00D42204" w:rsidRDefault="004E439D">
            <w:pPr>
              <w:jc w:val="right"/>
              <w:textAlignment w:val="center"/>
            </w:pPr>
            <w:r>
              <w:rPr>
                <w:rFonts w:ascii="Times New Roman" w:eastAsia="宋体" w:hAnsi="Times New Roman"/>
                <w:color w:val="000000"/>
                <w:sz w:val="16"/>
                <w:szCs w:val="16"/>
              </w:rPr>
              <w:t>12 </w:t>
            </w:r>
          </w:p>
        </w:tc>
        <w:tc>
          <w:tcPr>
            <w:tcW w:w="0" w:type="auto"/>
            <w:shd w:val="clear" w:color="auto" w:fill="CCEEFF"/>
            <w:tcMar>
              <w:top w:w="40" w:type="dxa"/>
              <w:left w:w="0" w:type="dxa"/>
              <w:bottom w:w="40" w:type="dxa"/>
              <w:right w:w="20" w:type="dxa"/>
            </w:tcMar>
            <w:vAlign w:val="center"/>
          </w:tcPr>
          <w:p w14:paraId="35D09276" w14:textId="77777777" w:rsidR="00D42204" w:rsidRDefault="00D42204">
            <w:pPr>
              <w:jc w:val="right"/>
              <w:rPr>
                <w:rFonts w:ascii="宋体"/>
              </w:rPr>
            </w:pPr>
          </w:p>
        </w:tc>
      </w:tr>
      <w:tr w:rsidR="00D42204" w14:paraId="35D09288" w14:textId="77777777">
        <w:tc>
          <w:tcPr>
            <w:tcW w:w="0" w:type="auto"/>
            <w:gridSpan w:val="3"/>
            <w:shd w:val="clear" w:color="auto" w:fill="FFFFFF"/>
            <w:tcMar>
              <w:top w:w="40" w:type="dxa"/>
              <w:left w:w="20" w:type="dxa"/>
              <w:bottom w:w="40" w:type="dxa"/>
              <w:right w:w="20" w:type="dxa"/>
            </w:tcMar>
            <w:vAlign w:val="center"/>
          </w:tcPr>
          <w:p w14:paraId="35D09278" w14:textId="77777777" w:rsidR="00D42204" w:rsidRDefault="004E439D">
            <w:pPr>
              <w:textAlignment w:val="center"/>
            </w:pPr>
            <w:r>
              <w:rPr>
                <w:rFonts w:ascii="Times New Roman" w:eastAsia="宋体" w:hAnsi="Times New Roman"/>
                <w:color w:val="000000"/>
                <w:sz w:val="16"/>
                <w:szCs w:val="16"/>
              </w:rPr>
              <w:t>Idaho</w:t>
            </w:r>
          </w:p>
        </w:tc>
        <w:tc>
          <w:tcPr>
            <w:tcW w:w="0" w:type="auto"/>
            <w:gridSpan w:val="3"/>
            <w:shd w:val="clear" w:color="auto" w:fill="FFFFFF"/>
            <w:tcMar>
              <w:top w:w="0" w:type="dxa"/>
              <w:left w:w="20" w:type="dxa"/>
              <w:bottom w:w="0" w:type="dxa"/>
              <w:right w:w="20" w:type="dxa"/>
            </w:tcMar>
            <w:vAlign w:val="bottom"/>
          </w:tcPr>
          <w:p w14:paraId="35D0927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7A" w14:textId="77777777" w:rsidR="00D42204" w:rsidRDefault="004E439D">
            <w:pPr>
              <w:jc w:val="right"/>
              <w:textAlignment w:val="center"/>
            </w:pPr>
            <w:r>
              <w:rPr>
                <w:rFonts w:ascii="Times New Roman" w:eastAsia="宋体" w:hAnsi="Times New Roman"/>
                <w:color w:val="000000"/>
                <w:sz w:val="16"/>
                <w:szCs w:val="16"/>
              </w:rPr>
              <w:t>23 </w:t>
            </w:r>
          </w:p>
        </w:tc>
        <w:tc>
          <w:tcPr>
            <w:tcW w:w="0" w:type="auto"/>
            <w:shd w:val="clear" w:color="auto" w:fill="FFFFFF"/>
            <w:tcMar>
              <w:top w:w="40" w:type="dxa"/>
              <w:left w:w="0" w:type="dxa"/>
              <w:bottom w:w="40" w:type="dxa"/>
              <w:right w:w="20" w:type="dxa"/>
            </w:tcMar>
            <w:vAlign w:val="center"/>
          </w:tcPr>
          <w:p w14:paraId="35D0927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7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7D"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27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7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80" w14:textId="77777777" w:rsidR="00D42204" w:rsidRDefault="004E439D">
            <w:pPr>
              <w:jc w:val="right"/>
              <w:textAlignment w:val="center"/>
            </w:pPr>
            <w:r>
              <w:rPr>
                <w:rFonts w:ascii="Times New Roman" w:eastAsia="宋体" w:hAnsi="Times New Roman"/>
                <w:color w:val="000000"/>
                <w:sz w:val="16"/>
                <w:szCs w:val="16"/>
              </w:rPr>
              <w:t>3 </w:t>
            </w:r>
          </w:p>
        </w:tc>
        <w:tc>
          <w:tcPr>
            <w:tcW w:w="0" w:type="auto"/>
            <w:shd w:val="clear" w:color="auto" w:fill="FFFFFF"/>
            <w:tcMar>
              <w:top w:w="40" w:type="dxa"/>
              <w:left w:w="0" w:type="dxa"/>
              <w:bottom w:w="40" w:type="dxa"/>
              <w:right w:w="20" w:type="dxa"/>
            </w:tcMar>
            <w:vAlign w:val="center"/>
          </w:tcPr>
          <w:p w14:paraId="35D0928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8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83" w14:textId="77777777" w:rsidR="00D42204" w:rsidRDefault="004E439D">
            <w:pPr>
              <w:jc w:val="right"/>
              <w:textAlignment w:val="center"/>
            </w:pPr>
            <w:r>
              <w:rPr>
                <w:rFonts w:ascii="Times New Roman" w:eastAsia="宋体" w:hAnsi="Times New Roman"/>
                <w:color w:val="000000"/>
                <w:sz w:val="16"/>
                <w:szCs w:val="16"/>
              </w:rPr>
              <w:t>1 </w:t>
            </w:r>
          </w:p>
        </w:tc>
        <w:tc>
          <w:tcPr>
            <w:tcW w:w="0" w:type="auto"/>
            <w:shd w:val="clear" w:color="auto" w:fill="FFFFFF"/>
            <w:tcMar>
              <w:top w:w="40" w:type="dxa"/>
              <w:left w:w="0" w:type="dxa"/>
              <w:bottom w:w="40" w:type="dxa"/>
              <w:right w:w="20" w:type="dxa"/>
            </w:tcMar>
            <w:vAlign w:val="center"/>
          </w:tcPr>
          <w:p w14:paraId="35D0928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8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86" w14:textId="77777777" w:rsidR="00D42204" w:rsidRDefault="004E439D">
            <w:pPr>
              <w:jc w:val="right"/>
              <w:textAlignment w:val="center"/>
            </w:pPr>
            <w:r>
              <w:rPr>
                <w:rFonts w:ascii="Times New Roman" w:eastAsia="宋体" w:hAnsi="Times New Roman"/>
                <w:color w:val="000000"/>
                <w:sz w:val="16"/>
                <w:szCs w:val="16"/>
              </w:rPr>
              <w:t>27 </w:t>
            </w:r>
          </w:p>
        </w:tc>
        <w:tc>
          <w:tcPr>
            <w:tcW w:w="0" w:type="auto"/>
            <w:shd w:val="clear" w:color="auto" w:fill="FFFFFF"/>
            <w:tcMar>
              <w:top w:w="40" w:type="dxa"/>
              <w:left w:w="0" w:type="dxa"/>
              <w:bottom w:w="40" w:type="dxa"/>
              <w:right w:w="20" w:type="dxa"/>
            </w:tcMar>
            <w:vAlign w:val="center"/>
          </w:tcPr>
          <w:p w14:paraId="35D09287" w14:textId="77777777" w:rsidR="00D42204" w:rsidRDefault="00D42204">
            <w:pPr>
              <w:jc w:val="right"/>
              <w:rPr>
                <w:rFonts w:ascii="宋体"/>
              </w:rPr>
            </w:pPr>
          </w:p>
        </w:tc>
      </w:tr>
      <w:tr w:rsidR="00D42204" w14:paraId="35D09299" w14:textId="77777777">
        <w:tc>
          <w:tcPr>
            <w:tcW w:w="0" w:type="auto"/>
            <w:gridSpan w:val="3"/>
            <w:shd w:val="clear" w:color="auto" w:fill="CCEEFF"/>
            <w:tcMar>
              <w:top w:w="40" w:type="dxa"/>
              <w:left w:w="20" w:type="dxa"/>
              <w:bottom w:w="40" w:type="dxa"/>
              <w:right w:w="20" w:type="dxa"/>
            </w:tcMar>
            <w:vAlign w:val="center"/>
          </w:tcPr>
          <w:p w14:paraId="35D09289" w14:textId="77777777" w:rsidR="00D42204" w:rsidRDefault="004E439D">
            <w:pPr>
              <w:textAlignment w:val="center"/>
            </w:pPr>
            <w:r>
              <w:rPr>
                <w:rFonts w:ascii="Times New Roman" w:eastAsia="宋体" w:hAnsi="Times New Roman"/>
                <w:color w:val="000000"/>
                <w:sz w:val="16"/>
                <w:szCs w:val="16"/>
              </w:rPr>
              <w:t>Illinois</w:t>
            </w:r>
          </w:p>
        </w:tc>
        <w:tc>
          <w:tcPr>
            <w:tcW w:w="0" w:type="auto"/>
            <w:gridSpan w:val="3"/>
            <w:shd w:val="clear" w:color="auto" w:fill="CCEEFF"/>
            <w:tcMar>
              <w:top w:w="0" w:type="dxa"/>
              <w:left w:w="20" w:type="dxa"/>
              <w:bottom w:w="0" w:type="dxa"/>
              <w:right w:w="20" w:type="dxa"/>
            </w:tcMar>
            <w:vAlign w:val="bottom"/>
          </w:tcPr>
          <w:p w14:paraId="35D0928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8B" w14:textId="77777777" w:rsidR="00D42204" w:rsidRDefault="004E439D">
            <w:pPr>
              <w:jc w:val="right"/>
              <w:textAlignment w:val="center"/>
            </w:pPr>
            <w:r>
              <w:rPr>
                <w:rFonts w:ascii="Times New Roman" w:eastAsia="宋体" w:hAnsi="Times New Roman"/>
                <w:color w:val="000000"/>
                <w:sz w:val="16"/>
                <w:szCs w:val="16"/>
              </w:rPr>
              <w:t>139 </w:t>
            </w:r>
          </w:p>
        </w:tc>
        <w:tc>
          <w:tcPr>
            <w:tcW w:w="0" w:type="auto"/>
            <w:shd w:val="clear" w:color="auto" w:fill="CCEEFF"/>
            <w:tcMar>
              <w:top w:w="40" w:type="dxa"/>
              <w:left w:w="0" w:type="dxa"/>
              <w:bottom w:w="40" w:type="dxa"/>
              <w:right w:w="20" w:type="dxa"/>
            </w:tcMar>
            <w:vAlign w:val="center"/>
          </w:tcPr>
          <w:p w14:paraId="35D0928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8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8E" w14:textId="77777777" w:rsidR="00D42204" w:rsidRDefault="004E439D">
            <w:pPr>
              <w:jc w:val="right"/>
              <w:textAlignment w:val="center"/>
            </w:pPr>
            <w:r>
              <w:rPr>
                <w:rFonts w:ascii="Times New Roman" w:eastAsia="宋体" w:hAnsi="Times New Roman"/>
                <w:color w:val="000000"/>
                <w:sz w:val="16"/>
                <w:szCs w:val="16"/>
              </w:rPr>
              <w:t>15 </w:t>
            </w:r>
          </w:p>
        </w:tc>
        <w:tc>
          <w:tcPr>
            <w:tcW w:w="0" w:type="auto"/>
            <w:shd w:val="clear" w:color="auto" w:fill="CCEEFF"/>
            <w:tcMar>
              <w:top w:w="40" w:type="dxa"/>
              <w:left w:w="0" w:type="dxa"/>
              <w:bottom w:w="40" w:type="dxa"/>
              <w:right w:w="20" w:type="dxa"/>
            </w:tcMar>
            <w:vAlign w:val="center"/>
          </w:tcPr>
          <w:p w14:paraId="35D0928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9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91" w14:textId="77777777" w:rsidR="00D42204" w:rsidRDefault="004E439D">
            <w:pPr>
              <w:jc w:val="right"/>
              <w:textAlignment w:val="center"/>
            </w:pPr>
            <w:r>
              <w:rPr>
                <w:rFonts w:ascii="Times New Roman" w:eastAsia="宋体" w:hAnsi="Times New Roman"/>
                <w:color w:val="000000"/>
                <w:sz w:val="16"/>
                <w:szCs w:val="16"/>
              </w:rPr>
              <w:t>11 </w:t>
            </w:r>
          </w:p>
        </w:tc>
        <w:tc>
          <w:tcPr>
            <w:tcW w:w="0" w:type="auto"/>
            <w:shd w:val="clear" w:color="auto" w:fill="CCEEFF"/>
            <w:tcMar>
              <w:top w:w="40" w:type="dxa"/>
              <w:left w:w="0" w:type="dxa"/>
              <w:bottom w:w="40" w:type="dxa"/>
              <w:right w:w="20" w:type="dxa"/>
            </w:tcMar>
            <w:vAlign w:val="center"/>
          </w:tcPr>
          <w:p w14:paraId="35D0929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9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94" w14:textId="77777777" w:rsidR="00D42204" w:rsidRDefault="004E439D">
            <w:pPr>
              <w:jc w:val="right"/>
              <w:textAlignment w:val="center"/>
            </w:pPr>
            <w:r>
              <w:rPr>
                <w:rFonts w:ascii="Times New Roman" w:eastAsia="宋体" w:hAnsi="Times New Roman"/>
                <w:color w:val="000000"/>
                <w:sz w:val="16"/>
                <w:szCs w:val="16"/>
              </w:rPr>
              <w:t>25 </w:t>
            </w:r>
          </w:p>
        </w:tc>
        <w:tc>
          <w:tcPr>
            <w:tcW w:w="0" w:type="auto"/>
            <w:shd w:val="clear" w:color="auto" w:fill="CCEEFF"/>
            <w:tcMar>
              <w:top w:w="40" w:type="dxa"/>
              <w:left w:w="0" w:type="dxa"/>
              <w:bottom w:w="40" w:type="dxa"/>
              <w:right w:w="20" w:type="dxa"/>
            </w:tcMar>
            <w:vAlign w:val="center"/>
          </w:tcPr>
          <w:p w14:paraId="35D0929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9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97" w14:textId="77777777" w:rsidR="00D42204" w:rsidRDefault="004E439D">
            <w:pPr>
              <w:jc w:val="right"/>
              <w:textAlignment w:val="center"/>
            </w:pPr>
            <w:r>
              <w:rPr>
                <w:rFonts w:ascii="Times New Roman" w:eastAsia="宋体" w:hAnsi="Times New Roman"/>
                <w:color w:val="000000"/>
                <w:sz w:val="16"/>
                <w:szCs w:val="16"/>
              </w:rPr>
              <w:t>190 </w:t>
            </w:r>
          </w:p>
        </w:tc>
        <w:tc>
          <w:tcPr>
            <w:tcW w:w="0" w:type="auto"/>
            <w:shd w:val="clear" w:color="auto" w:fill="CCEEFF"/>
            <w:tcMar>
              <w:top w:w="40" w:type="dxa"/>
              <w:left w:w="0" w:type="dxa"/>
              <w:bottom w:w="40" w:type="dxa"/>
              <w:right w:w="20" w:type="dxa"/>
            </w:tcMar>
            <w:vAlign w:val="center"/>
          </w:tcPr>
          <w:p w14:paraId="35D09298" w14:textId="77777777" w:rsidR="00D42204" w:rsidRDefault="00D42204">
            <w:pPr>
              <w:jc w:val="right"/>
              <w:rPr>
                <w:rFonts w:ascii="宋体"/>
              </w:rPr>
            </w:pPr>
          </w:p>
        </w:tc>
      </w:tr>
      <w:tr w:rsidR="00D42204" w14:paraId="35D092AA" w14:textId="77777777">
        <w:tc>
          <w:tcPr>
            <w:tcW w:w="0" w:type="auto"/>
            <w:gridSpan w:val="3"/>
            <w:shd w:val="clear" w:color="auto" w:fill="FFFFFF"/>
            <w:tcMar>
              <w:top w:w="40" w:type="dxa"/>
              <w:left w:w="20" w:type="dxa"/>
              <w:bottom w:w="40" w:type="dxa"/>
              <w:right w:w="20" w:type="dxa"/>
            </w:tcMar>
            <w:vAlign w:val="center"/>
          </w:tcPr>
          <w:p w14:paraId="35D0929A" w14:textId="77777777" w:rsidR="00D42204" w:rsidRDefault="004E439D">
            <w:pPr>
              <w:textAlignment w:val="center"/>
            </w:pPr>
            <w:r>
              <w:rPr>
                <w:rFonts w:ascii="Times New Roman" w:eastAsia="宋体" w:hAnsi="Times New Roman"/>
                <w:color w:val="000000"/>
                <w:sz w:val="16"/>
                <w:szCs w:val="16"/>
              </w:rPr>
              <w:t>Indiana</w:t>
            </w:r>
          </w:p>
        </w:tc>
        <w:tc>
          <w:tcPr>
            <w:tcW w:w="0" w:type="auto"/>
            <w:gridSpan w:val="3"/>
            <w:shd w:val="clear" w:color="auto" w:fill="FFFFFF"/>
            <w:tcMar>
              <w:top w:w="0" w:type="dxa"/>
              <w:left w:w="20" w:type="dxa"/>
              <w:bottom w:w="0" w:type="dxa"/>
              <w:right w:w="20" w:type="dxa"/>
            </w:tcMar>
            <w:vAlign w:val="bottom"/>
          </w:tcPr>
          <w:p w14:paraId="35D0929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9C" w14:textId="77777777" w:rsidR="00D42204" w:rsidRDefault="004E439D">
            <w:pPr>
              <w:jc w:val="right"/>
              <w:textAlignment w:val="center"/>
            </w:pPr>
            <w:r>
              <w:rPr>
                <w:rFonts w:ascii="Times New Roman" w:eastAsia="宋体" w:hAnsi="Times New Roman"/>
                <w:color w:val="000000"/>
                <w:sz w:val="16"/>
                <w:szCs w:val="16"/>
              </w:rPr>
              <w:t>97 </w:t>
            </w:r>
          </w:p>
        </w:tc>
        <w:tc>
          <w:tcPr>
            <w:tcW w:w="0" w:type="auto"/>
            <w:shd w:val="clear" w:color="auto" w:fill="FFFFFF"/>
            <w:tcMar>
              <w:top w:w="40" w:type="dxa"/>
              <w:left w:w="0" w:type="dxa"/>
              <w:bottom w:w="40" w:type="dxa"/>
              <w:right w:w="20" w:type="dxa"/>
            </w:tcMar>
            <w:vAlign w:val="center"/>
          </w:tcPr>
          <w:p w14:paraId="35D0929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9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9F" w14:textId="77777777" w:rsidR="00D42204" w:rsidRDefault="004E439D">
            <w:pPr>
              <w:jc w:val="right"/>
              <w:textAlignment w:val="center"/>
            </w:pPr>
            <w:r>
              <w:rPr>
                <w:rFonts w:ascii="Times New Roman" w:eastAsia="宋体" w:hAnsi="Times New Roman"/>
                <w:color w:val="000000"/>
                <w:sz w:val="16"/>
                <w:szCs w:val="16"/>
              </w:rPr>
              <w:t>6 </w:t>
            </w:r>
          </w:p>
        </w:tc>
        <w:tc>
          <w:tcPr>
            <w:tcW w:w="0" w:type="auto"/>
            <w:shd w:val="clear" w:color="auto" w:fill="FFFFFF"/>
            <w:tcMar>
              <w:top w:w="40" w:type="dxa"/>
              <w:left w:w="0" w:type="dxa"/>
              <w:bottom w:w="40" w:type="dxa"/>
              <w:right w:w="20" w:type="dxa"/>
            </w:tcMar>
            <w:vAlign w:val="center"/>
          </w:tcPr>
          <w:p w14:paraId="35D092A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A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A2" w14:textId="77777777" w:rsidR="00D42204" w:rsidRDefault="004E439D">
            <w:pPr>
              <w:jc w:val="right"/>
              <w:textAlignment w:val="center"/>
            </w:pPr>
            <w:r>
              <w:rPr>
                <w:rFonts w:ascii="Times New Roman" w:eastAsia="宋体" w:hAnsi="Times New Roman"/>
                <w:color w:val="000000"/>
                <w:sz w:val="16"/>
                <w:szCs w:val="16"/>
              </w:rPr>
              <w:t>11 </w:t>
            </w:r>
          </w:p>
        </w:tc>
        <w:tc>
          <w:tcPr>
            <w:tcW w:w="0" w:type="auto"/>
            <w:shd w:val="clear" w:color="auto" w:fill="FFFFFF"/>
            <w:tcMar>
              <w:top w:w="40" w:type="dxa"/>
              <w:left w:w="0" w:type="dxa"/>
              <w:bottom w:w="40" w:type="dxa"/>
              <w:right w:w="20" w:type="dxa"/>
            </w:tcMar>
            <w:vAlign w:val="center"/>
          </w:tcPr>
          <w:p w14:paraId="35D092A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A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A5" w14:textId="77777777" w:rsidR="00D42204" w:rsidRDefault="004E439D">
            <w:pPr>
              <w:jc w:val="right"/>
              <w:textAlignment w:val="center"/>
            </w:pPr>
            <w:r>
              <w:rPr>
                <w:rFonts w:ascii="Times New Roman" w:eastAsia="宋体" w:hAnsi="Times New Roman"/>
                <w:color w:val="000000"/>
                <w:sz w:val="16"/>
                <w:szCs w:val="16"/>
              </w:rPr>
              <w:t>13 </w:t>
            </w:r>
          </w:p>
        </w:tc>
        <w:tc>
          <w:tcPr>
            <w:tcW w:w="0" w:type="auto"/>
            <w:shd w:val="clear" w:color="auto" w:fill="FFFFFF"/>
            <w:tcMar>
              <w:top w:w="40" w:type="dxa"/>
              <w:left w:w="0" w:type="dxa"/>
              <w:bottom w:w="40" w:type="dxa"/>
              <w:right w:w="20" w:type="dxa"/>
            </w:tcMar>
            <w:vAlign w:val="center"/>
          </w:tcPr>
          <w:p w14:paraId="35D092A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A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A8" w14:textId="77777777" w:rsidR="00D42204" w:rsidRDefault="004E439D">
            <w:pPr>
              <w:jc w:val="right"/>
              <w:textAlignment w:val="center"/>
            </w:pPr>
            <w:r>
              <w:rPr>
                <w:rFonts w:ascii="Times New Roman" w:eastAsia="宋体" w:hAnsi="Times New Roman"/>
                <w:color w:val="000000"/>
                <w:sz w:val="16"/>
                <w:szCs w:val="16"/>
              </w:rPr>
              <w:t>127 </w:t>
            </w:r>
          </w:p>
        </w:tc>
        <w:tc>
          <w:tcPr>
            <w:tcW w:w="0" w:type="auto"/>
            <w:shd w:val="clear" w:color="auto" w:fill="FFFFFF"/>
            <w:tcMar>
              <w:top w:w="40" w:type="dxa"/>
              <w:left w:w="0" w:type="dxa"/>
              <w:bottom w:w="40" w:type="dxa"/>
              <w:right w:w="20" w:type="dxa"/>
            </w:tcMar>
            <w:vAlign w:val="center"/>
          </w:tcPr>
          <w:p w14:paraId="35D092A9" w14:textId="77777777" w:rsidR="00D42204" w:rsidRDefault="00D42204">
            <w:pPr>
              <w:jc w:val="right"/>
              <w:rPr>
                <w:rFonts w:ascii="宋体"/>
              </w:rPr>
            </w:pPr>
          </w:p>
        </w:tc>
      </w:tr>
      <w:tr w:rsidR="00D42204" w14:paraId="35D092BB" w14:textId="77777777">
        <w:tc>
          <w:tcPr>
            <w:tcW w:w="0" w:type="auto"/>
            <w:gridSpan w:val="3"/>
            <w:shd w:val="clear" w:color="auto" w:fill="CCEEFF"/>
            <w:tcMar>
              <w:top w:w="40" w:type="dxa"/>
              <w:left w:w="20" w:type="dxa"/>
              <w:bottom w:w="40" w:type="dxa"/>
              <w:right w:w="20" w:type="dxa"/>
            </w:tcMar>
            <w:vAlign w:val="center"/>
          </w:tcPr>
          <w:p w14:paraId="35D092AB" w14:textId="77777777" w:rsidR="00D42204" w:rsidRDefault="004E439D">
            <w:pPr>
              <w:textAlignment w:val="center"/>
            </w:pPr>
            <w:r>
              <w:rPr>
                <w:rFonts w:ascii="Times New Roman" w:eastAsia="宋体" w:hAnsi="Times New Roman"/>
                <w:color w:val="000000"/>
                <w:sz w:val="16"/>
                <w:szCs w:val="16"/>
              </w:rPr>
              <w:t>Iowa</w:t>
            </w:r>
          </w:p>
        </w:tc>
        <w:tc>
          <w:tcPr>
            <w:tcW w:w="0" w:type="auto"/>
            <w:gridSpan w:val="3"/>
            <w:shd w:val="clear" w:color="auto" w:fill="CCEEFF"/>
            <w:tcMar>
              <w:top w:w="0" w:type="dxa"/>
              <w:left w:w="20" w:type="dxa"/>
              <w:bottom w:w="0" w:type="dxa"/>
              <w:right w:w="20" w:type="dxa"/>
            </w:tcMar>
            <w:vAlign w:val="bottom"/>
          </w:tcPr>
          <w:p w14:paraId="35D092A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AD" w14:textId="77777777" w:rsidR="00D42204" w:rsidRDefault="004E439D">
            <w:pPr>
              <w:jc w:val="right"/>
              <w:textAlignment w:val="center"/>
            </w:pPr>
            <w:r>
              <w:rPr>
                <w:rFonts w:ascii="Times New Roman" w:eastAsia="宋体" w:hAnsi="Times New Roman"/>
                <w:color w:val="000000"/>
                <w:sz w:val="16"/>
                <w:szCs w:val="16"/>
              </w:rPr>
              <w:t>58 </w:t>
            </w:r>
          </w:p>
        </w:tc>
        <w:tc>
          <w:tcPr>
            <w:tcW w:w="0" w:type="auto"/>
            <w:shd w:val="clear" w:color="auto" w:fill="CCEEFF"/>
            <w:tcMar>
              <w:top w:w="40" w:type="dxa"/>
              <w:left w:w="0" w:type="dxa"/>
              <w:bottom w:w="40" w:type="dxa"/>
              <w:right w:w="20" w:type="dxa"/>
            </w:tcMar>
            <w:vAlign w:val="center"/>
          </w:tcPr>
          <w:p w14:paraId="35D092A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A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B0" w14:textId="77777777" w:rsidR="00D42204" w:rsidRDefault="004E439D">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35D092B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B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B3"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92B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B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B6" w14:textId="77777777" w:rsidR="00D42204" w:rsidRDefault="004E439D">
            <w:pPr>
              <w:jc w:val="right"/>
              <w:textAlignment w:val="center"/>
            </w:pPr>
            <w:r>
              <w:rPr>
                <w:rFonts w:ascii="Times New Roman" w:eastAsia="宋体" w:hAnsi="Times New Roman"/>
                <w:color w:val="000000"/>
                <w:sz w:val="16"/>
                <w:szCs w:val="16"/>
              </w:rPr>
              <w:t>9 </w:t>
            </w:r>
          </w:p>
        </w:tc>
        <w:tc>
          <w:tcPr>
            <w:tcW w:w="0" w:type="auto"/>
            <w:shd w:val="clear" w:color="auto" w:fill="CCEEFF"/>
            <w:tcMar>
              <w:top w:w="40" w:type="dxa"/>
              <w:left w:w="0" w:type="dxa"/>
              <w:bottom w:w="40" w:type="dxa"/>
              <w:right w:w="20" w:type="dxa"/>
            </w:tcMar>
            <w:vAlign w:val="center"/>
          </w:tcPr>
          <w:p w14:paraId="35D092B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B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B9" w14:textId="77777777" w:rsidR="00D42204" w:rsidRDefault="004E439D">
            <w:pPr>
              <w:jc w:val="right"/>
              <w:textAlignment w:val="center"/>
            </w:pPr>
            <w:r>
              <w:rPr>
                <w:rFonts w:ascii="Times New Roman" w:eastAsia="宋体" w:hAnsi="Times New Roman"/>
                <w:color w:val="000000"/>
                <w:sz w:val="16"/>
                <w:szCs w:val="16"/>
              </w:rPr>
              <w:t>69 </w:t>
            </w:r>
          </w:p>
        </w:tc>
        <w:tc>
          <w:tcPr>
            <w:tcW w:w="0" w:type="auto"/>
            <w:shd w:val="clear" w:color="auto" w:fill="CCEEFF"/>
            <w:tcMar>
              <w:top w:w="40" w:type="dxa"/>
              <w:left w:w="0" w:type="dxa"/>
              <w:bottom w:w="40" w:type="dxa"/>
              <w:right w:w="20" w:type="dxa"/>
            </w:tcMar>
            <w:vAlign w:val="center"/>
          </w:tcPr>
          <w:p w14:paraId="35D092BA" w14:textId="77777777" w:rsidR="00D42204" w:rsidRDefault="00D42204">
            <w:pPr>
              <w:jc w:val="right"/>
              <w:rPr>
                <w:rFonts w:ascii="宋体"/>
              </w:rPr>
            </w:pPr>
          </w:p>
        </w:tc>
      </w:tr>
      <w:tr w:rsidR="00D42204" w14:paraId="35D092CC" w14:textId="77777777">
        <w:tc>
          <w:tcPr>
            <w:tcW w:w="0" w:type="auto"/>
            <w:gridSpan w:val="3"/>
            <w:shd w:val="clear" w:color="auto" w:fill="FFFFFF"/>
            <w:tcMar>
              <w:top w:w="40" w:type="dxa"/>
              <w:left w:w="20" w:type="dxa"/>
              <w:bottom w:w="40" w:type="dxa"/>
              <w:right w:w="20" w:type="dxa"/>
            </w:tcMar>
            <w:vAlign w:val="center"/>
          </w:tcPr>
          <w:p w14:paraId="35D092BC" w14:textId="77777777" w:rsidR="00D42204" w:rsidRDefault="004E439D">
            <w:pPr>
              <w:textAlignment w:val="center"/>
            </w:pPr>
            <w:r>
              <w:rPr>
                <w:rFonts w:ascii="Times New Roman" w:eastAsia="宋体" w:hAnsi="Times New Roman"/>
                <w:color w:val="000000"/>
                <w:sz w:val="16"/>
                <w:szCs w:val="16"/>
              </w:rPr>
              <w:t>Kansas</w:t>
            </w:r>
          </w:p>
        </w:tc>
        <w:tc>
          <w:tcPr>
            <w:tcW w:w="0" w:type="auto"/>
            <w:gridSpan w:val="3"/>
            <w:shd w:val="clear" w:color="auto" w:fill="FFFFFF"/>
            <w:tcMar>
              <w:top w:w="0" w:type="dxa"/>
              <w:left w:w="20" w:type="dxa"/>
              <w:bottom w:w="0" w:type="dxa"/>
              <w:right w:w="20" w:type="dxa"/>
            </w:tcMar>
            <w:vAlign w:val="bottom"/>
          </w:tcPr>
          <w:p w14:paraId="35D092B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BE" w14:textId="77777777" w:rsidR="00D42204" w:rsidRDefault="004E439D">
            <w:pPr>
              <w:jc w:val="right"/>
              <w:textAlignment w:val="center"/>
            </w:pPr>
            <w:r>
              <w:rPr>
                <w:rFonts w:ascii="Times New Roman" w:eastAsia="宋体" w:hAnsi="Times New Roman"/>
                <w:color w:val="000000"/>
                <w:sz w:val="16"/>
                <w:szCs w:val="16"/>
              </w:rPr>
              <w:t>58 </w:t>
            </w:r>
          </w:p>
        </w:tc>
        <w:tc>
          <w:tcPr>
            <w:tcW w:w="0" w:type="auto"/>
            <w:shd w:val="clear" w:color="auto" w:fill="FFFFFF"/>
            <w:tcMar>
              <w:top w:w="40" w:type="dxa"/>
              <w:left w:w="0" w:type="dxa"/>
              <w:bottom w:w="40" w:type="dxa"/>
              <w:right w:w="20" w:type="dxa"/>
            </w:tcMar>
            <w:vAlign w:val="center"/>
          </w:tcPr>
          <w:p w14:paraId="35D092B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C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C1" w14:textId="77777777" w:rsidR="00D42204" w:rsidRDefault="004E439D">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35D092C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C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C4" w14:textId="77777777" w:rsidR="00D42204" w:rsidRDefault="004E439D">
            <w:pPr>
              <w:jc w:val="right"/>
              <w:textAlignment w:val="center"/>
            </w:pPr>
            <w:r>
              <w:rPr>
                <w:rFonts w:ascii="Times New Roman" w:eastAsia="宋体" w:hAnsi="Times New Roman"/>
                <w:color w:val="000000"/>
                <w:sz w:val="16"/>
                <w:szCs w:val="16"/>
              </w:rPr>
              <w:t>15 </w:t>
            </w:r>
          </w:p>
        </w:tc>
        <w:tc>
          <w:tcPr>
            <w:tcW w:w="0" w:type="auto"/>
            <w:shd w:val="clear" w:color="auto" w:fill="FFFFFF"/>
            <w:tcMar>
              <w:top w:w="40" w:type="dxa"/>
              <w:left w:w="0" w:type="dxa"/>
              <w:bottom w:w="40" w:type="dxa"/>
              <w:right w:w="20" w:type="dxa"/>
            </w:tcMar>
            <w:vAlign w:val="center"/>
          </w:tcPr>
          <w:p w14:paraId="35D092C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C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C7" w14:textId="77777777" w:rsidR="00D42204" w:rsidRDefault="004E439D">
            <w:pPr>
              <w:jc w:val="right"/>
              <w:textAlignment w:val="center"/>
            </w:pPr>
            <w:r>
              <w:rPr>
                <w:rFonts w:ascii="Times New Roman" w:eastAsia="宋体" w:hAnsi="Times New Roman"/>
                <w:color w:val="000000"/>
                <w:sz w:val="16"/>
                <w:szCs w:val="16"/>
              </w:rPr>
              <w:t>9 </w:t>
            </w:r>
          </w:p>
        </w:tc>
        <w:tc>
          <w:tcPr>
            <w:tcW w:w="0" w:type="auto"/>
            <w:shd w:val="clear" w:color="auto" w:fill="FFFFFF"/>
            <w:tcMar>
              <w:top w:w="40" w:type="dxa"/>
              <w:left w:w="0" w:type="dxa"/>
              <w:bottom w:w="40" w:type="dxa"/>
              <w:right w:w="20" w:type="dxa"/>
            </w:tcMar>
            <w:vAlign w:val="center"/>
          </w:tcPr>
          <w:p w14:paraId="35D092C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C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CA" w14:textId="77777777" w:rsidR="00D42204" w:rsidRDefault="004E439D">
            <w:pPr>
              <w:jc w:val="right"/>
              <w:textAlignment w:val="center"/>
            </w:pPr>
            <w:r>
              <w:rPr>
                <w:rFonts w:ascii="Times New Roman" w:eastAsia="宋体" w:hAnsi="Times New Roman"/>
                <w:color w:val="000000"/>
                <w:sz w:val="16"/>
                <w:szCs w:val="16"/>
              </w:rPr>
              <w:t>84 </w:t>
            </w:r>
          </w:p>
        </w:tc>
        <w:tc>
          <w:tcPr>
            <w:tcW w:w="0" w:type="auto"/>
            <w:shd w:val="clear" w:color="auto" w:fill="FFFFFF"/>
            <w:tcMar>
              <w:top w:w="40" w:type="dxa"/>
              <w:left w:w="0" w:type="dxa"/>
              <w:bottom w:w="40" w:type="dxa"/>
              <w:right w:w="20" w:type="dxa"/>
            </w:tcMar>
            <w:vAlign w:val="center"/>
          </w:tcPr>
          <w:p w14:paraId="35D092CB" w14:textId="77777777" w:rsidR="00D42204" w:rsidRDefault="00D42204">
            <w:pPr>
              <w:jc w:val="right"/>
              <w:rPr>
                <w:rFonts w:ascii="宋体"/>
              </w:rPr>
            </w:pPr>
          </w:p>
        </w:tc>
      </w:tr>
      <w:tr w:rsidR="00D42204" w14:paraId="35D092DD" w14:textId="77777777">
        <w:tc>
          <w:tcPr>
            <w:tcW w:w="0" w:type="auto"/>
            <w:gridSpan w:val="3"/>
            <w:shd w:val="clear" w:color="auto" w:fill="CCEEFF"/>
            <w:tcMar>
              <w:top w:w="40" w:type="dxa"/>
              <w:left w:w="20" w:type="dxa"/>
              <w:bottom w:w="40" w:type="dxa"/>
              <w:right w:w="20" w:type="dxa"/>
            </w:tcMar>
            <w:vAlign w:val="center"/>
          </w:tcPr>
          <w:p w14:paraId="35D092CD" w14:textId="77777777" w:rsidR="00D42204" w:rsidRDefault="004E439D">
            <w:pPr>
              <w:textAlignment w:val="center"/>
            </w:pPr>
            <w:r>
              <w:rPr>
                <w:rFonts w:ascii="Times New Roman" w:eastAsia="宋体" w:hAnsi="Times New Roman"/>
                <w:color w:val="000000"/>
                <w:sz w:val="16"/>
                <w:szCs w:val="16"/>
              </w:rPr>
              <w:t>Kentucky</w:t>
            </w:r>
          </w:p>
        </w:tc>
        <w:tc>
          <w:tcPr>
            <w:tcW w:w="0" w:type="auto"/>
            <w:gridSpan w:val="3"/>
            <w:shd w:val="clear" w:color="auto" w:fill="CCEEFF"/>
            <w:tcMar>
              <w:top w:w="0" w:type="dxa"/>
              <w:left w:w="20" w:type="dxa"/>
              <w:bottom w:w="0" w:type="dxa"/>
              <w:right w:w="20" w:type="dxa"/>
            </w:tcMar>
            <w:vAlign w:val="bottom"/>
          </w:tcPr>
          <w:p w14:paraId="35D092C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CF" w14:textId="77777777" w:rsidR="00D42204" w:rsidRDefault="004E439D">
            <w:pPr>
              <w:jc w:val="right"/>
              <w:textAlignment w:val="center"/>
            </w:pPr>
            <w:r>
              <w:rPr>
                <w:rFonts w:ascii="Times New Roman" w:eastAsia="宋体" w:hAnsi="Times New Roman"/>
                <w:color w:val="000000"/>
                <w:sz w:val="16"/>
                <w:szCs w:val="16"/>
              </w:rPr>
              <w:t>78 </w:t>
            </w:r>
          </w:p>
        </w:tc>
        <w:tc>
          <w:tcPr>
            <w:tcW w:w="0" w:type="auto"/>
            <w:shd w:val="clear" w:color="auto" w:fill="CCEEFF"/>
            <w:tcMar>
              <w:top w:w="40" w:type="dxa"/>
              <w:left w:w="0" w:type="dxa"/>
              <w:bottom w:w="40" w:type="dxa"/>
              <w:right w:w="20" w:type="dxa"/>
            </w:tcMar>
            <w:vAlign w:val="center"/>
          </w:tcPr>
          <w:p w14:paraId="35D092D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D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D2" w14:textId="77777777" w:rsidR="00D42204" w:rsidRDefault="004E439D">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35D092D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D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D5" w14:textId="77777777" w:rsidR="00D42204" w:rsidRDefault="004E439D">
            <w:pPr>
              <w:jc w:val="right"/>
              <w:textAlignment w:val="center"/>
            </w:pPr>
            <w:r>
              <w:rPr>
                <w:rFonts w:ascii="Times New Roman" w:eastAsia="宋体" w:hAnsi="Times New Roman"/>
                <w:color w:val="000000"/>
                <w:sz w:val="16"/>
                <w:szCs w:val="16"/>
              </w:rPr>
              <w:t>9 </w:t>
            </w:r>
          </w:p>
        </w:tc>
        <w:tc>
          <w:tcPr>
            <w:tcW w:w="0" w:type="auto"/>
            <w:shd w:val="clear" w:color="auto" w:fill="CCEEFF"/>
            <w:tcMar>
              <w:top w:w="40" w:type="dxa"/>
              <w:left w:w="0" w:type="dxa"/>
              <w:bottom w:w="40" w:type="dxa"/>
              <w:right w:w="20" w:type="dxa"/>
            </w:tcMar>
            <w:vAlign w:val="center"/>
          </w:tcPr>
          <w:p w14:paraId="35D092D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D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D8" w14:textId="77777777" w:rsidR="00D42204" w:rsidRDefault="004E439D">
            <w:pPr>
              <w:jc w:val="right"/>
              <w:textAlignment w:val="center"/>
            </w:pPr>
            <w:r>
              <w:rPr>
                <w:rFonts w:ascii="Times New Roman" w:eastAsia="宋体" w:hAnsi="Times New Roman"/>
                <w:color w:val="000000"/>
                <w:sz w:val="16"/>
                <w:szCs w:val="16"/>
              </w:rPr>
              <w:t>9 </w:t>
            </w:r>
          </w:p>
        </w:tc>
        <w:tc>
          <w:tcPr>
            <w:tcW w:w="0" w:type="auto"/>
            <w:shd w:val="clear" w:color="auto" w:fill="CCEEFF"/>
            <w:tcMar>
              <w:top w:w="40" w:type="dxa"/>
              <w:left w:w="0" w:type="dxa"/>
              <w:bottom w:w="40" w:type="dxa"/>
              <w:right w:w="20" w:type="dxa"/>
            </w:tcMar>
            <w:vAlign w:val="center"/>
          </w:tcPr>
          <w:p w14:paraId="35D092D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D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DB" w14:textId="77777777" w:rsidR="00D42204" w:rsidRDefault="004E439D">
            <w:pPr>
              <w:jc w:val="right"/>
              <w:textAlignment w:val="center"/>
            </w:pPr>
            <w:r>
              <w:rPr>
                <w:rFonts w:ascii="Times New Roman" w:eastAsia="宋体" w:hAnsi="Times New Roman"/>
                <w:color w:val="000000"/>
                <w:sz w:val="16"/>
                <w:szCs w:val="16"/>
              </w:rPr>
              <w:t>103 </w:t>
            </w:r>
          </w:p>
        </w:tc>
        <w:tc>
          <w:tcPr>
            <w:tcW w:w="0" w:type="auto"/>
            <w:shd w:val="clear" w:color="auto" w:fill="CCEEFF"/>
            <w:tcMar>
              <w:top w:w="40" w:type="dxa"/>
              <w:left w:w="0" w:type="dxa"/>
              <w:bottom w:w="40" w:type="dxa"/>
              <w:right w:w="20" w:type="dxa"/>
            </w:tcMar>
            <w:vAlign w:val="center"/>
          </w:tcPr>
          <w:p w14:paraId="35D092DC" w14:textId="77777777" w:rsidR="00D42204" w:rsidRDefault="00D42204">
            <w:pPr>
              <w:jc w:val="right"/>
              <w:rPr>
                <w:rFonts w:ascii="宋体"/>
              </w:rPr>
            </w:pPr>
          </w:p>
        </w:tc>
      </w:tr>
      <w:tr w:rsidR="00D42204" w14:paraId="35D092EE" w14:textId="77777777">
        <w:tc>
          <w:tcPr>
            <w:tcW w:w="0" w:type="auto"/>
            <w:gridSpan w:val="3"/>
            <w:shd w:val="clear" w:color="auto" w:fill="FFFFFF"/>
            <w:tcMar>
              <w:top w:w="40" w:type="dxa"/>
              <w:left w:w="20" w:type="dxa"/>
              <w:bottom w:w="40" w:type="dxa"/>
              <w:right w:w="20" w:type="dxa"/>
            </w:tcMar>
            <w:vAlign w:val="center"/>
          </w:tcPr>
          <w:p w14:paraId="35D092DE" w14:textId="77777777" w:rsidR="00D42204" w:rsidRDefault="004E439D">
            <w:pPr>
              <w:textAlignment w:val="center"/>
            </w:pPr>
            <w:r>
              <w:rPr>
                <w:rFonts w:ascii="Times New Roman" w:eastAsia="宋体" w:hAnsi="Times New Roman"/>
                <w:color w:val="000000"/>
                <w:sz w:val="16"/>
                <w:szCs w:val="16"/>
              </w:rPr>
              <w:t>Louisiana</w:t>
            </w:r>
          </w:p>
        </w:tc>
        <w:tc>
          <w:tcPr>
            <w:tcW w:w="0" w:type="auto"/>
            <w:gridSpan w:val="3"/>
            <w:shd w:val="clear" w:color="auto" w:fill="FFFFFF"/>
            <w:tcMar>
              <w:top w:w="0" w:type="dxa"/>
              <w:left w:w="20" w:type="dxa"/>
              <w:bottom w:w="0" w:type="dxa"/>
              <w:right w:w="20" w:type="dxa"/>
            </w:tcMar>
            <w:vAlign w:val="bottom"/>
          </w:tcPr>
          <w:p w14:paraId="35D092D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E0" w14:textId="77777777" w:rsidR="00D42204" w:rsidRDefault="004E439D">
            <w:pPr>
              <w:jc w:val="right"/>
              <w:textAlignment w:val="center"/>
            </w:pPr>
            <w:r>
              <w:rPr>
                <w:rFonts w:ascii="Times New Roman" w:eastAsia="宋体" w:hAnsi="Times New Roman"/>
                <w:color w:val="000000"/>
                <w:sz w:val="16"/>
                <w:szCs w:val="16"/>
              </w:rPr>
              <w:t>88 </w:t>
            </w:r>
          </w:p>
        </w:tc>
        <w:tc>
          <w:tcPr>
            <w:tcW w:w="0" w:type="auto"/>
            <w:shd w:val="clear" w:color="auto" w:fill="FFFFFF"/>
            <w:tcMar>
              <w:top w:w="40" w:type="dxa"/>
              <w:left w:w="0" w:type="dxa"/>
              <w:bottom w:w="40" w:type="dxa"/>
              <w:right w:w="20" w:type="dxa"/>
            </w:tcMar>
            <w:vAlign w:val="center"/>
          </w:tcPr>
          <w:p w14:paraId="35D092E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E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E3" w14:textId="77777777" w:rsidR="00D42204" w:rsidRDefault="004E439D">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35D092E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E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E6" w14:textId="77777777" w:rsidR="00D42204" w:rsidRDefault="004E439D">
            <w:pPr>
              <w:jc w:val="right"/>
              <w:textAlignment w:val="center"/>
            </w:pPr>
            <w:r>
              <w:rPr>
                <w:rFonts w:ascii="Times New Roman" w:eastAsia="宋体" w:hAnsi="Times New Roman"/>
                <w:color w:val="000000"/>
                <w:sz w:val="16"/>
                <w:szCs w:val="16"/>
              </w:rPr>
              <w:t>34 </w:t>
            </w:r>
          </w:p>
        </w:tc>
        <w:tc>
          <w:tcPr>
            <w:tcW w:w="0" w:type="auto"/>
            <w:shd w:val="clear" w:color="auto" w:fill="FFFFFF"/>
            <w:tcMar>
              <w:top w:w="40" w:type="dxa"/>
              <w:left w:w="0" w:type="dxa"/>
              <w:bottom w:w="40" w:type="dxa"/>
              <w:right w:w="20" w:type="dxa"/>
            </w:tcMar>
            <w:vAlign w:val="center"/>
          </w:tcPr>
          <w:p w14:paraId="35D092E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E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E9" w14:textId="77777777" w:rsidR="00D42204" w:rsidRDefault="004E439D">
            <w:pPr>
              <w:jc w:val="right"/>
              <w:textAlignment w:val="center"/>
            </w:pPr>
            <w:r>
              <w:rPr>
                <w:rFonts w:ascii="Times New Roman" w:eastAsia="宋体" w:hAnsi="Times New Roman"/>
                <w:color w:val="000000"/>
                <w:sz w:val="16"/>
                <w:szCs w:val="16"/>
              </w:rPr>
              <w:t>14 </w:t>
            </w:r>
          </w:p>
        </w:tc>
        <w:tc>
          <w:tcPr>
            <w:tcW w:w="0" w:type="auto"/>
            <w:shd w:val="clear" w:color="auto" w:fill="FFFFFF"/>
            <w:tcMar>
              <w:top w:w="40" w:type="dxa"/>
              <w:left w:w="0" w:type="dxa"/>
              <w:bottom w:w="40" w:type="dxa"/>
              <w:right w:w="20" w:type="dxa"/>
            </w:tcMar>
            <w:vAlign w:val="center"/>
          </w:tcPr>
          <w:p w14:paraId="35D092E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2E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2EC" w14:textId="77777777" w:rsidR="00D42204" w:rsidRDefault="004E439D">
            <w:pPr>
              <w:jc w:val="right"/>
              <w:textAlignment w:val="center"/>
            </w:pPr>
            <w:r>
              <w:rPr>
                <w:rFonts w:ascii="Times New Roman" w:eastAsia="宋体" w:hAnsi="Times New Roman"/>
                <w:color w:val="000000"/>
                <w:sz w:val="16"/>
                <w:szCs w:val="16"/>
              </w:rPr>
              <w:t>138 </w:t>
            </w:r>
          </w:p>
        </w:tc>
        <w:tc>
          <w:tcPr>
            <w:tcW w:w="0" w:type="auto"/>
            <w:shd w:val="clear" w:color="auto" w:fill="FFFFFF"/>
            <w:tcMar>
              <w:top w:w="40" w:type="dxa"/>
              <w:left w:w="0" w:type="dxa"/>
              <w:bottom w:w="40" w:type="dxa"/>
              <w:right w:w="20" w:type="dxa"/>
            </w:tcMar>
            <w:vAlign w:val="center"/>
          </w:tcPr>
          <w:p w14:paraId="35D092ED" w14:textId="77777777" w:rsidR="00D42204" w:rsidRDefault="00D42204">
            <w:pPr>
              <w:jc w:val="right"/>
              <w:rPr>
                <w:rFonts w:ascii="宋体"/>
              </w:rPr>
            </w:pPr>
          </w:p>
        </w:tc>
      </w:tr>
      <w:tr w:rsidR="00D42204" w14:paraId="35D092FF" w14:textId="77777777">
        <w:tc>
          <w:tcPr>
            <w:tcW w:w="0" w:type="auto"/>
            <w:gridSpan w:val="3"/>
            <w:shd w:val="clear" w:color="auto" w:fill="CCEEFF"/>
            <w:tcMar>
              <w:top w:w="40" w:type="dxa"/>
              <w:left w:w="20" w:type="dxa"/>
              <w:bottom w:w="40" w:type="dxa"/>
              <w:right w:w="20" w:type="dxa"/>
            </w:tcMar>
            <w:vAlign w:val="center"/>
          </w:tcPr>
          <w:p w14:paraId="35D092EF" w14:textId="77777777" w:rsidR="00D42204" w:rsidRDefault="004E439D">
            <w:pPr>
              <w:textAlignment w:val="center"/>
            </w:pPr>
            <w:r>
              <w:rPr>
                <w:rFonts w:ascii="Times New Roman" w:eastAsia="宋体" w:hAnsi="Times New Roman"/>
                <w:color w:val="000000"/>
                <w:sz w:val="16"/>
                <w:szCs w:val="16"/>
              </w:rPr>
              <w:t>Maine</w:t>
            </w:r>
          </w:p>
        </w:tc>
        <w:tc>
          <w:tcPr>
            <w:tcW w:w="0" w:type="auto"/>
            <w:gridSpan w:val="3"/>
            <w:shd w:val="clear" w:color="auto" w:fill="CCEEFF"/>
            <w:tcMar>
              <w:top w:w="0" w:type="dxa"/>
              <w:left w:w="20" w:type="dxa"/>
              <w:bottom w:w="0" w:type="dxa"/>
              <w:right w:w="20" w:type="dxa"/>
            </w:tcMar>
            <w:vAlign w:val="bottom"/>
          </w:tcPr>
          <w:p w14:paraId="35D092F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F1" w14:textId="77777777" w:rsidR="00D42204" w:rsidRDefault="004E439D">
            <w:pPr>
              <w:jc w:val="right"/>
              <w:textAlignment w:val="center"/>
            </w:pPr>
            <w:r>
              <w:rPr>
                <w:rFonts w:ascii="Times New Roman" w:eastAsia="宋体" w:hAnsi="Times New Roman"/>
                <w:color w:val="000000"/>
                <w:sz w:val="16"/>
                <w:szCs w:val="16"/>
              </w:rPr>
              <w:t>19 </w:t>
            </w:r>
          </w:p>
        </w:tc>
        <w:tc>
          <w:tcPr>
            <w:tcW w:w="0" w:type="auto"/>
            <w:shd w:val="clear" w:color="auto" w:fill="CCEEFF"/>
            <w:tcMar>
              <w:top w:w="40" w:type="dxa"/>
              <w:left w:w="0" w:type="dxa"/>
              <w:bottom w:w="40" w:type="dxa"/>
              <w:right w:w="20" w:type="dxa"/>
            </w:tcMar>
            <w:vAlign w:val="center"/>
          </w:tcPr>
          <w:p w14:paraId="35D092F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F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F4" w14:textId="77777777" w:rsidR="00D42204" w:rsidRDefault="004E439D">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35D092F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F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F7"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92F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F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FA" w14:textId="77777777" w:rsidR="00D42204" w:rsidRDefault="004E439D">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35D092F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2F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2FD" w14:textId="77777777" w:rsidR="00D42204" w:rsidRDefault="004E439D">
            <w:pPr>
              <w:jc w:val="right"/>
              <w:textAlignment w:val="center"/>
            </w:pPr>
            <w:r>
              <w:rPr>
                <w:rFonts w:ascii="Times New Roman" w:eastAsia="宋体" w:hAnsi="Times New Roman"/>
                <w:color w:val="000000"/>
                <w:sz w:val="16"/>
                <w:szCs w:val="16"/>
              </w:rPr>
              <w:t>25 </w:t>
            </w:r>
          </w:p>
        </w:tc>
        <w:tc>
          <w:tcPr>
            <w:tcW w:w="0" w:type="auto"/>
            <w:shd w:val="clear" w:color="auto" w:fill="CCEEFF"/>
            <w:tcMar>
              <w:top w:w="40" w:type="dxa"/>
              <w:left w:w="0" w:type="dxa"/>
              <w:bottom w:w="40" w:type="dxa"/>
              <w:right w:w="20" w:type="dxa"/>
            </w:tcMar>
            <w:vAlign w:val="center"/>
          </w:tcPr>
          <w:p w14:paraId="35D092FE" w14:textId="77777777" w:rsidR="00D42204" w:rsidRDefault="00D42204">
            <w:pPr>
              <w:jc w:val="right"/>
              <w:rPr>
                <w:rFonts w:ascii="宋体"/>
              </w:rPr>
            </w:pPr>
          </w:p>
        </w:tc>
      </w:tr>
      <w:tr w:rsidR="00D42204" w14:paraId="35D09310" w14:textId="77777777">
        <w:tc>
          <w:tcPr>
            <w:tcW w:w="0" w:type="auto"/>
            <w:gridSpan w:val="3"/>
            <w:shd w:val="clear" w:color="auto" w:fill="FFFFFF"/>
            <w:tcMar>
              <w:top w:w="40" w:type="dxa"/>
              <w:left w:w="20" w:type="dxa"/>
              <w:bottom w:w="40" w:type="dxa"/>
              <w:right w:w="20" w:type="dxa"/>
            </w:tcMar>
            <w:vAlign w:val="center"/>
          </w:tcPr>
          <w:p w14:paraId="35D09300" w14:textId="77777777" w:rsidR="00D42204" w:rsidRDefault="004E439D">
            <w:pPr>
              <w:textAlignment w:val="center"/>
            </w:pPr>
            <w:r>
              <w:rPr>
                <w:rFonts w:ascii="Times New Roman" w:eastAsia="宋体" w:hAnsi="Times New Roman"/>
                <w:color w:val="000000"/>
                <w:sz w:val="16"/>
                <w:szCs w:val="16"/>
              </w:rPr>
              <w:t>Maryland</w:t>
            </w:r>
          </w:p>
        </w:tc>
        <w:tc>
          <w:tcPr>
            <w:tcW w:w="0" w:type="auto"/>
            <w:gridSpan w:val="3"/>
            <w:shd w:val="clear" w:color="auto" w:fill="FFFFFF"/>
            <w:tcMar>
              <w:top w:w="0" w:type="dxa"/>
              <w:left w:w="20" w:type="dxa"/>
              <w:bottom w:w="0" w:type="dxa"/>
              <w:right w:w="20" w:type="dxa"/>
            </w:tcMar>
            <w:vAlign w:val="bottom"/>
          </w:tcPr>
          <w:p w14:paraId="35D0930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02" w14:textId="77777777" w:rsidR="00D42204" w:rsidRDefault="004E439D">
            <w:pPr>
              <w:jc w:val="right"/>
              <w:textAlignment w:val="center"/>
            </w:pPr>
            <w:r>
              <w:rPr>
                <w:rFonts w:ascii="Times New Roman" w:eastAsia="宋体" w:hAnsi="Times New Roman"/>
                <w:color w:val="000000"/>
                <w:sz w:val="16"/>
                <w:szCs w:val="16"/>
              </w:rPr>
              <w:t>30 </w:t>
            </w:r>
          </w:p>
        </w:tc>
        <w:tc>
          <w:tcPr>
            <w:tcW w:w="0" w:type="auto"/>
            <w:shd w:val="clear" w:color="auto" w:fill="FFFFFF"/>
            <w:tcMar>
              <w:top w:w="40" w:type="dxa"/>
              <w:left w:w="0" w:type="dxa"/>
              <w:bottom w:w="40" w:type="dxa"/>
              <w:right w:w="20" w:type="dxa"/>
            </w:tcMar>
            <w:vAlign w:val="center"/>
          </w:tcPr>
          <w:p w14:paraId="35D0930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0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05" w14:textId="77777777" w:rsidR="00D42204" w:rsidRDefault="004E439D">
            <w:pPr>
              <w:jc w:val="right"/>
              <w:textAlignment w:val="center"/>
            </w:pPr>
            <w:r>
              <w:rPr>
                <w:rFonts w:ascii="Times New Roman" w:eastAsia="宋体" w:hAnsi="Times New Roman"/>
                <w:color w:val="000000"/>
                <w:sz w:val="16"/>
                <w:szCs w:val="16"/>
              </w:rPr>
              <w:t>17 </w:t>
            </w:r>
          </w:p>
        </w:tc>
        <w:tc>
          <w:tcPr>
            <w:tcW w:w="0" w:type="auto"/>
            <w:shd w:val="clear" w:color="auto" w:fill="FFFFFF"/>
            <w:tcMar>
              <w:top w:w="40" w:type="dxa"/>
              <w:left w:w="0" w:type="dxa"/>
              <w:bottom w:w="40" w:type="dxa"/>
              <w:right w:w="20" w:type="dxa"/>
            </w:tcMar>
            <w:vAlign w:val="center"/>
          </w:tcPr>
          <w:p w14:paraId="35D0930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0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08" w14:textId="77777777" w:rsidR="00D42204" w:rsidRDefault="004E439D">
            <w:pPr>
              <w:jc w:val="right"/>
              <w:textAlignment w:val="center"/>
            </w:pPr>
            <w:r>
              <w:rPr>
                <w:rFonts w:ascii="Times New Roman" w:eastAsia="宋体" w:hAnsi="Times New Roman"/>
                <w:color w:val="000000"/>
                <w:sz w:val="16"/>
                <w:szCs w:val="16"/>
              </w:rPr>
              <w:t>3 </w:t>
            </w:r>
          </w:p>
        </w:tc>
        <w:tc>
          <w:tcPr>
            <w:tcW w:w="0" w:type="auto"/>
            <w:shd w:val="clear" w:color="auto" w:fill="FFFFFF"/>
            <w:tcMar>
              <w:top w:w="40" w:type="dxa"/>
              <w:left w:w="0" w:type="dxa"/>
              <w:bottom w:w="40" w:type="dxa"/>
              <w:right w:w="20" w:type="dxa"/>
            </w:tcMar>
            <w:vAlign w:val="center"/>
          </w:tcPr>
          <w:p w14:paraId="35D0930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0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0B" w14:textId="77777777" w:rsidR="00D42204" w:rsidRDefault="004E439D">
            <w:pPr>
              <w:jc w:val="right"/>
              <w:textAlignment w:val="center"/>
            </w:pPr>
            <w:r>
              <w:rPr>
                <w:rFonts w:ascii="Times New Roman" w:eastAsia="宋体" w:hAnsi="Times New Roman"/>
                <w:color w:val="000000"/>
                <w:sz w:val="16"/>
                <w:szCs w:val="16"/>
              </w:rPr>
              <w:t>11 </w:t>
            </w:r>
          </w:p>
        </w:tc>
        <w:tc>
          <w:tcPr>
            <w:tcW w:w="0" w:type="auto"/>
            <w:shd w:val="clear" w:color="auto" w:fill="FFFFFF"/>
            <w:tcMar>
              <w:top w:w="40" w:type="dxa"/>
              <w:left w:w="0" w:type="dxa"/>
              <w:bottom w:w="40" w:type="dxa"/>
              <w:right w:w="20" w:type="dxa"/>
            </w:tcMar>
            <w:vAlign w:val="center"/>
          </w:tcPr>
          <w:p w14:paraId="35D0930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0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0E" w14:textId="77777777" w:rsidR="00D42204" w:rsidRDefault="004E439D">
            <w:pPr>
              <w:jc w:val="right"/>
              <w:textAlignment w:val="center"/>
            </w:pPr>
            <w:r>
              <w:rPr>
                <w:rFonts w:ascii="Times New Roman" w:eastAsia="宋体" w:hAnsi="Times New Roman"/>
                <w:color w:val="000000"/>
                <w:sz w:val="16"/>
                <w:szCs w:val="16"/>
              </w:rPr>
              <w:t>61 </w:t>
            </w:r>
          </w:p>
        </w:tc>
        <w:tc>
          <w:tcPr>
            <w:tcW w:w="0" w:type="auto"/>
            <w:shd w:val="clear" w:color="auto" w:fill="FFFFFF"/>
            <w:tcMar>
              <w:top w:w="40" w:type="dxa"/>
              <w:left w:w="0" w:type="dxa"/>
              <w:bottom w:w="40" w:type="dxa"/>
              <w:right w:w="20" w:type="dxa"/>
            </w:tcMar>
            <w:vAlign w:val="center"/>
          </w:tcPr>
          <w:p w14:paraId="35D0930F" w14:textId="77777777" w:rsidR="00D42204" w:rsidRDefault="00D42204">
            <w:pPr>
              <w:jc w:val="right"/>
              <w:rPr>
                <w:rFonts w:ascii="宋体"/>
              </w:rPr>
            </w:pPr>
          </w:p>
        </w:tc>
      </w:tr>
      <w:tr w:rsidR="00D42204" w14:paraId="35D09321" w14:textId="77777777">
        <w:tc>
          <w:tcPr>
            <w:tcW w:w="0" w:type="auto"/>
            <w:gridSpan w:val="3"/>
            <w:shd w:val="clear" w:color="auto" w:fill="CCEEFF"/>
            <w:tcMar>
              <w:top w:w="40" w:type="dxa"/>
              <w:left w:w="20" w:type="dxa"/>
              <w:bottom w:w="40" w:type="dxa"/>
              <w:right w:w="20" w:type="dxa"/>
            </w:tcMar>
            <w:vAlign w:val="center"/>
          </w:tcPr>
          <w:p w14:paraId="35D09311" w14:textId="77777777" w:rsidR="00D42204" w:rsidRDefault="004E439D">
            <w:pPr>
              <w:textAlignment w:val="center"/>
            </w:pPr>
            <w:r>
              <w:rPr>
                <w:rFonts w:ascii="Times New Roman" w:eastAsia="宋体" w:hAnsi="Times New Roman"/>
                <w:color w:val="000000"/>
                <w:sz w:val="16"/>
                <w:szCs w:val="16"/>
              </w:rPr>
              <w:t>Massachusetts</w:t>
            </w:r>
          </w:p>
        </w:tc>
        <w:tc>
          <w:tcPr>
            <w:tcW w:w="0" w:type="auto"/>
            <w:gridSpan w:val="3"/>
            <w:shd w:val="clear" w:color="auto" w:fill="CCEEFF"/>
            <w:tcMar>
              <w:top w:w="0" w:type="dxa"/>
              <w:left w:w="20" w:type="dxa"/>
              <w:bottom w:w="0" w:type="dxa"/>
              <w:right w:w="20" w:type="dxa"/>
            </w:tcMar>
            <w:vAlign w:val="bottom"/>
          </w:tcPr>
          <w:p w14:paraId="35D0931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13" w14:textId="77777777" w:rsidR="00D42204" w:rsidRDefault="004E439D">
            <w:pPr>
              <w:jc w:val="right"/>
              <w:textAlignment w:val="center"/>
            </w:pPr>
            <w:r>
              <w:rPr>
                <w:rFonts w:ascii="Times New Roman" w:eastAsia="宋体" w:hAnsi="Times New Roman"/>
                <w:color w:val="000000"/>
                <w:sz w:val="16"/>
                <w:szCs w:val="16"/>
              </w:rPr>
              <w:t>27 </w:t>
            </w:r>
          </w:p>
        </w:tc>
        <w:tc>
          <w:tcPr>
            <w:tcW w:w="0" w:type="auto"/>
            <w:shd w:val="clear" w:color="auto" w:fill="CCEEFF"/>
            <w:tcMar>
              <w:top w:w="40" w:type="dxa"/>
              <w:left w:w="0" w:type="dxa"/>
              <w:bottom w:w="40" w:type="dxa"/>
              <w:right w:w="20" w:type="dxa"/>
            </w:tcMar>
            <w:vAlign w:val="center"/>
          </w:tcPr>
          <w:p w14:paraId="35D0931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1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16" w14:textId="77777777" w:rsidR="00D42204" w:rsidRDefault="004E439D">
            <w:pPr>
              <w:jc w:val="right"/>
              <w:textAlignment w:val="center"/>
            </w:pPr>
            <w:r>
              <w:rPr>
                <w:rFonts w:ascii="Times New Roman" w:eastAsia="宋体" w:hAnsi="Times New Roman"/>
                <w:color w:val="000000"/>
                <w:sz w:val="16"/>
                <w:szCs w:val="16"/>
              </w:rPr>
              <w:t>21 </w:t>
            </w:r>
          </w:p>
        </w:tc>
        <w:tc>
          <w:tcPr>
            <w:tcW w:w="0" w:type="auto"/>
            <w:shd w:val="clear" w:color="auto" w:fill="CCEEFF"/>
            <w:tcMar>
              <w:top w:w="40" w:type="dxa"/>
              <w:left w:w="0" w:type="dxa"/>
              <w:bottom w:w="40" w:type="dxa"/>
              <w:right w:w="20" w:type="dxa"/>
            </w:tcMar>
            <w:vAlign w:val="center"/>
          </w:tcPr>
          <w:p w14:paraId="35D0931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1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19" w14:textId="77777777" w:rsidR="00D42204" w:rsidRDefault="004E439D">
            <w:pPr>
              <w:jc w:val="right"/>
              <w:textAlignment w:val="center"/>
            </w:pPr>
            <w:r>
              <w:rPr>
                <w:rFonts w:ascii="Times New Roman" w:eastAsia="宋体" w:hAnsi="Times New Roman"/>
                <w:color w:val="000000"/>
                <w:sz w:val="16"/>
                <w:szCs w:val="16"/>
              </w:rPr>
              <w:t>4 </w:t>
            </w:r>
          </w:p>
        </w:tc>
        <w:tc>
          <w:tcPr>
            <w:tcW w:w="0" w:type="auto"/>
            <w:shd w:val="clear" w:color="auto" w:fill="CCEEFF"/>
            <w:tcMar>
              <w:top w:w="40" w:type="dxa"/>
              <w:left w:w="0" w:type="dxa"/>
              <w:bottom w:w="40" w:type="dxa"/>
              <w:right w:w="20" w:type="dxa"/>
            </w:tcMar>
            <w:vAlign w:val="center"/>
          </w:tcPr>
          <w:p w14:paraId="35D0931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1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1C"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931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1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1F" w14:textId="77777777" w:rsidR="00D42204" w:rsidRDefault="004E439D">
            <w:pPr>
              <w:jc w:val="right"/>
              <w:textAlignment w:val="center"/>
            </w:pPr>
            <w:r>
              <w:rPr>
                <w:rFonts w:ascii="Times New Roman" w:eastAsia="宋体" w:hAnsi="Times New Roman"/>
                <w:color w:val="000000"/>
                <w:sz w:val="16"/>
                <w:szCs w:val="16"/>
              </w:rPr>
              <w:t>52 </w:t>
            </w:r>
          </w:p>
        </w:tc>
        <w:tc>
          <w:tcPr>
            <w:tcW w:w="0" w:type="auto"/>
            <w:shd w:val="clear" w:color="auto" w:fill="CCEEFF"/>
            <w:tcMar>
              <w:top w:w="40" w:type="dxa"/>
              <w:left w:w="0" w:type="dxa"/>
              <w:bottom w:w="40" w:type="dxa"/>
              <w:right w:w="20" w:type="dxa"/>
            </w:tcMar>
            <w:vAlign w:val="center"/>
          </w:tcPr>
          <w:p w14:paraId="35D09320" w14:textId="77777777" w:rsidR="00D42204" w:rsidRDefault="00D42204">
            <w:pPr>
              <w:jc w:val="right"/>
              <w:rPr>
                <w:rFonts w:ascii="宋体"/>
              </w:rPr>
            </w:pPr>
          </w:p>
        </w:tc>
      </w:tr>
      <w:tr w:rsidR="00D42204" w14:paraId="35D09332" w14:textId="77777777">
        <w:tc>
          <w:tcPr>
            <w:tcW w:w="0" w:type="auto"/>
            <w:gridSpan w:val="3"/>
            <w:shd w:val="clear" w:color="auto" w:fill="FFFFFF"/>
            <w:tcMar>
              <w:top w:w="40" w:type="dxa"/>
              <w:left w:w="20" w:type="dxa"/>
              <w:bottom w:w="40" w:type="dxa"/>
              <w:right w:w="20" w:type="dxa"/>
            </w:tcMar>
            <w:vAlign w:val="center"/>
          </w:tcPr>
          <w:p w14:paraId="35D09322" w14:textId="77777777" w:rsidR="00D42204" w:rsidRDefault="004E439D">
            <w:pPr>
              <w:textAlignment w:val="center"/>
            </w:pPr>
            <w:r>
              <w:rPr>
                <w:rFonts w:ascii="Times New Roman" w:eastAsia="宋体" w:hAnsi="Times New Roman"/>
                <w:color w:val="000000"/>
                <w:sz w:val="16"/>
                <w:szCs w:val="16"/>
              </w:rPr>
              <w:t>Michigan</w:t>
            </w:r>
          </w:p>
        </w:tc>
        <w:tc>
          <w:tcPr>
            <w:tcW w:w="0" w:type="auto"/>
            <w:gridSpan w:val="3"/>
            <w:shd w:val="clear" w:color="auto" w:fill="FFFFFF"/>
            <w:tcMar>
              <w:top w:w="0" w:type="dxa"/>
              <w:left w:w="20" w:type="dxa"/>
              <w:bottom w:w="0" w:type="dxa"/>
              <w:right w:w="20" w:type="dxa"/>
            </w:tcMar>
            <w:vAlign w:val="bottom"/>
          </w:tcPr>
          <w:p w14:paraId="35D0932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24" w14:textId="77777777" w:rsidR="00D42204" w:rsidRDefault="004E439D">
            <w:pPr>
              <w:jc w:val="right"/>
              <w:textAlignment w:val="center"/>
            </w:pPr>
            <w:r>
              <w:rPr>
                <w:rFonts w:ascii="Times New Roman" w:eastAsia="宋体" w:hAnsi="Times New Roman"/>
                <w:color w:val="000000"/>
                <w:sz w:val="16"/>
                <w:szCs w:val="16"/>
              </w:rPr>
              <w:t>90 </w:t>
            </w:r>
          </w:p>
        </w:tc>
        <w:tc>
          <w:tcPr>
            <w:tcW w:w="0" w:type="auto"/>
            <w:shd w:val="clear" w:color="auto" w:fill="FFFFFF"/>
            <w:tcMar>
              <w:top w:w="40" w:type="dxa"/>
              <w:left w:w="0" w:type="dxa"/>
              <w:bottom w:w="40" w:type="dxa"/>
              <w:right w:w="20" w:type="dxa"/>
            </w:tcMar>
            <w:vAlign w:val="center"/>
          </w:tcPr>
          <w:p w14:paraId="35D0932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2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27" w14:textId="77777777" w:rsidR="00D42204" w:rsidRDefault="004E439D">
            <w:pPr>
              <w:jc w:val="right"/>
              <w:textAlignment w:val="center"/>
            </w:pPr>
            <w:r>
              <w:rPr>
                <w:rFonts w:ascii="Times New Roman" w:eastAsia="宋体" w:hAnsi="Times New Roman"/>
                <w:color w:val="000000"/>
                <w:sz w:val="16"/>
                <w:szCs w:val="16"/>
              </w:rPr>
              <w:t>3 </w:t>
            </w:r>
          </w:p>
        </w:tc>
        <w:tc>
          <w:tcPr>
            <w:tcW w:w="0" w:type="auto"/>
            <w:shd w:val="clear" w:color="auto" w:fill="FFFFFF"/>
            <w:tcMar>
              <w:top w:w="40" w:type="dxa"/>
              <w:left w:w="0" w:type="dxa"/>
              <w:bottom w:w="40" w:type="dxa"/>
              <w:right w:w="20" w:type="dxa"/>
            </w:tcMar>
            <w:vAlign w:val="center"/>
          </w:tcPr>
          <w:p w14:paraId="35D0932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2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2A" w14:textId="77777777" w:rsidR="00D42204" w:rsidRDefault="004E439D">
            <w:pPr>
              <w:jc w:val="right"/>
              <w:textAlignment w:val="center"/>
            </w:pPr>
            <w:r>
              <w:rPr>
                <w:rFonts w:ascii="Times New Roman" w:eastAsia="宋体" w:hAnsi="Times New Roman"/>
                <w:color w:val="000000"/>
                <w:sz w:val="16"/>
                <w:szCs w:val="16"/>
              </w:rPr>
              <w:t>9 </w:t>
            </w:r>
          </w:p>
        </w:tc>
        <w:tc>
          <w:tcPr>
            <w:tcW w:w="0" w:type="auto"/>
            <w:shd w:val="clear" w:color="auto" w:fill="FFFFFF"/>
            <w:tcMar>
              <w:top w:w="40" w:type="dxa"/>
              <w:left w:w="0" w:type="dxa"/>
              <w:bottom w:w="40" w:type="dxa"/>
              <w:right w:w="20" w:type="dxa"/>
            </w:tcMar>
            <w:vAlign w:val="center"/>
          </w:tcPr>
          <w:p w14:paraId="35D0932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2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2D" w14:textId="77777777" w:rsidR="00D42204" w:rsidRDefault="004E439D">
            <w:pPr>
              <w:jc w:val="right"/>
              <w:textAlignment w:val="center"/>
            </w:pPr>
            <w:r>
              <w:rPr>
                <w:rFonts w:ascii="Times New Roman" w:eastAsia="宋体" w:hAnsi="Times New Roman"/>
                <w:color w:val="000000"/>
                <w:sz w:val="16"/>
                <w:szCs w:val="16"/>
              </w:rPr>
              <w:t>23 </w:t>
            </w:r>
          </w:p>
        </w:tc>
        <w:tc>
          <w:tcPr>
            <w:tcW w:w="0" w:type="auto"/>
            <w:shd w:val="clear" w:color="auto" w:fill="FFFFFF"/>
            <w:tcMar>
              <w:top w:w="40" w:type="dxa"/>
              <w:left w:w="0" w:type="dxa"/>
              <w:bottom w:w="40" w:type="dxa"/>
              <w:right w:w="20" w:type="dxa"/>
            </w:tcMar>
            <w:vAlign w:val="center"/>
          </w:tcPr>
          <w:p w14:paraId="35D0932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2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30" w14:textId="77777777" w:rsidR="00D42204" w:rsidRDefault="004E439D">
            <w:pPr>
              <w:jc w:val="right"/>
              <w:textAlignment w:val="center"/>
            </w:pPr>
            <w:r>
              <w:rPr>
                <w:rFonts w:ascii="Times New Roman" w:eastAsia="宋体" w:hAnsi="Times New Roman"/>
                <w:color w:val="000000"/>
                <w:sz w:val="16"/>
                <w:szCs w:val="16"/>
              </w:rPr>
              <w:t>125 </w:t>
            </w:r>
          </w:p>
        </w:tc>
        <w:tc>
          <w:tcPr>
            <w:tcW w:w="0" w:type="auto"/>
            <w:shd w:val="clear" w:color="auto" w:fill="FFFFFF"/>
            <w:tcMar>
              <w:top w:w="40" w:type="dxa"/>
              <w:left w:w="0" w:type="dxa"/>
              <w:bottom w:w="40" w:type="dxa"/>
              <w:right w:w="20" w:type="dxa"/>
            </w:tcMar>
            <w:vAlign w:val="center"/>
          </w:tcPr>
          <w:p w14:paraId="35D09331" w14:textId="77777777" w:rsidR="00D42204" w:rsidRDefault="00D42204">
            <w:pPr>
              <w:jc w:val="right"/>
              <w:rPr>
                <w:rFonts w:ascii="宋体"/>
              </w:rPr>
            </w:pPr>
          </w:p>
        </w:tc>
      </w:tr>
      <w:tr w:rsidR="00D42204" w14:paraId="35D09343" w14:textId="77777777">
        <w:tc>
          <w:tcPr>
            <w:tcW w:w="0" w:type="auto"/>
            <w:gridSpan w:val="3"/>
            <w:shd w:val="clear" w:color="auto" w:fill="CCEEFF"/>
            <w:tcMar>
              <w:top w:w="40" w:type="dxa"/>
              <w:left w:w="20" w:type="dxa"/>
              <w:bottom w:w="40" w:type="dxa"/>
              <w:right w:w="20" w:type="dxa"/>
            </w:tcMar>
            <w:vAlign w:val="center"/>
          </w:tcPr>
          <w:p w14:paraId="35D09333" w14:textId="77777777" w:rsidR="00D42204" w:rsidRDefault="004E439D">
            <w:pPr>
              <w:textAlignment w:val="center"/>
            </w:pPr>
            <w:r>
              <w:rPr>
                <w:rFonts w:ascii="Times New Roman" w:eastAsia="宋体" w:hAnsi="Times New Roman"/>
                <w:color w:val="000000"/>
                <w:sz w:val="16"/>
                <w:szCs w:val="16"/>
              </w:rPr>
              <w:t>Minnesota</w:t>
            </w:r>
          </w:p>
        </w:tc>
        <w:tc>
          <w:tcPr>
            <w:tcW w:w="0" w:type="auto"/>
            <w:gridSpan w:val="3"/>
            <w:shd w:val="clear" w:color="auto" w:fill="CCEEFF"/>
            <w:tcMar>
              <w:top w:w="0" w:type="dxa"/>
              <w:left w:w="20" w:type="dxa"/>
              <w:bottom w:w="0" w:type="dxa"/>
              <w:right w:w="20" w:type="dxa"/>
            </w:tcMar>
            <w:vAlign w:val="bottom"/>
          </w:tcPr>
          <w:p w14:paraId="35D0933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35" w14:textId="77777777" w:rsidR="00D42204" w:rsidRDefault="004E439D">
            <w:pPr>
              <w:jc w:val="right"/>
              <w:textAlignment w:val="center"/>
            </w:pPr>
            <w:r>
              <w:rPr>
                <w:rFonts w:ascii="Times New Roman" w:eastAsia="宋体" w:hAnsi="Times New Roman"/>
                <w:color w:val="000000"/>
                <w:sz w:val="16"/>
                <w:szCs w:val="16"/>
              </w:rPr>
              <w:t>65 </w:t>
            </w:r>
          </w:p>
        </w:tc>
        <w:tc>
          <w:tcPr>
            <w:tcW w:w="0" w:type="auto"/>
            <w:shd w:val="clear" w:color="auto" w:fill="CCEEFF"/>
            <w:tcMar>
              <w:top w:w="40" w:type="dxa"/>
              <w:left w:w="0" w:type="dxa"/>
              <w:bottom w:w="40" w:type="dxa"/>
              <w:right w:w="20" w:type="dxa"/>
            </w:tcMar>
            <w:vAlign w:val="center"/>
          </w:tcPr>
          <w:p w14:paraId="35D0933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3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38" w14:textId="77777777" w:rsidR="00D42204" w:rsidRDefault="004E439D">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35D0933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3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3B" w14:textId="77777777" w:rsidR="00D42204" w:rsidRDefault="004E439D">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35D0933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3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3E" w14:textId="77777777" w:rsidR="00D42204" w:rsidRDefault="004E439D">
            <w:pPr>
              <w:jc w:val="right"/>
              <w:textAlignment w:val="center"/>
            </w:pPr>
            <w:r>
              <w:rPr>
                <w:rFonts w:ascii="Times New Roman" w:eastAsia="宋体" w:hAnsi="Times New Roman"/>
                <w:color w:val="000000"/>
                <w:sz w:val="16"/>
                <w:szCs w:val="16"/>
              </w:rPr>
              <w:t>12 </w:t>
            </w:r>
          </w:p>
        </w:tc>
        <w:tc>
          <w:tcPr>
            <w:tcW w:w="0" w:type="auto"/>
            <w:shd w:val="clear" w:color="auto" w:fill="CCEEFF"/>
            <w:tcMar>
              <w:top w:w="40" w:type="dxa"/>
              <w:left w:w="0" w:type="dxa"/>
              <w:bottom w:w="40" w:type="dxa"/>
              <w:right w:w="20" w:type="dxa"/>
            </w:tcMar>
            <w:vAlign w:val="center"/>
          </w:tcPr>
          <w:p w14:paraId="35D0933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4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41" w14:textId="77777777" w:rsidR="00D42204" w:rsidRDefault="004E439D">
            <w:pPr>
              <w:jc w:val="right"/>
              <w:textAlignment w:val="center"/>
            </w:pPr>
            <w:r>
              <w:rPr>
                <w:rFonts w:ascii="Times New Roman" w:eastAsia="宋体" w:hAnsi="Times New Roman"/>
                <w:color w:val="000000"/>
                <w:sz w:val="16"/>
                <w:szCs w:val="16"/>
              </w:rPr>
              <w:t>81 </w:t>
            </w:r>
          </w:p>
        </w:tc>
        <w:tc>
          <w:tcPr>
            <w:tcW w:w="0" w:type="auto"/>
            <w:shd w:val="clear" w:color="auto" w:fill="CCEEFF"/>
            <w:tcMar>
              <w:top w:w="40" w:type="dxa"/>
              <w:left w:w="0" w:type="dxa"/>
              <w:bottom w:w="40" w:type="dxa"/>
              <w:right w:w="20" w:type="dxa"/>
            </w:tcMar>
            <w:vAlign w:val="center"/>
          </w:tcPr>
          <w:p w14:paraId="35D09342" w14:textId="77777777" w:rsidR="00D42204" w:rsidRDefault="00D42204">
            <w:pPr>
              <w:jc w:val="right"/>
              <w:rPr>
                <w:rFonts w:ascii="宋体"/>
              </w:rPr>
            </w:pPr>
          </w:p>
        </w:tc>
      </w:tr>
      <w:tr w:rsidR="00D42204" w14:paraId="35D09354" w14:textId="77777777">
        <w:tc>
          <w:tcPr>
            <w:tcW w:w="0" w:type="auto"/>
            <w:gridSpan w:val="3"/>
            <w:shd w:val="clear" w:color="auto" w:fill="FFFFFF"/>
            <w:tcMar>
              <w:top w:w="40" w:type="dxa"/>
              <w:left w:w="20" w:type="dxa"/>
              <w:bottom w:w="40" w:type="dxa"/>
              <w:right w:w="20" w:type="dxa"/>
            </w:tcMar>
            <w:vAlign w:val="center"/>
          </w:tcPr>
          <w:p w14:paraId="35D09344" w14:textId="77777777" w:rsidR="00D42204" w:rsidRDefault="004E439D">
            <w:pPr>
              <w:textAlignment w:val="center"/>
            </w:pPr>
            <w:r>
              <w:rPr>
                <w:rFonts w:ascii="Times New Roman" w:eastAsia="宋体" w:hAnsi="Times New Roman"/>
                <w:color w:val="000000"/>
                <w:sz w:val="16"/>
                <w:szCs w:val="16"/>
              </w:rPr>
              <w:t>Mississippi</w:t>
            </w:r>
          </w:p>
        </w:tc>
        <w:tc>
          <w:tcPr>
            <w:tcW w:w="0" w:type="auto"/>
            <w:gridSpan w:val="3"/>
            <w:shd w:val="clear" w:color="auto" w:fill="FFFFFF"/>
            <w:tcMar>
              <w:top w:w="0" w:type="dxa"/>
              <w:left w:w="20" w:type="dxa"/>
              <w:bottom w:w="0" w:type="dxa"/>
              <w:right w:w="20" w:type="dxa"/>
            </w:tcMar>
            <w:vAlign w:val="bottom"/>
          </w:tcPr>
          <w:p w14:paraId="35D0934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46" w14:textId="77777777" w:rsidR="00D42204" w:rsidRDefault="004E439D">
            <w:pPr>
              <w:jc w:val="right"/>
              <w:textAlignment w:val="center"/>
            </w:pPr>
            <w:r>
              <w:rPr>
                <w:rFonts w:ascii="Times New Roman" w:eastAsia="宋体" w:hAnsi="Times New Roman"/>
                <w:color w:val="000000"/>
                <w:sz w:val="16"/>
                <w:szCs w:val="16"/>
              </w:rPr>
              <w:t>65 </w:t>
            </w:r>
          </w:p>
        </w:tc>
        <w:tc>
          <w:tcPr>
            <w:tcW w:w="0" w:type="auto"/>
            <w:shd w:val="clear" w:color="auto" w:fill="FFFFFF"/>
            <w:tcMar>
              <w:top w:w="40" w:type="dxa"/>
              <w:left w:w="0" w:type="dxa"/>
              <w:bottom w:w="40" w:type="dxa"/>
              <w:right w:w="20" w:type="dxa"/>
            </w:tcMar>
            <w:vAlign w:val="center"/>
          </w:tcPr>
          <w:p w14:paraId="35D0934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4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49" w14:textId="77777777" w:rsidR="00D42204" w:rsidRDefault="004E439D">
            <w:pPr>
              <w:jc w:val="right"/>
              <w:textAlignment w:val="center"/>
            </w:pPr>
            <w:r>
              <w:rPr>
                <w:rFonts w:ascii="Times New Roman" w:eastAsia="宋体" w:hAnsi="Times New Roman"/>
                <w:color w:val="000000"/>
                <w:sz w:val="16"/>
                <w:szCs w:val="16"/>
              </w:rPr>
              <w:t>3 </w:t>
            </w:r>
          </w:p>
        </w:tc>
        <w:tc>
          <w:tcPr>
            <w:tcW w:w="0" w:type="auto"/>
            <w:shd w:val="clear" w:color="auto" w:fill="FFFFFF"/>
            <w:tcMar>
              <w:top w:w="40" w:type="dxa"/>
              <w:left w:w="0" w:type="dxa"/>
              <w:bottom w:w="40" w:type="dxa"/>
              <w:right w:w="20" w:type="dxa"/>
            </w:tcMar>
            <w:vAlign w:val="center"/>
          </w:tcPr>
          <w:p w14:paraId="35D0934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4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4C" w14:textId="77777777" w:rsidR="00D42204" w:rsidRDefault="004E439D">
            <w:pPr>
              <w:jc w:val="right"/>
              <w:textAlignment w:val="center"/>
            </w:pPr>
            <w:r>
              <w:rPr>
                <w:rFonts w:ascii="Times New Roman" w:eastAsia="宋体" w:hAnsi="Times New Roman"/>
                <w:color w:val="000000"/>
                <w:sz w:val="16"/>
                <w:szCs w:val="16"/>
              </w:rPr>
              <w:t>11 </w:t>
            </w:r>
          </w:p>
        </w:tc>
        <w:tc>
          <w:tcPr>
            <w:tcW w:w="0" w:type="auto"/>
            <w:shd w:val="clear" w:color="auto" w:fill="FFFFFF"/>
            <w:tcMar>
              <w:top w:w="40" w:type="dxa"/>
              <w:left w:w="0" w:type="dxa"/>
              <w:bottom w:w="40" w:type="dxa"/>
              <w:right w:w="20" w:type="dxa"/>
            </w:tcMar>
            <w:vAlign w:val="center"/>
          </w:tcPr>
          <w:p w14:paraId="35D0934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4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4F" w14:textId="77777777" w:rsidR="00D42204" w:rsidRDefault="004E439D">
            <w:pPr>
              <w:jc w:val="right"/>
              <w:textAlignment w:val="center"/>
            </w:pPr>
            <w:r>
              <w:rPr>
                <w:rFonts w:ascii="Times New Roman" w:eastAsia="宋体" w:hAnsi="Times New Roman"/>
                <w:color w:val="000000"/>
                <w:sz w:val="16"/>
                <w:szCs w:val="16"/>
              </w:rPr>
              <w:t>7 </w:t>
            </w:r>
          </w:p>
        </w:tc>
        <w:tc>
          <w:tcPr>
            <w:tcW w:w="0" w:type="auto"/>
            <w:shd w:val="clear" w:color="auto" w:fill="FFFFFF"/>
            <w:tcMar>
              <w:top w:w="40" w:type="dxa"/>
              <w:left w:w="0" w:type="dxa"/>
              <w:bottom w:w="40" w:type="dxa"/>
              <w:right w:w="20" w:type="dxa"/>
            </w:tcMar>
            <w:vAlign w:val="center"/>
          </w:tcPr>
          <w:p w14:paraId="35D0935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5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52" w14:textId="77777777" w:rsidR="00D42204" w:rsidRDefault="004E439D">
            <w:pPr>
              <w:jc w:val="right"/>
              <w:textAlignment w:val="center"/>
            </w:pPr>
            <w:r>
              <w:rPr>
                <w:rFonts w:ascii="Times New Roman" w:eastAsia="宋体" w:hAnsi="Times New Roman"/>
                <w:color w:val="000000"/>
                <w:sz w:val="16"/>
                <w:szCs w:val="16"/>
              </w:rPr>
              <w:t>86 </w:t>
            </w:r>
          </w:p>
        </w:tc>
        <w:tc>
          <w:tcPr>
            <w:tcW w:w="0" w:type="auto"/>
            <w:shd w:val="clear" w:color="auto" w:fill="FFFFFF"/>
            <w:tcMar>
              <w:top w:w="40" w:type="dxa"/>
              <w:left w:w="0" w:type="dxa"/>
              <w:bottom w:w="40" w:type="dxa"/>
              <w:right w:w="20" w:type="dxa"/>
            </w:tcMar>
            <w:vAlign w:val="center"/>
          </w:tcPr>
          <w:p w14:paraId="35D09353" w14:textId="77777777" w:rsidR="00D42204" w:rsidRDefault="00D42204">
            <w:pPr>
              <w:jc w:val="right"/>
              <w:rPr>
                <w:rFonts w:ascii="宋体"/>
              </w:rPr>
            </w:pPr>
          </w:p>
        </w:tc>
      </w:tr>
      <w:tr w:rsidR="00D42204" w14:paraId="35D09365" w14:textId="77777777">
        <w:tc>
          <w:tcPr>
            <w:tcW w:w="0" w:type="auto"/>
            <w:gridSpan w:val="3"/>
            <w:shd w:val="clear" w:color="auto" w:fill="CCEEFF"/>
            <w:tcMar>
              <w:top w:w="40" w:type="dxa"/>
              <w:left w:w="20" w:type="dxa"/>
              <w:bottom w:w="40" w:type="dxa"/>
              <w:right w:w="20" w:type="dxa"/>
            </w:tcMar>
            <w:vAlign w:val="center"/>
          </w:tcPr>
          <w:p w14:paraId="35D09355" w14:textId="77777777" w:rsidR="00D42204" w:rsidRDefault="004E439D">
            <w:pPr>
              <w:textAlignment w:val="center"/>
            </w:pPr>
            <w:r>
              <w:rPr>
                <w:rFonts w:ascii="Times New Roman" w:eastAsia="宋体" w:hAnsi="Times New Roman"/>
                <w:color w:val="000000"/>
                <w:sz w:val="16"/>
                <w:szCs w:val="16"/>
              </w:rPr>
              <w:t>Missouri</w:t>
            </w:r>
          </w:p>
        </w:tc>
        <w:tc>
          <w:tcPr>
            <w:tcW w:w="0" w:type="auto"/>
            <w:gridSpan w:val="3"/>
            <w:shd w:val="clear" w:color="auto" w:fill="CCEEFF"/>
            <w:tcMar>
              <w:top w:w="0" w:type="dxa"/>
              <w:left w:w="20" w:type="dxa"/>
              <w:bottom w:w="0" w:type="dxa"/>
              <w:right w:w="20" w:type="dxa"/>
            </w:tcMar>
            <w:vAlign w:val="bottom"/>
          </w:tcPr>
          <w:p w14:paraId="35D0935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57" w14:textId="77777777" w:rsidR="00D42204" w:rsidRDefault="004E439D">
            <w:pPr>
              <w:jc w:val="right"/>
              <w:textAlignment w:val="center"/>
            </w:pPr>
            <w:r>
              <w:rPr>
                <w:rFonts w:ascii="Times New Roman" w:eastAsia="宋体" w:hAnsi="Times New Roman"/>
                <w:color w:val="000000"/>
                <w:sz w:val="16"/>
                <w:szCs w:val="16"/>
              </w:rPr>
              <w:t>112 </w:t>
            </w:r>
          </w:p>
        </w:tc>
        <w:tc>
          <w:tcPr>
            <w:tcW w:w="0" w:type="auto"/>
            <w:shd w:val="clear" w:color="auto" w:fill="CCEEFF"/>
            <w:tcMar>
              <w:top w:w="40" w:type="dxa"/>
              <w:left w:w="0" w:type="dxa"/>
              <w:bottom w:w="40" w:type="dxa"/>
              <w:right w:w="20" w:type="dxa"/>
            </w:tcMar>
            <w:vAlign w:val="center"/>
          </w:tcPr>
          <w:p w14:paraId="35D0935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5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5A" w14:textId="77777777" w:rsidR="00D42204" w:rsidRDefault="004E439D">
            <w:pPr>
              <w:jc w:val="right"/>
              <w:textAlignment w:val="center"/>
            </w:pPr>
            <w:r>
              <w:rPr>
                <w:rFonts w:ascii="Times New Roman" w:eastAsia="宋体" w:hAnsi="Times New Roman"/>
                <w:color w:val="000000"/>
                <w:sz w:val="16"/>
                <w:szCs w:val="16"/>
              </w:rPr>
              <w:t>9 </w:t>
            </w:r>
          </w:p>
        </w:tc>
        <w:tc>
          <w:tcPr>
            <w:tcW w:w="0" w:type="auto"/>
            <w:shd w:val="clear" w:color="auto" w:fill="CCEEFF"/>
            <w:tcMar>
              <w:top w:w="40" w:type="dxa"/>
              <w:left w:w="0" w:type="dxa"/>
              <w:bottom w:w="40" w:type="dxa"/>
              <w:right w:w="20" w:type="dxa"/>
            </w:tcMar>
            <w:vAlign w:val="center"/>
          </w:tcPr>
          <w:p w14:paraId="35D0935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5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5D" w14:textId="77777777" w:rsidR="00D42204" w:rsidRDefault="004E439D">
            <w:pPr>
              <w:jc w:val="right"/>
              <w:textAlignment w:val="center"/>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center"/>
          </w:tcPr>
          <w:p w14:paraId="35D0935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5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60" w14:textId="77777777" w:rsidR="00D42204" w:rsidRDefault="004E439D">
            <w:pPr>
              <w:jc w:val="right"/>
              <w:textAlignment w:val="center"/>
            </w:pPr>
            <w:r>
              <w:rPr>
                <w:rFonts w:ascii="Times New Roman" w:eastAsia="宋体" w:hAnsi="Times New Roman"/>
                <w:color w:val="000000"/>
                <w:sz w:val="16"/>
                <w:szCs w:val="16"/>
              </w:rPr>
              <w:t>19 </w:t>
            </w:r>
          </w:p>
        </w:tc>
        <w:tc>
          <w:tcPr>
            <w:tcW w:w="0" w:type="auto"/>
            <w:shd w:val="clear" w:color="auto" w:fill="CCEEFF"/>
            <w:tcMar>
              <w:top w:w="40" w:type="dxa"/>
              <w:left w:w="0" w:type="dxa"/>
              <w:bottom w:w="40" w:type="dxa"/>
              <w:right w:w="20" w:type="dxa"/>
            </w:tcMar>
            <w:vAlign w:val="center"/>
          </w:tcPr>
          <w:p w14:paraId="35D0936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6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63" w14:textId="77777777" w:rsidR="00D42204" w:rsidRDefault="004E439D">
            <w:pPr>
              <w:jc w:val="right"/>
              <w:textAlignment w:val="center"/>
            </w:pPr>
            <w:r>
              <w:rPr>
                <w:rFonts w:ascii="Times New Roman" w:eastAsia="宋体" w:hAnsi="Times New Roman"/>
                <w:color w:val="000000"/>
                <w:sz w:val="16"/>
                <w:szCs w:val="16"/>
              </w:rPr>
              <w:t>158 </w:t>
            </w:r>
          </w:p>
        </w:tc>
        <w:tc>
          <w:tcPr>
            <w:tcW w:w="0" w:type="auto"/>
            <w:shd w:val="clear" w:color="auto" w:fill="CCEEFF"/>
            <w:tcMar>
              <w:top w:w="40" w:type="dxa"/>
              <w:left w:w="0" w:type="dxa"/>
              <w:bottom w:w="40" w:type="dxa"/>
              <w:right w:w="20" w:type="dxa"/>
            </w:tcMar>
            <w:vAlign w:val="center"/>
          </w:tcPr>
          <w:p w14:paraId="35D09364" w14:textId="77777777" w:rsidR="00D42204" w:rsidRDefault="00D42204">
            <w:pPr>
              <w:jc w:val="right"/>
              <w:rPr>
                <w:rFonts w:ascii="宋体"/>
              </w:rPr>
            </w:pPr>
          </w:p>
        </w:tc>
      </w:tr>
      <w:tr w:rsidR="00D42204" w14:paraId="35D09376" w14:textId="77777777">
        <w:tc>
          <w:tcPr>
            <w:tcW w:w="0" w:type="auto"/>
            <w:gridSpan w:val="3"/>
            <w:shd w:val="clear" w:color="auto" w:fill="FFFFFF"/>
            <w:tcMar>
              <w:top w:w="40" w:type="dxa"/>
              <w:left w:w="20" w:type="dxa"/>
              <w:bottom w:w="40" w:type="dxa"/>
              <w:right w:w="20" w:type="dxa"/>
            </w:tcMar>
            <w:vAlign w:val="center"/>
          </w:tcPr>
          <w:p w14:paraId="35D09366" w14:textId="77777777" w:rsidR="00D42204" w:rsidRDefault="004E439D">
            <w:pPr>
              <w:textAlignment w:val="center"/>
            </w:pPr>
            <w:r>
              <w:rPr>
                <w:rFonts w:ascii="Times New Roman" w:eastAsia="宋体" w:hAnsi="Times New Roman"/>
                <w:color w:val="000000"/>
                <w:sz w:val="16"/>
                <w:szCs w:val="16"/>
              </w:rPr>
              <w:t>Montana</w:t>
            </w:r>
          </w:p>
        </w:tc>
        <w:tc>
          <w:tcPr>
            <w:tcW w:w="0" w:type="auto"/>
            <w:gridSpan w:val="3"/>
            <w:shd w:val="clear" w:color="auto" w:fill="FFFFFF"/>
            <w:tcMar>
              <w:top w:w="0" w:type="dxa"/>
              <w:left w:w="20" w:type="dxa"/>
              <w:bottom w:w="0" w:type="dxa"/>
              <w:right w:w="20" w:type="dxa"/>
            </w:tcMar>
            <w:vAlign w:val="bottom"/>
          </w:tcPr>
          <w:p w14:paraId="35D0936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68" w14:textId="77777777" w:rsidR="00D42204" w:rsidRDefault="004E439D">
            <w:pPr>
              <w:jc w:val="right"/>
              <w:textAlignment w:val="center"/>
            </w:pPr>
            <w:r>
              <w:rPr>
                <w:rFonts w:ascii="Times New Roman" w:eastAsia="宋体" w:hAnsi="Times New Roman"/>
                <w:color w:val="000000"/>
                <w:sz w:val="16"/>
                <w:szCs w:val="16"/>
              </w:rPr>
              <w:t>14 </w:t>
            </w:r>
          </w:p>
        </w:tc>
        <w:tc>
          <w:tcPr>
            <w:tcW w:w="0" w:type="auto"/>
            <w:shd w:val="clear" w:color="auto" w:fill="FFFFFF"/>
            <w:tcMar>
              <w:top w:w="40" w:type="dxa"/>
              <w:left w:w="0" w:type="dxa"/>
              <w:bottom w:w="40" w:type="dxa"/>
              <w:right w:w="20" w:type="dxa"/>
            </w:tcMar>
            <w:vAlign w:val="center"/>
          </w:tcPr>
          <w:p w14:paraId="35D0936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6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6B"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36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6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6E"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36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7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71" w14:textId="77777777" w:rsidR="00D42204" w:rsidRDefault="004E439D">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35D0937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7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74" w14:textId="77777777" w:rsidR="00D42204" w:rsidRDefault="004E439D">
            <w:pPr>
              <w:jc w:val="right"/>
              <w:textAlignment w:val="center"/>
            </w:pPr>
            <w:r>
              <w:rPr>
                <w:rFonts w:ascii="Times New Roman" w:eastAsia="宋体" w:hAnsi="Times New Roman"/>
                <w:color w:val="000000"/>
                <w:sz w:val="16"/>
                <w:szCs w:val="16"/>
              </w:rPr>
              <w:t>16 </w:t>
            </w:r>
          </w:p>
        </w:tc>
        <w:tc>
          <w:tcPr>
            <w:tcW w:w="0" w:type="auto"/>
            <w:shd w:val="clear" w:color="auto" w:fill="FFFFFF"/>
            <w:tcMar>
              <w:top w:w="40" w:type="dxa"/>
              <w:left w:w="0" w:type="dxa"/>
              <w:bottom w:w="40" w:type="dxa"/>
              <w:right w:w="20" w:type="dxa"/>
            </w:tcMar>
            <w:vAlign w:val="center"/>
          </w:tcPr>
          <w:p w14:paraId="35D09375" w14:textId="77777777" w:rsidR="00D42204" w:rsidRDefault="00D42204">
            <w:pPr>
              <w:jc w:val="right"/>
              <w:rPr>
                <w:rFonts w:ascii="宋体"/>
              </w:rPr>
            </w:pPr>
          </w:p>
        </w:tc>
      </w:tr>
      <w:tr w:rsidR="00D42204" w14:paraId="35D09387" w14:textId="77777777">
        <w:tc>
          <w:tcPr>
            <w:tcW w:w="0" w:type="auto"/>
            <w:gridSpan w:val="3"/>
            <w:shd w:val="clear" w:color="auto" w:fill="CCEEFF"/>
            <w:tcMar>
              <w:top w:w="40" w:type="dxa"/>
              <w:left w:w="20" w:type="dxa"/>
              <w:bottom w:w="40" w:type="dxa"/>
              <w:right w:w="20" w:type="dxa"/>
            </w:tcMar>
            <w:vAlign w:val="center"/>
          </w:tcPr>
          <w:p w14:paraId="35D09377" w14:textId="77777777" w:rsidR="00D42204" w:rsidRDefault="004E439D">
            <w:pPr>
              <w:textAlignment w:val="center"/>
            </w:pPr>
            <w:r>
              <w:rPr>
                <w:rFonts w:ascii="Times New Roman" w:eastAsia="宋体" w:hAnsi="Times New Roman"/>
                <w:color w:val="000000"/>
                <w:sz w:val="16"/>
                <w:szCs w:val="16"/>
              </w:rPr>
              <w:t>Nebraska</w:t>
            </w:r>
          </w:p>
        </w:tc>
        <w:tc>
          <w:tcPr>
            <w:tcW w:w="0" w:type="auto"/>
            <w:gridSpan w:val="3"/>
            <w:shd w:val="clear" w:color="auto" w:fill="CCEEFF"/>
            <w:tcMar>
              <w:top w:w="0" w:type="dxa"/>
              <w:left w:w="20" w:type="dxa"/>
              <w:bottom w:w="0" w:type="dxa"/>
              <w:right w:w="20" w:type="dxa"/>
            </w:tcMar>
            <w:vAlign w:val="bottom"/>
          </w:tcPr>
          <w:p w14:paraId="35D0937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79" w14:textId="77777777" w:rsidR="00D42204" w:rsidRDefault="004E439D">
            <w:pPr>
              <w:jc w:val="right"/>
              <w:textAlignment w:val="center"/>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center"/>
          </w:tcPr>
          <w:p w14:paraId="35D0937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7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7C"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937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7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7F" w14:textId="77777777" w:rsidR="00D42204" w:rsidRDefault="004E439D">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35D0938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8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82" w14:textId="77777777" w:rsidR="00D42204" w:rsidRDefault="004E439D">
            <w:pPr>
              <w:jc w:val="right"/>
              <w:textAlignment w:val="center"/>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center"/>
          </w:tcPr>
          <w:p w14:paraId="35D0938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8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85" w14:textId="77777777" w:rsidR="00D42204" w:rsidRDefault="004E439D">
            <w:pPr>
              <w:jc w:val="right"/>
              <w:textAlignment w:val="center"/>
            </w:pPr>
            <w:r>
              <w:rPr>
                <w:rFonts w:ascii="Times New Roman" w:eastAsia="宋体" w:hAnsi="Times New Roman"/>
                <w:color w:val="000000"/>
                <w:sz w:val="16"/>
                <w:szCs w:val="16"/>
              </w:rPr>
              <w:t>47 </w:t>
            </w:r>
          </w:p>
        </w:tc>
        <w:tc>
          <w:tcPr>
            <w:tcW w:w="0" w:type="auto"/>
            <w:shd w:val="clear" w:color="auto" w:fill="CCEEFF"/>
            <w:tcMar>
              <w:top w:w="40" w:type="dxa"/>
              <w:left w:w="0" w:type="dxa"/>
              <w:bottom w:w="40" w:type="dxa"/>
              <w:right w:w="20" w:type="dxa"/>
            </w:tcMar>
            <w:vAlign w:val="center"/>
          </w:tcPr>
          <w:p w14:paraId="35D09386" w14:textId="77777777" w:rsidR="00D42204" w:rsidRDefault="00D42204">
            <w:pPr>
              <w:jc w:val="right"/>
              <w:rPr>
                <w:rFonts w:ascii="宋体"/>
              </w:rPr>
            </w:pPr>
          </w:p>
        </w:tc>
      </w:tr>
      <w:tr w:rsidR="00D42204" w14:paraId="35D09398" w14:textId="77777777">
        <w:tc>
          <w:tcPr>
            <w:tcW w:w="0" w:type="auto"/>
            <w:gridSpan w:val="3"/>
            <w:shd w:val="clear" w:color="auto" w:fill="FFFFFF"/>
            <w:tcMar>
              <w:top w:w="40" w:type="dxa"/>
              <w:left w:w="20" w:type="dxa"/>
              <w:bottom w:w="40" w:type="dxa"/>
              <w:right w:w="20" w:type="dxa"/>
            </w:tcMar>
            <w:vAlign w:val="center"/>
          </w:tcPr>
          <w:p w14:paraId="35D09388" w14:textId="77777777" w:rsidR="00D42204" w:rsidRDefault="004E439D">
            <w:pPr>
              <w:textAlignment w:val="center"/>
            </w:pPr>
            <w:r>
              <w:rPr>
                <w:rFonts w:ascii="Times New Roman" w:eastAsia="宋体" w:hAnsi="Times New Roman"/>
                <w:color w:val="000000"/>
                <w:sz w:val="16"/>
                <w:szCs w:val="16"/>
              </w:rPr>
              <w:t>Nevada</w:t>
            </w:r>
          </w:p>
        </w:tc>
        <w:tc>
          <w:tcPr>
            <w:tcW w:w="0" w:type="auto"/>
            <w:gridSpan w:val="3"/>
            <w:shd w:val="clear" w:color="auto" w:fill="FFFFFF"/>
            <w:tcMar>
              <w:top w:w="0" w:type="dxa"/>
              <w:left w:w="20" w:type="dxa"/>
              <w:bottom w:w="0" w:type="dxa"/>
              <w:right w:w="20" w:type="dxa"/>
            </w:tcMar>
            <w:vAlign w:val="bottom"/>
          </w:tcPr>
          <w:p w14:paraId="35D0938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8A" w14:textId="77777777" w:rsidR="00D42204" w:rsidRDefault="004E439D">
            <w:pPr>
              <w:jc w:val="right"/>
              <w:textAlignment w:val="center"/>
            </w:pPr>
            <w:r>
              <w:rPr>
                <w:rFonts w:ascii="Times New Roman" w:eastAsia="宋体" w:hAnsi="Times New Roman"/>
                <w:color w:val="000000"/>
                <w:sz w:val="16"/>
                <w:szCs w:val="16"/>
              </w:rPr>
              <w:t>30 </w:t>
            </w:r>
          </w:p>
        </w:tc>
        <w:tc>
          <w:tcPr>
            <w:tcW w:w="0" w:type="auto"/>
            <w:shd w:val="clear" w:color="auto" w:fill="FFFFFF"/>
            <w:tcMar>
              <w:top w:w="40" w:type="dxa"/>
              <w:left w:w="0" w:type="dxa"/>
              <w:bottom w:w="40" w:type="dxa"/>
              <w:right w:w="20" w:type="dxa"/>
            </w:tcMar>
            <w:vAlign w:val="center"/>
          </w:tcPr>
          <w:p w14:paraId="35D0938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8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8D" w14:textId="77777777" w:rsidR="00D42204" w:rsidRDefault="004E439D">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35D0938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8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90" w14:textId="77777777" w:rsidR="00D42204" w:rsidRDefault="004E439D">
            <w:pPr>
              <w:jc w:val="right"/>
              <w:textAlignment w:val="center"/>
            </w:pPr>
            <w:r>
              <w:rPr>
                <w:rFonts w:ascii="Times New Roman" w:eastAsia="宋体" w:hAnsi="Times New Roman"/>
                <w:color w:val="000000"/>
                <w:sz w:val="16"/>
                <w:szCs w:val="16"/>
              </w:rPr>
              <w:t>11 </w:t>
            </w:r>
          </w:p>
        </w:tc>
        <w:tc>
          <w:tcPr>
            <w:tcW w:w="0" w:type="auto"/>
            <w:shd w:val="clear" w:color="auto" w:fill="FFFFFF"/>
            <w:tcMar>
              <w:top w:w="40" w:type="dxa"/>
              <w:left w:w="0" w:type="dxa"/>
              <w:bottom w:w="40" w:type="dxa"/>
              <w:right w:w="20" w:type="dxa"/>
            </w:tcMar>
            <w:vAlign w:val="center"/>
          </w:tcPr>
          <w:p w14:paraId="35D0939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9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93" w14:textId="77777777" w:rsidR="00D42204" w:rsidRDefault="004E439D">
            <w:pPr>
              <w:jc w:val="right"/>
              <w:textAlignment w:val="center"/>
            </w:pPr>
            <w:r>
              <w:rPr>
                <w:rFonts w:ascii="Times New Roman" w:eastAsia="宋体" w:hAnsi="Times New Roman"/>
                <w:color w:val="000000"/>
                <w:sz w:val="16"/>
                <w:szCs w:val="16"/>
              </w:rPr>
              <w:t>7 </w:t>
            </w:r>
          </w:p>
        </w:tc>
        <w:tc>
          <w:tcPr>
            <w:tcW w:w="0" w:type="auto"/>
            <w:shd w:val="clear" w:color="auto" w:fill="FFFFFF"/>
            <w:tcMar>
              <w:top w:w="40" w:type="dxa"/>
              <w:left w:w="0" w:type="dxa"/>
              <w:bottom w:w="40" w:type="dxa"/>
              <w:right w:w="20" w:type="dxa"/>
            </w:tcMar>
            <w:vAlign w:val="center"/>
          </w:tcPr>
          <w:p w14:paraId="35D0939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9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96" w14:textId="77777777" w:rsidR="00D42204" w:rsidRDefault="004E439D">
            <w:pPr>
              <w:jc w:val="right"/>
              <w:textAlignment w:val="center"/>
            </w:pPr>
            <w:r>
              <w:rPr>
                <w:rFonts w:ascii="Times New Roman" w:eastAsia="宋体" w:hAnsi="Times New Roman"/>
                <w:color w:val="000000"/>
                <w:sz w:val="16"/>
                <w:szCs w:val="16"/>
              </w:rPr>
              <w:t>50 </w:t>
            </w:r>
          </w:p>
        </w:tc>
        <w:tc>
          <w:tcPr>
            <w:tcW w:w="0" w:type="auto"/>
            <w:shd w:val="clear" w:color="auto" w:fill="FFFFFF"/>
            <w:tcMar>
              <w:top w:w="40" w:type="dxa"/>
              <w:left w:w="0" w:type="dxa"/>
              <w:bottom w:w="40" w:type="dxa"/>
              <w:right w:w="20" w:type="dxa"/>
            </w:tcMar>
            <w:vAlign w:val="center"/>
          </w:tcPr>
          <w:p w14:paraId="35D09397" w14:textId="77777777" w:rsidR="00D42204" w:rsidRDefault="00D42204">
            <w:pPr>
              <w:jc w:val="right"/>
              <w:rPr>
                <w:rFonts w:ascii="宋体"/>
              </w:rPr>
            </w:pPr>
          </w:p>
        </w:tc>
      </w:tr>
      <w:tr w:rsidR="00D42204" w14:paraId="35D093A9" w14:textId="77777777">
        <w:tc>
          <w:tcPr>
            <w:tcW w:w="0" w:type="auto"/>
            <w:gridSpan w:val="3"/>
            <w:shd w:val="clear" w:color="auto" w:fill="CCEEFF"/>
            <w:tcMar>
              <w:top w:w="40" w:type="dxa"/>
              <w:left w:w="20" w:type="dxa"/>
              <w:bottom w:w="40" w:type="dxa"/>
              <w:right w:w="20" w:type="dxa"/>
            </w:tcMar>
            <w:vAlign w:val="center"/>
          </w:tcPr>
          <w:p w14:paraId="35D09399" w14:textId="77777777" w:rsidR="00D42204" w:rsidRDefault="004E439D">
            <w:pPr>
              <w:textAlignment w:val="center"/>
            </w:pPr>
            <w:r>
              <w:rPr>
                <w:rFonts w:ascii="Times New Roman" w:eastAsia="宋体" w:hAnsi="Times New Roman"/>
                <w:color w:val="000000"/>
                <w:sz w:val="16"/>
                <w:szCs w:val="16"/>
              </w:rPr>
              <w:t>New Hampshire</w:t>
            </w:r>
          </w:p>
        </w:tc>
        <w:tc>
          <w:tcPr>
            <w:tcW w:w="0" w:type="auto"/>
            <w:gridSpan w:val="3"/>
            <w:shd w:val="clear" w:color="auto" w:fill="CCEEFF"/>
            <w:tcMar>
              <w:top w:w="0" w:type="dxa"/>
              <w:left w:w="20" w:type="dxa"/>
              <w:bottom w:w="0" w:type="dxa"/>
              <w:right w:w="20" w:type="dxa"/>
            </w:tcMar>
            <w:vAlign w:val="bottom"/>
          </w:tcPr>
          <w:p w14:paraId="35D0939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9B" w14:textId="77777777" w:rsidR="00D42204" w:rsidRDefault="004E439D">
            <w:pPr>
              <w:jc w:val="right"/>
              <w:textAlignment w:val="center"/>
            </w:pPr>
            <w:r>
              <w:rPr>
                <w:rFonts w:ascii="Times New Roman" w:eastAsia="宋体" w:hAnsi="Times New Roman"/>
                <w:color w:val="000000"/>
                <w:sz w:val="16"/>
                <w:szCs w:val="16"/>
              </w:rPr>
              <w:t>19 </w:t>
            </w:r>
          </w:p>
        </w:tc>
        <w:tc>
          <w:tcPr>
            <w:tcW w:w="0" w:type="auto"/>
            <w:shd w:val="clear" w:color="auto" w:fill="CCEEFF"/>
            <w:tcMar>
              <w:top w:w="40" w:type="dxa"/>
              <w:left w:w="0" w:type="dxa"/>
              <w:bottom w:w="40" w:type="dxa"/>
              <w:right w:w="20" w:type="dxa"/>
            </w:tcMar>
            <w:vAlign w:val="center"/>
          </w:tcPr>
          <w:p w14:paraId="35D0939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9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9E" w14:textId="77777777" w:rsidR="00D42204" w:rsidRDefault="004E439D">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35D0939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A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A1"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93A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A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A4" w14:textId="77777777" w:rsidR="00D42204" w:rsidRDefault="004E439D">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35D093A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A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A7" w14:textId="77777777" w:rsidR="00D42204" w:rsidRDefault="004E439D">
            <w:pPr>
              <w:jc w:val="right"/>
              <w:textAlignment w:val="center"/>
            </w:pPr>
            <w:r>
              <w:rPr>
                <w:rFonts w:ascii="Times New Roman" w:eastAsia="宋体" w:hAnsi="Times New Roman"/>
                <w:color w:val="000000"/>
                <w:sz w:val="16"/>
                <w:szCs w:val="16"/>
              </w:rPr>
              <w:t>28 </w:t>
            </w:r>
          </w:p>
        </w:tc>
        <w:tc>
          <w:tcPr>
            <w:tcW w:w="0" w:type="auto"/>
            <w:shd w:val="clear" w:color="auto" w:fill="CCEEFF"/>
            <w:tcMar>
              <w:top w:w="40" w:type="dxa"/>
              <w:left w:w="0" w:type="dxa"/>
              <w:bottom w:w="40" w:type="dxa"/>
              <w:right w:w="20" w:type="dxa"/>
            </w:tcMar>
            <w:vAlign w:val="center"/>
          </w:tcPr>
          <w:p w14:paraId="35D093A8" w14:textId="77777777" w:rsidR="00D42204" w:rsidRDefault="00D42204">
            <w:pPr>
              <w:jc w:val="right"/>
              <w:rPr>
                <w:rFonts w:ascii="宋体"/>
              </w:rPr>
            </w:pPr>
          </w:p>
        </w:tc>
      </w:tr>
      <w:tr w:rsidR="00D42204" w14:paraId="35D093BA" w14:textId="77777777">
        <w:tc>
          <w:tcPr>
            <w:tcW w:w="0" w:type="auto"/>
            <w:gridSpan w:val="3"/>
            <w:shd w:val="clear" w:color="auto" w:fill="FFFFFF"/>
            <w:tcMar>
              <w:top w:w="40" w:type="dxa"/>
              <w:left w:w="20" w:type="dxa"/>
              <w:bottom w:w="40" w:type="dxa"/>
              <w:right w:w="20" w:type="dxa"/>
            </w:tcMar>
            <w:vAlign w:val="center"/>
          </w:tcPr>
          <w:p w14:paraId="35D093AA" w14:textId="77777777" w:rsidR="00D42204" w:rsidRDefault="004E439D">
            <w:pPr>
              <w:textAlignment w:val="center"/>
            </w:pPr>
            <w:r>
              <w:rPr>
                <w:rFonts w:ascii="Times New Roman" w:eastAsia="宋体" w:hAnsi="Times New Roman"/>
                <w:color w:val="000000"/>
                <w:sz w:val="16"/>
                <w:szCs w:val="16"/>
              </w:rPr>
              <w:t>New Jersey</w:t>
            </w:r>
          </w:p>
        </w:tc>
        <w:tc>
          <w:tcPr>
            <w:tcW w:w="0" w:type="auto"/>
            <w:gridSpan w:val="3"/>
            <w:shd w:val="clear" w:color="auto" w:fill="FFFFFF"/>
            <w:tcMar>
              <w:top w:w="0" w:type="dxa"/>
              <w:left w:w="20" w:type="dxa"/>
              <w:bottom w:w="0" w:type="dxa"/>
              <w:right w:w="20" w:type="dxa"/>
            </w:tcMar>
            <w:vAlign w:val="bottom"/>
          </w:tcPr>
          <w:p w14:paraId="35D093A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AC" w14:textId="77777777" w:rsidR="00D42204" w:rsidRDefault="004E439D">
            <w:pPr>
              <w:jc w:val="right"/>
              <w:textAlignment w:val="center"/>
            </w:pPr>
            <w:r>
              <w:rPr>
                <w:rFonts w:ascii="Times New Roman" w:eastAsia="宋体" w:hAnsi="Times New Roman"/>
                <w:color w:val="000000"/>
                <w:sz w:val="16"/>
                <w:szCs w:val="16"/>
              </w:rPr>
              <w:t>35 </w:t>
            </w:r>
          </w:p>
        </w:tc>
        <w:tc>
          <w:tcPr>
            <w:tcW w:w="0" w:type="auto"/>
            <w:shd w:val="clear" w:color="auto" w:fill="FFFFFF"/>
            <w:tcMar>
              <w:top w:w="40" w:type="dxa"/>
              <w:left w:w="0" w:type="dxa"/>
              <w:bottom w:w="40" w:type="dxa"/>
              <w:right w:w="20" w:type="dxa"/>
            </w:tcMar>
            <w:vAlign w:val="center"/>
          </w:tcPr>
          <w:p w14:paraId="35D093A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A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AF" w14:textId="77777777" w:rsidR="00D42204" w:rsidRDefault="004E439D">
            <w:pPr>
              <w:jc w:val="right"/>
              <w:textAlignment w:val="center"/>
            </w:pPr>
            <w:r>
              <w:rPr>
                <w:rFonts w:ascii="Times New Roman" w:eastAsia="宋体" w:hAnsi="Times New Roman"/>
                <w:color w:val="000000"/>
                <w:sz w:val="16"/>
                <w:szCs w:val="16"/>
              </w:rPr>
              <w:t>27 </w:t>
            </w:r>
          </w:p>
        </w:tc>
        <w:tc>
          <w:tcPr>
            <w:tcW w:w="0" w:type="auto"/>
            <w:shd w:val="clear" w:color="auto" w:fill="FFFFFF"/>
            <w:tcMar>
              <w:top w:w="40" w:type="dxa"/>
              <w:left w:w="0" w:type="dxa"/>
              <w:bottom w:w="40" w:type="dxa"/>
              <w:right w:w="20" w:type="dxa"/>
            </w:tcMar>
            <w:vAlign w:val="center"/>
          </w:tcPr>
          <w:p w14:paraId="35D093B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B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B2" w14:textId="77777777" w:rsidR="00D42204" w:rsidRDefault="004E439D">
            <w:pPr>
              <w:jc w:val="right"/>
              <w:textAlignment w:val="center"/>
            </w:pPr>
            <w:r>
              <w:rPr>
                <w:rFonts w:ascii="Times New Roman" w:eastAsia="宋体" w:hAnsi="Times New Roman"/>
                <w:color w:val="000000"/>
                <w:sz w:val="16"/>
                <w:szCs w:val="16"/>
              </w:rPr>
              <w:t>1 </w:t>
            </w:r>
          </w:p>
        </w:tc>
        <w:tc>
          <w:tcPr>
            <w:tcW w:w="0" w:type="auto"/>
            <w:shd w:val="clear" w:color="auto" w:fill="FFFFFF"/>
            <w:tcMar>
              <w:top w:w="40" w:type="dxa"/>
              <w:left w:w="0" w:type="dxa"/>
              <w:bottom w:w="40" w:type="dxa"/>
              <w:right w:w="20" w:type="dxa"/>
            </w:tcMar>
            <w:vAlign w:val="center"/>
          </w:tcPr>
          <w:p w14:paraId="35D093B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B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B5" w14:textId="77777777" w:rsidR="00D42204" w:rsidRDefault="004E439D">
            <w:pPr>
              <w:jc w:val="right"/>
              <w:textAlignment w:val="center"/>
            </w:pPr>
            <w:r>
              <w:rPr>
                <w:rFonts w:ascii="Times New Roman" w:eastAsia="宋体" w:hAnsi="Times New Roman"/>
                <w:color w:val="000000"/>
                <w:sz w:val="16"/>
                <w:szCs w:val="16"/>
              </w:rPr>
              <w:t>8 </w:t>
            </w:r>
          </w:p>
        </w:tc>
        <w:tc>
          <w:tcPr>
            <w:tcW w:w="0" w:type="auto"/>
            <w:shd w:val="clear" w:color="auto" w:fill="FFFFFF"/>
            <w:tcMar>
              <w:top w:w="40" w:type="dxa"/>
              <w:left w:w="0" w:type="dxa"/>
              <w:bottom w:w="40" w:type="dxa"/>
              <w:right w:w="20" w:type="dxa"/>
            </w:tcMar>
            <w:vAlign w:val="center"/>
          </w:tcPr>
          <w:p w14:paraId="35D093B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B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B8" w14:textId="77777777" w:rsidR="00D42204" w:rsidRDefault="004E439D">
            <w:pPr>
              <w:jc w:val="right"/>
              <w:textAlignment w:val="center"/>
            </w:pPr>
            <w:r>
              <w:rPr>
                <w:rFonts w:ascii="Times New Roman" w:eastAsia="宋体" w:hAnsi="Times New Roman"/>
                <w:color w:val="000000"/>
                <w:sz w:val="16"/>
                <w:szCs w:val="16"/>
              </w:rPr>
              <w:t>71 </w:t>
            </w:r>
          </w:p>
        </w:tc>
        <w:tc>
          <w:tcPr>
            <w:tcW w:w="0" w:type="auto"/>
            <w:shd w:val="clear" w:color="auto" w:fill="FFFFFF"/>
            <w:tcMar>
              <w:top w:w="40" w:type="dxa"/>
              <w:left w:w="0" w:type="dxa"/>
              <w:bottom w:w="40" w:type="dxa"/>
              <w:right w:w="20" w:type="dxa"/>
            </w:tcMar>
            <w:vAlign w:val="center"/>
          </w:tcPr>
          <w:p w14:paraId="35D093B9" w14:textId="77777777" w:rsidR="00D42204" w:rsidRDefault="00D42204">
            <w:pPr>
              <w:jc w:val="right"/>
              <w:rPr>
                <w:rFonts w:ascii="宋体"/>
              </w:rPr>
            </w:pPr>
          </w:p>
        </w:tc>
      </w:tr>
      <w:tr w:rsidR="00D42204" w14:paraId="35D093CB" w14:textId="77777777">
        <w:tc>
          <w:tcPr>
            <w:tcW w:w="0" w:type="auto"/>
            <w:gridSpan w:val="3"/>
            <w:shd w:val="clear" w:color="auto" w:fill="CCEEFF"/>
            <w:tcMar>
              <w:top w:w="40" w:type="dxa"/>
              <w:left w:w="20" w:type="dxa"/>
              <w:bottom w:w="40" w:type="dxa"/>
              <w:right w:w="20" w:type="dxa"/>
            </w:tcMar>
            <w:vAlign w:val="center"/>
          </w:tcPr>
          <w:p w14:paraId="35D093BB" w14:textId="77777777" w:rsidR="00D42204" w:rsidRDefault="004E439D">
            <w:pPr>
              <w:textAlignment w:val="center"/>
            </w:pPr>
            <w:r>
              <w:rPr>
                <w:rFonts w:ascii="Times New Roman" w:eastAsia="宋体" w:hAnsi="Times New Roman"/>
                <w:color w:val="000000"/>
                <w:sz w:val="16"/>
                <w:szCs w:val="16"/>
              </w:rPr>
              <w:t>New Mexico</w:t>
            </w:r>
          </w:p>
        </w:tc>
        <w:tc>
          <w:tcPr>
            <w:tcW w:w="0" w:type="auto"/>
            <w:gridSpan w:val="3"/>
            <w:shd w:val="clear" w:color="auto" w:fill="CCEEFF"/>
            <w:tcMar>
              <w:top w:w="0" w:type="dxa"/>
              <w:left w:w="20" w:type="dxa"/>
              <w:bottom w:w="0" w:type="dxa"/>
              <w:right w:w="20" w:type="dxa"/>
            </w:tcMar>
            <w:vAlign w:val="bottom"/>
          </w:tcPr>
          <w:p w14:paraId="35D093B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BD" w14:textId="77777777" w:rsidR="00D42204" w:rsidRDefault="004E439D">
            <w:pPr>
              <w:jc w:val="right"/>
              <w:textAlignment w:val="center"/>
            </w:pPr>
            <w:r>
              <w:rPr>
                <w:rFonts w:ascii="Times New Roman" w:eastAsia="宋体" w:hAnsi="Times New Roman"/>
                <w:color w:val="000000"/>
                <w:sz w:val="16"/>
                <w:szCs w:val="16"/>
              </w:rPr>
              <w:t>35 </w:t>
            </w:r>
          </w:p>
        </w:tc>
        <w:tc>
          <w:tcPr>
            <w:tcW w:w="0" w:type="auto"/>
            <w:shd w:val="clear" w:color="auto" w:fill="CCEEFF"/>
            <w:tcMar>
              <w:top w:w="40" w:type="dxa"/>
              <w:left w:w="0" w:type="dxa"/>
              <w:bottom w:w="40" w:type="dxa"/>
              <w:right w:w="20" w:type="dxa"/>
            </w:tcMar>
            <w:vAlign w:val="center"/>
          </w:tcPr>
          <w:p w14:paraId="35D093B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B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C0" w14:textId="77777777" w:rsidR="00D42204" w:rsidRDefault="004E439D">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35D093C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C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C3" w14:textId="77777777" w:rsidR="00D42204" w:rsidRDefault="004E439D">
            <w:pPr>
              <w:jc w:val="right"/>
              <w:textAlignment w:val="center"/>
            </w:pPr>
            <w:r>
              <w:rPr>
                <w:rFonts w:ascii="Times New Roman" w:eastAsia="宋体" w:hAnsi="Times New Roman"/>
                <w:color w:val="000000"/>
                <w:sz w:val="16"/>
                <w:szCs w:val="16"/>
              </w:rPr>
              <w:t>9 </w:t>
            </w:r>
          </w:p>
        </w:tc>
        <w:tc>
          <w:tcPr>
            <w:tcW w:w="0" w:type="auto"/>
            <w:shd w:val="clear" w:color="auto" w:fill="CCEEFF"/>
            <w:tcMar>
              <w:top w:w="40" w:type="dxa"/>
              <w:left w:w="0" w:type="dxa"/>
              <w:bottom w:w="40" w:type="dxa"/>
              <w:right w:w="20" w:type="dxa"/>
            </w:tcMar>
            <w:vAlign w:val="center"/>
          </w:tcPr>
          <w:p w14:paraId="35D093C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C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C6" w14:textId="77777777" w:rsidR="00D42204" w:rsidRDefault="004E439D">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35D093C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C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C9" w14:textId="77777777" w:rsidR="00D42204" w:rsidRDefault="004E439D">
            <w:pPr>
              <w:jc w:val="right"/>
              <w:textAlignment w:val="center"/>
            </w:pPr>
            <w:r>
              <w:rPr>
                <w:rFonts w:ascii="Times New Roman" w:eastAsia="宋体" w:hAnsi="Times New Roman"/>
                <w:color w:val="000000"/>
                <w:sz w:val="16"/>
                <w:szCs w:val="16"/>
              </w:rPr>
              <w:t>53 </w:t>
            </w:r>
          </w:p>
        </w:tc>
        <w:tc>
          <w:tcPr>
            <w:tcW w:w="0" w:type="auto"/>
            <w:shd w:val="clear" w:color="auto" w:fill="CCEEFF"/>
            <w:tcMar>
              <w:top w:w="40" w:type="dxa"/>
              <w:left w:w="0" w:type="dxa"/>
              <w:bottom w:w="40" w:type="dxa"/>
              <w:right w:w="20" w:type="dxa"/>
            </w:tcMar>
            <w:vAlign w:val="center"/>
          </w:tcPr>
          <w:p w14:paraId="35D093CA" w14:textId="77777777" w:rsidR="00D42204" w:rsidRDefault="00D42204">
            <w:pPr>
              <w:jc w:val="right"/>
              <w:rPr>
                <w:rFonts w:ascii="宋体"/>
              </w:rPr>
            </w:pPr>
          </w:p>
        </w:tc>
      </w:tr>
      <w:tr w:rsidR="00D42204" w14:paraId="35D093DC" w14:textId="77777777">
        <w:tc>
          <w:tcPr>
            <w:tcW w:w="0" w:type="auto"/>
            <w:gridSpan w:val="3"/>
            <w:shd w:val="clear" w:color="auto" w:fill="FFFFFF"/>
            <w:tcMar>
              <w:top w:w="40" w:type="dxa"/>
              <w:left w:w="20" w:type="dxa"/>
              <w:bottom w:w="40" w:type="dxa"/>
              <w:right w:w="20" w:type="dxa"/>
            </w:tcMar>
            <w:vAlign w:val="center"/>
          </w:tcPr>
          <w:p w14:paraId="35D093CC" w14:textId="77777777" w:rsidR="00D42204" w:rsidRDefault="004E439D">
            <w:pPr>
              <w:textAlignment w:val="center"/>
            </w:pPr>
            <w:r>
              <w:rPr>
                <w:rFonts w:ascii="Times New Roman" w:eastAsia="宋体" w:hAnsi="Times New Roman"/>
                <w:color w:val="000000"/>
                <w:sz w:val="16"/>
                <w:szCs w:val="16"/>
              </w:rPr>
              <w:t>New York</w:t>
            </w:r>
          </w:p>
        </w:tc>
        <w:tc>
          <w:tcPr>
            <w:tcW w:w="0" w:type="auto"/>
            <w:gridSpan w:val="3"/>
            <w:shd w:val="clear" w:color="auto" w:fill="FFFFFF"/>
            <w:tcMar>
              <w:top w:w="0" w:type="dxa"/>
              <w:left w:w="20" w:type="dxa"/>
              <w:bottom w:w="0" w:type="dxa"/>
              <w:right w:w="20" w:type="dxa"/>
            </w:tcMar>
            <w:vAlign w:val="bottom"/>
          </w:tcPr>
          <w:p w14:paraId="35D093C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CE" w14:textId="77777777" w:rsidR="00D42204" w:rsidRDefault="004E439D">
            <w:pPr>
              <w:jc w:val="right"/>
              <w:textAlignment w:val="center"/>
            </w:pPr>
            <w:r>
              <w:rPr>
                <w:rFonts w:ascii="Times New Roman" w:eastAsia="宋体" w:hAnsi="Times New Roman"/>
                <w:color w:val="000000"/>
                <w:sz w:val="16"/>
                <w:szCs w:val="16"/>
              </w:rPr>
              <w:t>81 </w:t>
            </w:r>
          </w:p>
        </w:tc>
        <w:tc>
          <w:tcPr>
            <w:tcW w:w="0" w:type="auto"/>
            <w:shd w:val="clear" w:color="auto" w:fill="FFFFFF"/>
            <w:tcMar>
              <w:top w:w="40" w:type="dxa"/>
              <w:left w:w="0" w:type="dxa"/>
              <w:bottom w:w="40" w:type="dxa"/>
              <w:right w:w="20" w:type="dxa"/>
            </w:tcMar>
            <w:vAlign w:val="center"/>
          </w:tcPr>
          <w:p w14:paraId="35D093C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D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D1" w14:textId="77777777" w:rsidR="00D42204" w:rsidRDefault="004E439D">
            <w:pPr>
              <w:jc w:val="right"/>
              <w:textAlignment w:val="center"/>
            </w:pPr>
            <w:r>
              <w:rPr>
                <w:rFonts w:ascii="Times New Roman" w:eastAsia="宋体" w:hAnsi="Times New Roman"/>
                <w:color w:val="000000"/>
                <w:sz w:val="16"/>
                <w:szCs w:val="16"/>
              </w:rPr>
              <w:t>17 </w:t>
            </w:r>
          </w:p>
        </w:tc>
        <w:tc>
          <w:tcPr>
            <w:tcW w:w="0" w:type="auto"/>
            <w:shd w:val="clear" w:color="auto" w:fill="FFFFFF"/>
            <w:tcMar>
              <w:top w:w="40" w:type="dxa"/>
              <w:left w:w="0" w:type="dxa"/>
              <w:bottom w:w="40" w:type="dxa"/>
              <w:right w:w="20" w:type="dxa"/>
            </w:tcMar>
            <w:vAlign w:val="center"/>
          </w:tcPr>
          <w:p w14:paraId="35D093D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D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D4" w14:textId="77777777" w:rsidR="00D42204" w:rsidRDefault="004E439D">
            <w:pPr>
              <w:jc w:val="right"/>
              <w:textAlignment w:val="center"/>
            </w:pPr>
            <w:r>
              <w:rPr>
                <w:rFonts w:ascii="Times New Roman" w:eastAsia="宋体" w:hAnsi="Times New Roman"/>
                <w:color w:val="000000"/>
                <w:sz w:val="16"/>
                <w:szCs w:val="16"/>
              </w:rPr>
              <w:t>10 </w:t>
            </w:r>
          </w:p>
        </w:tc>
        <w:tc>
          <w:tcPr>
            <w:tcW w:w="0" w:type="auto"/>
            <w:shd w:val="clear" w:color="auto" w:fill="FFFFFF"/>
            <w:tcMar>
              <w:top w:w="40" w:type="dxa"/>
              <w:left w:w="0" w:type="dxa"/>
              <w:bottom w:w="40" w:type="dxa"/>
              <w:right w:w="20" w:type="dxa"/>
            </w:tcMar>
            <w:vAlign w:val="center"/>
          </w:tcPr>
          <w:p w14:paraId="35D093D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D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D7" w14:textId="77777777" w:rsidR="00D42204" w:rsidRDefault="004E439D">
            <w:pPr>
              <w:jc w:val="right"/>
              <w:textAlignment w:val="center"/>
            </w:pPr>
            <w:r>
              <w:rPr>
                <w:rFonts w:ascii="Times New Roman" w:eastAsia="宋体" w:hAnsi="Times New Roman"/>
                <w:color w:val="000000"/>
                <w:sz w:val="16"/>
                <w:szCs w:val="16"/>
              </w:rPr>
              <w:t>12 </w:t>
            </w:r>
          </w:p>
        </w:tc>
        <w:tc>
          <w:tcPr>
            <w:tcW w:w="0" w:type="auto"/>
            <w:shd w:val="clear" w:color="auto" w:fill="FFFFFF"/>
            <w:tcMar>
              <w:top w:w="40" w:type="dxa"/>
              <w:left w:w="0" w:type="dxa"/>
              <w:bottom w:w="40" w:type="dxa"/>
              <w:right w:w="20" w:type="dxa"/>
            </w:tcMar>
            <w:vAlign w:val="center"/>
          </w:tcPr>
          <w:p w14:paraId="35D093D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D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DA" w14:textId="77777777" w:rsidR="00D42204" w:rsidRDefault="004E439D">
            <w:pPr>
              <w:jc w:val="right"/>
              <w:textAlignment w:val="center"/>
            </w:pPr>
            <w:r>
              <w:rPr>
                <w:rFonts w:ascii="Times New Roman" w:eastAsia="宋体" w:hAnsi="Times New Roman"/>
                <w:color w:val="000000"/>
                <w:sz w:val="16"/>
                <w:szCs w:val="16"/>
              </w:rPr>
              <w:t>120 </w:t>
            </w:r>
          </w:p>
        </w:tc>
        <w:tc>
          <w:tcPr>
            <w:tcW w:w="0" w:type="auto"/>
            <w:shd w:val="clear" w:color="auto" w:fill="FFFFFF"/>
            <w:tcMar>
              <w:top w:w="40" w:type="dxa"/>
              <w:left w:w="0" w:type="dxa"/>
              <w:bottom w:w="40" w:type="dxa"/>
              <w:right w:w="20" w:type="dxa"/>
            </w:tcMar>
            <w:vAlign w:val="center"/>
          </w:tcPr>
          <w:p w14:paraId="35D093DB" w14:textId="77777777" w:rsidR="00D42204" w:rsidRDefault="00D42204">
            <w:pPr>
              <w:jc w:val="right"/>
              <w:rPr>
                <w:rFonts w:ascii="宋体"/>
              </w:rPr>
            </w:pPr>
          </w:p>
        </w:tc>
      </w:tr>
      <w:tr w:rsidR="00D42204" w14:paraId="35D093ED" w14:textId="77777777">
        <w:tc>
          <w:tcPr>
            <w:tcW w:w="0" w:type="auto"/>
            <w:gridSpan w:val="3"/>
            <w:shd w:val="clear" w:color="auto" w:fill="CCEEFF"/>
            <w:tcMar>
              <w:top w:w="40" w:type="dxa"/>
              <w:left w:w="20" w:type="dxa"/>
              <w:bottom w:w="40" w:type="dxa"/>
              <w:right w:w="20" w:type="dxa"/>
            </w:tcMar>
            <w:vAlign w:val="center"/>
          </w:tcPr>
          <w:p w14:paraId="35D093DD" w14:textId="77777777" w:rsidR="00D42204" w:rsidRDefault="004E439D">
            <w:pPr>
              <w:textAlignment w:val="center"/>
            </w:pPr>
            <w:r>
              <w:rPr>
                <w:rFonts w:ascii="Times New Roman" w:eastAsia="宋体" w:hAnsi="Times New Roman"/>
                <w:color w:val="000000"/>
                <w:sz w:val="16"/>
                <w:szCs w:val="16"/>
              </w:rPr>
              <w:t>North Carolina</w:t>
            </w:r>
          </w:p>
        </w:tc>
        <w:tc>
          <w:tcPr>
            <w:tcW w:w="0" w:type="auto"/>
            <w:gridSpan w:val="3"/>
            <w:shd w:val="clear" w:color="auto" w:fill="CCEEFF"/>
            <w:tcMar>
              <w:top w:w="0" w:type="dxa"/>
              <w:left w:w="20" w:type="dxa"/>
              <w:bottom w:w="0" w:type="dxa"/>
              <w:right w:w="20" w:type="dxa"/>
            </w:tcMar>
            <w:vAlign w:val="bottom"/>
          </w:tcPr>
          <w:p w14:paraId="35D093D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DF" w14:textId="77777777" w:rsidR="00D42204" w:rsidRDefault="004E439D">
            <w:pPr>
              <w:jc w:val="right"/>
              <w:textAlignment w:val="center"/>
            </w:pPr>
            <w:r>
              <w:rPr>
                <w:rFonts w:ascii="Times New Roman" w:eastAsia="宋体" w:hAnsi="Times New Roman"/>
                <w:color w:val="000000"/>
                <w:sz w:val="16"/>
                <w:szCs w:val="16"/>
              </w:rPr>
              <w:t>143 </w:t>
            </w:r>
          </w:p>
        </w:tc>
        <w:tc>
          <w:tcPr>
            <w:tcW w:w="0" w:type="auto"/>
            <w:shd w:val="clear" w:color="auto" w:fill="CCEEFF"/>
            <w:tcMar>
              <w:top w:w="40" w:type="dxa"/>
              <w:left w:w="0" w:type="dxa"/>
              <w:bottom w:w="40" w:type="dxa"/>
              <w:right w:w="20" w:type="dxa"/>
            </w:tcMar>
            <w:vAlign w:val="center"/>
          </w:tcPr>
          <w:p w14:paraId="35D093E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E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E2" w14:textId="77777777" w:rsidR="00D42204" w:rsidRDefault="004E439D">
            <w:pPr>
              <w:jc w:val="right"/>
              <w:textAlignment w:val="center"/>
            </w:pPr>
            <w:r>
              <w:rPr>
                <w:rFonts w:ascii="Times New Roman" w:eastAsia="宋体" w:hAnsi="Times New Roman"/>
                <w:color w:val="000000"/>
                <w:sz w:val="16"/>
                <w:szCs w:val="16"/>
              </w:rPr>
              <w:t>6 </w:t>
            </w:r>
          </w:p>
        </w:tc>
        <w:tc>
          <w:tcPr>
            <w:tcW w:w="0" w:type="auto"/>
            <w:shd w:val="clear" w:color="auto" w:fill="CCEEFF"/>
            <w:tcMar>
              <w:top w:w="40" w:type="dxa"/>
              <w:left w:w="0" w:type="dxa"/>
              <w:bottom w:w="40" w:type="dxa"/>
              <w:right w:w="20" w:type="dxa"/>
            </w:tcMar>
            <w:vAlign w:val="center"/>
          </w:tcPr>
          <w:p w14:paraId="35D093E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E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E5" w14:textId="77777777" w:rsidR="00D42204" w:rsidRDefault="004E439D">
            <w:pPr>
              <w:jc w:val="right"/>
              <w:textAlignment w:val="center"/>
            </w:pPr>
            <w:r>
              <w:rPr>
                <w:rFonts w:ascii="Times New Roman" w:eastAsia="宋体" w:hAnsi="Times New Roman"/>
                <w:color w:val="000000"/>
                <w:sz w:val="16"/>
                <w:szCs w:val="16"/>
              </w:rPr>
              <w:t>45 </w:t>
            </w:r>
          </w:p>
        </w:tc>
        <w:tc>
          <w:tcPr>
            <w:tcW w:w="0" w:type="auto"/>
            <w:shd w:val="clear" w:color="auto" w:fill="CCEEFF"/>
            <w:tcMar>
              <w:top w:w="40" w:type="dxa"/>
              <w:left w:w="0" w:type="dxa"/>
              <w:bottom w:w="40" w:type="dxa"/>
              <w:right w:w="20" w:type="dxa"/>
            </w:tcMar>
            <w:vAlign w:val="center"/>
          </w:tcPr>
          <w:p w14:paraId="35D093E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E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E8" w14:textId="77777777" w:rsidR="00D42204" w:rsidRDefault="004E439D">
            <w:pPr>
              <w:jc w:val="right"/>
              <w:textAlignment w:val="center"/>
            </w:pPr>
            <w:r>
              <w:rPr>
                <w:rFonts w:ascii="Times New Roman" w:eastAsia="宋体" w:hAnsi="Times New Roman"/>
                <w:color w:val="000000"/>
                <w:sz w:val="16"/>
                <w:szCs w:val="16"/>
              </w:rPr>
              <w:t>22 </w:t>
            </w:r>
          </w:p>
        </w:tc>
        <w:tc>
          <w:tcPr>
            <w:tcW w:w="0" w:type="auto"/>
            <w:shd w:val="clear" w:color="auto" w:fill="CCEEFF"/>
            <w:tcMar>
              <w:top w:w="40" w:type="dxa"/>
              <w:left w:w="0" w:type="dxa"/>
              <w:bottom w:w="40" w:type="dxa"/>
              <w:right w:w="20" w:type="dxa"/>
            </w:tcMar>
            <w:vAlign w:val="center"/>
          </w:tcPr>
          <w:p w14:paraId="35D093E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3E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3EB" w14:textId="77777777" w:rsidR="00D42204" w:rsidRDefault="004E439D">
            <w:pPr>
              <w:jc w:val="right"/>
              <w:textAlignment w:val="center"/>
            </w:pPr>
            <w:r>
              <w:rPr>
                <w:rFonts w:ascii="Times New Roman" w:eastAsia="宋体" w:hAnsi="Times New Roman"/>
                <w:color w:val="000000"/>
                <w:sz w:val="16"/>
                <w:szCs w:val="16"/>
              </w:rPr>
              <w:t>216 </w:t>
            </w:r>
          </w:p>
        </w:tc>
        <w:tc>
          <w:tcPr>
            <w:tcW w:w="0" w:type="auto"/>
            <w:shd w:val="clear" w:color="auto" w:fill="CCEEFF"/>
            <w:tcMar>
              <w:top w:w="40" w:type="dxa"/>
              <w:left w:w="0" w:type="dxa"/>
              <w:bottom w:w="40" w:type="dxa"/>
              <w:right w:w="20" w:type="dxa"/>
            </w:tcMar>
            <w:vAlign w:val="center"/>
          </w:tcPr>
          <w:p w14:paraId="35D093EC" w14:textId="77777777" w:rsidR="00D42204" w:rsidRDefault="00D42204">
            <w:pPr>
              <w:jc w:val="right"/>
              <w:rPr>
                <w:rFonts w:ascii="宋体"/>
              </w:rPr>
            </w:pPr>
          </w:p>
        </w:tc>
      </w:tr>
      <w:tr w:rsidR="00D42204" w14:paraId="35D093FE" w14:textId="77777777">
        <w:tc>
          <w:tcPr>
            <w:tcW w:w="0" w:type="auto"/>
            <w:gridSpan w:val="3"/>
            <w:shd w:val="clear" w:color="auto" w:fill="FFFFFF"/>
            <w:tcMar>
              <w:top w:w="40" w:type="dxa"/>
              <w:left w:w="20" w:type="dxa"/>
              <w:bottom w:w="40" w:type="dxa"/>
              <w:right w:w="20" w:type="dxa"/>
            </w:tcMar>
            <w:vAlign w:val="center"/>
          </w:tcPr>
          <w:p w14:paraId="35D093EE" w14:textId="77777777" w:rsidR="00D42204" w:rsidRDefault="004E439D">
            <w:pPr>
              <w:textAlignment w:val="center"/>
            </w:pPr>
            <w:r>
              <w:rPr>
                <w:rFonts w:ascii="Times New Roman" w:eastAsia="宋体" w:hAnsi="Times New Roman"/>
                <w:color w:val="000000"/>
                <w:sz w:val="16"/>
                <w:szCs w:val="16"/>
              </w:rPr>
              <w:t>North Dakota</w:t>
            </w:r>
          </w:p>
        </w:tc>
        <w:tc>
          <w:tcPr>
            <w:tcW w:w="0" w:type="auto"/>
            <w:gridSpan w:val="3"/>
            <w:shd w:val="clear" w:color="auto" w:fill="FFFFFF"/>
            <w:tcMar>
              <w:top w:w="0" w:type="dxa"/>
              <w:left w:w="20" w:type="dxa"/>
              <w:bottom w:w="0" w:type="dxa"/>
              <w:right w:w="20" w:type="dxa"/>
            </w:tcMar>
            <w:vAlign w:val="bottom"/>
          </w:tcPr>
          <w:p w14:paraId="35D093E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F0" w14:textId="77777777" w:rsidR="00D42204" w:rsidRDefault="004E439D">
            <w:pPr>
              <w:jc w:val="right"/>
              <w:textAlignment w:val="center"/>
            </w:pPr>
            <w:r>
              <w:rPr>
                <w:rFonts w:ascii="Times New Roman" w:eastAsia="宋体" w:hAnsi="Times New Roman"/>
                <w:color w:val="000000"/>
                <w:sz w:val="16"/>
                <w:szCs w:val="16"/>
              </w:rPr>
              <w:t>14 </w:t>
            </w:r>
          </w:p>
        </w:tc>
        <w:tc>
          <w:tcPr>
            <w:tcW w:w="0" w:type="auto"/>
            <w:shd w:val="clear" w:color="auto" w:fill="FFFFFF"/>
            <w:tcMar>
              <w:top w:w="40" w:type="dxa"/>
              <w:left w:w="0" w:type="dxa"/>
              <w:bottom w:w="40" w:type="dxa"/>
              <w:right w:w="20" w:type="dxa"/>
            </w:tcMar>
            <w:vAlign w:val="center"/>
          </w:tcPr>
          <w:p w14:paraId="35D093F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F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F3"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3F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F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F6"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3F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F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F9" w14:textId="77777777" w:rsidR="00D42204" w:rsidRDefault="004E439D">
            <w:pPr>
              <w:jc w:val="right"/>
              <w:textAlignment w:val="center"/>
            </w:pPr>
            <w:r>
              <w:rPr>
                <w:rFonts w:ascii="Times New Roman" w:eastAsia="宋体" w:hAnsi="Times New Roman"/>
                <w:color w:val="000000"/>
                <w:sz w:val="16"/>
                <w:szCs w:val="16"/>
              </w:rPr>
              <w:t>3 </w:t>
            </w:r>
          </w:p>
        </w:tc>
        <w:tc>
          <w:tcPr>
            <w:tcW w:w="0" w:type="auto"/>
            <w:shd w:val="clear" w:color="auto" w:fill="FFFFFF"/>
            <w:tcMar>
              <w:top w:w="40" w:type="dxa"/>
              <w:left w:w="0" w:type="dxa"/>
              <w:bottom w:w="40" w:type="dxa"/>
              <w:right w:w="20" w:type="dxa"/>
            </w:tcMar>
            <w:vAlign w:val="center"/>
          </w:tcPr>
          <w:p w14:paraId="35D093F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3F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3FC" w14:textId="77777777" w:rsidR="00D42204" w:rsidRDefault="004E439D">
            <w:pPr>
              <w:jc w:val="right"/>
              <w:textAlignment w:val="center"/>
            </w:pPr>
            <w:r>
              <w:rPr>
                <w:rFonts w:ascii="Times New Roman" w:eastAsia="宋体" w:hAnsi="Times New Roman"/>
                <w:color w:val="000000"/>
                <w:sz w:val="16"/>
                <w:szCs w:val="16"/>
              </w:rPr>
              <w:t>17 </w:t>
            </w:r>
          </w:p>
        </w:tc>
        <w:tc>
          <w:tcPr>
            <w:tcW w:w="0" w:type="auto"/>
            <w:shd w:val="clear" w:color="auto" w:fill="FFFFFF"/>
            <w:tcMar>
              <w:top w:w="40" w:type="dxa"/>
              <w:left w:w="0" w:type="dxa"/>
              <w:bottom w:w="40" w:type="dxa"/>
              <w:right w:w="20" w:type="dxa"/>
            </w:tcMar>
            <w:vAlign w:val="center"/>
          </w:tcPr>
          <w:p w14:paraId="35D093FD" w14:textId="77777777" w:rsidR="00D42204" w:rsidRDefault="00D42204">
            <w:pPr>
              <w:jc w:val="right"/>
              <w:rPr>
                <w:rFonts w:ascii="宋体"/>
              </w:rPr>
            </w:pPr>
          </w:p>
        </w:tc>
      </w:tr>
      <w:tr w:rsidR="00D42204" w14:paraId="35D0940F" w14:textId="77777777">
        <w:tc>
          <w:tcPr>
            <w:tcW w:w="0" w:type="auto"/>
            <w:gridSpan w:val="3"/>
            <w:shd w:val="clear" w:color="auto" w:fill="CCEEFF"/>
            <w:tcMar>
              <w:top w:w="40" w:type="dxa"/>
              <w:left w:w="20" w:type="dxa"/>
              <w:bottom w:w="40" w:type="dxa"/>
              <w:right w:w="20" w:type="dxa"/>
            </w:tcMar>
            <w:vAlign w:val="center"/>
          </w:tcPr>
          <w:p w14:paraId="35D093FF" w14:textId="77777777" w:rsidR="00D42204" w:rsidRDefault="004E439D">
            <w:pPr>
              <w:textAlignment w:val="center"/>
            </w:pPr>
            <w:r>
              <w:rPr>
                <w:rFonts w:ascii="Times New Roman" w:eastAsia="宋体" w:hAnsi="Times New Roman"/>
                <w:color w:val="000000"/>
                <w:sz w:val="16"/>
                <w:szCs w:val="16"/>
              </w:rPr>
              <w:t>Ohio</w:t>
            </w:r>
          </w:p>
        </w:tc>
        <w:tc>
          <w:tcPr>
            <w:tcW w:w="0" w:type="auto"/>
            <w:gridSpan w:val="3"/>
            <w:shd w:val="clear" w:color="auto" w:fill="CCEEFF"/>
            <w:tcMar>
              <w:top w:w="0" w:type="dxa"/>
              <w:left w:w="20" w:type="dxa"/>
              <w:bottom w:w="0" w:type="dxa"/>
              <w:right w:w="20" w:type="dxa"/>
            </w:tcMar>
            <w:vAlign w:val="bottom"/>
          </w:tcPr>
          <w:p w14:paraId="35D0940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01" w14:textId="77777777" w:rsidR="00D42204" w:rsidRDefault="004E439D">
            <w:pPr>
              <w:jc w:val="right"/>
              <w:textAlignment w:val="center"/>
            </w:pPr>
            <w:r>
              <w:rPr>
                <w:rFonts w:ascii="Times New Roman" w:eastAsia="宋体" w:hAnsi="Times New Roman"/>
                <w:color w:val="000000"/>
                <w:sz w:val="16"/>
                <w:szCs w:val="16"/>
              </w:rPr>
              <w:t>139 </w:t>
            </w:r>
          </w:p>
        </w:tc>
        <w:tc>
          <w:tcPr>
            <w:tcW w:w="0" w:type="auto"/>
            <w:shd w:val="clear" w:color="auto" w:fill="CCEEFF"/>
            <w:tcMar>
              <w:top w:w="40" w:type="dxa"/>
              <w:left w:w="0" w:type="dxa"/>
              <w:bottom w:w="40" w:type="dxa"/>
              <w:right w:w="20" w:type="dxa"/>
            </w:tcMar>
            <w:vAlign w:val="center"/>
          </w:tcPr>
          <w:p w14:paraId="35D0940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0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04" w14:textId="77777777" w:rsidR="00D42204" w:rsidRDefault="004E439D">
            <w:pPr>
              <w:jc w:val="right"/>
              <w:textAlignment w:val="center"/>
            </w:pPr>
            <w:r>
              <w:rPr>
                <w:rFonts w:ascii="Times New Roman" w:eastAsia="宋体" w:hAnsi="Times New Roman"/>
                <w:color w:val="000000"/>
                <w:sz w:val="16"/>
                <w:szCs w:val="16"/>
              </w:rPr>
              <w:t>6 </w:t>
            </w:r>
          </w:p>
        </w:tc>
        <w:tc>
          <w:tcPr>
            <w:tcW w:w="0" w:type="auto"/>
            <w:shd w:val="clear" w:color="auto" w:fill="CCEEFF"/>
            <w:tcMar>
              <w:top w:w="40" w:type="dxa"/>
              <w:left w:w="0" w:type="dxa"/>
              <w:bottom w:w="40" w:type="dxa"/>
              <w:right w:w="20" w:type="dxa"/>
            </w:tcMar>
            <w:vAlign w:val="center"/>
          </w:tcPr>
          <w:p w14:paraId="35D0940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0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07" w14:textId="77777777" w:rsidR="00D42204" w:rsidRDefault="004E439D">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35D0940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0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0A" w14:textId="77777777" w:rsidR="00D42204" w:rsidRDefault="004E439D">
            <w:pPr>
              <w:jc w:val="right"/>
              <w:textAlignment w:val="center"/>
            </w:pPr>
            <w:r>
              <w:rPr>
                <w:rFonts w:ascii="Times New Roman" w:eastAsia="宋体" w:hAnsi="Times New Roman"/>
                <w:color w:val="000000"/>
                <w:sz w:val="16"/>
                <w:szCs w:val="16"/>
              </w:rPr>
              <w:t>27 </w:t>
            </w:r>
          </w:p>
        </w:tc>
        <w:tc>
          <w:tcPr>
            <w:tcW w:w="0" w:type="auto"/>
            <w:shd w:val="clear" w:color="auto" w:fill="CCEEFF"/>
            <w:tcMar>
              <w:top w:w="40" w:type="dxa"/>
              <w:left w:w="0" w:type="dxa"/>
              <w:bottom w:w="40" w:type="dxa"/>
              <w:right w:w="20" w:type="dxa"/>
            </w:tcMar>
            <w:vAlign w:val="center"/>
          </w:tcPr>
          <w:p w14:paraId="35D0940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0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0D" w14:textId="77777777" w:rsidR="00D42204" w:rsidRDefault="004E439D">
            <w:pPr>
              <w:jc w:val="right"/>
              <w:textAlignment w:val="center"/>
            </w:pPr>
            <w:r>
              <w:rPr>
                <w:rFonts w:ascii="Times New Roman" w:eastAsia="宋体" w:hAnsi="Times New Roman"/>
                <w:color w:val="000000"/>
                <w:sz w:val="16"/>
                <w:szCs w:val="16"/>
              </w:rPr>
              <w:t>174 </w:t>
            </w:r>
          </w:p>
        </w:tc>
        <w:tc>
          <w:tcPr>
            <w:tcW w:w="0" w:type="auto"/>
            <w:shd w:val="clear" w:color="auto" w:fill="CCEEFF"/>
            <w:tcMar>
              <w:top w:w="40" w:type="dxa"/>
              <w:left w:w="0" w:type="dxa"/>
              <w:bottom w:w="40" w:type="dxa"/>
              <w:right w:w="20" w:type="dxa"/>
            </w:tcMar>
            <w:vAlign w:val="center"/>
          </w:tcPr>
          <w:p w14:paraId="35D0940E" w14:textId="77777777" w:rsidR="00D42204" w:rsidRDefault="00D42204">
            <w:pPr>
              <w:jc w:val="right"/>
              <w:rPr>
                <w:rFonts w:ascii="宋体"/>
              </w:rPr>
            </w:pPr>
          </w:p>
        </w:tc>
      </w:tr>
      <w:tr w:rsidR="00D42204" w14:paraId="35D09420" w14:textId="77777777">
        <w:tc>
          <w:tcPr>
            <w:tcW w:w="0" w:type="auto"/>
            <w:gridSpan w:val="3"/>
            <w:shd w:val="clear" w:color="auto" w:fill="FFFFFF"/>
            <w:tcMar>
              <w:top w:w="40" w:type="dxa"/>
              <w:left w:w="20" w:type="dxa"/>
              <w:bottom w:w="40" w:type="dxa"/>
              <w:right w:w="20" w:type="dxa"/>
            </w:tcMar>
            <w:vAlign w:val="center"/>
          </w:tcPr>
          <w:p w14:paraId="35D09410" w14:textId="77777777" w:rsidR="00D42204" w:rsidRDefault="004E439D">
            <w:pPr>
              <w:textAlignment w:val="center"/>
            </w:pPr>
            <w:r>
              <w:rPr>
                <w:rFonts w:ascii="Times New Roman" w:eastAsia="宋体" w:hAnsi="Times New Roman"/>
                <w:color w:val="000000"/>
                <w:sz w:val="16"/>
                <w:szCs w:val="16"/>
              </w:rPr>
              <w:t>Oklahoma</w:t>
            </w:r>
          </w:p>
        </w:tc>
        <w:tc>
          <w:tcPr>
            <w:tcW w:w="0" w:type="auto"/>
            <w:gridSpan w:val="3"/>
            <w:shd w:val="clear" w:color="auto" w:fill="FFFFFF"/>
            <w:tcMar>
              <w:top w:w="0" w:type="dxa"/>
              <w:left w:w="20" w:type="dxa"/>
              <w:bottom w:w="0" w:type="dxa"/>
              <w:right w:w="20" w:type="dxa"/>
            </w:tcMar>
            <w:vAlign w:val="bottom"/>
          </w:tcPr>
          <w:p w14:paraId="35D0941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12" w14:textId="77777777" w:rsidR="00D42204" w:rsidRDefault="004E439D">
            <w:pPr>
              <w:jc w:val="right"/>
              <w:textAlignment w:val="center"/>
            </w:pPr>
            <w:r>
              <w:rPr>
                <w:rFonts w:ascii="Times New Roman" w:eastAsia="宋体" w:hAnsi="Times New Roman"/>
                <w:color w:val="000000"/>
                <w:sz w:val="16"/>
                <w:szCs w:val="16"/>
              </w:rPr>
              <w:t>81 </w:t>
            </w:r>
          </w:p>
        </w:tc>
        <w:tc>
          <w:tcPr>
            <w:tcW w:w="0" w:type="auto"/>
            <w:shd w:val="clear" w:color="auto" w:fill="FFFFFF"/>
            <w:tcMar>
              <w:top w:w="40" w:type="dxa"/>
              <w:left w:w="0" w:type="dxa"/>
              <w:bottom w:w="40" w:type="dxa"/>
              <w:right w:w="20" w:type="dxa"/>
            </w:tcMar>
            <w:vAlign w:val="center"/>
          </w:tcPr>
          <w:p w14:paraId="35D0941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1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15" w14:textId="77777777" w:rsidR="00D42204" w:rsidRDefault="004E439D">
            <w:pPr>
              <w:jc w:val="right"/>
              <w:textAlignment w:val="center"/>
            </w:pPr>
            <w:r>
              <w:rPr>
                <w:rFonts w:ascii="Times New Roman" w:eastAsia="宋体" w:hAnsi="Times New Roman"/>
                <w:color w:val="000000"/>
                <w:sz w:val="16"/>
                <w:szCs w:val="16"/>
              </w:rPr>
              <w:t>7 </w:t>
            </w:r>
          </w:p>
        </w:tc>
        <w:tc>
          <w:tcPr>
            <w:tcW w:w="0" w:type="auto"/>
            <w:shd w:val="clear" w:color="auto" w:fill="FFFFFF"/>
            <w:tcMar>
              <w:top w:w="40" w:type="dxa"/>
              <w:left w:w="0" w:type="dxa"/>
              <w:bottom w:w="40" w:type="dxa"/>
              <w:right w:w="20" w:type="dxa"/>
            </w:tcMar>
            <w:vAlign w:val="center"/>
          </w:tcPr>
          <w:p w14:paraId="35D0941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1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18" w14:textId="77777777" w:rsidR="00D42204" w:rsidRDefault="004E439D">
            <w:pPr>
              <w:jc w:val="right"/>
              <w:textAlignment w:val="center"/>
            </w:pPr>
            <w:r>
              <w:rPr>
                <w:rFonts w:ascii="Times New Roman" w:eastAsia="宋体" w:hAnsi="Times New Roman"/>
                <w:color w:val="000000"/>
                <w:sz w:val="16"/>
                <w:szCs w:val="16"/>
              </w:rPr>
              <w:t>35 </w:t>
            </w:r>
          </w:p>
        </w:tc>
        <w:tc>
          <w:tcPr>
            <w:tcW w:w="0" w:type="auto"/>
            <w:shd w:val="clear" w:color="auto" w:fill="FFFFFF"/>
            <w:tcMar>
              <w:top w:w="40" w:type="dxa"/>
              <w:left w:w="0" w:type="dxa"/>
              <w:bottom w:w="40" w:type="dxa"/>
              <w:right w:w="20" w:type="dxa"/>
            </w:tcMar>
            <w:vAlign w:val="center"/>
          </w:tcPr>
          <w:p w14:paraId="35D0941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1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1B" w14:textId="77777777" w:rsidR="00D42204" w:rsidRDefault="004E439D">
            <w:pPr>
              <w:jc w:val="right"/>
              <w:textAlignment w:val="center"/>
            </w:pPr>
            <w:r>
              <w:rPr>
                <w:rFonts w:ascii="Times New Roman" w:eastAsia="宋体" w:hAnsi="Times New Roman"/>
                <w:color w:val="000000"/>
                <w:sz w:val="16"/>
                <w:szCs w:val="16"/>
              </w:rPr>
              <w:t>13 </w:t>
            </w:r>
          </w:p>
        </w:tc>
        <w:tc>
          <w:tcPr>
            <w:tcW w:w="0" w:type="auto"/>
            <w:shd w:val="clear" w:color="auto" w:fill="FFFFFF"/>
            <w:tcMar>
              <w:top w:w="40" w:type="dxa"/>
              <w:left w:w="0" w:type="dxa"/>
              <w:bottom w:w="40" w:type="dxa"/>
              <w:right w:w="20" w:type="dxa"/>
            </w:tcMar>
            <w:vAlign w:val="center"/>
          </w:tcPr>
          <w:p w14:paraId="35D0941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1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1E" w14:textId="77777777" w:rsidR="00D42204" w:rsidRDefault="004E439D">
            <w:pPr>
              <w:jc w:val="right"/>
              <w:textAlignment w:val="center"/>
            </w:pPr>
            <w:r>
              <w:rPr>
                <w:rFonts w:ascii="Times New Roman" w:eastAsia="宋体" w:hAnsi="Times New Roman"/>
                <w:color w:val="000000"/>
                <w:sz w:val="16"/>
                <w:szCs w:val="16"/>
              </w:rPr>
              <w:t>136 </w:t>
            </w:r>
          </w:p>
        </w:tc>
        <w:tc>
          <w:tcPr>
            <w:tcW w:w="0" w:type="auto"/>
            <w:shd w:val="clear" w:color="auto" w:fill="FFFFFF"/>
            <w:tcMar>
              <w:top w:w="40" w:type="dxa"/>
              <w:left w:w="0" w:type="dxa"/>
              <w:bottom w:w="40" w:type="dxa"/>
              <w:right w:w="20" w:type="dxa"/>
            </w:tcMar>
            <w:vAlign w:val="center"/>
          </w:tcPr>
          <w:p w14:paraId="35D0941F" w14:textId="77777777" w:rsidR="00D42204" w:rsidRDefault="00D42204">
            <w:pPr>
              <w:jc w:val="right"/>
              <w:rPr>
                <w:rFonts w:ascii="宋体"/>
              </w:rPr>
            </w:pPr>
          </w:p>
        </w:tc>
      </w:tr>
      <w:tr w:rsidR="00D42204" w14:paraId="35D09431" w14:textId="77777777">
        <w:tc>
          <w:tcPr>
            <w:tcW w:w="0" w:type="auto"/>
            <w:gridSpan w:val="3"/>
            <w:shd w:val="clear" w:color="auto" w:fill="CCEEFF"/>
            <w:tcMar>
              <w:top w:w="40" w:type="dxa"/>
              <w:left w:w="20" w:type="dxa"/>
              <w:bottom w:w="40" w:type="dxa"/>
              <w:right w:w="20" w:type="dxa"/>
            </w:tcMar>
            <w:vAlign w:val="center"/>
          </w:tcPr>
          <w:p w14:paraId="35D09421" w14:textId="77777777" w:rsidR="00D42204" w:rsidRDefault="004E439D">
            <w:pPr>
              <w:textAlignment w:val="center"/>
            </w:pPr>
            <w:r>
              <w:rPr>
                <w:rFonts w:ascii="Times New Roman" w:eastAsia="宋体" w:hAnsi="Times New Roman"/>
                <w:color w:val="000000"/>
                <w:sz w:val="16"/>
                <w:szCs w:val="16"/>
              </w:rPr>
              <w:t>Oregon</w:t>
            </w:r>
          </w:p>
        </w:tc>
        <w:tc>
          <w:tcPr>
            <w:tcW w:w="0" w:type="auto"/>
            <w:gridSpan w:val="3"/>
            <w:shd w:val="clear" w:color="auto" w:fill="CCEEFF"/>
            <w:tcMar>
              <w:top w:w="0" w:type="dxa"/>
              <w:left w:w="20" w:type="dxa"/>
              <w:bottom w:w="0" w:type="dxa"/>
              <w:right w:w="20" w:type="dxa"/>
            </w:tcMar>
            <w:vAlign w:val="bottom"/>
          </w:tcPr>
          <w:p w14:paraId="35D0942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23" w14:textId="77777777" w:rsidR="00D42204" w:rsidRDefault="004E439D">
            <w:pPr>
              <w:jc w:val="right"/>
              <w:textAlignment w:val="center"/>
            </w:pPr>
            <w:r>
              <w:rPr>
                <w:rFonts w:ascii="Times New Roman" w:eastAsia="宋体" w:hAnsi="Times New Roman"/>
                <w:color w:val="000000"/>
                <w:sz w:val="16"/>
                <w:szCs w:val="16"/>
              </w:rPr>
              <w:t>29 </w:t>
            </w:r>
          </w:p>
        </w:tc>
        <w:tc>
          <w:tcPr>
            <w:tcW w:w="0" w:type="auto"/>
            <w:shd w:val="clear" w:color="auto" w:fill="CCEEFF"/>
            <w:tcMar>
              <w:top w:w="40" w:type="dxa"/>
              <w:left w:w="0" w:type="dxa"/>
              <w:bottom w:w="40" w:type="dxa"/>
              <w:right w:w="20" w:type="dxa"/>
            </w:tcMar>
            <w:vAlign w:val="center"/>
          </w:tcPr>
          <w:p w14:paraId="35D0942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2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26" w14:textId="77777777" w:rsidR="00D42204" w:rsidRDefault="004E439D">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35D0942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2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29" w14:textId="77777777" w:rsidR="00D42204" w:rsidRDefault="004E439D">
            <w:pPr>
              <w:jc w:val="right"/>
              <w:textAlignment w:val="center"/>
            </w:pPr>
            <w:r>
              <w:rPr>
                <w:rFonts w:ascii="Times New Roman" w:eastAsia="宋体" w:hAnsi="Times New Roman"/>
                <w:color w:val="000000"/>
                <w:sz w:val="16"/>
                <w:szCs w:val="16"/>
              </w:rPr>
              <w:t>10 </w:t>
            </w:r>
          </w:p>
        </w:tc>
        <w:tc>
          <w:tcPr>
            <w:tcW w:w="0" w:type="auto"/>
            <w:shd w:val="clear" w:color="auto" w:fill="CCEEFF"/>
            <w:tcMar>
              <w:top w:w="40" w:type="dxa"/>
              <w:left w:w="0" w:type="dxa"/>
              <w:bottom w:w="40" w:type="dxa"/>
              <w:right w:w="20" w:type="dxa"/>
            </w:tcMar>
            <w:vAlign w:val="center"/>
          </w:tcPr>
          <w:p w14:paraId="35D0942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2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2C"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942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2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2F" w14:textId="77777777" w:rsidR="00D42204" w:rsidRDefault="004E439D">
            <w:pPr>
              <w:jc w:val="right"/>
              <w:textAlignment w:val="center"/>
            </w:pPr>
            <w:r>
              <w:rPr>
                <w:rFonts w:ascii="Times New Roman" w:eastAsia="宋体" w:hAnsi="Times New Roman"/>
                <w:color w:val="000000"/>
                <w:sz w:val="16"/>
                <w:szCs w:val="16"/>
              </w:rPr>
              <w:t>46 </w:t>
            </w:r>
          </w:p>
        </w:tc>
        <w:tc>
          <w:tcPr>
            <w:tcW w:w="0" w:type="auto"/>
            <w:shd w:val="clear" w:color="auto" w:fill="CCEEFF"/>
            <w:tcMar>
              <w:top w:w="40" w:type="dxa"/>
              <w:left w:w="0" w:type="dxa"/>
              <w:bottom w:w="40" w:type="dxa"/>
              <w:right w:w="20" w:type="dxa"/>
            </w:tcMar>
            <w:vAlign w:val="center"/>
          </w:tcPr>
          <w:p w14:paraId="35D09430" w14:textId="77777777" w:rsidR="00D42204" w:rsidRDefault="00D42204">
            <w:pPr>
              <w:jc w:val="right"/>
              <w:rPr>
                <w:rFonts w:ascii="宋体"/>
              </w:rPr>
            </w:pPr>
          </w:p>
        </w:tc>
      </w:tr>
      <w:tr w:rsidR="00D42204" w14:paraId="35D09442" w14:textId="77777777">
        <w:tc>
          <w:tcPr>
            <w:tcW w:w="0" w:type="auto"/>
            <w:gridSpan w:val="3"/>
            <w:shd w:val="clear" w:color="auto" w:fill="FFFFFF"/>
            <w:tcMar>
              <w:top w:w="40" w:type="dxa"/>
              <w:left w:w="20" w:type="dxa"/>
              <w:bottom w:w="40" w:type="dxa"/>
              <w:right w:w="20" w:type="dxa"/>
            </w:tcMar>
            <w:vAlign w:val="center"/>
          </w:tcPr>
          <w:p w14:paraId="35D09432" w14:textId="77777777" w:rsidR="00D42204" w:rsidRDefault="004E439D">
            <w:pPr>
              <w:textAlignment w:val="center"/>
            </w:pPr>
            <w:r>
              <w:rPr>
                <w:rFonts w:ascii="Times New Roman" w:eastAsia="宋体" w:hAnsi="Times New Roman"/>
                <w:color w:val="000000"/>
                <w:sz w:val="16"/>
                <w:szCs w:val="16"/>
              </w:rPr>
              <w:t>Pennsylvania</w:t>
            </w:r>
          </w:p>
        </w:tc>
        <w:tc>
          <w:tcPr>
            <w:tcW w:w="0" w:type="auto"/>
            <w:gridSpan w:val="3"/>
            <w:shd w:val="clear" w:color="auto" w:fill="FFFFFF"/>
            <w:tcMar>
              <w:top w:w="0" w:type="dxa"/>
              <w:left w:w="20" w:type="dxa"/>
              <w:bottom w:w="0" w:type="dxa"/>
              <w:right w:w="20" w:type="dxa"/>
            </w:tcMar>
            <w:vAlign w:val="bottom"/>
          </w:tcPr>
          <w:p w14:paraId="35D0943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34" w14:textId="77777777" w:rsidR="00D42204" w:rsidRDefault="004E439D">
            <w:pPr>
              <w:jc w:val="right"/>
              <w:textAlignment w:val="center"/>
            </w:pPr>
            <w:r>
              <w:rPr>
                <w:rFonts w:ascii="Times New Roman" w:eastAsia="宋体" w:hAnsi="Times New Roman"/>
                <w:color w:val="000000"/>
                <w:sz w:val="16"/>
                <w:szCs w:val="16"/>
              </w:rPr>
              <w:t>116 </w:t>
            </w:r>
          </w:p>
        </w:tc>
        <w:tc>
          <w:tcPr>
            <w:tcW w:w="0" w:type="auto"/>
            <w:shd w:val="clear" w:color="auto" w:fill="FFFFFF"/>
            <w:tcMar>
              <w:top w:w="40" w:type="dxa"/>
              <w:left w:w="0" w:type="dxa"/>
              <w:bottom w:w="40" w:type="dxa"/>
              <w:right w:w="20" w:type="dxa"/>
            </w:tcMar>
            <w:vAlign w:val="center"/>
          </w:tcPr>
          <w:p w14:paraId="35D0943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3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37" w14:textId="77777777" w:rsidR="00D42204" w:rsidRDefault="004E439D">
            <w:pPr>
              <w:jc w:val="right"/>
              <w:textAlignment w:val="center"/>
            </w:pPr>
            <w:r>
              <w:rPr>
                <w:rFonts w:ascii="Times New Roman" w:eastAsia="宋体" w:hAnsi="Times New Roman"/>
                <w:color w:val="000000"/>
                <w:sz w:val="16"/>
                <w:szCs w:val="16"/>
              </w:rPr>
              <w:t>20 </w:t>
            </w:r>
          </w:p>
        </w:tc>
        <w:tc>
          <w:tcPr>
            <w:tcW w:w="0" w:type="auto"/>
            <w:shd w:val="clear" w:color="auto" w:fill="FFFFFF"/>
            <w:tcMar>
              <w:top w:w="40" w:type="dxa"/>
              <w:left w:w="0" w:type="dxa"/>
              <w:bottom w:w="40" w:type="dxa"/>
              <w:right w:w="20" w:type="dxa"/>
            </w:tcMar>
            <w:vAlign w:val="center"/>
          </w:tcPr>
          <w:p w14:paraId="35D0943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3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3A" w14:textId="77777777" w:rsidR="00D42204" w:rsidRDefault="004E439D">
            <w:pPr>
              <w:jc w:val="right"/>
              <w:textAlignment w:val="center"/>
            </w:pPr>
            <w:r>
              <w:rPr>
                <w:rFonts w:ascii="Times New Roman" w:eastAsia="宋体" w:hAnsi="Times New Roman"/>
                <w:color w:val="000000"/>
                <w:sz w:val="16"/>
                <w:szCs w:val="16"/>
              </w:rPr>
              <w:t>3 </w:t>
            </w:r>
          </w:p>
        </w:tc>
        <w:tc>
          <w:tcPr>
            <w:tcW w:w="0" w:type="auto"/>
            <w:shd w:val="clear" w:color="auto" w:fill="FFFFFF"/>
            <w:tcMar>
              <w:top w:w="40" w:type="dxa"/>
              <w:left w:w="0" w:type="dxa"/>
              <w:bottom w:w="40" w:type="dxa"/>
              <w:right w:w="20" w:type="dxa"/>
            </w:tcMar>
            <w:vAlign w:val="center"/>
          </w:tcPr>
          <w:p w14:paraId="35D0943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3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3D" w14:textId="77777777" w:rsidR="00D42204" w:rsidRDefault="004E439D">
            <w:pPr>
              <w:jc w:val="right"/>
              <w:textAlignment w:val="center"/>
            </w:pPr>
            <w:r>
              <w:rPr>
                <w:rFonts w:ascii="Times New Roman" w:eastAsia="宋体" w:hAnsi="Times New Roman"/>
                <w:color w:val="000000"/>
                <w:sz w:val="16"/>
                <w:szCs w:val="16"/>
              </w:rPr>
              <w:t>24 </w:t>
            </w:r>
          </w:p>
        </w:tc>
        <w:tc>
          <w:tcPr>
            <w:tcW w:w="0" w:type="auto"/>
            <w:shd w:val="clear" w:color="auto" w:fill="FFFFFF"/>
            <w:tcMar>
              <w:top w:w="40" w:type="dxa"/>
              <w:left w:w="0" w:type="dxa"/>
              <w:bottom w:w="40" w:type="dxa"/>
              <w:right w:w="20" w:type="dxa"/>
            </w:tcMar>
            <w:vAlign w:val="center"/>
          </w:tcPr>
          <w:p w14:paraId="35D0943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3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40" w14:textId="77777777" w:rsidR="00D42204" w:rsidRDefault="004E439D">
            <w:pPr>
              <w:jc w:val="right"/>
              <w:textAlignment w:val="center"/>
            </w:pPr>
            <w:r>
              <w:rPr>
                <w:rFonts w:ascii="Times New Roman" w:eastAsia="宋体" w:hAnsi="Times New Roman"/>
                <w:color w:val="000000"/>
                <w:sz w:val="16"/>
                <w:szCs w:val="16"/>
              </w:rPr>
              <w:t>163 </w:t>
            </w:r>
          </w:p>
        </w:tc>
        <w:tc>
          <w:tcPr>
            <w:tcW w:w="0" w:type="auto"/>
            <w:shd w:val="clear" w:color="auto" w:fill="FFFFFF"/>
            <w:tcMar>
              <w:top w:w="40" w:type="dxa"/>
              <w:left w:w="0" w:type="dxa"/>
              <w:bottom w:w="40" w:type="dxa"/>
              <w:right w:w="20" w:type="dxa"/>
            </w:tcMar>
            <w:vAlign w:val="center"/>
          </w:tcPr>
          <w:p w14:paraId="35D09441" w14:textId="77777777" w:rsidR="00D42204" w:rsidRDefault="00D42204">
            <w:pPr>
              <w:jc w:val="right"/>
              <w:rPr>
                <w:rFonts w:ascii="宋体"/>
              </w:rPr>
            </w:pPr>
          </w:p>
        </w:tc>
      </w:tr>
      <w:tr w:rsidR="00D42204" w14:paraId="35D09453" w14:textId="77777777">
        <w:tc>
          <w:tcPr>
            <w:tcW w:w="0" w:type="auto"/>
            <w:gridSpan w:val="3"/>
            <w:shd w:val="clear" w:color="auto" w:fill="CCEEFF"/>
            <w:tcMar>
              <w:top w:w="40" w:type="dxa"/>
              <w:left w:w="20" w:type="dxa"/>
              <w:bottom w:w="40" w:type="dxa"/>
              <w:right w:w="20" w:type="dxa"/>
            </w:tcMar>
            <w:vAlign w:val="center"/>
          </w:tcPr>
          <w:p w14:paraId="35D09443" w14:textId="77777777" w:rsidR="00D42204" w:rsidRDefault="004E439D">
            <w:pPr>
              <w:textAlignment w:val="center"/>
            </w:pPr>
            <w:r>
              <w:rPr>
                <w:rFonts w:ascii="Times New Roman" w:eastAsia="宋体" w:hAnsi="Times New Roman"/>
                <w:color w:val="000000"/>
                <w:sz w:val="16"/>
                <w:szCs w:val="16"/>
              </w:rPr>
              <w:t>Puerto Rico</w:t>
            </w:r>
          </w:p>
        </w:tc>
        <w:tc>
          <w:tcPr>
            <w:tcW w:w="0" w:type="auto"/>
            <w:gridSpan w:val="3"/>
            <w:shd w:val="clear" w:color="auto" w:fill="CCEEFF"/>
            <w:tcMar>
              <w:top w:w="0" w:type="dxa"/>
              <w:left w:w="20" w:type="dxa"/>
              <w:bottom w:w="0" w:type="dxa"/>
              <w:right w:w="20" w:type="dxa"/>
            </w:tcMar>
            <w:vAlign w:val="bottom"/>
          </w:tcPr>
          <w:p w14:paraId="35D0944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45" w14:textId="77777777" w:rsidR="00D42204" w:rsidRDefault="004E439D">
            <w:pPr>
              <w:jc w:val="right"/>
              <w:textAlignment w:val="center"/>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center"/>
          </w:tcPr>
          <w:p w14:paraId="35D0944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4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48" w14:textId="77777777" w:rsidR="00D42204" w:rsidRDefault="004E439D">
            <w:pPr>
              <w:jc w:val="right"/>
              <w:textAlignment w:val="center"/>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center"/>
          </w:tcPr>
          <w:p w14:paraId="35D0944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4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4B" w14:textId="77777777" w:rsidR="00D42204" w:rsidRDefault="004E439D">
            <w:pPr>
              <w:jc w:val="right"/>
              <w:textAlignment w:val="center"/>
            </w:pPr>
            <w:r>
              <w:rPr>
                <w:rFonts w:ascii="Times New Roman" w:eastAsia="宋体" w:hAnsi="Times New Roman"/>
                <w:color w:val="000000"/>
                <w:sz w:val="16"/>
                <w:szCs w:val="16"/>
              </w:rPr>
              <w:t>12 </w:t>
            </w:r>
          </w:p>
        </w:tc>
        <w:tc>
          <w:tcPr>
            <w:tcW w:w="0" w:type="auto"/>
            <w:shd w:val="clear" w:color="auto" w:fill="CCEEFF"/>
            <w:tcMar>
              <w:top w:w="40" w:type="dxa"/>
              <w:left w:w="0" w:type="dxa"/>
              <w:bottom w:w="40" w:type="dxa"/>
              <w:right w:w="20" w:type="dxa"/>
            </w:tcMar>
            <w:vAlign w:val="center"/>
          </w:tcPr>
          <w:p w14:paraId="35D0944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4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4E" w14:textId="77777777" w:rsidR="00D42204" w:rsidRDefault="004E439D">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35D0944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5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51" w14:textId="77777777" w:rsidR="00D42204" w:rsidRDefault="004E439D">
            <w:pPr>
              <w:jc w:val="right"/>
              <w:textAlignment w:val="center"/>
            </w:pPr>
            <w:r>
              <w:rPr>
                <w:rFonts w:ascii="Times New Roman" w:eastAsia="宋体" w:hAnsi="Times New Roman"/>
                <w:color w:val="000000"/>
                <w:sz w:val="16"/>
                <w:szCs w:val="16"/>
              </w:rPr>
              <w:t>37 </w:t>
            </w:r>
          </w:p>
        </w:tc>
        <w:tc>
          <w:tcPr>
            <w:tcW w:w="0" w:type="auto"/>
            <w:shd w:val="clear" w:color="auto" w:fill="CCEEFF"/>
            <w:tcMar>
              <w:top w:w="40" w:type="dxa"/>
              <w:left w:w="0" w:type="dxa"/>
              <w:bottom w:w="40" w:type="dxa"/>
              <w:right w:w="20" w:type="dxa"/>
            </w:tcMar>
            <w:vAlign w:val="center"/>
          </w:tcPr>
          <w:p w14:paraId="35D09452" w14:textId="77777777" w:rsidR="00D42204" w:rsidRDefault="00D42204">
            <w:pPr>
              <w:jc w:val="right"/>
              <w:rPr>
                <w:rFonts w:ascii="宋体"/>
              </w:rPr>
            </w:pPr>
          </w:p>
        </w:tc>
      </w:tr>
      <w:tr w:rsidR="00D42204" w14:paraId="35D09464" w14:textId="77777777">
        <w:tc>
          <w:tcPr>
            <w:tcW w:w="0" w:type="auto"/>
            <w:gridSpan w:val="3"/>
            <w:shd w:val="clear" w:color="auto" w:fill="FFFFFF"/>
            <w:tcMar>
              <w:top w:w="40" w:type="dxa"/>
              <w:left w:w="20" w:type="dxa"/>
              <w:bottom w:w="40" w:type="dxa"/>
              <w:right w:w="20" w:type="dxa"/>
            </w:tcMar>
            <w:vAlign w:val="center"/>
          </w:tcPr>
          <w:p w14:paraId="35D09454" w14:textId="77777777" w:rsidR="00D42204" w:rsidRDefault="004E439D">
            <w:pPr>
              <w:textAlignment w:val="center"/>
            </w:pPr>
            <w:r>
              <w:rPr>
                <w:rFonts w:ascii="Times New Roman" w:eastAsia="宋体" w:hAnsi="Times New Roman"/>
                <w:color w:val="000000"/>
                <w:sz w:val="16"/>
                <w:szCs w:val="16"/>
              </w:rPr>
              <w:t>Rhode Island</w:t>
            </w:r>
          </w:p>
        </w:tc>
        <w:tc>
          <w:tcPr>
            <w:tcW w:w="0" w:type="auto"/>
            <w:gridSpan w:val="3"/>
            <w:shd w:val="clear" w:color="auto" w:fill="FFFFFF"/>
            <w:tcMar>
              <w:top w:w="0" w:type="dxa"/>
              <w:left w:w="20" w:type="dxa"/>
              <w:bottom w:w="0" w:type="dxa"/>
              <w:right w:w="20" w:type="dxa"/>
            </w:tcMar>
            <w:vAlign w:val="bottom"/>
          </w:tcPr>
          <w:p w14:paraId="35D0945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56" w14:textId="77777777" w:rsidR="00D42204" w:rsidRDefault="004E439D">
            <w:pPr>
              <w:jc w:val="right"/>
              <w:textAlignment w:val="center"/>
            </w:pPr>
            <w:r>
              <w:rPr>
                <w:rFonts w:ascii="Times New Roman" w:eastAsia="宋体" w:hAnsi="Times New Roman"/>
                <w:color w:val="000000"/>
                <w:sz w:val="16"/>
                <w:szCs w:val="16"/>
              </w:rPr>
              <w:t>5 </w:t>
            </w:r>
          </w:p>
        </w:tc>
        <w:tc>
          <w:tcPr>
            <w:tcW w:w="0" w:type="auto"/>
            <w:shd w:val="clear" w:color="auto" w:fill="FFFFFF"/>
            <w:tcMar>
              <w:top w:w="40" w:type="dxa"/>
              <w:left w:w="0" w:type="dxa"/>
              <w:bottom w:w="40" w:type="dxa"/>
              <w:right w:w="20" w:type="dxa"/>
            </w:tcMar>
            <w:vAlign w:val="center"/>
          </w:tcPr>
          <w:p w14:paraId="35D0945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5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59" w14:textId="77777777" w:rsidR="00D42204" w:rsidRDefault="004E439D">
            <w:pPr>
              <w:jc w:val="right"/>
              <w:textAlignment w:val="center"/>
            </w:pPr>
            <w:r>
              <w:rPr>
                <w:rFonts w:ascii="Times New Roman" w:eastAsia="宋体" w:hAnsi="Times New Roman"/>
                <w:color w:val="000000"/>
                <w:sz w:val="16"/>
                <w:szCs w:val="16"/>
              </w:rPr>
              <w:t>4 </w:t>
            </w:r>
          </w:p>
        </w:tc>
        <w:tc>
          <w:tcPr>
            <w:tcW w:w="0" w:type="auto"/>
            <w:shd w:val="clear" w:color="auto" w:fill="FFFFFF"/>
            <w:tcMar>
              <w:top w:w="40" w:type="dxa"/>
              <w:left w:w="0" w:type="dxa"/>
              <w:bottom w:w="40" w:type="dxa"/>
              <w:right w:w="20" w:type="dxa"/>
            </w:tcMar>
            <w:vAlign w:val="center"/>
          </w:tcPr>
          <w:p w14:paraId="35D0945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5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5C"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45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5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5F"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46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6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62" w14:textId="77777777" w:rsidR="00D42204" w:rsidRDefault="004E439D">
            <w:pPr>
              <w:jc w:val="right"/>
              <w:textAlignment w:val="center"/>
            </w:pPr>
            <w:r>
              <w:rPr>
                <w:rFonts w:ascii="Times New Roman" w:eastAsia="宋体" w:hAnsi="Times New Roman"/>
                <w:color w:val="000000"/>
                <w:sz w:val="16"/>
                <w:szCs w:val="16"/>
              </w:rPr>
              <w:t>9 </w:t>
            </w:r>
          </w:p>
        </w:tc>
        <w:tc>
          <w:tcPr>
            <w:tcW w:w="0" w:type="auto"/>
            <w:shd w:val="clear" w:color="auto" w:fill="FFFFFF"/>
            <w:tcMar>
              <w:top w:w="40" w:type="dxa"/>
              <w:left w:w="0" w:type="dxa"/>
              <w:bottom w:w="40" w:type="dxa"/>
              <w:right w:w="20" w:type="dxa"/>
            </w:tcMar>
            <w:vAlign w:val="center"/>
          </w:tcPr>
          <w:p w14:paraId="35D09463" w14:textId="77777777" w:rsidR="00D42204" w:rsidRDefault="00D42204">
            <w:pPr>
              <w:jc w:val="right"/>
              <w:rPr>
                <w:rFonts w:ascii="宋体"/>
              </w:rPr>
            </w:pPr>
          </w:p>
        </w:tc>
      </w:tr>
      <w:tr w:rsidR="00D42204" w14:paraId="35D09475" w14:textId="77777777">
        <w:tc>
          <w:tcPr>
            <w:tcW w:w="0" w:type="auto"/>
            <w:gridSpan w:val="3"/>
            <w:shd w:val="clear" w:color="auto" w:fill="CCEEFF"/>
            <w:tcMar>
              <w:top w:w="40" w:type="dxa"/>
              <w:left w:w="20" w:type="dxa"/>
              <w:bottom w:w="40" w:type="dxa"/>
              <w:right w:w="20" w:type="dxa"/>
            </w:tcMar>
            <w:vAlign w:val="center"/>
          </w:tcPr>
          <w:p w14:paraId="35D09465" w14:textId="77777777" w:rsidR="00D42204" w:rsidRDefault="004E439D">
            <w:pPr>
              <w:textAlignment w:val="center"/>
            </w:pPr>
            <w:r>
              <w:rPr>
                <w:rFonts w:ascii="Times New Roman" w:eastAsia="宋体" w:hAnsi="Times New Roman"/>
                <w:color w:val="000000"/>
                <w:sz w:val="16"/>
                <w:szCs w:val="16"/>
              </w:rPr>
              <w:t>South Carolina</w:t>
            </w:r>
          </w:p>
        </w:tc>
        <w:tc>
          <w:tcPr>
            <w:tcW w:w="0" w:type="auto"/>
            <w:gridSpan w:val="3"/>
            <w:shd w:val="clear" w:color="auto" w:fill="CCEEFF"/>
            <w:tcMar>
              <w:top w:w="0" w:type="dxa"/>
              <w:left w:w="20" w:type="dxa"/>
              <w:bottom w:w="0" w:type="dxa"/>
              <w:right w:w="20" w:type="dxa"/>
            </w:tcMar>
            <w:vAlign w:val="bottom"/>
          </w:tcPr>
          <w:p w14:paraId="35D0946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67" w14:textId="77777777" w:rsidR="00D42204" w:rsidRDefault="004E439D">
            <w:pPr>
              <w:jc w:val="right"/>
              <w:textAlignment w:val="center"/>
            </w:pPr>
            <w:r>
              <w:rPr>
                <w:rFonts w:ascii="Times New Roman" w:eastAsia="宋体" w:hAnsi="Times New Roman"/>
                <w:color w:val="000000"/>
                <w:sz w:val="16"/>
                <w:szCs w:val="16"/>
              </w:rPr>
              <w:t>84 </w:t>
            </w:r>
          </w:p>
        </w:tc>
        <w:tc>
          <w:tcPr>
            <w:tcW w:w="0" w:type="auto"/>
            <w:shd w:val="clear" w:color="auto" w:fill="CCEEFF"/>
            <w:tcMar>
              <w:top w:w="40" w:type="dxa"/>
              <w:left w:w="0" w:type="dxa"/>
              <w:bottom w:w="40" w:type="dxa"/>
              <w:right w:w="20" w:type="dxa"/>
            </w:tcMar>
            <w:vAlign w:val="center"/>
          </w:tcPr>
          <w:p w14:paraId="35D0946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6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6A"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946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6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6D" w14:textId="77777777" w:rsidR="00D42204" w:rsidRDefault="004E439D">
            <w:pPr>
              <w:jc w:val="right"/>
              <w:textAlignment w:val="center"/>
            </w:pPr>
            <w:r>
              <w:rPr>
                <w:rFonts w:ascii="Times New Roman" w:eastAsia="宋体" w:hAnsi="Times New Roman"/>
                <w:color w:val="000000"/>
                <w:sz w:val="16"/>
                <w:szCs w:val="16"/>
              </w:rPr>
              <w:t>26 </w:t>
            </w:r>
          </w:p>
        </w:tc>
        <w:tc>
          <w:tcPr>
            <w:tcW w:w="0" w:type="auto"/>
            <w:shd w:val="clear" w:color="auto" w:fill="CCEEFF"/>
            <w:tcMar>
              <w:top w:w="40" w:type="dxa"/>
              <w:left w:w="0" w:type="dxa"/>
              <w:bottom w:w="40" w:type="dxa"/>
              <w:right w:w="20" w:type="dxa"/>
            </w:tcMar>
            <w:vAlign w:val="center"/>
          </w:tcPr>
          <w:p w14:paraId="35D0946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6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70" w14:textId="77777777" w:rsidR="00D42204" w:rsidRDefault="004E439D">
            <w:pPr>
              <w:jc w:val="right"/>
              <w:textAlignment w:val="center"/>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center"/>
          </w:tcPr>
          <w:p w14:paraId="35D0947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7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73" w14:textId="77777777" w:rsidR="00D42204" w:rsidRDefault="004E439D">
            <w:pPr>
              <w:jc w:val="right"/>
              <w:textAlignment w:val="center"/>
            </w:pPr>
            <w:r>
              <w:rPr>
                <w:rFonts w:ascii="Times New Roman" w:eastAsia="宋体" w:hAnsi="Times New Roman"/>
                <w:color w:val="000000"/>
                <w:sz w:val="16"/>
                <w:szCs w:val="16"/>
              </w:rPr>
              <w:t>123 </w:t>
            </w:r>
          </w:p>
        </w:tc>
        <w:tc>
          <w:tcPr>
            <w:tcW w:w="0" w:type="auto"/>
            <w:shd w:val="clear" w:color="auto" w:fill="CCEEFF"/>
            <w:tcMar>
              <w:top w:w="40" w:type="dxa"/>
              <w:left w:w="0" w:type="dxa"/>
              <w:bottom w:w="40" w:type="dxa"/>
              <w:right w:w="20" w:type="dxa"/>
            </w:tcMar>
            <w:vAlign w:val="center"/>
          </w:tcPr>
          <w:p w14:paraId="35D09474" w14:textId="77777777" w:rsidR="00D42204" w:rsidRDefault="00D42204">
            <w:pPr>
              <w:jc w:val="right"/>
              <w:rPr>
                <w:rFonts w:ascii="宋体"/>
              </w:rPr>
            </w:pPr>
          </w:p>
        </w:tc>
      </w:tr>
      <w:tr w:rsidR="00D42204" w14:paraId="35D09486" w14:textId="77777777">
        <w:tc>
          <w:tcPr>
            <w:tcW w:w="0" w:type="auto"/>
            <w:gridSpan w:val="3"/>
            <w:shd w:val="clear" w:color="auto" w:fill="FFFFFF"/>
            <w:tcMar>
              <w:top w:w="40" w:type="dxa"/>
              <w:left w:w="20" w:type="dxa"/>
              <w:bottom w:w="40" w:type="dxa"/>
              <w:right w:w="20" w:type="dxa"/>
            </w:tcMar>
            <w:vAlign w:val="center"/>
          </w:tcPr>
          <w:p w14:paraId="35D09476" w14:textId="77777777" w:rsidR="00D42204" w:rsidRDefault="004E439D">
            <w:pPr>
              <w:textAlignment w:val="center"/>
            </w:pPr>
            <w:r>
              <w:rPr>
                <w:rFonts w:ascii="Times New Roman" w:eastAsia="宋体" w:hAnsi="Times New Roman"/>
                <w:color w:val="000000"/>
                <w:sz w:val="16"/>
                <w:szCs w:val="16"/>
              </w:rPr>
              <w:t>South Dakota</w:t>
            </w:r>
          </w:p>
        </w:tc>
        <w:tc>
          <w:tcPr>
            <w:tcW w:w="0" w:type="auto"/>
            <w:gridSpan w:val="3"/>
            <w:shd w:val="clear" w:color="auto" w:fill="FFFFFF"/>
            <w:tcMar>
              <w:top w:w="0" w:type="dxa"/>
              <w:left w:w="20" w:type="dxa"/>
              <w:bottom w:w="0" w:type="dxa"/>
              <w:right w:w="20" w:type="dxa"/>
            </w:tcMar>
            <w:vAlign w:val="bottom"/>
          </w:tcPr>
          <w:p w14:paraId="35D0947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78" w14:textId="77777777" w:rsidR="00D42204" w:rsidRDefault="004E439D">
            <w:pPr>
              <w:jc w:val="right"/>
              <w:textAlignment w:val="center"/>
            </w:pPr>
            <w:r>
              <w:rPr>
                <w:rFonts w:ascii="Times New Roman" w:eastAsia="宋体" w:hAnsi="Times New Roman"/>
                <w:color w:val="000000"/>
                <w:sz w:val="16"/>
                <w:szCs w:val="16"/>
              </w:rPr>
              <w:t>15 </w:t>
            </w:r>
          </w:p>
        </w:tc>
        <w:tc>
          <w:tcPr>
            <w:tcW w:w="0" w:type="auto"/>
            <w:shd w:val="clear" w:color="auto" w:fill="FFFFFF"/>
            <w:tcMar>
              <w:top w:w="40" w:type="dxa"/>
              <w:left w:w="0" w:type="dxa"/>
              <w:bottom w:w="40" w:type="dxa"/>
              <w:right w:w="20" w:type="dxa"/>
            </w:tcMar>
            <w:vAlign w:val="center"/>
          </w:tcPr>
          <w:p w14:paraId="35D0947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7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7B"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47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7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7E"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47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8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81" w14:textId="77777777" w:rsidR="00D42204" w:rsidRDefault="004E439D">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35D0948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8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84" w14:textId="77777777" w:rsidR="00D42204" w:rsidRDefault="004E439D">
            <w:pPr>
              <w:jc w:val="right"/>
              <w:textAlignment w:val="center"/>
            </w:pPr>
            <w:r>
              <w:rPr>
                <w:rFonts w:ascii="Times New Roman" w:eastAsia="宋体" w:hAnsi="Times New Roman"/>
                <w:color w:val="000000"/>
                <w:sz w:val="16"/>
                <w:szCs w:val="16"/>
              </w:rPr>
              <w:t>17 </w:t>
            </w:r>
          </w:p>
        </w:tc>
        <w:tc>
          <w:tcPr>
            <w:tcW w:w="0" w:type="auto"/>
            <w:shd w:val="clear" w:color="auto" w:fill="FFFFFF"/>
            <w:tcMar>
              <w:top w:w="40" w:type="dxa"/>
              <w:left w:w="0" w:type="dxa"/>
              <w:bottom w:w="40" w:type="dxa"/>
              <w:right w:w="20" w:type="dxa"/>
            </w:tcMar>
            <w:vAlign w:val="center"/>
          </w:tcPr>
          <w:p w14:paraId="35D09485" w14:textId="77777777" w:rsidR="00D42204" w:rsidRDefault="00D42204">
            <w:pPr>
              <w:jc w:val="right"/>
              <w:rPr>
                <w:rFonts w:ascii="宋体"/>
              </w:rPr>
            </w:pPr>
          </w:p>
        </w:tc>
      </w:tr>
      <w:tr w:rsidR="00D42204" w14:paraId="35D09497" w14:textId="77777777">
        <w:tc>
          <w:tcPr>
            <w:tcW w:w="0" w:type="auto"/>
            <w:gridSpan w:val="3"/>
            <w:shd w:val="clear" w:color="auto" w:fill="CCEEFF"/>
            <w:tcMar>
              <w:top w:w="40" w:type="dxa"/>
              <w:left w:w="20" w:type="dxa"/>
              <w:bottom w:w="40" w:type="dxa"/>
              <w:right w:w="20" w:type="dxa"/>
            </w:tcMar>
            <w:vAlign w:val="center"/>
          </w:tcPr>
          <w:p w14:paraId="35D09487" w14:textId="77777777" w:rsidR="00D42204" w:rsidRDefault="004E439D">
            <w:pPr>
              <w:textAlignment w:val="center"/>
            </w:pPr>
            <w:r>
              <w:rPr>
                <w:rFonts w:ascii="Times New Roman" w:eastAsia="宋体" w:hAnsi="Times New Roman"/>
                <w:color w:val="000000"/>
                <w:sz w:val="16"/>
                <w:szCs w:val="16"/>
              </w:rPr>
              <w:t>Tennessee</w:t>
            </w:r>
          </w:p>
        </w:tc>
        <w:tc>
          <w:tcPr>
            <w:tcW w:w="0" w:type="auto"/>
            <w:gridSpan w:val="3"/>
            <w:shd w:val="clear" w:color="auto" w:fill="CCEEFF"/>
            <w:tcMar>
              <w:top w:w="0" w:type="dxa"/>
              <w:left w:w="20" w:type="dxa"/>
              <w:bottom w:w="0" w:type="dxa"/>
              <w:right w:w="20" w:type="dxa"/>
            </w:tcMar>
            <w:vAlign w:val="bottom"/>
          </w:tcPr>
          <w:p w14:paraId="35D0948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89" w14:textId="77777777" w:rsidR="00D42204" w:rsidRDefault="004E439D">
            <w:pPr>
              <w:jc w:val="right"/>
              <w:textAlignment w:val="center"/>
            </w:pPr>
            <w:r>
              <w:rPr>
                <w:rFonts w:ascii="Times New Roman" w:eastAsia="宋体" w:hAnsi="Times New Roman"/>
                <w:color w:val="000000"/>
                <w:sz w:val="16"/>
                <w:szCs w:val="16"/>
              </w:rPr>
              <w:t>117 </w:t>
            </w:r>
          </w:p>
        </w:tc>
        <w:tc>
          <w:tcPr>
            <w:tcW w:w="0" w:type="auto"/>
            <w:shd w:val="clear" w:color="auto" w:fill="CCEEFF"/>
            <w:tcMar>
              <w:top w:w="40" w:type="dxa"/>
              <w:left w:w="0" w:type="dxa"/>
              <w:bottom w:w="40" w:type="dxa"/>
              <w:right w:w="20" w:type="dxa"/>
            </w:tcMar>
            <w:vAlign w:val="center"/>
          </w:tcPr>
          <w:p w14:paraId="35D0948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8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8C" w14:textId="77777777" w:rsidR="00D42204" w:rsidRDefault="004E439D">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35D0948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8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8F" w14:textId="77777777" w:rsidR="00D42204" w:rsidRDefault="004E439D">
            <w:pPr>
              <w:jc w:val="right"/>
              <w:textAlignment w:val="center"/>
            </w:pPr>
            <w:r>
              <w:rPr>
                <w:rFonts w:ascii="Times New Roman" w:eastAsia="宋体" w:hAnsi="Times New Roman"/>
                <w:color w:val="000000"/>
                <w:sz w:val="16"/>
                <w:szCs w:val="16"/>
              </w:rPr>
              <w:t>19 </w:t>
            </w:r>
          </w:p>
        </w:tc>
        <w:tc>
          <w:tcPr>
            <w:tcW w:w="0" w:type="auto"/>
            <w:shd w:val="clear" w:color="auto" w:fill="CCEEFF"/>
            <w:tcMar>
              <w:top w:w="40" w:type="dxa"/>
              <w:left w:w="0" w:type="dxa"/>
              <w:bottom w:w="40" w:type="dxa"/>
              <w:right w:w="20" w:type="dxa"/>
            </w:tcMar>
            <w:vAlign w:val="center"/>
          </w:tcPr>
          <w:p w14:paraId="35D0949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9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92" w14:textId="77777777" w:rsidR="00D42204" w:rsidRDefault="004E439D">
            <w:pPr>
              <w:jc w:val="right"/>
              <w:textAlignment w:val="center"/>
            </w:pPr>
            <w:r>
              <w:rPr>
                <w:rFonts w:ascii="Times New Roman" w:eastAsia="宋体" w:hAnsi="Times New Roman"/>
                <w:color w:val="000000"/>
                <w:sz w:val="16"/>
                <w:szCs w:val="16"/>
              </w:rPr>
              <w:t>14 </w:t>
            </w:r>
          </w:p>
        </w:tc>
        <w:tc>
          <w:tcPr>
            <w:tcW w:w="0" w:type="auto"/>
            <w:shd w:val="clear" w:color="auto" w:fill="CCEEFF"/>
            <w:tcMar>
              <w:top w:w="40" w:type="dxa"/>
              <w:left w:w="0" w:type="dxa"/>
              <w:bottom w:w="40" w:type="dxa"/>
              <w:right w:w="20" w:type="dxa"/>
            </w:tcMar>
            <w:vAlign w:val="center"/>
          </w:tcPr>
          <w:p w14:paraId="35D0949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9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95" w14:textId="77777777" w:rsidR="00D42204" w:rsidRDefault="004E439D">
            <w:pPr>
              <w:jc w:val="right"/>
              <w:textAlignment w:val="center"/>
            </w:pPr>
            <w:r>
              <w:rPr>
                <w:rFonts w:ascii="Times New Roman" w:eastAsia="宋体" w:hAnsi="Times New Roman"/>
                <w:color w:val="000000"/>
                <w:sz w:val="16"/>
                <w:szCs w:val="16"/>
              </w:rPr>
              <w:t>151 </w:t>
            </w:r>
          </w:p>
        </w:tc>
        <w:tc>
          <w:tcPr>
            <w:tcW w:w="0" w:type="auto"/>
            <w:shd w:val="clear" w:color="auto" w:fill="CCEEFF"/>
            <w:tcMar>
              <w:top w:w="40" w:type="dxa"/>
              <w:left w:w="0" w:type="dxa"/>
              <w:bottom w:w="40" w:type="dxa"/>
              <w:right w:w="20" w:type="dxa"/>
            </w:tcMar>
            <w:vAlign w:val="center"/>
          </w:tcPr>
          <w:p w14:paraId="35D09496" w14:textId="77777777" w:rsidR="00D42204" w:rsidRDefault="00D42204">
            <w:pPr>
              <w:jc w:val="right"/>
              <w:rPr>
                <w:rFonts w:ascii="宋体"/>
              </w:rPr>
            </w:pPr>
          </w:p>
        </w:tc>
      </w:tr>
      <w:tr w:rsidR="00D42204" w14:paraId="35D094A8" w14:textId="77777777">
        <w:tc>
          <w:tcPr>
            <w:tcW w:w="0" w:type="auto"/>
            <w:gridSpan w:val="3"/>
            <w:shd w:val="clear" w:color="auto" w:fill="FFFFFF"/>
            <w:tcMar>
              <w:top w:w="40" w:type="dxa"/>
              <w:left w:w="20" w:type="dxa"/>
              <w:bottom w:w="40" w:type="dxa"/>
              <w:right w:w="20" w:type="dxa"/>
            </w:tcMar>
            <w:vAlign w:val="center"/>
          </w:tcPr>
          <w:p w14:paraId="35D09498" w14:textId="77777777" w:rsidR="00D42204" w:rsidRDefault="004E439D">
            <w:pPr>
              <w:textAlignment w:val="center"/>
            </w:pPr>
            <w:r>
              <w:rPr>
                <w:rFonts w:ascii="Times New Roman" w:eastAsia="宋体" w:hAnsi="Times New Roman"/>
                <w:color w:val="000000"/>
                <w:sz w:val="16"/>
                <w:szCs w:val="16"/>
              </w:rPr>
              <w:t>Texas</w:t>
            </w:r>
          </w:p>
        </w:tc>
        <w:tc>
          <w:tcPr>
            <w:tcW w:w="0" w:type="auto"/>
            <w:gridSpan w:val="3"/>
            <w:shd w:val="clear" w:color="auto" w:fill="FFFFFF"/>
            <w:tcMar>
              <w:top w:w="0" w:type="dxa"/>
              <w:left w:w="20" w:type="dxa"/>
              <w:bottom w:w="0" w:type="dxa"/>
              <w:right w:w="20" w:type="dxa"/>
            </w:tcMar>
            <w:vAlign w:val="bottom"/>
          </w:tcPr>
          <w:p w14:paraId="35D0949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9A" w14:textId="77777777" w:rsidR="00D42204" w:rsidRDefault="004E439D">
            <w:pPr>
              <w:jc w:val="right"/>
              <w:textAlignment w:val="center"/>
            </w:pPr>
            <w:r>
              <w:rPr>
                <w:rFonts w:ascii="Times New Roman" w:eastAsia="宋体" w:hAnsi="Times New Roman"/>
                <w:color w:val="000000"/>
                <w:sz w:val="16"/>
                <w:szCs w:val="16"/>
              </w:rPr>
              <w:t>391 </w:t>
            </w:r>
          </w:p>
        </w:tc>
        <w:tc>
          <w:tcPr>
            <w:tcW w:w="0" w:type="auto"/>
            <w:shd w:val="clear" w:color="auto" w:fill="FFFFFF"/>
            <w:tcMar>
              <w:top w:w="40" w:type="dxa"/>
              <w:left w:w="0" w:type="dxa"/>
              <w:bottom w:w="40" w:type="dxa"/>
              <w:right w:w="20" w:type="dxa"/>
            </w:tcMar>
            <w:vAlign w:val="center"/>
          </w:tcPr>
          <w:p w14:paraId="35D0949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9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9D" w14:textId="77777777" w:rsidR="00D42204" w:rsidRDefault="004E439D">
            <w:pPr>
              <w:jc w:val="right"/>
              <w:textAlignment w:val="center"/>
            </w:pPr>
            <w:r>
              <w:rPr>
                <w:rFonts w:ascii="Times New Roman" w:eastAsia="宋体" w:hAnsi="Times New Roman"/>
                <w:color w:val="000000"/>
                <w:sz w:val="16"/>
                <w:szCs w:val="16"/>
              </w:rPr>
              <w:t>18 </w:t>
            </w:r>
          </w:p>
        </w:tc>
        <w:tc>
          <w:tcPr>
            <w:tcW w:w="0" w:type="auto"/>
            <w:shd w:val="clear" w:color="auto" w:fill="FFFFFF"/>
            <w:tcMar>
              <w:top w:w="40" w:type="dxa"/>
              <w:left w:w="0" w:type="dxa"/>
              <w:bottom w:w="40" w:type="dxa"/>
              <w:right w:w="20" w:type="dxa"/>
            </w:tcMar>
            <w:vAlign w:val="center"/>
          </w:tcPr>
          <w:p w14:paraId="35D0949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9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A0" w14:textId="77777777" w:rsidR="00D42204" w:rsidRDefault="004E439D">
            <w:pPr>
              <w:jc w:val="right"/>
              <w:textAlignment w:val="center"/>
            </w:pPr>
            <w:r>
              <w:rPr>
                <w:rFonts w:ascii="Times New Roman" w:eastAsia="宋体" w:hAnsi="Times New Roman"/>
                <w:color w:val="000000"/>
                <w:sz w:val="16"/>
                <w:szCs w:val="16"/>
              </w:rPr>
              <w:t>110 </w:t>
            </w:r>
          </w:p>
        </w:tc>
        <w:tc>
          <w:tcPr>
            <w:tcW w:w="0" w:type="auto"/>
            <w:shd w:val="clear" w:color="auto" w:fill="FFFFFF"/>
            <w:tcMar>
              <w:top w:w="40" w:type="dxa"/>
              <w:left w:w="0" w:type="dxa"/>
              <w:bottom w:w="40" w:type="dxa"/>
              <w:right w:w="20" w:type="dxa"/>
            </w:tcMar>
            <w:vAlign w:val="center"/>
          </w:tcPr>
          <w:p w14:paraId="35D094A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A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A3" w14:textId="77777777" w:rsidR="00D42204" w:rsidRDefault="004E439D">
            <w:pPr>
              <w:jc w:val="right"/>
              <w:textAlignment w:val="center"/>
            </w:pPr>
            <w:r>
              <w:rPr>
                <w:rFonts w:ascii="Times New Roman" w:eastAsia="宋体" w:hAnsi="Times New Roman"/>
                <w:color w:val="000000"/>
                <w:sz w:val="16"/>
                <w:szCs w:val="16"/>
              </w:rPr>
              <w:t>82 </w:t>
            </w:r>
          </w:p>
        </w:tc>
        <w:tc>
          <w:tcPr>
            <w:tcW w:w="0" w:type="auto"/>
            <w:shd w:val="clear" w:color="auto" w:fill="FFFFFF"/>
            <w:tcMar>
              <w:top w:w="40" w:type="dxa"/>
              <w:left w:w="0" w:type="dxa"/>
              <w:bottom w:w="40" w:type="dxa"/>
              <w:right w:w="20" w:type="dxa"/>
            </w:tcMar>
            <w:vAlign w:val="center"/>
          </w:tcPr>
          <w:p w14:paraId="35D094A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A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A6" w14:textId="77777777" w:rsidR="00D42204" w:rsidRDefault="004E439D">
            <w:pPr>
              <w:jc w:val="right"/>
              <w:textAlignment w:val="center"/>
            </w:pPr>
            <w:r>
              <w:rPr>
                <w:rFonts w:ascii="Times New Roman" w:eastAsia="宋体" w:hAnsi="Times New Roman"/>
                <w:color w:val="000000"/>
                <w:sz w:val="16"/>
                <w:szCs w:val="16"/>
              </w:rPr>
              <w:t>601 </w:t>
            </w:r>
          </w:p>
        </w:tc>
        <w:tc>
          <w:tcPr>
            <w:tcW w:w="0" w:type="auto"/>
            <w:shd w:val="clear" w:color="auto" w:fill="FFFFFF"/>
            <w:tcMar>
              <w:top w:w="40" w:type="dxa"/>
              <w:left w:w="0" w:type="dxa"/>
              <w:bottom w:w="40" w:type="dxa"/>
              <w:right w:w="20" w:type="dxa"/>
            </w:tcMar>
            <w:vAlign w:val="center"/>
          </w:tcPr>
          <w:p w14:paraId="35D094A7" w14:textId="77777777" w:rsidR="00D42204" w:rsidRDefault="00D42204">
            <w:pPr>
              <w:jc w:val="right"/>
              <w:rPr>
                <w:rFonts w:ascii="宋体"/>
              </w:rPr>
            </w:pPr>
          </w:p>
        </w:tc>
      </w:tr>
      <w:tr w:rsidR="00D42204" w14:paraId="35D094B9" w14:textId="77777777">
        <w:tc>
          <w:tcPr>
            <w:tcW w:w="0" w:type="auto"/>
            <w:gridSpan w:val="3"/>
            <w:shd w:val="clear" w:color="auto" w:fill="CCEEFF"/>
            <w:tcMar>
              <w:top w:w="40" w:type="dxa"/>
              <w:left w:w="20" w:type="dxa"/>
              <w:bottom w:w="40" w:type="dxa"/>
              <w:right w:w="20" w:type="dxa"/>
            </w:tcMar>
            <w:vAlign w:val="center"/>
          </w:tcPr>
          <w:p w14:paraId="35D094A9" w14:textId="77777777" w:rsidR="00D42204" w:rsidRDefault="004E439D">
            <w:pPr>
              <w:textAlignment w:val="center"/>
            </w:pPr>
            <w:r>
              <w:rPr>
                <w:rFonts w:ascii="Times New Roman" w:eastAsia="宋体" w:hAnsi="Times New Roman"/>
                <w:color w:val="000000"/>
                <w:sz w:val="16"/>
                <w:szCs w:val="16"/>
              </w:rPr>
              <w:t>Utah</w:t>
            </w:r>
          </w:p>
        </w:tc>
        <w:tc>
          <w:tcPr>
            <w:tcW w:w="0" w:type="auto"/>
            <w:gridSpan w:val="3"/>
            <w:shd w:val="clear" w:color="auto" w:fill="CCEEFF"/>
            <w:tcMar>
              <w:top w:w="0" w:type="dxa"/>
              <w:left w:w="20" w:type="dxa"/>
              <w:bottom w:w="0" w:type="dxa"/>
              <w:right w:w="20" w:type="dxa"/>
            </w:tcMar>
            <w:vAlign w:val="bottom"/>
          </w:tcPr>
          <w:p w14:paraId="35D094A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AB" w14:textId="77777777" w:rsidR="00D42204" w:rsidRDefault="004E439D">
            <w:pPr>
              <w:jc w:val="right"/>
              <w:textAlignment w:val="center"/>
            </w:pPr>
            <w:r>
              <w:rPr>
                <w:rFonts w:ascii="Times New Roman" w:eastAsia="宋体" w:hAnsi="Times New Roman"/>
                <w:color w:val="000000"/>
                <w:sz w:val="16"/>
                <w:szCs w:val="16"/>
              </w:rPr>
              <w:t>41 </w:t>
            </w:r>
          </w:p>
        </w:tc>
        <w:tc>
          <w:tcPr>
            <w:tcW w:w="0" w:type="auto"/>
            <w:shd w:val="clear" w:color="auto" w:fill="CCEEFF"/>
            <w:tcMar>
              <w:top w:w="40" w:type="dxa"/>
              <w:left w:w="0" w:type="dxa"/>
              <w:bottom w:w="40" w:type="dxa"/>
              <w:right w:w="20" w:type="dxa"/>
            </w:tcMar>
            <w:vAlign w:val="center"/>
          </w:tcPr>
          <w:p w14:paraId="35D094A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A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AE"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94A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B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B1" w14:textId="77777777" w:rsidR="00D42204" w:rsidRDefault="004E439D">
            <w:pPr>
              <w:jc w:val="right"/>
              <w:textAlignment w:val="center"/>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center"/>
          </w:tcPr>
          <w:p w14:paraId="35D094B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B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B4" w14:textId="77777777" w:rsidR="00D42204" w:rsidRDefault="004E439D">
            <w:pPr>
              <w:jc w:val="right"/>
              <w:textAlignment w:val="center"/>
            </w:pPr>
            <w:r>
              <w:rPr>
                <w:rFonts w:ascii="Times New Roman" w:eastAsia="宋体" w:hAnsi="Times New Roman"/>
                <w:color w:val="000000"/>
                <w:sz w:val="16"/>
                <w:szCs w:val="16"/>
              </w:rPr>
              <w:t>8 </w:t>
            </w:r>
          </w:p>
        </w:tc>
        <w:tc>
          <w:tcPr>
            <w:tcW w:w="0" w:type="auto"/>
            <w:shd w:val="clear" w:color="auto" w:fill="CCEEFF"/>
            <w:tcMar>
              <w:top w:w="40" w:type="dxa"/>
              <w:left w:w="0" w:type="dxa"/>
              <w:bottom w:w="40" w:type="dxa"/>
              <w:right w:w="20" w:type="dxa"/>
            </w:tcMar>
            <w:vAlign w:val="center"/>
          </w:tcPr>
          <w:p w14:paraId="35D094B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B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B7" w14:textId="77777777" w:rsidR="00D42204" w:rsidRDefault="004E439D">
            <w:pPr>
              <w:jc w:val="right"/>
              <w:textAlignment w:val="center"/>
            </w:pPr>
            <w:r>
              <w:rPr>
                <w:rFonts w:ascii="Times New Roman" w:eastAsia="宋体" w:hAnsi="Times New Roman"/>
                <w:color w:val="000000"/>
                <w:sz w:val="16"/>
                <w:szCs w:val="16"/>
              </w:rPr>
              <w:t>62 </w:t>
            </w:r>
          </w:p>
        </w:tc>
        <w:tc>
          <w:tcPr>
            <w:tcW w:w="0" w:type="auto"/>
            <w:shd w:val="clear" w:color="auto" w:fill="CCEEFF"/>
            <w:tcMar>
              <w:top w:w="40" w:type="dxa"/>
              <w:left w:w="0" w:type="dxa"/>
              <w:bottom w:w="40" w:type="dxa"/>
              <w:right w:w="20" w:type="dxa"/>
            </w:tcMar>
            <w:vAlign w:val="center"/>
          </w:tcPr>
          <w:p w14:paraId="35D094B8" w14:textId="77777777" w:rsidR="00D42204" w:rsidRDefault="00D42204">
            <w:pPr>
              <w:jc w:val="right"/>
              <w:rPr>
                <w:rFonts w:ascii="宋体"/>
              </w:rPr>
            </w:pPr>
          </w:p>
        </w:tc>
      </w:tr>
      <w:tr w:rsidR="00D42204" w14:paraId="35D094CA" w14:textId="77777777">
        <w:tc>
          <w:tcPr>
            <w:tcW w:w="0" w:type="auto"/>
            <w:gridSpan w:val="3"/>
            <w:shd w:val="clear" w:color="auto" w:fill="FFFFFF"/>
            <w:tcMar>
              <w:top w:w="40" w:type="dxa"/>
              <w:left w:w="20" w:type="dxa"/>
              <w:bottom w:w="40" w:type="dxa"/>
              <w:right w:w="20" w:type="dxa"/>
            </w:tcMar>
            <w:vAlign w:val="center"/>
          </w:tcPr>
          <w:p w14:paraId="35D094BA" w14:textId="77777777" w:rsidR="00D42204" w:rsidRDefault="004E439D">
            <w:pPr>
              <w:textAlignment w:val="center"/>
            </w:pPr>
            <w:r>
              <w:rPr>
                <w:rFonts w:ascii="Times New Roman" w:eastAsia="宋体" w:hAnsi="Times New Roman"/>
                <w:color w:val="000000"/>
                <w:sz w:val="16"/>
                <w:szCs w:val="16"/>
              </w:rPr>
              <w:t>Vermont</w:t>
            </w:r>
          </w:p>
        </w:tc>
        <w:tc>
          <w:tcPr>
            <w:tcW w:w="0" w:type="auto"/>
            <w:gridSpan w:val="3"/>
            <w:shd w:val="clear" w:color="auto" w:fill="FFFFFF"/>
            <w:tcMar>
              <w:top w:w="0" w:type="dxa"/>
              <w:left w:w="20" w:type="dxa"/>
              <w:bottom w:w="0" w:type="dxa"/>
              <w:right w:w="20" w:type="dxa"/>
            </w:tcMar>
            <w:vAlign w:val="bottom"/>
          </w:tcPr>
          <w:p w14:paraId="35D094B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BC" w14:textId="77777777" w:rsidR="00D42204" w:rsidRDefault="004E439D">
            <w:pPr>
              <w:jc w:val="right"/>
              <w:textAlignment w:val="center"/>
            </w:pPr>
            <w:r>
              <w:rPr>
                <w:rFonts w:ascii="Times New Roman" w:eastAsia="宋体" w:hAnsi="Times New Roman"/>
                <w:color w:val="000000"/>
                <w:sz w:val="16"/>
                <w:szCs w:val="16"/>
              </w:rPr>
              <w:t>3 </w:t>
            </w:r>
          </w:p>
        </w:tc>
        <w:tc>
          <w:tcPr>
            <w:tcW w:w="0" w:type="auto"/>
            <w:shd w:val="clear" w:color="auto" w:fill="FFFFFF"/>
            <w:tcMar>
              <w:top w:w="40" w:type="dxa"/>
              <w:left w:w="0" w:type="dxa"/>
              <w:bottom w:w="40" w:type="dxa"/>
              <w:right w:w="20" w:type="dxa"/>
            </w:tcMar>
            <w:vAlign w:val="center"/>
          </w:tcPr>
          <w:p w14:paraId="35D094B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B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BF" w14:textId="77777777" w:rsidR="00D42204" w:rsidRDefault="004E439D">
            <w:pPr>
              <w:jc w:val="right"/>
              <w:textAlignment w:val="center"/>
            </w:pPr>
            <w:r>
              <w:rPr>
                <w:rFonts w:ascii="Times New Roman" w:eastAsia="宋体" w:hAnsi="Times New Roman"/>
                <w:color w:val="000000"/>
                <w:sz w:val="16"/>
                <w:szCs w:val="16"/>
              </w:rPr>
              <w:t>3 </w:t>
            </w:r>
          </w:p>
        </w:tc>
        <w:tc>
          <w:tcPr>
            <w:tcW w:w="0" w:type="auto"/>
            <w:shd w:val="clear" w:color="auto" w:fill="FFFFFF"/>
            <w:tcMar>
              <w:top w:w="40" w:type="dxa"/>
              <w:left w:w="0" w:type="dxa"/>
              <w:bottom w:w="40" w:type="dxa"/>
              <w:right w:w="20" w:type="dxa"/>
            </w:tcMar>
            <w:vAlign w:val="center"/>
          </w:tcPr>
          <w:p w14:paraId="35D094C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C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C2"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4C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C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C5"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4C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C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C8" w14:textId="77777777" w:rsidR="00D42204" w:rsidRDefault="004E439D">
            <w:pPr>
              <w:jc w:val="right"/>
              <w:textAlignment w:val="center"/>
            </w:pPr>
            <w:r>
              <w:rPr>
                <w:rFonts w:ascii="Times New Roman" w:eastAsia="宋体" w:hAnsi="Times New Roman"/>
                <w:color w:val="000000"/>
                <w:sz w:val="16"/>
                <w:szCs w:val="16"/>
              </w:rPr>
              <w:t>6 </w:t>
            </w:r>
          </w:p>
        </w:tc>
        <w:tc>
          <w:tcPr>
            <w:tcW w:w="0" w:type="auto"/>
            <w:shd w:val="clear" w:color="auto" w:fill="FFFFFF"/>
            <w:tcMar>
              <w:top w:w="40" w:type="dxa"/>
              <w:left w:w="0" w:type="dxa"/>
              <w:bottom w:w="40" w:type="dxa"/>
              <w:right w:w="20" w:type="dxa"/>
            </w:tcMar>
            <w:vAlign w:val="center"/>
          </w:tcPr>
          <w:p w14:paraId="35D094C9" w14:textId="77777777" w:rsidR="00D42204" w:rsidRDefault="00D42204">
            <w:pPr>
              <w:jc w:val="right"/>
              <w:rPr>
                <w:rFonts w:ascii="宋体"/>
              </w:rPr>
            </w:pPr>
          </w:p>
        </w:tc>
      </w:tr>
      <w:tr w:rsidR="00D42204" w14:paraId="35D094DB" w14:textId="77777777">
        <w:tc>
          <w:tcPr>
            <w:tcW w:w="0" w:type="auto"/>
            <w:gridSpan w:val="3"/>
            <w:shd w:val="clear" w:color="auto" w:fill="CCEEFF"/>
            <w:tcMar>
              <w:top w:w="40" w:type="dxa"/>
              <w:left w:w="20" w:type="dxa"/>
              <w:bottom w:w="40" w:type="dxa"/>
              <w:right w:w="20" w:type="dxa"/>
            </w:tcMar>
            <w:vAlign w:val="center"/>
          </w:tcPr>
          <w:p w14:paraId="35D094CB" w14:textId="77777777" w:rsidR="00D42204" w:rsidRDefault="004E439D">
            <w:pPr>
              <w:textAlignment w:val="center"/>
            </w:pPr>
            <w:r>
              <w:rPr>
                <w:rFonts w:ascii="Times New Roman" w:eastAsia="宋体" w:hAnsi="Times New Roman"/>
                <w:color w:val="000000"/>
                <w:sz w:val="16"/>
                <w:szCs w:val="16"/>
              </w:rPr>
              <w:t>Virginia</w:t>
            </w:r>
          </w:p>
        </w:tc>
        <w:tc>
          <w:tcPr>
            <w:tcW w:w="0" w:type="auto"/>
            <w:gridSpan w:val="3"/>
            <w:shd w:val="clear" w:color="auto" w:fill="CCEEFF"/>
            <w:tcMar>
              <w:top w:w="0" w:type="dxa"/>
              <w:left w:w="20" w:type="dxa"/>
              <w:bottom w:w="0" w:type="dxa"/>
              <w:right w:w="20" w:type="dxa"/>
            </w:tcMar>
            <w:vAlign w:val="bottom"/>
          </w:tcPr>
          <w:p w14:paraId="35D094C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CD" w14:textId="77777777" w:rsidR="00D42204" w:rsidRDefault="004E439D">
            <w:pPr>
              <w:jc w:val="right"/>
              <w:textAlignment w:val="center"/>
            </w:pPr>
            <w:r>
              <w:rPr>
                <w:rFonts w:ascii="Times New Roman" w:eastAsia="宋体" w:hAnsi="Times New Roman"/>
                <w:color w:val="000000"/>
                <w:sz w:val="16"/>
                <w:szCs w:val="16"/>
              </w:rPr>
              <w:t>110 </w:t>
            </w:r>
          </w:p>
        </w:tc>
        <w:tc>
          <w:tcPr>
            <w:tcW w:w="0" w:type="auto"/>
            <w:shd w:val="clear" w:color="auto" w:fill="CCEEFF"/>
            <w:tcMar>
              <w:top w:w="40" w:type="dxa"/>
              <w:left w:w="0" w:type="dxa"/>
              <w:bottom w:w="40" w:type="dxa"/>
              <w:right w:w="20" w:type="dxa"/>
            </w:tcMar>
            <w:vAlign w:val="center"/>
          </w:tcPr>
          <w:p w14:paraId="35D094C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C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D0" w14:textId="77777777" w:rsidR="00D42204" w:rsidRDefault="004E439D">
            <w:pPr>
              <w:jc w:val="right"/>
              <w:textAlignment w:val="center"/>
            </w:pPr>
            <w:r>
              <w:rPr>
                <w:rFonts w:ascii="Times New Roman" w:eastAsia="宋体" w:hAnsi="Times New Roman"/>
                <w:color w:val="000000"/>
                <w:sz w:val="16"/>
                <w:szCs w:val="16"/>
              </w:rPr>
              <w:t>4 </w:t>
            </w:r>
          </w:p>
        </w:tc>
        <w:tc>
          <w:tcPr>
            <w:tcW w:w="0" w:type="auto"/>
            <w:shd w:val="clear" w:color="auto" w:fill="CCEEFF"/>
            <w:tcMar>
              <w:top w:w="40" w:type="dxa"/>
              <w:left w:w="0" w:type="dxa"/>
              <w:bottom w:w="40" w:type="dxa"/>
              <w:right w:w="20" w:type="dxa"/>
            </w:tcMar>
            <w:vAlign w:val="center"/>
          </w:tcPr>
          <w:p w14:paraId="35D094D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D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D3" w14:textId="77777777" w:rsidR="00D42204" w:rsidRDefault="004E439D">
            <w:pPr>
              <w:jc w:val="right"/>
              <w:textAlignment w:val="center"/>
            </w:pPr>
            <w:r>
              <w:rPr>
                <w:rFonts w:ascii="Times New Roman" w:eastAsia="宋体" w:hAnsi="Times New Roman"/>
                <w:color w:val="000000"/>
                <w:sz w:val="16"/>
                <w:szCs w:val="16"/>
              </w:rPr>
              <w:t>22 </w:t>
            </w:r>
          </w:p>
        </w:tc>
        <w:tc>
          <w:tcPr>
            <w:tcW w:w="0" w:type="auto"/>
            <w:shd w:val="clear" w:color="auto" w:fill="CCEEFF"/>
            <w:tcMar>
              <w:top w:w="40" w:type="dxa"/>
              <w:left w:w="0" w:type="dxa"/>
              <w:bottom w:w="40" w:type="dxa"/>
              <w:right w:w="20" w:type="dxa"/>
            </w:tcMar>
            <w:vAlign w:val="center"/>
          </w:tcPr>
          <w:p w14:paraId="35D094D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D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D6" w14:textId="77777777" w:rsidR="00D42204" w:rsidRDefault="004E439D">
            <w:pPr>
              <w:jc w:val="right"/>
              <w:textAlignment w:val="center"/>
            </w:pPr>
            <w:r>
              <w:rPr>
                <w:rFonts w:ascii="Times New Roman" w:eastAsia="宋体" w:hAnsi="Times New Roman"/>
                <w:color w:val="000000"/>
                <w:sz w:val="16"/>
                <w:szCs w:val="16"/>
              </w:rPr>
              <w:t>15 </w:t>
            </w:r>
          </w:p>
        </w:tc>
        <w:tc>
          <w:tcPr>
            <w:tcW w:w="0" w:type="auto"/>
            <w:shd w:val="clear" w:color="auto" w:fill="CCEEFF"/>
            <w:tcMar>
              <w:top w:w="40" w:type="dxa"/>
              <w:left w:w="0" w:type="dxa"/>
              <w:bottom w:w="40" w:type="dxa"/>
              <w:right w:w="20" w:type="dxa"/>
            </w:tcMar>
            <w:vAlign w:val="center"/>
          </w:tcPr>
          <w:p w14:paraId="35D094D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D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D9" w14:textId="77777777" w:rsidR="00D42204" w:rsidRDefault="004E439D">
            <w:pPr>
              <w:jc w:val="right"/>
              <w:textAlignment w:val="center"/>
            </w:pPr>
            <w:r>
              <w:rPr>
                <w:rFonts w:ascii="Times New Roman" w:eastAsia="宋体" w:hAnsi="Times New Roman"/>
                <w:color w:val="000000"/>
                <w:sz w:val="16"/>
                <w:szCs w:val="16"/>
              </w:rPr>
              <w:t>151 </w:t>
            </w:r>
          </w:p>
        </w:tc>
        <w:tc>
          <w:tcPr>
            <w:tcW w:w="0" w:type="auto"/>
            <w:shd w:val="clear" w:color="auto" w:fill="CCEEFF"/>
            <w:tcMar>
              <w:top w:w="40" w:type="dxa"/>
              <w:left w:w="0" w:type="dxa"/>
              <w:bottom w:w="40" w:type="dxa"/>
              <w:right w:w="20" w:type="dxa"/>
            </w:tcMar>
            <w:vAlign w:val="center"/>
          </w:tcPr>
          <w:p w14:paraId="35D094DA" w14:textId="77777777" w:rsidR="00D42204" w:rsidRDefault="00D42204">
            <w:pPr>
              <w:jc w:val="right"/>
              <w:rPr>
                <w:rFonts w:ascii="宋体"/>
              </w:rPr>
            </w:pPr>
          </w:p>
        </w:tc>
      </w:tr>
      <w:tr w:rsidR="00D42204" w14:paraId="35D094EC" w14:textId="77777777">
        <w:tc>
          <w:tcPr>
            <w:tcW w:w="0" w:type="auto"/>
            <w:gridSpan w:val="3"/>
            <w:shd w:val="clear" w:color="auto" w:fill="FFFFFF"/>
            <w:tcMar>
              <w:top w:w="40" w:type="dxa"/>
              <w:left w:w="20" w:type="dxa"/>
              <w:bottom w:w="40" w:type="dxa"/>
              <w:right w:w="20" w:type="dxa"/>
            </w:tcMar>
            <w:vAlign w:val="center"/>
          </w:tcPr>
          <w:p w14:paraId="35D094DC" w14:textId="77777777" w:rsidR="00D42204" w:rsidRDefault="004E439D">
            <w:pPr>
              <w:textAlignment w:val="center"/>
            </w:pPr>
            <w:r>
              <w:rPr>
                <w:rFonts w:ascii="Times New Roman" w:eastAsia="宋体" w:hAnsi="Times New Roman"/>
                <w:color w:val="000000"/>
                <w:sz w:val="16"/>
                <w:szCs w:val="16"/>
              </w:rPr>
              <w:t>Washington</w:t>
            </w:r>
          </w:p>
        </w:tc>
        <w:tc>
          <w:tcPr>
            <w:tcW w:w="0" w:type="auto"/>
            <w:gridSpan w:val="3"/>
            <w:shd w:val="clear" w:color="auto" w:fill="FFFFFF"/>
            <w:tcMar>
              <w:top w:w="0" w:type="dxa"/>
              <w:left w:w="20" w:type="dxa"/>
              <w:bottom w:w="0" w:type="dxa"/>
              <w:right w:w="20" w:type="dxa"/>
            </w:tcMar>
            <w:vAlign w:val="bottom"/>
          </w:tcPr>
          <w:p w14:paraId="35D094D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DE" w14:textId="77777777" w:rsidR="00D42204" w:rsidRDefault="004E439D">
            <w:pPr>
              <w:jc w:val="right"/>
              <w:textAlignment w:val="center"/>
            </w:pPr>
            <w:r>
              <w:rPr>
                <w:rFonts w:ascii="Times New Roman" w:eastAsia="宋体" w:hAnsi="Times New Roman"/>
                <w:color w:val="000000"/>
                <w:sz w:val="16"/>
                <w:szCs w:val="16"/>
              </w:rPr>
              <w:t>52 </w:t>
            </w:r>
          </w:p>
        </w:tc>
        <w:tc>
          <w:tcPr>
            <w:tcW w:w="0" w:type="auto"/>
            <w:shd w:val="clear" w:color="auto" w:fill="FFFFFF"/>
            <w:tcMar>
              <w:top w:w="40" w:type="dxa"/>
              <w:left w:w="0" w:type="dxa"/>
              <w:bottom w:w="40" w:type="dxa"/>
              <w:right w:w="20" w:type="dxa"/>
            </w:tcMar>
            <w:vAlign w:val="center"/>
          </w:tcPr>
          <w:p w14:paraId="35D094D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E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E1" w14:textId="77777777" w:rsidR="00D42204" w:rsidRDefault="004E439D">
            <w:pPr>
              <w:jc w:val="right"/>
              <w:textAlignment w:val="center"/>
            </w:pPr>
            <w:r>
              <w:rPr>
                <w:rFonts w:ascii="Times New Roman" w:eastAsia="宋体" w:hAnsi="Times New Roman"/>
                <w:color w:val="000000"/>
                <w:sz w:val="16"/>
                <w:szCs w:val="16"/>
              </w:rPr>
              <w:t>10 </w:t>
            </w:r>
          </w:p>
        </w:tc>
        <w:tc>
          <w:tcPr>
            <w:tcW w:w="0" w:type="auto"/>
            <w:shd w:val="clear" w:color="auto" w:fill="FFFFFF"/>
            <w:tcMar>
              <w:top w:w="40" w:type="dxa"/>
              <w:left w:w="0" w:type="dxa"/>
              <w:bottom w:w="40" w:type="dxa"/>
              <w:right w:w="20" w:type="dxa"/>
            </w:tcMar>
            <w:vAlign w:val="center"/>
          </w:tcPr>
          <w:p w14:paraId="35D094E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E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E4" w14:textId="77777777" w:rsidR="00D42204" w:rsidRDefault="004E439D">
            <w:pPr>
              <w:jc w:val="right"/>
              <w:textAlignment w:val="center"/>
            </w:pPr>
            <w:r>
              <w:rPr>
                <w:rFonts w:ascii="Times New Roman" w:eastAsia="宋体" w:hAnsi="Times New Roman"/>
                <w:color w:val="000000"/>
                <w:sz w:val="16"/>
                <w:szCs w:val="16"/>
              </w:rPr>
              <w:t>5 </w:t>
            </w:r>
          </w:p>
        </w:tc>
        <w:tc>
          <w:tcPr>
            <w:tcW w:w="0" w:type="auto"/>
            <w:shd w:val="clear" w:color="auto" w:fill="FFFFFF"/>
            <w:tcMar>
              <w:top w:w="40" w:type="dxa"/>
              <w:left w:w="0" w:type="dxa"/>
              <w:bottom w:w="40" w:type="dxa"/>
              <w:right w:w="20" w:type="dxa"/>
            </w:tcMar>
            <w:vAlign w:val="center"/>
          </w:tcPr>
          <w:p w14:paraId="35D094E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E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E7"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4E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4E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4EA" w14:textId="77777777" w:rsidR="00D42204" w:rsidRDefault="004E439D">
            <w:pPr>
              <w:jc w:val="right"/>
              <w:textAlignment w:val="center"/>
            </w:pPr>
            <w:r>
              <w:rPr>
                <w:rFonts w:ascii="Times New Roman" w:eastAsia="宋体" w:hAnsi="Times New Roman"/>
                <w:color w:val="000000"/>
                <w:sz w:val="16"/>
                <w:szCs w:val="16"/>
              </w:rPr>
              <w:t>67 </w:t>
            </w:r>
          </w:p>
        </w:tc>
        <w:tc>
          <w:tcPr>
            <w:tcW w:w="0" w:type="auto"/>
            <w:shd w:val="clear" w:color="auto" w:fill="FFFFFF"/>
            <w:tcMar>
              <w:top w:w="40" w:type="dxa"/>
              <w:left w:w="0" w:type="dxa"/>
              <w:bottom w:w="40" w:type="dxa"/>
              <w:right w:w="20" w:type="dxa"/>
            </w:tcMar>
            <w:vAlign w:val="center"/>
          </w:tcPr>
          <w:p w14:paraId="35D094EB" w14:textId="77777777" w:rsidR="00D42204" w:rsidRDefault="00D42204">
            <w:pPr>
              <w:jc w:val="right"/>
              <w:rPr>
                <w:rFonts w:ascii="宋体"/>
              </w:rPr>
            </w:pPr>
          </w:p>
        </w:tc>
      </w:tr>
      <w:tr w:rsidR="00D42204" w14:paraId="35D094FD" w14:textId="77777777">
        <w:tc>
          <w:tcPr>
            <w:tcW w:w="0" w:type="auto"/>
            <w:gridSpan w:val="3"/>
            <w:shd w:val="clear" w:color="auto" w:fill="CCEEFF"/>
            <w:tcMar>
              <w:top w:w="40" w:type="dxa"/>
              <w:left w:w="20" w:type="dxa"/>
              <w:bottom w:w="40" w:type="dxa"/>
              <w:right w:w="20" w:type="dxa"/>
            </w:tcMar>
            <w:vAlign w:val="center"/>
          </w:tcPr>
          <w:p w14:paraId="35D094ED" w14:textId="77777777" w:rsidR="00D42204" w:rsidRDefault="004E439D">
            <w:pPr>
              <w:textAlignment w:val="center"/>
            </w:pPr>
            <w:r>
              <w:rPr>
                <w:rFonts w:ascii="Times New Roman" w:eastAsia="宋体" w:hAnsi="Times New Roman"/>
                <w:color w:val="000000"/>
                <w:sz w:val="16"/>
                <w:szCs w:val="16"/>
              </w:rPr>
              <w:t>Washington D.C.</w:t>
            </w:r>
          </w:p>
        </w:tc>
        <w:tc>
          <w:tcPr>
            <w:tcW w:w="0" w:type="auto"/>
            <w:gridSpan w:val="3"/>
            <w:shd w:val="clear" w:color="auto" w:fill="CCEEFF"/>
            <w:tcMar>
              <w:top w:w="0" w:type="dxa"/>
              <w:left w:w="20" w:type="dxa"/>
              <w:bottom w:w="0" w:type="dxa"/>
              <w:right w:w="20" w:type="dxa"/>
            </w:tcMar>
            <w:vAlign w:val="bottom"/>
          </w:tcPr>
          <w:p w14:paraId="35D094E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EF" w14:textId="77777777" w:rsidR="00D42204" w:rsidRDefault="004E439D">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35D094F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F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F2"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94F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F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F5" w14:textId="77777777" w:rsidR="00D42204" w:rsidRDefault="004E439D">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35D094F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F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F8"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94F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4F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4FB" w14:textId="77777777" w:rsidR="00D42204" w:rsidRDefault="004E439D">
            <w:pPr>
              <w:jc w:val="right"/>
              <w:textAlignment w:val="center"/>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center"/>
          </w:tcPr>
          <w:p w14:paraId="35D094FC" w14:textId="77777777" w:rsidR="00D42204" w:rsidRDefault="00D42204">
            <w:pPr>
              <w:jc w:val="right"/>
              <w:rPr>
                <w:rFonts w:ascii="宋体"/>
              </w:rPr>
            </w:pPr>
          </w:p>
        </w:tc>
      </w:tr>
      <w:tr w:rsidR="00D42204" w14:paraId="35D0950E" w14:textId="77777777">
        <w:tc>
          <w:tcPr>
            <w:tcW w:w="0" w:type="auto"/>
            <w:gridSpan w:val="3"/>
            <w:shd w:val="clear" w:color="auto" w:fill="FFFFFF"/>
            <w:tcMar>
              <w:top w:w="40" w:type="dxa"/>
              <w:left w:w="20" w:type="dxa"/>
              <w:bottom w:w="40" w:type="dxa"/>
              <w:right w:w="20" w:type="dxa"/>
            </w:tcMar>
            <w:vAlign w:val="center"/>
          </w:tcPr>
          <w:p w14:paraId="35D094FE" w14:textId="77777777" w:rsidR="00D42204" w:rsidRDefault="004E439D">
            <w:pPr>
              <w:textAlignment w:val="center"/>
            </w:pPr>
            <w:r>
              <w:rPr>
                <w:rFonts w:ascii="Times New Roman" w:eastAsia="宋体" w:hAnsi="Times New Roman"/>
                <w:color w:val="000000"/>
                <w:sz w:val="16"/>
                <w:szCs w:val="16"/>
              </w:rPr>
              <w:t>West Virginia</w:t>
            </w:r>
          </w:p>
        </w:tc>
        <w:tc>
          <w:tcPr>
            <w:tcW w:w="0" w:type="auto"/>
            <w:gridSpan w:val="3"/>
            <w:shd w:val="clear" w:color="auto" w:fill="FFFFFF"/>
            <w:tcMar>
              <w:top w:w="0" w:type="dxa"/>
              <w:left w:w="20" w:type="dxa"/>
              <w:bottom w:w="0" w:type="dxa"/>
              <w:right w:w="20" w:type="dxa"/>
            </w:tcMar>
            <w:vAlign w:val="bottom"/>
          </w:tcPr>
          <w:p w14:paraId="35D094F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00" w14:textId="77777777" w:rsidR="00D42204" w:rsidRDefault="004E439D">
            <w:pPr>
              <w:jc w:val="right"/>
              <w:textAlignment w:val="center"/>
            </w:pPr>
            <w:r>
              <w:rPr>
                <w:rFonts w:ascii="Times New Roman" w:eastAsia="宋体" w:hAnsi="Times New Roman"/>
                <w:color w:val="000000"/>
                <w:sz w:val="16"/>
                <w:szCs w:val="16"/>
              </w:rPr>
              <w:t>38 </w:t>
            </w:r>
          </w:p>
        </w:tc>
        <w:tc>
          <w:tcPr>
            <w:tcW w:w="0" w:type="auto"/>
            <w:shd w:val="clear" w:color="auto" w:fill="FFFFFF"/>
            <w:tcMar>
              <w:top w:w="40" w:type="dxa"/>
              <w:left w:w="0" w:type="dxa"/>
              <w:bottom w:w="40" w:type="dxa"/>
              <w:right w:w="20" w:type="dxa"/>
            </w:tcMar>
            <w:vAlign w:val="center"/>
          </w:tcPr>
          <w:p w14:paraId="35D0950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0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03"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50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0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06" w14:textId="77777777" w:rsidR="00D42204" w:rsidRDefault="004E439D">
            <w:pPr>
              <w:jc w:val="right"/>
              <w:textAlignment w:val="center"/>
            </w:pPr>
            <w:r>
              <w:rPr>
                <w:rFonts w:ascii="Times New Roman" w:eastAsia="宋体" w:hAnsi="Times New Roman"/>
                <w:color w:val="000000"/>
                <w:sz w:val="16"/>
                <w:szCs w:val="16"/>
              </w:rPr>
              <w:t>1 </w:t>
            </w:r>
          </w:p>
        </w:tc>
        <w:tc>
          <w:tcPr>
            <w:tcW w:w="0" w:type="auto"/>
            <w:shd w:val="clear" w:color="auto" w:fill="FFFFFF"/>
            <w:tcMar>
              <w:top w:w="40" w:type="dxa"/>
              <w:left w:w="0" w:type="dxa"/>
              <w:bottom w:w="40" w:type="dxa"/>
              <w:right w:w="20" w:type="dxa"/>
            </w:tcMar>
            <w:vAlign w:val="center"/>
          </w:tcPr>
          <w:p w14:paraId="35D0950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0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09" w14:textId="77777777" w:rsidR="00D42204" w:rsidRDefault="004E439D">
            <w:pPr>
              <w:jc w:val="right"/>
              <w:textAlignment w:val="center"/>
            </w:pPr>
            <w:r>
              <w:rPr>
                <w:rFonts w:ascii="Times New Roman" w:eastAsia="宋体" w:hAnsi="Times New Roman"/>
                <w:color w:val="000000"/>
                <w:sz w:val="16"/>
                <w:szCs w:val="16"/>
              </w:rPr>
              <w:t>5 </w:t>
            </w:r>
          </w:p>
        </w:tc>
        <w:tc>
          <w:tcPr>
            <w:tcW w:w="0" w:type="auto"/>
            <w:shd w:val="clear" w:color="auto" w:fill="FFFFFF"/>
            <w:tcMar>
              <w:top w:w="40" w:type="dxa"/>
              <w:left w:w="0" w:type="dxa"/>
              <w:bottom w:w="40" w:type="dxa"/>
              <w:right w:w="20" w:type="dxa"/>
            </w:tcMar>
            <w:vAlign w:val="center"/>
          </w:tcPr>
          <w:p w14:paraId="35D0950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0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0C" w14:textId="77777777" w:rsidR="00D42204" w:rsidRDefault="004E439D">
            <w:pPr>
              <w:jc w:val="right"/>
              <w:textAlignment w:val="center"/>
            </w:pPr>
            <w:r>
              <w:rPr>
                <w:rFonts w:ascii="Times New Roman" w:eastAsia="宋体" w:hAnsi="Times New Roman"/>
                <w:color w:val="000000"/>
                <w:sz w:val="16"/>
                <w:szCs w:val="16"/>
              </w:rPr>
              <w:t>44 </w:t>
            </w:r>
          </w:p>
        </w:tc>
        <w:tc>
          <w:tcPr>
            <w:tcW w:w="0" w:type="auto"/>
            <w:shd w:val="clear" w:color="auto" w:fill="FFFFFF"/>
            <w:tcMar>
              <w:top w:w="40" w:type="dxa"/>
              <w:left w:w="0" w:type="dxa"/>
              <w:bottom w:w="40" w:type="dxa"/>
              <w:right w:w="20" w:type="dxa"/>
            </w:tcMar>
            <w:vAlign w:val="center"/>
          </w:tcPr>
          <w:p w14:paraId="35D0950D" w14:textId="77777777" w:rsidR="00D42204" w:rsidRDefault="00D42204">
            <w:pPr>
              <w:jc w:val="right"/>
              <w:rPr>
                <w:rFonts w:ascii="宋体"/>
              </w:rPr>
            </w:pPr>
          </w:p>
        </w:tc>
      </w:tr>
      <w:tr w:rsidR="00D42204" w14:paraId="35D0951F" w14:textId="77777777">
        <w:tc>
          <w:tcPr>
            <w:tcW w:w="0" w:type="auto"/>
            <w:gridSpan w:val="3"/>
            <w:shd w:val="clear" w:color="auto" w:fill="CCEEFF"/>
            <w:tcMar>
              <w:top w:w="40" w:type="dxa"/>
              <w:left w:w="20" w:type="dxa"/>
              <w:bottom w:w="40" w:type="dxa"/>
              <w:right w:w="20" w:type="dxa"/>
            </w:tcMar>
            <w:vAlign w:val="center"/>
          </w:tcPr>
          <w:p w14:paraId="35D0950F" w14:textId="77777777" w:rsidR="00D42204" w:rsidRDefault="004E439D">
            <w:pPr>
              <w:textAlignment w:val="center"/>
            </w:pPr>
            <w:r>
              <w:rPr>
                <w:rFonts w:ascii="Times New Roman" w:eastAsia="宋体" w:hAnsi="Times New Roman"/>
                <w:color w:val="000000"/>
                <w:sz w:val="16"/>
                <w:szCs w:val="16"/>
              </w:rPr>
              <w:t>Wisconsin</w:t>
            </w:r>
          </w:p>
        </w:tc>
        <w:tc>
          <w:tcPr>
            <w:tcW w:w="0" w:type="auto"/>
            <w:gridSpan w:val="3"/>
            <w:shd w:val="clear" w:color="auto" w:fill="CCEEFF"/>
            <w:tcMar>
              <w:top w:w="0" w:type="dxa"/>
              <w:left w:w="20" w:type="dxa"/>
              <w:bottom w:w="0" w:type="dxa"/>
              <w:right w:w="20" w:type="dxa"/>
            </w:tcMar>
            <w:vAlign w:val="bottom"/>
          </w:tcPr>
          <w:p w14:paraId="35D0951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511" w14:textId="77777777" w:rsidR="00D42204" w:rsidRDefault="004E439D">
            <w:pPr>
              <w:jc w:val="right"/>
              <w:textAlignment w:val="center"/>
            </w:pPr>
            <w:r>
              <w:rPr>
                <w:rFonts w:ascii="Times New Roman" w:eastAsia="宋体" w:hAnsi="Times New Roman"/>
                <w:color w:val="000000"/>
                <w:sz w:val="16"/>
                <w:szCs w:val="16"/>
              </w:rPr>
              <w:t>83 </w:t>
            </w:r>
          </w:p>
        </w:tc>
        <w:tc>
          <w:tcPr>
            <w:tcW w:w="0" w:type="auto"/>
            <w:shd w:val="clear" w:color="auto" w:fill="CCEEFF"/>
            <w:tcMar>
              <w:top w:w="40" w:type="dxa"/>
              <w:left w:w="0" w:type="dxa"/>
              <w:bottom w:w="40" w:type="dxa"/>
              <w:right w:w="20" w:type="dxa"/>
            </w:tcMar>
            <w:vAlign w:val="center"/>
          </w:tcPr>
          <w:p w14:paraId="35D0951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1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514" w14:textId="77777777" w:rsidR="00D42204" w:rsidRDefault="004E439D">
            <w:pPr>
              <w:jc w:val="right"/>
              <w:textAlignment w:val="center"/>
            </w:pPr>
            <w:r>
              <w:rPr>
                <w:rFonts w:ascii="Times New Roman" w:eastAsia="宋体" w:hAnsi="Times New Roman"/>
                <w:color w:val="000000"/>
                <w:sz w:val="16"/>
                <w:szCs w:val="16"/>
              </w:rPr>
              <w:t>4 </w:t>
            </w:r>
          </w:p>
        </w:tc>
        <w:tc>
          <w:tcPr>
            <w:tcW w:w="0" w:type="auto"/>
            <w:shd w:val="clear" w:color="auto" w:fill="CCEEFF"/>
            <w:tcMar>
              <w:top w:w="40" w:type="dxa"/>
              <w:left w:w="0" w:type="dxa"/>
              <w:bottom w:w="40" w:type="dxa"/>
              <w:right w:w="20" w:type="dxa"/>
            </w:tcMar>
            <w:vAlign w:val="center"/>
          </w:tcPr>
          <w:p w14:paraId="35D0951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1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517" w14:textId="77777777" w:rsidR="00D42204" w:rsidRDefault="004E439D">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35D0951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1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51A" w14:textId="77777777" w:rsidR="00D42204" w:rsidRDefault="004E439D">
            <w:pPr>
              <w:jc w:val="right"/>
              <w:textAlignment w:val="center"/>
            </w:pPr>
            <w:r>
              <w:rPr>
                <w:rFonts w:ascii="Times New Roman" w:eastAsia="宋体" w:hAnsi="Times New Roman"/>
                <w:color w:val="000000"/>
                <w:sz w:val="16"/>
                <w:szCs w:val="16"/>
              </w:rPr>
              <w:t>10 </w:t>
            </w:r>
          </w:p>
        </w:tc>
        <w:tc>
          <w:tcPr>
            <w:tcW w:w="0" w:type="auto"/>
            <w:shd w:val="clear" w:color="auto" w:fill="CCEEFF"/>
            <w:tcMar>
              <w:top w:w="40" w:type="dxa"/>
              <w:left w:w="0" w:type="dxa"/>
              <w:bottom w:w="40" w:type="dxa"/>
              <w:right w:w="20" w:type="dxa"/>
            </w:tcMar>
            <w:vAlign w:val="center"/>
          </w:tcPr>
          <w:p w14:paraId="35D0951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1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51D" w14:textId="77777777" w:rsidR="00D42204" w:rsidRDefault="004E439D">
            <w:pPr>
              <w:jc w:val="right"/>
              <w:textAlignment w:val="center"/>
            </w:pPr>
            <w:r>
              <w:rPr>
                <w:rFonts w:ascii="Times New Roman" w:eastAsia="宋体" w:hAnsi="Times New Roman"/>
                <w:color w:val="000000"/>
                <w:sz w:val="16"/>
                <w:szCs w:val="16"/>
              </w:rPr>
              <w:t>99 </w:t>
            </w:r>
          </w:p>
        </w:tc>
        <w:tc>
          <w:tcPr>
            <w:tcW w:w="0" w:type="auto"/>
            <w:shd w:val="clear" w:color="auto" w:fill="CCEEFF"/>
            <w:tcMar>
              <w:top w:w="40" w:type="dxa"/>
              <w:left w:w="0" w:type="dxa"/>
              <w:bottom w:w="40" w:type="dxa"/>
              <w:right w:w="20" w:type="dxa"/>
            </w:tcMar>
            <w:vAlign w:val="center"/>
          </w:tcPr>
          <w:p w14:paraId="35D0951E" w14:textId="77777777" w:rsidR="00D42204" w:rsidRDefault="00D42204">
            <w:pPr>
              <w:jc w:val="right"/>
              <w:rPr>
                <w:rFonts w:ascii="宋体"/>
              </w:rPr>
            </w:pPr>
          </w:p>
        </w:tc>
      </w:tr>
      <w:tr w:rsidR="00D42204" w14:paraId="35D09530" w14:textId="77777777">
        <w:tc>
          <w:tcPr>
            <w:tcW w:w="0" w:type="auto"/>
            <w:gridSpan w:val="3"/>
            <w:shd w:val="clear" w:color="auto" w:fill="FFFFFF"/>
            <w:tcMar>
              <w:top w:w="40" w:type="dxa"/>
              <w:left w:w="20" w:type="dxa"/>
              <w:bottom w:w="40" w:type="dxa"/>
              <w:right w:w="20" w:type="dxa"/>
            </w:tcMar>
            <w:vAlign w:val="center"/>
          </w:tcPr>
          <w:p w14:paraId="35D09520" w14:textId="77777777" w:rsidR="00D42204" w:rsidRDefault="004E439D">
            <w:pPr>
              <w:textAlignment w:val="center"/>
            </w:pPr>
            <w:r>
              <w:rPr>
                <w:rFonts w:ascii="Times New Roman" w:eastAsia="宋体" w:hAnsi="Times New Roman"/>
                <w:color w:val="000000"/>
                <w:sz w:val="16"/>
                <w:szCs w:val="16"/>
              </w:rPr>
              <w:t>Wyoming</w:t>
            </w:r>
          </w:p>
        </w:tc>
        <w:tc>
          <w:tcPr>
            <w:tcW w:w="0" w:type="auto"/>
            <w:gridSpan w:val="3"/>
            <w:shd w:val="clear" w:color="auto" w:fill="FFFFFF"/>
            <w:tcMar>
              <w:top w:w="0" w:type="dxa"/>
              <w:left w:w="20" w:type="dxa"/>
              <w:bottom w:w="0" w:type="dxa"/>
              <w:right w:w="20" w:type="dxa"/>
            </w:tcMar>
            <w:vAlign w:val="bottom"/>
          </w:tcPr>
          <w:p w14:paraId="35D0952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22" w14:textId="77777777" w:rsidR="00D42204" w:rsidRDefault="004E439D">
            <w:pPr>
              <w:jc w:val="right"/>
              <w:textAlignment w:val="center"/>
            </w:pPr>
            <w:r>
              <w:rPr>
                <w:rFonts w:ascii="Times New Roman" w:eastAsia="宋体" w:hAnsi="Times New Roman"/>
                <w:color w:val="000000"/>
                <w:sz w:val="16"/>
                <w:szCs w:val="16"/>
              </w:rPr>
              <w:t>12 </w:t>
            </w:r>
          </w:p>
        </w:tc>
        <w:tc>
          <w:tcPr>
            <w:tcW w:w="0" w:type="auto"/>
            <w:shd w:val="clear" w:color="auto" w:fill="FFFFFF"/>
            <w:tcMar>
              <w:top w:w="40" w:type="dxa"/>
              <w:left w:w="0" w:type="dxa"/>
              <w:bottom w:w="40" w:type="dxa"/>
              <w:right w:w="20" w:type="dxa"/>
            </w:tcMar>
            <w:vAlign w:val="center"/>
          </w:tcPr>
          <w:p w14:paraId="35D0952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2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25"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52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2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28"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52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2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2B" w14:textId="77777777" w:rsidR="00D42204" w:rsidRDefault="004E439D">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35D0952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2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2E" w14:textId="77777777" w:rsidR="00D42204" w:rsidRDefault="004E439D">
            <w:pPr>
              <w:jc w:val="right"/>
              <w:textAlignment w:val="center"/>
            </w:pPr>
            <w:r>
              <w:rPr>
                <w:rFonts w:ascii="Times New Roman" w:eastAsia="宋体" w:hAnsi="Times New Roman"/>
                <w:color w:val="000000"/>
                <w:sz w:val="16"/>
                <w:szCs w:val="16"/>
              </w:rPr>
              <w:t>14 </w:t>
            </w:r>
          </w:p>
        </w:tc>
        <w:tc>
          <w:tcPr>
            <w:tcW w:w="0" w:type="auto"/>
            <w:shd w:val="clear" w:color="auto" w:fill="FFFFFF"/>
            <w:tcMar>
              <w:top w:w="40" w:type="dxa"/>
              <w:left w:w="0" w:type="dxa"/>
              <w:bottom w:w="40" w:type="dxa"/>
              <w:right w:w="20" w:type="dxa"/>
            </w:tcMar>
            <w:vAlign w:val="center"/>
          </w:tcPr>
          <w:p w14:paraId="35D0952F" w14:textId="77777777" w:rsidR="00D42204" w:rsidRDefault="00D42204">
            <w:pPr>
              <w:jc w:val="right"/>
              <w:rPr>
                <w:rFonts w:ascii="宋体"/>
              </w:rPr>
            </w:pPr>
          </w:p>
        </w:tc>
      </w:tr>
      <w:tr w:rsidR="00D42204" w14:paraId="35D09541" w14:textId="77777777">
        <w:tc>
          <w:tcPr>
            <w:tcW w:w="0" w:type="auto"/>
            <w:gridSpan w:val="3"/>
            <w:shd w:val="clear" w:color="auto" w:fill="CCEEFF"/>
            <w:tcMar>
              <w:top w:w="40" w:type="dxa"/>
              <w:left w:w="20" w:type="dxa"/>
              <w:bottom w:w="40" w:type="dxa"/>
              <w:right w:w="20" w:type="dxa"/>
            </w:tcMar>
            <w:vAlign w:val="center"/>
          </w:tcPr>
          <w:p w14:paraId="35D09531" w14:textId="77777777" w:rsidR="00D42204" w:rsidRDefault="004E439D">
            <w:pPr>
              <w:textAlignment w:val="center"/>
            </w:pPr>
            <w:r>
              <w:rPr>
                <w:rFonts w:ascii="Times New Roman" w:eastAsia="宋体" w:hAnsi="Times New Roman"/>
                <w:b/>
                <w:bCs/>
                <w:color w:val="000000"/>
                <w:sz w:val="16"/>
                <w:szCs w:val="16"/>
              </w:rPr>
              <w:t>U.S. total</w:t>
            </w:r>
          </w:p>
        </w:tc>
        <w:tc>
          <w:tcPr>
            <w:tcW w:w="0" w:type="auto"/>
            <w:gridSpan w:val="3"/>
            <w:shd w:val="clear" w:color="auto" w:fill="CCEEFF"/>
            <w:tcMar>
              <w:top w:w="0" w:type="dxa"/>
              <w:left w:w="20" w:type="dxa"/>
              <w:bottom w:w="0" w:type="dxa"/>
              <w:right w:w="20" w:type="dxa"/>
            </w:tcMar>
            <w:vAlign w:val="bottom"/>
          </w:tcPr>
          <w:p w14:paraId="35D09532"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533" w14:textId="77777777" w:rsidR="00D42204" w:rsidRDefault="004E439D">
            <w:pPr>
              <w:jc w:val="right"/>
              <w:textAlignment w:val="center"/>
            </w:pPr>
            <w:r>
              <w:rPr>
                <w:rFonts w:ascii="Times New Roman" w:eastAsia="宋体" w:hAnsi="Times New Roman"/>
                <w:b/>
                <w:bCs/>
                <w:color w:val="000000"/>
                <w:sz w:val="16"/>
                <w:szCs w:val="16"/>
              </w:rPr>
              <w:t>3,573</w:t>
            </w: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53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35"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536" w14:textId="77777777" w:rsidR="00D42204" w:rsidRDefault="004E439D">
            <w:pPr>
              <w:jc w:val="right"/>
              <w:textAlignment w:val="center"/>
            </w:pPr>
            <w:r>
              <w:rPr>
                <w:rFonts w:ascii="Times New Roman" w:eastAsia="宋体" w:hAnsi="Times New Roman"/>
                <w:b/>
                <w:bCs/>
                <w:color w:val="000000"/>
                <w:sz w:val="16"/>
                <w:szCs w:val="16"/>
              </w:rPr>
              <w:t>370</w:t>
            </w: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53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38"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539" w14:textId="77777777" w:rsidR="00D42204" w:rsidRDefault="004E439D">
            <w:pPr>
              <w:jc w:val="right"/>
              <w:textAlignment w:val="center"/>
            </w:pPr>
            <w:r>
              <w:rPr>
                <w:rFonts w:ascii="Times New Roman" w:eastAsia="宋体" w:hAnsi="Times New Roman"/>
                <w:b/>
                <w:bCs/>
                <w:color w:val="000000"/>
                <w:sz w:val="16"/>
                <w:szCs w:val="16"/>
              </w:rPr>
              <w:t>799</w:t>
            </w: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53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3B"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53C" w14:textId="77777777" w:rsidR="00D42204" w:rsidRDefault="004E439D">
            <w:pPr>
              <w:jc w:val="right"/>
              <w:textAlignment w:val="center"/>
            </w:pPr>
            <w:r>
              <w:rPr>
                <w:rFonts w:ascii="Times New Roman" w:eastAsia="宋体" w:hAnsi="Times New Roman"/>
                <w:b/>
                <w:bCs/>
                <w:color w:val="000000"/>
                <w:sz w:val="16"/>
                <w:szCs w:val="16"/>
              </w:rPr>
              <w:t>600</w:t>
            </w: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53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3E"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53F" w14:textId="77777777" w:rsidR="00D42204" w:rsidRDefault="004E439D">
            <w:pPr>
              <w:jc w:val="right"/>
              <w:textAlignment w:val="center"/>
            </w:pPr>
            <w:r>
              <w:rPr>
                <w:rFonts w:ascii="Times New Roman" w:eastAsia="宋体" w:hAnsi="Times New Roman"/>
                <w:b/>
                <w:bCs/>
                <w:color w:val="000000"/>
                <w:sz w:val="16"/>
                <w:szCs w:val="16"/>
              </w:rPr>
              <w:t>5,342</w:t>
            </w: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540" w14:textId="77777777" w:rsidR="00D42204" w:rsidRDefault="00D42204">
            <w:pPr>
              <w:jc w:val="right"/>
              <w:rPr>
                <w:rFonts w:ascii="宋体"/>
              </w:rPr>
            </w:pPr>
          </w:p>
        </w:tc>
      </w:tr>
      <w:tr w:rsidR="00D42204" w14:paraId="35D09552" w14:textId="77777777">
        <w:tc>
          <w:tcPr>
            <w:tcW w:w="0" w:type="auto"/>
            <w:gridSpan w:val="3"/>
            <w:shd w:val="clear" w:color="auto" w:fill="FFFFFF"/>
            <w:tcMar>
              <w:top w:w="40" w:type="dxa"/>
              <w:left w:w="20" w:type="dxa"/>
              <w:bottom w:w="40" w:type="dxa"/>
              <w:right w:w="20" w:type="dxa"/>
            </w:tcMar>
            <w:vAlign w:val="center"/>
          </w:tcPr>
          <w:p w14:paraId="35D09542" w14:textId="77777777" w:rsidR="00D42204" w:rsidRDefault="004E439D">
            <w:pPr>
              <w:textAlignment w:val="center"/>
            </w:pPr>
            <w:r>
              <w:rPr>
                <w:rFonts w:ascii="Times New Roman" w:eastAsia="宋体" w:hAnsi="Times New Roman"/>
                <w:b/>
                <w:bCs/>
                <w:color w:val="000000"/>
                <w:sz w:val="16"/>
                <w:szCs w:val="16"/>
              </w:rPr>
              <w:t xml:space="preserve">Square feet </w:t>
            </w:r>
            <w:r>
              <w:rPr>
                <w:rFonts w:ascii="Times New Roman" w:eastAsia="宋体" w:hAnsi="Times New Roman"/>
                <w:i/>
                <w:iCs/>
                <w:color w:val="000000"/>
                <w:sz w:val="16"/>
                <w:szCs w:val="16"/>
              </w:rPr>
              <w:t>(in thousands)</w:t>
            </w:r>
          </w:p>
        </w:tc>
        <w:tc>
          <w:tcPr>
            <w:tcW w:w="0" w:type="auto"/>
            <w:gridSpan w:val="3"/>
            <w:shd w:val="clear" w:color="auto" w:fill="FFFFFF"/>
            <w:tcMar>
              <w:top w:w="0" w:type="dxa"/>
              <w:left w:w="20" w:type="dxa"/>
              <w:bottom w:w="0" w:type="dxa"/>
              <w:right w:w="20" w:type="dxa"/>
            </w:tcMar>
            <w:vAlign w:val="bottom"/>
          </w:tcPr>
          <w:p w14:paraId="35D09543" w14:textId="77777777" w:rsidR="00D42204" w:rsidRDefault="00D42204">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center"/>
          </w:tcPr>
          <w:p w14:paraId="35D09544" w14:textId="77777777" w:rsidR="00D42204" w:rsidRDefault="004E439D">
            <w:pPr>
              <w:jc w:val="right"/>
              <w:textAlignment w:val="center"/>
            </w:pPr>
            <w:r>
              <w:rPr>
                <w:rFonts w:ascii="Times New Roman" w:eastAsia="宋体" w:hAnsi="Times New Roman"/>
                <w:b/>
                <w:bCs/>
                <w:color w:val="000000"/>
                <w:sz w:val="16"/>
                <w:szCs w:val="16"/>
              </w:rPr>
              <w:t>634,754</w:t>
            </w:r>
            <w:r>
              <w:rPr>
                <w:rFonts w:ascii="Times New Roman" w:eastAsia="宋体" w:hAnsi="Times New Roman"/>
                <w:color w:val="000000"/>
                <w:sz w:val="16"/>
                <w:szCs w:val="16"/>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center"/>
          </w:tcPr>
          <w:p w14:paraId="35D0954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46" w14:textId="77777777" w:rsidR="00D42204" w:rsidRDefault="00D42204">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center"/>
          </w:tcPr>
          <w:p w14:paraId="35D09547" w14:textId="77777777" w:rsidR="00D42204" w:rsidRDefault="004E439D">
            <w:pPr>
              <w:jc w:val="right"/>
              <w:textAlignment w:val="center"/>
            </w:pPr>
            <w:r>
              <w:rPr>
                <w:rFonts w:ascii="Times New Roman" w:eastAsia="宋体" w:hAnsi="Times New Roman"/>
                <w:b/>
                <w:bCs/>
                <w:color w:val="000000"/>
                <w:sz w:val="16"/>
                <w:szCs w:val="16"/>
              </w:rPr>
              <w:t>38,947</w:t>
            </w:r>
            <w:r>
              <w:rPr>
                <w:rFonts w:ascii="Times New Roman" w:eastAsia="宋体" w:hAnsi="Times New Roman"/>
                <w:color w:val="000000"/>
                <w:sz w:val="16"/>
                <w:szCs w:val="16"/>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center"/>
          </w:tcPr>
          <w:p w14:paraId="35D0954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49" w14:textId="77777777" w:rsidR="00D42204" w:rsidRDefault="00D42204">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center"/>
          </w:tcPr>
          <w:p w14:paraId="35D0954A" w14:textId="77777777" w:rsidR="00D42204" w:rsidRDefault="004E439D">
            <w:pPr>
              <w:jc w:val="right"/>
              <w:textAlignment w:val="center"/>
            </w:pPr>
            <w:r>
              <w:rPr>
                <w:rFonts w:ascii="Times New Roman" w:eastAsia="宋体" w:hAnsi="Times New Roman"/>
                <w:b/>
                <w:bCs/>
                <w:color w:val="000000"/>
                <w:sz w:val="16"/>
                <w:szCs w:val="16"/>
              </w:rPr>
              <w:t>29,295</w:t>
            </w:r>
            <w:r>
              <w:rPr>
                <w:rFonts w:ascii="Times New Roman" w:eastAsia="宋体" w:hAnsi="Times New Roman"/>
                <w:color w:val="000000"/>
                <w:sz w:val="16"/>
                <w:szCs w:val="16"/>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center"/>
          </w:tcPr>
          <w:p w14:paraId="35D0954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4C" w14:textId="77777777" w:rsidR="00D42204" w:rsidRDefault="00D42204">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center"/>
          </w:tcPr>
          <w:p w14:paraId="35D0954D" w14:textId="77777777" w:rsidR="00D42204" w:rsidRDefault="004E439D">
            <w:pPr>
              <w:jc w:val="right"/>
              <w:textAlignment w:val="center"/>
            </w:pPr>
            <w:r>
              <w:rPr>
                <w:rFonts w:ascii="Times New Roman" w:eastAsia="宋体" w:hAnsi="Times New Roman"/>
                <w:b/>
                <w:bCs/>
                <w:color w:val="000000"/>
                <w:sz w:val="16"/>
                <w:szCs w:val="16"/>
              </w:rPr>
              <w:t>80,351</w:t>
            </w:r>
            <w:r>
              <w:rPr>
                <w:rFonts w:ascii="Times New Roman" w:eastAsia="宋体" w:hAnsi="Times New Roman"/>
                <w:color w:val="000000"/>
                <w:sz w:val="16"/>
                <w:szCs w:val="16"/>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center"/>
          </w:tcPr>
          <w:p w14:paraId="35D0954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4F" w14:textId="77777777" w:rsidR="00D42204" w:rsidRDefault="00D42204">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center"/>
          </w:tcPr>
          <w:p w14:paraId="35D09550" w14:textId="77777777" w:rsidR="00D42204" w:rsidRDefault="004E439D">
            <w:pPr>
              <w:jc w:val="right"/>
              <w:textAlignment w:val="center"/>
            </w:pPr>
            <w:r>
              <w:rPr>
                <w:rFonts w:ascii="Times New Roman" w:eastAsia="宋体" w:hAnsi="Times New Roman"/>
                <w:b/>
                <w:bCs/>
                <w:color w:val="000000"/>
                <w:sz w:val="16"/>
                <w:szCs w:val="16"/>
              </w:rPr>
              <w:t>783,347</w:t>
            </w:r>
            <w:r>
              <w:rPr>
                <w:rFonts w:ascii="Times New Roman" w:eastAsia="宋体" w:hAnsi="Times New Roman"/>
                <w:color w:val="000000"/>
                <w:sz w:val="16"/>
                <w:szCs w:val="16"/>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center"/>
          </w:tcPr>
          <w:p w14:paraId="35D09551" w14:textId="77777777" w:rsidR="00D42204" w:rsidRDefault="00D42204">
            <w:pPr>
              <w:jc w:val="right"/>
              <w:rPr>
                <w:rFonts w:ascii="宋体"/>
              </w:rPr>
            </w:pPr>
          </w:p>
        </w:tc>
      </w:tr>
    </w:tbl>
    <w:p w14:paraId="35D09553" w14:textId="77777777" w:rsidR="00D42204" w:rsidRDefault="004E439D">
      <w:pPr>
        <w:jc w:val="center"/>
      </w:pPr>
      <w:r>
        <w:rPr>
          <w:rFonts w:ascii="Times New Roman" w:eastAsia="宋体" w:hAnsi="Times New Roman"/>
          <w:color w:val="000000"/>
          <w:sz w:val="20"/>
          <w:szCs w:val="20"/>
        </w:rPr>
        <w:t>27</w:t>
      </w:r>
    </w:p>
    <w:p w14:paraId="35D09554" w14:textId="77777777" w:rsidR="00D42204" w:rsidRDefault="004E439D">
      <w:r>
        <w:pict w14:anchorId="35D0C374">
          <v:rect id="_x0000_i1051" style="width:415.3pt;height:1.5pt" o:hralign="center" o:hrstd="t" o:hr="t" fillcolor="#a0a0a0" stroked="f"/>
        </w:pict>
      </w:r>
    </w:p>
    <w:p w14:paraId="35D09555" w14:textId="77777777" w:rsidR="00D42204" w:rsidRDefault="00D42204"/>
    <w:p w14:paraId="35D09556" w14:textId="77777777" w:rsidR="00D42204" w:rsidRDefault="004E439D">
      <w:r>
        <w:rPr>
          <w:rFonts w:ascii="Times New Roman" w:eastAsia="宋体" w:hAnsi="Times New Roman"/>
          <w:b/>
          <w:bCs/>
          <w:color w:val="000000"/>
          <w:sz w:val="20"/>
          <w:szCs w:val="20"/>
        </w:rPr>
        <w:t>International</w:t>
      </w:r>
    </w:p>
    <w:p w14:paraId="35D09557" w14:textId="77777777" w:rsidR="00D42204" w:rsidRDefault="004E439D">
      <w:pPr>
        <w:spacing w:before="100"/>
      </w:pPr>
      <w:r>
        <w:rPr>
          <w:rFonts w:ascii="Times New Roman" w:eastAsia="宋体" w:hAnsi="Times New Roman"/>
          <w:color w:val="000000"/>
          <w:sz w:val="20"/>
          <w:szCs w:val="20"/>
        </w:rPr>
        <w:t xml:space="preserve">The Walmart International segment comprises the Company's </w:t>
      </w:r>
      <w:r>
        <w:rPr>
          <w:rFonts w:ascii="Times New Roman" w:eastAsia="宋体" w:hAnsi="Times New Roman"/>
          <w:color w:val="000000"/>
          <w:sz w:val="20"/>
          <w:szCs w:val="20"/>
        </w:rPr>
        <w:t>operations outside of the U.S. Unit counts as of January 31, 2022</w:t>
      </w:r>
      <w:r>
        <w:rPr>
          <w:rFonts w:ascii="Times New Roman" w:eastAsia="宋体" w:hAnsi="Times New Roman"/>
          <w:color w:val="000000"/>
          <w:sz w:val="13"/>
          <w:szCs w:val="13"/>
        </w:rPr>
        <w:t>(1)</w:t>
      </w:r>
      <w:r>
        <w:rPr>
          <w:rFonts w:ascii="Times New Roman" w:eastAsia="宋体" w:hAnsi="Times New Roman"/>
          <w:color w:val="000000"/>
          <w:sz w:val="20"/>
          <w:szCs w:val="20"/>
        </w:rPr>
        <w:t xml:space="preserve"> for Walmart International are summarized by major category for each geographic market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506"/>
        <w:gridCol w:w="37"/>
        <w:gridCol w:w="36"/>
        <w:gridCol w:w="36"/>
        <w:gridCol w:w="36"/>
        <w:gridCol w:w="70"/>
        <w:gridCol w:w="373"/>
        <w:gridCol w:w="36"/>
        <w:gridCol w:w="36"/>
        <w:gridCol w:w="36"/>
        <w:gridCol w:w="36"/>
        <w:gridCol w:w="90"/>
        <w:gridCol w:w="645"/>
        <w:gridCol w:w="36"/>
        <w:gridCol w:w="36"/>
        <w:gridCol w:w="36"/>
        <w:gridCol w:w="36"/>
        <w:gridCol w:w="67"/>
        <w:gridCol w:w="353"/>
        <w:gridCol w:w="36"/>
        <w:gridCol w:w="36"/>
        <w:gridCol w:w="36"/>
        <w:gridCol w:w="36"/>
        <w:gridCol w:w="92"/>
        <w:gridCol w:w="489"/>
        <w:gridCol w:w="36"/>
      </w:tblGrid>
      <w:tr w:rsidR="00D42204" w14:paraId="35D09573" w14:textId="77777777">
        <w:tc>
          <w:tcPr>
            <w:tcW w:w="50" w:type="pct"/>
            <w:shd w:val="clear" w:color="auto" w:fill="auto"/>
            <w:vAlign w:val="bottom"/>
          </w:tcPr>
          <w:p w14:paraId="35D09558" w14:textId="77777777" w:rsidR="00D42204" w:rsidRDefault="00D42204">
            <w:pPr>
              <w:rPr>
                <w:rFonts w:ascii="宋体"/>
              </w:rPr>
            </w:pPr>
          </w:p>
        </w:tc>
        <w:tc>
          <w:tcPr>
            <w:tcW w:w="3417" w:type="pct"/>
            <w:shd w:val="clear" w:color="auto" w:fill="auto"/>
            <w:vAlign w:val="bottom"/>
          </w:tcPr>
          <w:p w14:paraId="35D09559" w14:textId="77777777" w:rsidR="00D42204" w:rsidRDefault="00D42204">
            <w:pPr>
              <w:rPr>
                <w:rFonts w:ascii="宋体"/>
              </w:rPr>
            </w:pPr>
          </w:p>
        </w:tc>
        <w:tc>
          <w:tcPr>
            <w:tcW w:w="5" w:type="pct"/>
            <w:shd w:val="clear" w:color="auto" w:fill="auto"/>
            <w:vAlign w:val="bottom"/>
          </w:tcPr>
          <w:p w14:paraId="35D0955A" w14:textId="77777777" w:rsidR="00D42204" w:rsidRDefault="00D42204">
            <w:pPr>
              <w:rPr>
                <w:rFonts w:ascii="宋体"/>
              </w:rPr>
            </w:pPr>
          </w:p>
        </w:tc>
        <w:tc>
          <w:tcPr>
            <w:tcW w:w="5" w:type="pct"/>
            <w:shd w:val="clear" w:color="auto" w:fill="auto"/>
            <w:vAlign w:val="bottom"/>
          </w:tcPr>
          <w:p w14:paraId="35D0955B" w14:textId="77777777" w:rsidR="00D42204" w:rsidRDefault="00D42204">
            <w:pPr>
              <w:rPr>
                <w:rFonts w:ascii="宋体"/>
              </w:rPr>
            </w:pPr>
          </w:p>
        </w:tc>
        <w:tc>
          <w:tcPr>
            <w:tcW w:w="26" w:type="pct"/>
            <w:shd w:val="clear" w:color="auto" w:fill="auto"/>
            <w:vAlign w:val="bottom"/>
          </w:tcPr>
          <w:p w14:paraId="35D0955C" w14:textId="77777777" w:rsidR="00D42204" w:rsidRDefault="00D42204">
            <w:pPr>
              <w:rPr>
                <w:rFonts w:ascii="宋体"/>
              </w:rPr>
            </w:pPr>
          </w:p>
        </w:tc>
        <w:tc>
          <w:tcPr>
            <w:tcW w:w="5" w:type="pct"/>
            <w:shd w:val="clear" w:color="auto" w:fill="auto"/>
            <w:vAlign w:val="bottom"/>
          </w:tcPr>
          <w:p w14:paraId="35D0955D" w14:textId="77777777" w:rsidR="00D42204" w:rsidRDefault="00D42204">
            <w:pPr>
              <w:rPr>
                <w:rFonts w:ascii="宋体"/>
              </w:rPr>
            </w:pPr>
          </w:p>
        </w:tc>
        <w:tc>
          <w:tcPr>
            <w:tcW w:w="50" w:type="pct"/>
            <w:shd w:val="clear" w:color="auto" w:fill="auto"/>
            <w:vAlign w:val="bottom"/>
          </w:tcPr>
          <w:p w14:paraId="35D0955E" w14:textId="77777777" w:rsidR="00D42204" w:rsidRDefault="00D42204">
            <w:pPr>
              <w:rPr>
                <w:rFonts w:ascii="宋体"/>
              </w:rPr>
            </w:pPr>
          </w:p>
        </w:tc>
        <w:tc>
          <w:tcPr>
            <w:tcW w:w="266" w:type="pct"/>
            <w:shd w:val="clear" w:color="auto" w:fill="auto"/>
            <w:vAlign w:val="bottom"/>
          </w:tcPr>
          <w:p w14:paraId="35D0955F" w14:textId="77777777" w:rsidR="00D42204" w:rsidRDefault="00D42204">
            <w:pPr>
              <w:rPr>
                <w:rFonts w:ascii="宋体"/>
              </w:rPr>
            </w:pPr>
          </w:p>
        </w:tc>
        <w:tc>
          <w:tcPr>
            <w:tcW w:w="5" w:type="pct"/>
            <w:shd w:val="clear" w:color="auto" w:fill="auto"/>
            <w:vAlign w:val="bottom"/>
          </w:tcPr>
          <w:p w14:paraId="35D09560" w14:textId="77777777" w:rsidR="00D42204" w:rsidRDefault="00D42204">
            <w:pPr>
              <w:rPr>
                <w:rFonts w:ascii="宋体"/>
              </w:rPr>
            </w:pPr>
          </w:p>
        </w:tc>
        <w:tc>
          <w:tcPr>
            <w:tcW w:w="5" w:type="pct"/>
            <w:shd w:val="clear" w:color="auto" w:fill="auto"/>
            <w:vAlign w:val="bottom"/>
          </w:tcPr>
          <w:p w14:paraId="35D09561" w14:textId="77777777" w:rsidR="00D42204" w:rsidRDefault="00D42204">
            <w:pPr>
              <w:rPr>
                <w:rFonts w:ascii="宋体"/>
              </w:rPr>
            </w:pPr>
          </w:p>
        </w:tc>
        <w:tc>
          <w:tcPr>
            <w:tcW w:w="26" w:type="pct"/>
            <w:shd w:val="clear" w:color="auto" w:fill="auto"/>
            <w:vAlign w:val="bottom"/>
          </w:tcPr>
          <w:p w14:paraId="35D09562" w14:textId="77777777" w:rsidR="00D42204" w:rsidRDefault="00D42204">
            <w:pPr>
              <w:rPr>
                <w:rFonts w:ascii="宋体"/>
              </w:rPr>
            </w:pPr>
          </w:p>
        </w:tc>
        <w:tc>
          <w:tcPr>
            <w:tcW w:w="5" w:type="pct"/>
            <w:shd w:val="clear" w:color="auto" w:fill="auto"/>
            <w:vAlign w:val="bottom"/>
          </w:tcPr>
          <w:p w14:paraId="35D09563" w14:textId="77777777" w:rsidR="00D42204" w:rsidRDefault="00D42204">
            <w:pPr>
              <w:rPr>
                <w:rFonts w:ascii="宋体"/>
              </w:rPr>
            </w:pPr>
          </w:p>
        </w:tc>
        <w:tc>
          <w:tcPr>
            <w:tcW w:w="50" w:type="pct"/>
            <w:shd w:val="clear" w:color="auto" w:fill="auto"/>
            <w:vAlign w:val="bottom"/>
          </w:tcPr>
          <w:p w14:paraId="35D09564" w14:textId="77777777" w:rsidR="00D42204" w:rsidRDefault="00D42204">
            <w:pPr>
              <w:rPr>
                <w:rFonts w:ascii="宋体"/>
              </w:rPr>
            </w:pPr>
          </w:p>
        </w:tc>
        <w:tc>
          <w:tcPr>
            <w:tcW w:w="361" w:type="pct"/>
            <w:shd w:val="clear" w:color="auto" w:fill="auto"/>
            <w:vAlign w:val="bottom"/>
          </w:tcPr>
          <w:p w14:paraId="35D09565" w14:textId="77777777" w:rsidR="00D42204" w:rsidRDefault="00D42204">
            <w:pPr>
              <w:rPr>
                <w:rFonts w:ascii="宋体"/>
              </w:rPr>
            </w:pPr>
          </w:p>
        </w:tc>
        <w:tc>
          <w:tcPr>
            <w:tcW w:w="5" w:type="pct"/>
            <w:shd w:val="clear" w:color="auto" w:fill="auto"/>
            <w:vAlign w:val="bottom"/>
          </w:tcPr>
          <w:p w14:paraId="35D09566" w14:textId="77777777" w:rsidR="00D42204" w:rsidRDefault="00D42204">
            <w:pPr>
              <w:rPr>
                <w:rFonts w:ascii="宋体"/>
              </w:rPr>
            </w:pPr>
          </w:p>
        </w:tc>
        <w:tc>
          <w:tcPr>
            <w:tcW w:w="5" w:type="pct"/>
            <w:shd w:val="clear" w:color="auto" w:fill="auto"/>
            <w:vAlign w:val="bottom"/>
          </w:tcPr>
          <w:p w14:paraId="35D09567" w14:textId="77777777" w:rsidR="00D42204" w:rsidRDefault="00D42204">
            <w:pPr>
              <w:rPr>
                <w:rFonts w:ascii="宋体"/>
              </w:rPr>
            </w:pPr>
          </w:p>
        </w:tc>
        <w:tc>
          <w:tcPr>
            <w:tcW w:w="26" w:type="pct"/>
            <w:shd w:val="clear" w:color="auto" w:fill="auto"/>
            <w:vAlign w:val="bottom"/>
          </w:tcPr>
          <w:p w14:paraId="35D09568" w14:textId="77777777" w:rsidR="00D42204" w:rsidRDefault="00D42204">
            <w:pPr>
              <w:rPr>
                <w:rFonts w:ascii="宋体"/>
              </w:rPr>
            </w:pPr>
          </w:p>
        </w:tc>
        <w:tc>
          <w:tcPr>
            <w:tcW w:w="5" w:type="pct"/>
            <w:shd w:val="clear" w:color="auto" w:fill="auto"/>
            <w:vAlign w:val="bottom"/>
          </w:tcPr>
          <w:p w14:paraId="35D09569" w14:textId="77777777" w:rsidR="00D42204" w:rsidRDefault="00D42204">
            <w:pPr>
              <w:rPr>
                <w:rFonts w:ascii="宋体"/>
              </w:rPr>
            </w:pPr>
          </w:p>
        </w:tc>
        <w:tc>
          <w:tcPr>
            <w:tcW w:w="50" w:type="pct"/>
            <w:shd w:val="clear" w:color="auto" w:fill="auto"/>
            <w:vAlign w:val="bottom"/>
          </w:tcPr>
          <w:p w14:paraId="35D0956A" w14:textId="77777777" w:rsidR="00D42204" w:rsidRDefault="00D42204">
            <w:pPr>
              <w:rPr>
                <w:rFonts w:ascii="宋体"/>
              </w:rPr>
            </w:pPr>
          </w:p>
        </w:tc>
        <w:tc>
          <w:tcPr>
            <w:tcW w:w="266" w:type="pct"/>
            <w:shd w:val="clear" w:color="auto" w:fill="auto"/>
            <w:vAlign w:val="bottom"/>
          </w:tcPr>
          <w:p w14:paraId="35D0956B" w14:textId="77777777" w:rsidR="00D42204" w:rsidRDefault="00D42204">
            <w:pPr>
              <w:rPr>
                <w:rFonts w:ascii="宋体"/>
              </w:rPr>
            </w:pPr>
          </w:p>
        </w:tc>
        <w:tc>
          <w:tcPr>
            <w:tcW w:w="5" w:type="pct"/>
            <w:shd w:val="clear" w:color="auto" w:fill="auto"/>
            <w:vAlign w:val="bottom"/>
          </w:tcPr>
          <w:p w14:paraId="35D0956C" w14:textId="77777777" w:rsidR="00D42204" w:rsidRDefault="00D42204">
            <w:pPr>
              <w:rPr>
                <w:rFonts w:ascii="宋体"/>
              </w:rPr>
            </w:pPr>
          </w:p>
        </w:tc>
        <w:tc>
          <w:tcPr>
            <w:tcW w:w="5" w:type="pct"/>
            <w:shd w:val="clear" w:color="auto" w:fill="auto"/>
            <w:vAlign w:val="bottom"/>
          </w:tcPr>
          <w:p w14:paraId="35D0956D" w14:textId="77777777" w:rsidR="00D42204" w:rsidRDefault="00D42204">
            <w:pPr>
              <w:rPr>
                <w:rFonts w:ascii="宋体"/>
              </w:rPr>
            </w:pPr>
          </w:p>
        </w:tc>
        <w:tc>
          <w:tcPr>
            <w:tcW w:w="26" w:type="pct"/>
            <w:shd w:val="clear" w:color="auto" w:fill="auto"/>
            <w:vAlign w:val="bottom"/>
          </w:tcPr>
          <w:p w14:paraId="35D0956E" w14:textId="77777777" w:rsidR="00D42204" w:rsidRDefault="00D42204">
            <w:pPr>
              <w:rPr>
                <w:rFonts w:ascii="宋体"/>
              </w:rPr>
            </w:pPr>
          </w:p>
        </w:tc>
        <w:tc>
          <w:tcPr>
            <w:tcW w:w="5" w:type="pct"/>
            <w:shd w:val="clear" w:color="auto" w:fill="auto"/>
            <w:vAlign w:val="bottom"/>
          </w:tcPr>
          <w:p w14:paraId="35D0956F" w14:textId="77777777" w:rsidR="00D42204" w:rsidRDefault="00D42204">
            <w:pPr>
              <w:rPr>
                <w:rFonts w:ascii="宋体"/>
              </w:rPr>
            </w:pPr>
          </w:p>
        </w:tc>
        <w:tc>
          <w:tcPr>
            <w:tcW w:w="50" w:type="pct"/>
            <w:shd w:val="clear" w:color="auto" w:fill="auto"/>
            <w:vAlign w:val="bottom"/>
          </w:tcPr>
          <w:p w14:paraId="35D09570" w14:textId="77777777" w:rsidR="00D42204" w:rsidRDefault="00D42204">
            <w:pPr>
              <w:rPr>
                <w:rFonts w:ascii="宋体"/>
              </w:rPr>
            </w:pPr>
          </w:p>
        </w:tc>
        <w:tc>
          <w:tcPr>
            <w:tcW w:w="266" w:type="pct"/>
            <w:shd w:val="clear" w:color="auto" w:fill="auto"/>
            <w:vAlign w:val="bottom"/>
          </w:tcPr>
          <w:p w14:paraId="35D09571" w14:textId="77777777" w:rsidR="00D42204" w:rsidRDefault="00D42204">
            <w:pPr>
              <w:rPr>
                <w:rFonts w:ascii="宋体"/>
              </w:rPr>
            </w:pPr>
          </w:p>
        </w:tc>
        <w:tc>
          <w:tcPr>
            <w:tcW w:w="5" w:type="pct"/>
            <w:shd w:val="clear" w:color="auto" w:fill="auto"/>
            <w:vAlign w:val="bottom"/>
          </w:tcPr>
          <w:p w14:paraId="35D09572" w14:textId="77777777" w:rsidR="00D42204" w:rsidRDefault="00D42204">
            <w:pPr>
              <w:rPr>
                <w:rFonts w:ascii="宋体"/>
              </w:rPr>
            </w:pPr>
          </w:p>
        </w:tc>
      </w:tr>
      <w:tr w:rsidR="00D42204" w14:paraId="35D0957D" w14:textId="77777777">
        <w:tc>
          <w:tcPr>
            <w:tcW w:w="0" w:type="auto"/>
            <w:gridSpan w:val="3"/>
            <w:shd w:val="clear" w:color="auto" w:fill="auto"/>
            <w:tcMar>
              <w:top w:w="40" w:type="dxa"/>
              <w:left w:w="20" w:type="dxa"/>
              <w:bottom w:w="40" w:type="dxa"/>
              <w:right w:w="20" w:type="dxa"/>
            </w:tcMar>
            <w:vAlign w:val="bottom"/>
          </w:tcPr>
          <w:p w14:paraId="35D09574" w14:textId="77777777" w:rsidR="00D42204" w:rsidRDefault="004E439D">
            <w:pPr>
              <w:textAlignment w:val="bottom"/>
            </w:pPr>
            <w:r>
              <w:rPr>
                <w:rFonts w:ascii="Times New Roman" w:eastAsia="宋体" w:hAnsi="Times New Roman"/>
                <w:b/>
                <w:bCs/>
                <w:color w:val="000000"/>
                <w:sz w:val="16"/>
                <w:szCs w:val="16"/>
              </w:rPr>
              <w:t>Geographic Market</w:t>
            </w:r>
          </w:p>
        </w:tc>
        <w:tc>
          <w:tcPr>
            <w:tcW w:w="0" w:type="auto"/>
            <w:gridSpan w:val="3"/>
            <w:shd w:val="clear" w:color="auto" w:fill="auto"/>
            <w:tcMar>
              <w:top w:w="0" w:type="dxa"/>
              <w:left w:w="20" w:type="dxa"/>
              <w:bottom w:w="0" w:type="dxa"/>
              <w:right w:w="20" w:type="dxa"/>
            </w:tcMar>
            <w:vAlign w:val="bottom"/>
          </w:tcPr>
          <w:p w14:paraId="35D09575"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9576" w14:textId="77777777" w:rsidR="00D42204" w:rsidRDefault="004E439D">
            <w:pPr>
              <w:jc w:val="center"/>
              <w:textAlignment w:val="bottom"/>
            </w:pPr>
            <w:r>
              <w:rPr>
                <w:rFonts w:ascii="Times New Roman" w:eastAsia="宋体" w:hAnsi="Times New Roman"/>
                <w:b/>
                <w:bCs/>
                <w:color w:val="000000"/>
                <w:sz w:val="16"/>
                <w:szCs w:val="16"/>
              </w:rPr>
              <w:t>Retail</w:t>
            </w:r>
          </w:p>
        </w:tc>
        <w:tc>
          <w:tcPr>
            <w:tcW w:w="0" w:type="auto"/>
            <w:gridSpan w:val="3"/>
            <w:shd w:val="clear" w:color="auto" w:fill="auto"/>
            <w:tcMar>
              <w:top w:w="0" w:type="dxa"/>
              <w:left w:w="20" w:type="dxa"/>
              <w:bottom w:w="0" w:type="dxa"/>
              <w:right w:w="20" w:type="dxa"/>
            </w:tcMar>
            <w:vAlign w:val="bottom"/>
          </w:tcPr>
          <w:p w14:paraId="35D09577"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9578" w14:textId="77777777" w:rsidR="00D42204" w:rsidRDefault="004E439D">
            <w:pPr>
              <w:jc w:val="center"/>
              <w:textAlignment w:val="bottom"/>
            </w:pPr>
            <w:r>
              <w:rPr>
                <w:rFonts w:ascii="Times New Roman" w:eastAsia="宋体" w:hAnsi="Times New Roman"/>
                <w:b/>
                <w:bCs/>
                <w:color w:val="000000"/>
                <w:sz w:val="16"/>
                <w:szCs w:val="16"/>
              </w:rPr>
              <w:t>Wholesale</w:t>
            </w:r>
          </w:p>
        </w:tc>
        <w:tc>
          <w:tcPr>
            <w:tcW w:w="0" w:type="auto"/>
            <w:gridSpan w:val="3"/>
            <w:shd w:val="clear" w:color="auto" w:fill="auto"/>
            <w:tcMar>
              <w:top w:w="0" w:type="dxa"/>
              <w:left w:w="20" w:type="dxa"/>
              <w:bottom w:w="0" w:type="dxa"/>
              <w:right w:w="20" w:type="dxa"/>
            </w:tcMar>
            <w:vAlign w:val="bottom"/>
          </w:tcPr>
          <w:p w14:paraId="35D09579"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957A" w14:textId="77777777" w:rsidR="00D42204" w:rsidRDefault="004E439D">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35D0957B"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957C" w14:textId="77777777" w:rsidR="00D42204" w:rsidRDefault="004E439D">
            <w:pPr>
              <w:jc w:val="center"/>
              <w:textAlignment w:val="bottom"/>
            </w:pPr>
            <w:r>
              <w:rPr>
                <w:rFonts w:ascii="Times New Roman" w:eastAsia="宋体" w:hAnsi="Times New Roman"/>
                <w:b/>
                <w:bCs/>
                <w:color w:val="000000"/>
                <w:sz w:val="16"/>
                <w:szCs w:val="16"/>
              </w:rPr>
              <w:t>Square feet</w:t>
            </w:r>
            <w:r>
              <w:rPr>
                <w:rFonts w:ascii="Times New Roman" w:eastAsia="宋体" w:hAnsi="Times New Roman"/>
                <w:b/>
                <w:bCs/>
                <w:color w:val="000000"/>
                <w:sz w:val="10"/>
                <w:szCs w:val="10"/>
              </w:rPr>
              <w:t>(2)</w:t>
            </w:r>
          </w:p>
        </w:tc>
      </w:tr>
      <w:tr w:rsidR="00D42204" w14:paraId="35D0958B"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957E" w14:textId="77777777" w:rsidR="00D42204" w:rsidRDefault="004E439D">
            <w:pPr>
              <w:textAlignment w:val="center"/>
            </w:pPr>
            <w:r>
              <w:rPr>
                <w:rFonts w:ascii="Times New Roman" w:eastAsia="宋体" w:hAnsi="Times New Roman"/>
                <w:color w:val="000000"/>
                <w:sz w:val="16"/>
                <w:szCs w:val="16"/>
              </w:rPr>
              <w:t>Africa</w:t>
            </w:r>
            <w:r>
              <w:rPr>
                <w:rFonts w:ascii="Times New Roman" w:eastAsia="宋体" w:hAnsi="Times New Roman"/>
                <w:color w:val="000000"/>
                <w:sz w:val="10"/>
                <w:szCs w:val="10"/>
              </w:rPr>
              <w:t>(3)</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957F"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580" w14:textId="77777777" w:rsidR="00D42204" w:rsidRDefault="004E439D">
            <w:pPr>
              <w:jc w:val="right"/>
              <w:textAlignment w:val="center"/>
            </w:pPr>
            <w:r>
              <w:rPr>
                <w:rFonts w:ascii="Times New Roman" w:eastAsia="宋体" w:hAnsi="Times New Roman"/>
                <w:color w:val="000000"/>
                <w:sz w:val="16"/>
                <w:szCs w:val="16"/>
              </w:rPr>
              <w:t>324 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58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82"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583" w14:textId="77777777" w:rsidR="00D42204" w:rsidRDefault="004E439D">
            <w:pPr>
              <w:jc w:val="right"/>
              <w:textAlignment w:val="center"/>
            </w:pPr>
            <w:r>
              <w:rPr>
                <w:rFonts w:ascii="Times New Roman" w:eastAsia="宋体" w:hAnsi="Times New Roman"/>
                <w:color w:val="000000"/>
                <w:sz w:val="16"/>
                <w:szCs w:val="16"/>
              </w:rPr>
              <w:t>90 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58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85"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586" w14:textId="77777777" w:rsidR="00D42204" w:rsidRDefault="004E439D">
            <w:pPr>
              <w:jc w:val="right"/>
              <w:textAlignment w:val="center"/>
            </w:pPr>
            <w:r>
              <w:rPr>
                <w:rFonts w:ascii="Times New Roman" w:eastAsia="宋体" w:hAnsi="Times New Roman"/>
                <w:color w:val="000000"/>
                <w:sz w:val="16"/>
                <w:szCs w:val="16"/>
              </w:rPr>
              <w:t>414 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58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88"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589" w14:textId="77777777" w:rsidR="00D42204" w:rsidRDefault="004E439D">
            <w:pPr>
              <w:jc w:val="right"/>
              <w:textAlignment w:val="center"/>
            </w:pPr>
            <w:r>
              <w:rPr>
                <w:rFonts w:ascii="Times New Roman" w:eastAsia="宋体" w:hAnsi="Times New Roman"/>
                <w:color w:val="000000"/>
                <w:sz w:val="16"/>
                <w:szCs w:val="16"/>
              </w:rPr>
              <w:t>22,863 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58A" w14:textId="77777777" w:rsidR="00D42204" w:rsidRDefault="00D42204">
            <w:pPr>
              <w:jc w:val="right"/>
              <w:rPr>
                <w:rFonts w:ascii="宋体"/>
              </w:rPr>
            </w:pPr>
          </w:p>
        </w:tc>
      </w:tr>
      <w:tr w:rsidR="00D42204" w14:paraId="35D09599" w14:textId="77777777">
        <w:tc>
          <w:tcPr>
            <w:tcW w:w="0" w:type="auto"/>
            <w:gridSpan w:val="3"/>
            <w:shd w:val="clear" w:color="auto" w:fill="FFFFFF"/>
            <w:tcMar>
              <w:top w:w="40" w:type="dxa"/>
              <w:left w:w="20" w:type="dxa"/>
              <w:bottom w:w="40" w:type="dxa"/>
              <w:right w:w="20" w:type="dxa"/>
            </w:tcMar>
            <w:vAlign w:val="center"/>
          </w:tcPr>
          <w:p w14:paraId="35D0958C" w14:textId="77777777" w:rsidR="00D42204" w:rsidRDefault="004E439D">
            <w:pPr>
              <w:textAlignment w:val="center"/>
            </w:pPr>
            <w:r>
              <w:rPr>
                <w:rFonts w:ascii="Times New Roman" w:eastAsia="宋体" w:hAnsi="Times New Roman"/>
                <w:color w:val="000000"/>
                <w:sz w:val="16"/>
                <w:szCs w:val="16"/>
              </w:rPr>
              <w:t>Canada</w:t>
            </w:r>
          </w:p>
        </w:tc>
        <w:tc>
          <w:tcPr>
            <w:tcW w:w="0" w:type="auto"/>
            <w:gridSpan w:val="3"/>
            <w:shd w:val="clear" w:color="auto" w:fill="FFFFFF"/>
            <w:tcMar>
              <w:top w:w="0" w:type="dxa"/>
              <w:left w:w="20" w:type="dxa"/>
              <w:bottom w:w="0" w:type="dxa"/>
              <w:right w:w="20" w:type="dxa"/>
            </w:tcMar>
            <w:vAlign w:val="bottom"/>
          </w:tcPr>
          <w:p w14:paraId="35D0958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8E" w14:textId="77777777" w:rsidR="00D42204" w:rsidRDefault="004E439D">
            <w:pPr>
              <w:jc w:val="right"/>
              <w:textAlignment w:val="center"/>
            </w:pPr>
            <w:r>
              <w:rPr>
                <w:rFonts w:ascii="Times New Roman" w:eastAsia="宋体" w:hAnsi="Times New Roman"/>
                <w:color w:val="000000"/>
                <w:sz w:val="16"/>
                <w:szCs w:val="16"/>
              </w:rPr>
              <w:t>408 </w:t>
            </w:r>
          </w:p>
        </w:tc>
        <w:tc>
          <w:tcPr>
            <w:tcW w:w="0" w:type="auto"/>
            <w:shd w:val="clear" w:color="auto" w:fill="FFFFFF"/>
            <w:tcMar>
              <w:top w:w="40" w:type="dxa"/>
              <w:left w:w="0" w:type="dxa"/>
              <w:bottom w:w="40" w:type="dxa"/>
              <w:right w:w="20" w:type="dxa"/>
            </w:tcMar>
            <w:vAlign w:val="center"/>
          </w:tcPr>
          <w:p w14:paraId="35D0958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9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91"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59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9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94" w14:textId="77777777" w:rsidR="00D42204" w:rsidRDefault="004E439D">
            <w:pPr>
              <w:jc w:val="right"/>
              <w:textAlignment w:val="center"/>
            </w:pPr>
            <w:r>
              <w:rPr>
                <w:rFonts w:ascii="Times New Roman" w:eastAsia="宋体" w:hAnsi="Times New Roman"/>
                <w:color w:val="000000"/>
                <w:sz w:val="16"/>
                <w:szCs w:val="16"/>
              </w:rPr>
              <w:t>408 </w:t>
            </w:r>
          </w:p>
        </w:tc>
        <w:tc>
          <w:tcPr>
            <w:tcW w:w="0" w:type="auto"/>
            <w:shd w:val="clear" w:color="auto" w:fill="FFFFFF"/>
            <w:tcMar>
              <w:top w:w="40" w:type="dxa"/>
              <w:left w:w="0" w:type="dxa"/>
              <w:bottom w:w="40" w:type="dxa"/>
              <w:right w:w="20" w:type="dxa"/>
            </w:tcMar>
            <w:vAlign w:val="center"/>
          </w:tcPr>
          <w:p w14:paraId="35D0959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9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97" w14:textId="77777777" w:rsidR="00D42204" w:rsidRDefault="004E439D">
            <w:pPr>
              <w:jc w:val="right"/>
              <w:textAlignment w:val="center"/>
            </w:pPr>
            <w:r>
              <w:rPr>
                <w:rFonts w:ascii="Times New Roman" w:eastAsia="宋体" w:hAnsi="Times New Roman"/>
                <w:color w:val="000000"/>
                <w:sz w:val="16"/>
                <w:szCs w:val="16"/>
              </w:rPr>
              <w:t>52,976 </w:t>
            </w:r>
          </w:p>
        </w:tc>
        <w:tc>
          <w:tcPr>
            <w:tcW w:w="0" w:type="auto"/>
            <w:shd w:val="clear" w:color="auto" w:fill="FFFFFF"/>
            <w:tcMar>
              <w:top w:w="40" w:type="dxa"/>
              <w:left w:w="0" w:type="dxa"/>
              <w:bottom w:w="40" w:type="dxa"/>
              <w:right w:w="20" w:type="dxa"/>
            </w:tcMar>
            <w:vAlign w:val="center"/>
          </w:tcPr>
          <w:p w14:paraId="35D09598" w14:textId="77777777" w:rsidR="00D42204" w:rsidRDefault="00D42204">
            <w:pPr>
              <w:jc w:val="right"/>
              <w:rPr>
                <w:rFonts w:ascii="宋体"/>
              </w:rPr>
            </w:pPr>
          </w:p>
        </w:tc>
      </w:tr>
      <w:tr w:rsidR="00D42204" w14:paraId="35D095A7" w14:textId="77777777">
        <w:tc>
          <w:tcPr>
            <w:tcW w:w="0" w:type="auto"/>
            <w:gridSpan w:val="3"/>
            <w:shd w:val="clear" w:color="auto" w:fill="CCEEFF"/>
            <w:tcMar>
              <w:top w:w="40" w:type="dxa"/>
              <w:left w:w="20" w:type="dxa"/>
              <w:bottom w:w="40" w:type="dxa"/>
              <w:right w:w="20" w:type="dxa"/>
            </w:tcMar>
            <w:vAlign w:val="center"/>
          </w:tcPr>
          <w:p w14:paraId="35D0959A" w14:textId="77777777" w:rsidR="00D42204" w:rsidRDefault="004E439D">
            <w:pPr>
              <w:textAlignment w:val="center"/>
            </w:pPr>
            <w:r>
              <w:rPr>
                <w:rFonts w:ascii="Times New Roman" w:eastAsia="宋体" w:hAnsi="Times New Roman"/>
                <w:color w:val="000000"/>
                <w:sz w:val="16"/>
                <w:szCs w:val="16"/>
              </w:rPr>
              <w:t>Central America</w:t>
            </w:r>
            <w:r>
              <w:rPr>
                <w:rFonts w:ascii="Times New Roman" w:eastAsia="宋体" w:hAnsi="Times New Roman"/>
                <w:color w:val="000000"/>
                <w:sz w:val="10"/>
                <w:szCs w:val="10"/>
              </w:rPr>
              <w:t>(4)</w:t>
            </w:r>
          </w:p>
        </w:tc>
        <w:tc>
          <w:tcPr>
            <w:tcW w:w="0" w:type="auto"/>
            <w:gridSpan w:val="3"/>
            <w:shd w:val="clear" w:color="auto" w:fill="CCEEFF"/>
            <w:tcMar>
              <w:top w:w="0" w:type="dxa"/>
              <w:left w:w="20" w:type="dxa"/>
              <w:bottom w:w="0" w:type="dxa"/>
              <w:right w:w="20" w:type="dxa"/>
            </w:tcMar>
            <w:vAlign w:val="bottom"/>
          </w:tcPr>
          <w:p w14:paraId="35D0959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59C" w14:textId="77777777" w:rsidR="00D42204" w:rsidRDefault="004E439D">
            <w:pPr>
              <w:jc w:val="right"/>
              <w:textAlignment w:val="center"/>
            </w:pPr>
            <w:r>
              <w:rPr>
                <w:rFonts w:ascii="Times New Roman" w:eastAsia="宋体" w:hAnsi="Times New Roman"/>
                <w:color w:val="000000"/>
                <w:sz w:val="16"/>
                <w:szCs w:val="16"/>
              </w:rPr>
              <w:t>864 </w:t>
            </w:r>
          </w:p>
        </w:tc>
        <w:tc>
          <w:tcPr>
            <w:tcW w:w="0" w:type="auto"/>
            <w:shd w:val="clear" w:color="auto" w:fill="CCEEFF"/>
            <w:tcMar>
              <w:top w:w="40" w:type="dxa"/>
              <w:left w:w="0" w:type="dxa"/>
              <w:bottom w:w="40" w:type="dxa"/>
              <w:right w:w="20" w:type="dxa"/>
            </w:tcMar>
            <w:vAlign w:val="center"/>
          </w:tcPr>
          <w:p w14:paraId="35D0959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9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59F"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95A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A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5A2" w14:textId="77777777" w:rsidR="00D42204" w:rsidRDefault="004E439D">
            <w:pPr>
              <w:jc w:val="right"/>
              <w:textAlignment w:val="center"/>
            </w:pPr>
            <w:r>
              <w:rPr>
                <w:rFonts w:ascii="Times New Roman" w:eastAsia="宋体" w:hAnsi="Times New Roman"/>
                <w:color w:val="000000"/>
                <w:sz w:val="16"/>
                <w:szCs w:val="16"/>
              </w:rPr>
              <w:t>864 </w:t>
            </w:r>
          </w:p>
        </w:tc>
        <w:tc>
          <w:tcPr>
            <w:tcW w:w="0" w:type="auto"/>
            <w:shd w:val="clear" w:color="auto" w:fill="CCEEFF"/>
            <w:tcMar>
              <w:top w:w="40" w:type="dxa"/>
              <w:left w:w="0" w:type="dxa"/>
              <w:bottom w:w="40" w:type="dxa"/>
              <w:right w:w="20" w:type="dxa"/>
            </w:tcMar>
            <w:vAlign w:val="center"/>
          </w:tcPr>
          <w:p w14:paraId="35D095A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A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5A5" w14:textId="77777777" w:rsidR="00D42204" w:rsidRDefault="004E439D">
            <w:pPr>
              <w:jc w:val="right"/>
              <w:textAlignment w:val="center"/>
            </w:pPr>
            <w:r>
              <w:rPr>
                <w:rFonts w:ascii="Times New Roman" w:eastAsia="宋体" w:hAnsi="Times New Roman"/>
                <w:color w:val="000000"/>
                <w:sz w:val="16"/>
                <w:szCs w:val="16"/>
              </w:rPr>
              <w:t>13,767 </w:t>
            </w:r>
          </w:p>
        </w:tc>
        <w:tc>
          <w:tcPr>
            <w:tcW w:w="0" w:type="auto"/>
            <w:shd w:val="clear" w:color="auto" w:fill="CCEEFF"/>
            <w:tcMar>
              <w:top w:w="40" w:type="dxa"/>
              <w:left w:w="0" w:type="dxa"/>
              <w:bottom w:w="40" w:type="dxa"/>
              <w:right w:w="20" w:type="dxa"/>
            </w:tcMar>
            <w:vAlign w:val="center"/>
          </w:tcPr>
          <w:p w14:paraId="35D095A6" w14:textId="77777777" w:rsidR="00D42204" w:rsidRDefault="00D42204">
            <w:pPr>
              <w:jc w:val="right"/>
              <w:rPr>
                <w:rFonts w:ascii="宋体"/>
              </w:rPr>
            </w:pPr>
          </w:p>
        </w:tc>
      </w:tr>
      <w:tr w:rsidR="00D42204" w14:paraId="35D095B5" w14:textId="77777777">
        <w:tc>
          <w:tcPr>
            <w:tcW w:w="0" w:type="auto"/>
            <w:gridSpan w:val="3"/>
            <w:shd w:val="clear" w:color="auto" w:fill="FFFFFF"/>
            <w:tcMar>
              <w:top w:w="40" w:type="dxa"/>
              <w:left w:w="20" w:type="dxa"/>
              <w:bottom w:w="40" w:type="dxa"/>
              <w:right w:w="20" w:type="dxa"/>
            </w:tcMar>
            <w:vAlign w:val="center"/>
          </w:tcPr>
          <w:p w14:paraId="35D095A8" w14:textId="77777777" w:rsidR="00D42204" w:rsidRDefault="004E439D">
            <w:pPr>
              <w:textAlignment w:val="center"/>
            </w:pPr>
            <w:r>
              <w:rPr>
                <w:rFonts w:ascii="Times New Roman" w:eastAsia="宋体" w:hAnsi="Times New Roman"/>
                <w:color w:val="000000"/>
                <w:sz w:val="16"/>
                <w:szCs w:val="16"/>
              </w:rPr>
              <w:t>Chile</w:t>
            </w:r>
          </w:p>
        </w:tc>
        <w:tc>
          <w:tcPr>
            <w:tcW w:w="0" w:type="auto"/>
            <w:gridSpan w:val="3"/>
            <w:shd w:val="clear" w:color="auto" w:fill="FFFFFF"/>
            <w:tcMar>
              <w:top w:w="0" w:type="dxa"/>
              <w:left w:w="20" w:type="dxa"/>
              <w:bottom w:w="0" w:type="dxa"/>
              <w:right w:w="20" w:type="dxa"/>
            </w:tcMar>
            <w:vAlign w:val="bottom"/>
          </w:tcPr>
          <w:p w14:paraId="35D095A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AA" w14:textId="77777777" w:rsidR="00D42204" w:rsidRDefault="004E439D">
            <w:pPr>
              <w:jc w:val="right"/>
              <w:textAlignment w:val="center"/>
            </w:pPr>
            <w:r>
              <w:rPr>
                <w:rFonts w:ascii="Times New Roman" w:eastAsia="宋体" w:hAnsi="Times New Roman"/>
                <w:color w:val="000000"/>
                <w:sz w:val="16"/>
                <w:szCs w:val="16"/>
              </w:rPr>
              <w:t>373 </w:t>
            </w:r>
          </w:p>
        </w:tc>
        <w:tc>
          <w:tcPr>
            <w:tcW w:w="0" w:type="auto"/>
            <w:shd w:val="clear" w:color="auto" w:fill="FFFFFF"/>
            <w:tcMar>
              <w:top w:w="40" w:type="dxa"/>
              <w:left w:w="0" w:type="dxa"/>
              <w:bottom w:w="40" w:type="dxa"/>
              <w:right w:w="20" w:type="dxa"/>
            </w:tcMar>
            <w:vAlign w:val="center"/>
          </w:tcPr>
          <w:p w14:paraId="35D095A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A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AD" w14:textId="77777777" w:rsidR="00D42204" w:rsidRDefault="004E439D">
            <w:pPr>
              <w:jc w:val="right"/>
              <w:textAlignment w:val="center"/>
            </w:pPr>
            <w:r>
              <w:rPr>
                <w:rFonts w:ascii="Times New Roman" w:eastAsia="宋体" w:hAnsi="Times New Roman"/>
                <w:color w:val="000000"/>
                <w:sz w:val="16"/>
                <w:szCs w:val="16"/>
              </w:rPr>
              <w:t>11 </w:t>
            </w:r>
          </w:p>
        </w:tc>
        <w:tc>
          <w:tcPr>
            <w:tcW w:w="0" w:type="auto"/>
            <w:shd w:val="clear" w:color="auto" w:fill="FFFFFF"/>
            <w:tcMar>
              <w:top w:w="40" w:type="dxa"/>
              <w:left w:w="0" w:type="dxa"/>
              <w:bottom w:w="40" w:type="dxa"/>
              <w:right w:w="20" w:type="dxa"/>
            </w:tcMar>
            <w:vAlign w:val="center"/>
          </w:tcPr>
          <w:p w14:paraId="35D095A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A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B0" w14:textId="77777777" w:rsidR="00D42204" w:rsidRDefault="004E439D">
            <w:pPr>
              <w:jc w:val="right"/>
              <w:textAlignment w:val="center"/>
            </w:pPr>
            <w:r>
              <w:rPr>
                <w:rFonts w:ascii="Times New Roman" w:eastAsia="宋体" w:hAnsi="Times New Roman"/>
                <w:color w:val="000000"/>
                <w:sz w:val="16"/>
                <w:szCs w:val="16"/>
              </w:rPr>
              <w:t>384 </w:t>
            </w:r>
          </w:p>
        </w:tc>
        <w:tc>
          <w:tcPr>
            <w:tcW w:w="0" w:type="auto"/>
            <w:shd w:val="clear" w:color="auto" w:fill="FFFFFF"/>
            <w:tcMar>
              <w:top w:w="40" w:type="dxa"/>
              <w:left w:w="0" w:type="dxa"/>
              <w:bottom w:w="40" w:type="dxa"/>
              <w:right w:w="20" w:type="dxa"/>
            </w:tcMar>
            <w:vAlign w:val="center"/>
          </w:tcPr>
          <w:p w14:paraId="35D095B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B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B3" w14:textId="77777777" w:rsidR="00D42204" w:rsidRDefault="004E439D">
            <w:pPr>
              <w:jc w:val="right"/>
              <w:textAlignment w:val="center"/>
            </w:pPr>
            <w:r>
              <w:rPr>
                <w:rFonts w:ascii="Times New Roman" w:eastAsia="宋体" w:hAnsi="Times New Roman"/>
                <w:color w:val="000000"/>
                <w:sz w:val="16"/>
                <w:szCs w:val="16"/>
              </w:rPr>
              <w:t>17,152 </w:t>
            </w:r>
          </w:p>
        </w:tc>
        <w:tc>
          <w:tcPr>
            <w:tcW w:w="0" w:type="auto"/>
            <w:shd w:val="clear" w:color="auto" w:fill="FFFFFF"/>
            <w:tcMar>
              <w:top w:w="40" w:type="dxa"/>
              <w:left w:w="0" w:type="dxa"/>
              <w:bottom w:w="40" w:type="dxa"/>
              <w:right w:w="20" w:type="dxa"/>
            </w:tcMar>
            <w:vAlign w:val="center"/>
          </w:tcPr>
          <w:p w14:paraId="35D095B4" w14:textId="77777777" w:rsidR="00D42204" w:rsidRDefault="00D42204">
            <w:pPr>
              <w:jc w:val="right"/>
              <w:rPr>
                <w:rFonts w:ascii="宋体"/>
              </w:rPr>
            </w:pPr>
          </w:p>
        </w:tc>
      </w:tr>
      <w:tr w:rsidR="00D42204" w14:paraId="35D095C3" w14:textId="77777777">
        <w:tc>
          <w:tcPr>
            <w:tcW w:w="0" w:type="auto"/>
            <w:gridSpan w:val="3"/>
            <w:shd w:val="clear" w:color="auto" w:fill="CCEEFF"/>
            <w:tcMar>
              <w:top w:w="40" w:type="dxa"/>
              <w:left w:w="20" w:type="dxa"/>
              <w:bottom w:w="40" w:type="dxa"/>
              <w:right w:w="20" w:type="dxa"/>
            </w:tcMar>
            <w:vAlign w:val="center"/>
          </w:tcPr>
          <w:p w14:paraId="35D095B6" w14:textId="77777777" w:rsidR="00D42204" w:rsidRDefault="004E439D">
            <w:pPr>
              <w:textAlignment w:val="center"/>
            </w:pPr>
            <w:r>
              <w:rPr>
                <w:rFonts w:ascii="Times New Roman" w:eastAsia="宋体" w:hAnsi="Times New Roman"/>
                <w:color w:val="000000"/>
                <w:sz w:val="16"/>
                <w:szCs w:val="16"/>
              </w:rPr>
              <w:t>China</w:t>
            </w:r>
          </w:p>
        </w:tc>
        <w:tc>
          <w:tcPr>
            <w:tcW w:w="0" w:type="auto"/>
            <w:gridSpan w:val="3"/>
            <w:shd w:val="clear" w:color="auto" w:fill="CCEEFF"/>
            <w:tcMar>
              <w:top w:w="0" w:type="dxa"/>
              <w:left w:w="20" w:type="dxa"/>
              <w:bottom w:w="0" w:type="dxa"/>
              <w:right w:w="20" w:type="dxa"/>
            </w:tcMar>
            <w:vAlign w:val="bottom"/>
          </w:tcPr>
          <w:p w14:paraId="35D095B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5B8" w14:textId="77777777" w:rsidR="00D42204" w:rsidRDefault="004E439D">
            <w:pPr>
              <w:jc w:val="right"/>
              <w:textAlignment w:val="center"/>
            </w:pPr>
            <w:r>
              <w:rPr>
                <w:rFonts w:ascii="Times New Roman" w:eastAsia="宋体" w:hAnsi="Times New Roman"/>
                <w:color w:val="000000"/>
                <w:sz w:val="16"/>
                <w:szCs w:val="16"/>
              </w:rPr>
              <w:t>361 </w:t>
            </w:r>
          </w:p>
        </w:tc>
        <w:tc>
          <w:tcPr>
            <w:tcW w:w="0" w:type="auto"/>
            <w:shd w:val="clear" w:color="auto" w:fill="CCEEFF"/>
            <w:tcMar>
              <w:top w:w="40" w:type="dxa"/>
              <w:left w:w="0" w:type="dxa"/>
              <w:bottom w:w="40" w:type="dxa"/>
              <w:right w:w="20" w:type="dxa"/>
            </w:tcMar>
            <w:vAlign w:val="center"/>
          </w:tcPr>
          <w:p w14:paraId="35D095B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B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5BB" w14:textId="77777777" w:rsidR="00D42204" w:rsidRDefault="004E439D">
            <w:pPr>
              <w:jc w:val="right"/>
              <w:textAlignment w:val="center"/>
            </w:pPr>
            <w:r>
              <w:rPr>
                <w:rFonts w:ascii="Times New Roman" w:eastAsia="宋体" w:hAnsi="Times New Roman"/>
                <w:color w:val="000000"/>
                <w:sz w:val="16"/>
                <w:szCs w:val="16"/>
              </w:rPr>
              <w:t>36 </w:t>
            </w:r>
          </w:p>
        </w:tc>
        <w:tc>
          <w:tcPr>
            <w:tcW w:w="0" w:type="auto"/>
            <w:shd w:val="clear" w:color="auto" w:fill="CCEEFF"/>
            <w:tcMar>
              <w:top w:w="40" w:type="dxa"/>
              <w:left w:w="0" w:type="dxa"/>
              <w:bottom w:w="40" w:type="dxa"/>
              <w:right w:w="20" w:type="dxa"/>
            </w:tcMar>
            <w:vAlign w:val="center"/>
          </w:tcPr>
          <w:p w14:paraId="35D095B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B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5BE" w14:textId="77777777" w:rsidR="00D42204" w:rsidRDefault="004E439D">
            <w:pPr>
              <w:jc w:val="right"/>
              <w:textAlignment w:val="center"/>
            </w:pPr>
            <w:r>
              <w:rPr>
                <w:rFonts w:ascii="Times New Roman" w:eastAsia="宋体" w:hAnsi="Times New Roman"/>
                <w:color w:val="000000"/>
                <w:sz w:val="16"/>
                <w:szCs w:val="16"/>
              </w:rPr>
              <w:t>397 </w:t>
            </w:r>
          </w:p>
        </w:tc>
        <w:tc>
          <w:tcPr>
            <w:tcW w:w="0" w:type="auto"/>
            <w:shd w:val="clear" w:color="auto" w:fill="CCEEFF"/>
            <w:tcMar>
              <w:top w:w="40" w:type="dxa"/>
              <w:left w:w="0" w:type="dxa"/>
              <w:bottom w:w="40" w:type="dxa"/>
              <w:right w:w="20" w:type="dxa"/>
            </w:tcMar>
            <w:vAlign w:val="center"/>
          </w:tcPr>
          <w:p w14:paraId="35D095B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C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5C1" w14:textId="77777777" w:rsidR="00D42204" w:rsidRDefault="004E439D">
            <w:pPr>
              <w:jc w:val="right"/>
              <w:textAlignment w:val="center"/>
            </w:pPr>
            <w:r>
              <w:rPr>
                <w:rFonts w:ascii="Times New Roman" w:eastAsia="宋体" w:hAnsi="Times New Roman"/>
                <w:color w:val="000000"/>
                <w:sz w:val="16"/>
                <w:szCs w:val="16"/>
              </w:rPr>
              <w:t>64,530 </w:t>
            </w:r>
          </w:p>
        </w:tc>
        <w:tc>
          <w:tcPr>
            <w:tcW w:w="0" w:type="auto"/>
            <w:shd w:val="clear" w:color="auto" w:fill="CCEEFF"/>
            <w:tcMar>
              <w:top w:w="40" w:type="dxa"/>
              <w:left w:w="0" w:type="dxa"/>
              <w:bottom w:w="40" w:type="dxa"/>
              <w:right w:w="20" w:type="dxa"/>
            </w:tcMar>
            <w:vAlign w:val="center"/>
          </w:tcPr>
          <w:p w14:paraId="35D095C2" w14:textId="77777777" w:rsidR="00D42204" w:rsidRDefault="00D42204">
            <w:pPr>
              <w:jc w:val="right"/>
              <w:rPr>
                <w:rFonts w:ascii="宋体"/>
              </w:rPr>
            </w:pPr>
          </w:p>
        </w:tc>
      </w:tr>
      <w:tr w:rsidR="00D42204" w14:paraId="35D095D1" w14:textId="77777777">
        <w:tc>
          <w:tcPr>
            <w:tcW w:w="0" w:type="auto"/>
            <w:gridSpan w:val="3"/>
            <w:shd w:val="clear" w:color="auto" w:fill="FFFFFF"/>
            <w:tcMar>
              <w:top w:w="40" w:type="dxa"/>
              <w:left w:w="20" w:type="dxa"/>
              <w:bottom w:w="40" w:type="dxa"/>
              <w:right w:w="20" w:type="dxa"/>
            </w:tcMar>
            <w:vAlign w:val="center"/>
          </w:tcPr>
          <w:p w14:paraId="35D095C4" w14:textId="77777777" w:rsidR="00D42204" w:rsidRDefault="004E439D">
            <w:pPr>
              <w:textAlignment w:val="center"/>
            </w:pPr>
            <w:r>
              <w:rPr>
                <w:rFonts w:ascii="Times New Roman" w:eastAsia="宋体" w:hAnsi="Times New Roman"/>
                <w:color w:val="000000"/>
                <w:sz w:val="16"/>
                <w:szCs w:val="16"/>
              </w:rPr>
              <w:t>India</w:t>
            </w:r>
          </w:p>
        </w:tc>
        <w:tc>
          <w:tcPr>
            <w:tcW w:w="0" w:type="auto"/>
            <w:gridSpan w:val="3"/>
            <w:shd w:val="clear" w:color="auto" w:fill="FFFFFF"/>
            <w:tcMar>
              <w:top w:w="0" w:type="dxa"/>
              <w:left w:w="20" w:type="dxa"/>
              <w:bottom w:w="0" w:type="dxa"/>
              <w:right w:w="20" w:type="dxa"/>
            </w:tcMar>
            <w:vAlign w:val="bottom"/>
          </w:tcPr>
          <w:p w14:paraId="35D095C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C6"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5C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C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C9" w14:textId="77777777" w:rsidR="00D42204" w:rsidRDefault="004E439D">
            <w:pPr>
              <w:jc w:val="right"/>
              <w:textAlignment w:val="center"/>
            </w:pPr>
            <w:r>
              <w:rPr>
                <w:rFonts w:ascii="Times New Roman" w:eastAsia="宋体" w:hAnsi="Times New Roman"/>
                <w:color w:val="000000"/>
                <w:sz w:val="16"/>
                <w:szCs w:val="16"/>
              </w:rPr>
              <w:t>29 </w:t>
            </w:r>
          </w:p>
        </w:tc>
        <w:tc>
          <w:tcPr>
            <w:tcW w:w="0" w:type="auto"/>
            <w:shd w:val="clear" w:color="auto" w:fill="FFFFFF"/>
            <w:tcMar>
              <w:top w:w="40" w:type="dxa"/>
              <w:left w:w="0" w:type="dxa"/>
              <w:bottom w:w="40" w:type="dxa"/>
              <w:right w:w="20" w:type="dxa"/>
            </w:tcMar>
            <w:vAlign w:val="center"/>
          </w:tcPr>
          <w:p w14:paraId="35D095C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C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CC" w14:textId="77777777" w:rsidR="00D42204" w:rsidRDefault="004E439D">
            <w:pPr>
              <w:jc w:val="right"/>
              <w:textAlignment w:val="center"/>
            </w:pPr>
            <w:r>
              <w:rPr>
                <w:rFonts w:ascii="Times New Roman" w:eastAsia="宋体" w:hAnsi="Times New Roman"/>
                <w:color w:val="000000"/>
                <w:sz w:val="16"/>
                <w:szCs w:val="16"/>
              </w:rPr>
              <w:t>29 </w:t>
            </w:r>
          </w:p>
        </w:tc>
        <w:tc>
          <w:tcPr>
            <w:tcW w:w="0" w:type="auto"/>
            <w:shd w:val="clear" w:color="auto" w:fill="FFFFFF"/>
            <w:tcMar>
              <w:top w:w="40" w:type="dxa"/>
              <w:left w:w="0" w:type="dxa"/>
              <w:bottom w:w="40" w:type="dxa"/>
              <w:right w:w="20" w:type="dxa"/>
            </w:tcMar>
            <w:vAlign w:val="center"/>
          </w:tcPr>
          <w:p w14:paraId="35D095C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C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5CF" w14:textId="77777777" w:rsidR="00D42204" w:rsidRDefault="004E439D">
            <w:pPr>
              <w:jc w:val="right"/>
              <w:textAlignment w:val="center"/>
            </w:pPr>
            <w:r>
              <w:rPr>
                <w:rFonts w:ascii="Times New Roman" w:eastAsia="宋体" w:hAnsi="Times New Roman"/>
                <w:color w:val="000000"/>
                <w:sz w:val="16"/>
                <w:szCs w:val="16"/>
              </w:rPr>
              <w:t>1,570 </w:t>
            </w:r>
          </w:p>
        </w:tc>
        <w:tc>
          <w:tcPr>
            <w:tcW w:w="0" w:type="auto"/>
            <w:shd w:val="clear" w:color="auto" w:fill="FFFFFF"/>
            <w:tcMar>
              <w:top w:w="40" w:type="dxa"/>
              <w:left w:w="0" w:type="dxa"/>
              <w:bottom w:w="40" w:type="dxa"/>
              <w:right w:w="20" w:type="dxa"/>
            </w:tcMar>
            <w:vAlign w:val="center"/>
          </w:tcPr>
          <w:p w14:paraId="35D095D0" w14:textId="77777777" w:rsidR="00D42204" w:rsidRDefault="00D42204">
            <w:pPr>
              <w:jc w:val="right"/>
              <w:rPr>
                <w:rFonts w:ascii="宋体"/>
              </w:rPr>
            </w:pPr>
          </w:p>
        </w:tc>
      </w:tr>
      <w:tr w:rsidR="00D42204" w14:paraId="35D095DF" w14:textId="77777777">
        <w:tc>
          <w:tcPr>
            <w:tcW w:w="0" w:type="auto"/>
            <w:gridSpan w:val="3"/>
            <w:shd w:val="clear" w:color="auto" w:fill="CCEEFF"/>
            <w:tcMar>
              <w:top w:w="40" w:type="dxa"/>
              <w:left w:w="20" w:type="dxa"/>
              <w:bottom w:w="40" w:type="dxa"/>
              <w:right w:w="20" w:type="dxa"/>
            </w:tcMar>
            <w:vAlign w:val="center"/>
          </w:tcPr>
          <w:p w14:paraId="35D095D2" w14:textId="77777777" w:rsidR="00D42204" w:rsidRDefault="004E439D">
            <w:pPr>
              <w:textAlignment w:val="center"/>
            </w:pPr>
            <w:r>
              <w:rPr>
                <w:rFonts w:ascii="Times New Roman" w:eastAsia="宋体" w:hAnsi="Times New Roman"/>
                <w:color w:val="000000"/>
                <w:sz w:val="16"/>
                <w:szCs w:val="16"/>
              </w:rPr>
              <w:t>Mexico</w:t>
            </w:r>
          </w:p>
        </w:tc>
        <w:tc>
          <w:tcPr>
            <w:tcW w:w="0" w:type="auto"/>
            <w:gridSpan w:val="3"/>
            <w:shd w:val="clear" w:color="auto" w:fill="CCEEFF"/>
            <w:tcMar>
              <w:top w:w="0" w:type="dxa"/>
              <w:left w:w="20" w:type="dxa"/>
              <w:bottom w:w="0" w:type="dxa"/>
              <w:right w:w="20" w:type="dxa"/>
            </w:tcMar>
            <w:vAlign w:val="bottom"/>
          </w:tcPr>
          <w:p w14:paraId="35D095D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5D4" w14:textId="77777777" w:rsidR="00D42204" w:rsidRDefault="004E439D">
            <w:pPr>
              <w:jc w:val="right"/>
              <w:textAlignment w:val="center"/>
            </w:pPr>
            <w:r>
              <w:rPr>
                <w:rFonts w:ascii="Times New Roman" w:eastAsia="宋体" w:hAnsi="Times New Roman"/>
                <w:color w:val="000000"/>
                <w:sz w:val="16"/>
                <w:szCs w:val="16"/>
              </w:rPr>
              <w:t>2,589 </w:t>
            </w:r>
          </w:p>
        </w:tc>
        <w:tc>
          <w:tcPr>
            <w:tcW w:w="0" w:type="auto"/>
            <w:shd w:val="clear" w:color="auto" w:fill="CCEEFF"/>
            <w:tcMar>
              <w:top w:w="40" w:type="dxa"/>
              <w:left w:w="0" w:type="dxa"/>
              <w:bottom w:w="40" w:type="dxa"/>
              <w:right w:w="20" w:type="dxa"/>
            </w:tcMar>
            <w:vAlign w:val="center"/>
          </w:tcPr>
          <w:p w14:paraId="35D095D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D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5D7" w14:textId="77777777" w:rsidR="00D42204" w:rsidRDefault="004E439D">
            <w:pPr>
              <w:jc w:val="right"/>
              <w:textAlignment w:val="center"/>
            </w:pPr>
            <w:r>
              <w:rPr>
                <w:rFonts w:ascii="Times New Roman" w:eastAsia="宋体" w:hAnsi="Times New Roman"/>
                <w:color w:val="000000"/>
                <w:sz w:val="16"/>
                <w:szCs w:val="16"/>
              </w:rPr>
              <w:t>166 </w:t>
            </w:r>
          </w:p>
        </w:tc>
        <w:tc>
          <w:tcPr>
            <w:tcW w:w="0" w:type="auto"/>
            <w:shd w:val="clear" w:color="auto" w:fill="CCEEFF"/>
            <w:tcMar>
              <w:top w:w="40" w:type="dxa"/>
              <w:left w:w="0" w:type="dxa"/>
              <w:bottom w:w="40" w:type="dxa"/>
              <w:right w:w="20" w:type="dxa"/>
            </w:tcMar>
            <w:vAlign w:val="center"/>
          </w:tcPr>
          <w:p w14:paraId="35D095D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D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5DA" w14:textId="77777777" w:rsidR="00D42204" w:rsidRDefault="004E439D">
            <w:pPr>
              <w:jc w:val="right"/>
              <w:textAlignment w:val="center"/>
            </w:pPr>
            <w:r>
              <w:rPr>
                <w:rFonts w:ascii="Times New Roman" w:eastAsia="宋体" w:hAnsi="Times New Roman"/>
                <w:color w:val="000000"/>
                <w:sz w:val="16"/>
                <w:szCs w:val="16"/>
              </w:rPr>
              <w:t>2,755 </w:t>
            </w:r>
          </w:p>
        </w:tc>
        <w:tc>
          <w:tcPr>
            <w:tcW w:w="0" w:type="auto"/>
            <w:shd w:val="clear" w:color="auto" w:fill="CCEEFF"/>
            <w:tcMar>
              <w:top w:w="40" w:type="dxa"/>
              <w:left w:w="0" w:type="dxa"/>
              <w:bottom w:w="40" w:type="dxa"/>
              <w:right w:w="20" w:type="dxa"/>
            </w:tcMar>
            <w:vAlign w:val="center"/>
          </w:tcPr>
          <w:p w14:paraId="35D095D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5D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5DD" w14:textId="77777777" w:rsidR="00D42204" w:rsidRDefault="004E439D">
            <w:pPr>
              <w:jc w:val="right"/>
              <w:textAlignment w:val="center"/>
            </w:pPr>
            <w:r>
              <w:rPr>
                <w:rFonts w:ascii="Times New Roman" w:eastAsia="宋体" w:hAnsi="Times New Roman"/>
                <w:color w:val="000000"/>
                <w:sz w:val="16"/>
                <w:szCs w:val="16"/>
              </w:rPr>
              <w:t>104,267 </w:t>
            </w:r>
          </w:p>
        </w:tc>
        <w:tc>
          <w:tcPr>
            <w:tcW w:w="0" w:type="auto"/>
            <w:shd w:val="clear" w:color="auto" w:fill="CCEEFF"/>
            <w:tcMar>
              <w:top w:w="40" w:type="dxa"/>
              <w:left w:w="0" w:type="dxa"/>
              <w:bottom w:w="40" w:type="dxa"/>
              <w:right w:w="20" w:type="dxa"/>
            </w:tcMar>
            <w:vAlign w:val="center"/>
          </w:tcPr>
          <w:p w14:paraId="35D095DE" w14:textId="77777777" w:rsidR="00D42204" w:rsidRDefault="00D42204">
            <w:pPr>
              <w:jc w:val="right"/>
              <w:rPr>
                <w:rFonts w:ascii="宋体"/>
              </w:rPr>
            </w:pPr>
          </w:p>
        </w:tc>
      </w:tr>
      <w:tr w:rsidR="00D42204" w14:paraId="35D095ED" w14:textId="77777777">
        <w:tc>
          <w:tcPr>
            <w:tcW w:w="0" w:type="auto"/>
            <w:gridSpan w:val="3"/>
            <w:shd w:val="clear" w:color="auto" w:fill="FFFFFF"/>
            <w:tcMar>
              <w:top w:w="40" w:type="dxa"/>
              <w:left w:w="20" w:type="dxa"/>
              <w:bottom w:w="40" w:type="dxa"/>
              <w:right w:w="20" w:type="dxa"/>
            </w:tcMar>
            <w:vAlign w:val="center"/>
          </w:tcPr>
          <w:p w14:paraId="35D095E0" w14:textId="77777777" w:rsidR="00D42204" w:rsidRDefault="004E439D">
            <w:pPr>
              <w:textAlignment w:val="center"/>
            </w:pPr>
            <w:r>
              <w:rPr>
                <w:rFonts w:ascii="Times New Roman" w:eastAsia="宋体" w:hAnsi="Times New Roman"/>
                <w:b/>
                <w:bCs/>
                <w:color w:val="000000"/>
                <w:sz w:val="16"/>
                <w:szCs w:val="16"/>
              </w:rPr>
              <w:t>International total</w:t>
            </w:r>
          </w:p>
        </w:tc>
        <w:tc>
          <w:tcPr>
            <w:tcW w:w="0" w:type="auto"/>
            <w:gridSpan w:val="3"/>
            <w:shd w:val="clear" w:color="auto" w:fill="FFFFFF"/>
            <w:tcMar>
              <w:top w:w="0" w:type="dxa"/>
              <w:left w:w="20" w:type="dxa"/>
              <w:bottom w:w="0" w:type="dxa"/>
              <w:right w:w="20" w:type="dxa"/>
            </w:tcMar>
            <w:vAlign w:val="bottom"/>
          </w:tcPr>
          <w:p w14:paraId="35D095E1" w14:textId="77777777" w:rsidR="00D42204" w:rsidRDefault="00D4220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95E2" w14:textId="77777777" w:rsidR="00D42204" w:rsidRDefault="004E439D">
            <w:pPr>
              <w:jc w:val="right"/>
              <w:textAlignment w:val="center"/>
            </w:pPr>
            <w:r>
              <w:rPr>
                <w:rFonts w:ascii="Times New Roman" w:eastAsia="宋体" w:hAnsi="Times New Roman"/>
                <w:color w:val="000000"/>
                <w:sz w:val="16"/>
                <w:szCs w:val="16"/>
              </w:rPr>
              <w:t>4,919 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95E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E4" w14:textId="77777777" w:rsidR="00D42204" w:rsidRDefault="00D4220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95E5" w14:textId="77777777" w:rsidR="00D42204" w:rsidRDefault="004E439D">
            <w:pPr>
              <w:jc w:val="right"/>
              <w:textAlignment w:val="center"/>
            </w:pPr>
            <w:r>
              <w:rPr>
                <w:rFonts w:ascii="Times New Roman" w:eastAsia="宋体" w:hAnsi="Times New Roman"/>
                <w:color w:val="000000"/>
                <w:sz w:val="16"/>
                <w:szCs w:val="16"/>
              </w:rPr>
              <w:t>332 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95E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E7" w14:textId="77777777" w:rsidR="00D42204" w:rsidRDefault="00D4220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95E8" w14:textId="77777777" w:rsidR="00D42204" w:rsidRDefault="004E439D">
            <w:pPr>
              <w:jc w:val="right"/>
              <w:textAlignment w:val="center"/>
            </w:pPr>
            <w:r>
              <w:rPr>
                <w:rFonts w:ascii="Times New Roman" w:eastAsia="宋体" w:hAnsi="Times New Roman"/>
                <w:color w:val="000000"/>
                <w:sz w:val="16"/>
                <w:szCs w:val="16"/>
              </w:rPr>
              <w:t>5,251 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95E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5EA" w14:textId="77777777" w:rsidR="00D42204" w:rsidRDefault="00D4220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95EB" w14:textId="77777777" w:rsidR="00D42204" w:rsidRDefault="004E439D">
            <w:pPr>
              <w:jc w:val="right"/>
              <w:textAlignment w:val="center"/>
            </w:pPr>
            <w:r>
              <w:rPr>
                <w:rFonts w:ascii="Times New Roman" w:eastAsia="宋体" w:hAnsi="Times New Roman"/>
                <w:color w:val="000000"/>
                <w:sz w:val="16"/>
                <w:szCs w:val="16"/>
              </w:rPr>
              <w:t>277,125 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95EC" w14:textId="77777777" w:rsidR="00D42204" w:rsidRDefault="00D42204">
            <w:pPr>
              <w:jc w:val="right"/>
              <w:rPr>
                <w:rFonts w:ascii="宋体"/>
              </w:rPr>
            </w:pPr>
          </w:p>
        </w:tc>
      </w:tr>
    </w:tbl>
    <w:p w14:paraId="35D095EE" w14:textId="77777777" w:rsidR="00D42204" w:rsidRDefault="004E439D">
      <w:pPr>
        <w:ind w:hanging="36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Walmart </w:t>
      </w:r>
      <w:r>
        <w:rPr>
          <w:rFonts w:ascii="Times New Roman" w:eastAsia="宋体" w:hAnsi="Times New Roman"/>
          <w:color w:val="000000"/>
          <w:sz w:val="16"/>
          <w:szCs w:val="16"/>
        </w:rPr>
        <w:t>International unit counts, with the exception of Canada, are as of December 31, 2021, to correspond with the balance sheet date of the related geographic market. Canada unit counts are as of January 31, 2022.</w:t>
      </w:r>
    </w:p>
    <w:p w14:paraId="35D095EF" w14:textId="77777777" w:rsidR="00D42204" w:rsidRDefault="004E439D">
      <w:pPr>
        <w:ind w:hanging="360"/>
      </w:pPr>
      <w:r>
        <w:rPr>
          <w:rFonts w:ascii="Times New Roman" w:eastAsia="宋体" w:hAnsi="Times New Roman"/>
          <w:color w:val="000000"/>
          <w:sz w:val="10"/>
          <w:szCs w:val="10"/>
        </w:rPr>
        <w:t>(2)</w:t>
      </w:r>
      <w:r>
        <w:rPr>
          <w:rFonts w:ascii="Times New Roman" w:eastAsia="宋体" w:hAnsi="Times New Roman"/>
          <w:color w:val="000000"/>
          <w:sz w:val="16"/>
          <w:szCs w:val="16"/>
        </w:rPr>
        <w:t>Square feet reported in thousands.</w:t>
      </w:r>
    </w:p>
    <w:p w14:paraId="35D095F0" w14:textId="77777777" w:rsidR="00D42204" w:rsidRDefault="004E439D">
      <w:pPr>
        <w:ind w:hanging="360"/>
      </w:pPr>
      <w:r>
        <w:rPr>
          <w:rFonts w:ascii="Times New Roman" w:eastAsia="宋体" w:hAnsi="Times New Roman"/>
          <w:color w:val="000000"/>
          <w:sz w:val="10"/>
          <w:szCs w:val="10"/>
        </w:rPr>
        <w:t>(3)</w:t>
      </w:r>
      <w:r>
        <w:rPr>
          <w:rFonts w:ascii="Times New Roman" w:eastAsia="宋体" w:hAnsi="Times New Roman"/>
          <w:color w:val="000000"/>
          <w:sz w:val="16"/>
          <w:szCs w:val="16"/>
        </w:rPr>
        <w:t>Africa</w:t>
      </w:r>
      <w:r>
        <w:rPr>
          <w:rFonts w:ascii="Times New Roman" w:eastAsia="宋体" w:hAnsi="Times New Roman"/>
          <w:color w:val="000000"/>
          <w:sz w:val="16"/>
          <w:szCs w:val="16"/>
        </w:rPr>
        <w:t xml:space="preserve"> unit counts primarily reside in South Africa, with other locations in Botswana, Ghana, Kenya, Lesotho, Malawi, Mozambique, Namibia, Nigeria, Swaziland, Tanzania, Uganda and Zambia.</w:t>
      </w:r>
    </w:p>
    <w:p w14:paraId="35D095F1" w14:textId="77777777" w:rsidR="00D42204" w:rsidRDefault="004E439D">
      <w:pPr>
        <w:ind w:hanging="360"/>
      </w:pPr>
      <w:r>
        <w:rPr>
          <w:rFonts w:ascii="Times New Roman" w:eastAsia="宋体" w:hAnsi="Times New Roman"/>
          <w:color w:val="000000"/>
          <w:sz w:val="10"/>
          <w:szCs w:val="10"/>
        </w:rPr>
        <w:t>(4)</w:t>
      </w:r>
      <w:r>
        <w:rPr>
          <w:rFonts w:ascii="Times New Roman" w:eastAsia="宋体" w:hAnsi="Times New Roman"/>
          <w:color w:val="000000"/>
          <w:sz w:val="16"/>
          <w:szCs w:val="16"/>
        </w:rPr>
        <w:t>Central America unit counts reside in Costa Rica, El Salvador, Guatemal</w:t>
      </w:r>
      <w:r>
        <w:rPr>
          <w:rFonts w:ascii="Times New Roman" w:eastAsia="宋体" w:hAnsi="Times New Roman"/>
          <w:color w:val="000000"/>
          <w:sz w:val="16"/>
          <w:szCs w:val="16"/>
        </w:rPr>
        <w:t>a, Honduras and Nicaragua.</w:t>
      </w:r>
    </w:p>
    <w:p w14:paraId="35D095F2" w14:textId="77777777" w:rsidR="00D42204" w:rsidRDefault="00D42204"/>
    <w:p w14:paraId="35D095F3" w14:textId="77777777" w:rsidR="00D42204" w:rsidRDefault="004E439D">
      <w:r>
        <w:rPr>
          <w:rFonts w:ascii="Times New Roman" w:eastAsia="宋体" w:hAnsi="Times New Roman"/>
          <w:b/>
          <w:bCs/>
          <w:color w:val="000000"/>
          <w:sz w:val="20"/>
          <w:szCs w:val="20"/>
        </w:rPr>
        <w:t>Owned and Leased Properties</w:t>
      </w:r>
    </w:p>
    <w:p w14:paraId="35D095F4" w14:textId="77777777" w:rsidR="00D42204" w:rsidRDefault="004E439D">
      <w:pPr>
        <w:spacing w:before="100"/>
      </w:pPr>
      <w:r>
        <w:rPr>
          <w:rFonts w:ascii="Times New Roman" w:eastAsia="宋体" w:hAnsi="Times New Roman"/>
          <w:color w:val="000000"/>
          <w:sz w:val="20"/>
          <w:szCs w:val="20"/>
        </w:rPr>
        <w:t>The following table provides further details of our retail units and distribution facilities, including return facilities and dedicated eCommerce fulfillment centers, as of January 31, 2022</w:t>
      </w:r>
      <w:r>
        <w:rPr>
          <w:rFonts w:ascii="Times New Roman" w:eastAsia="宋体" w:hAnsi="Times New Roman"/>
          <w:color w:val="000000"/>
          <w:sz w:val="13"/>
          <w:szCs w:val="13"/>
        </w:rPr>
        <w:t>(1)</w:t>
      </w:r>
      <w:r>
        <w:rPr>
          <w:rFonts w:ascii="Times New Roman" w:eastAsia="宋体" w:hAnsi="Times New Roman"/>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55"/>
        <w:gridCol w:w="5682"/>
        <w:gridCol w:w="39"/>
        <w:gridCol w:w="36"/>
        <w:gridCol w:w="36"/>
        <w:gridCol w:w="36"/>
        <w:gridCol w:w="60"/>
        <w:gridCol w:w="593"/>
        <w:gridCol w:w="36"/>
        <w:gridCol w:w="36"/>
        <w:gridCol w:w="36"/>
        <w:gridCol w:w="36"/>
        <w:gridCol w:w="72"/>
        <w:gridCol w:w="581"/>
        <w:gridCol w:w="36"/>
        <w:gridCol w:w="36"/>
        <w:gridCol w:w="36"/>
        <w:gridCol w:w="36"/>
        <w:gridCol w:w="36"/>
        <w:gridCol w:w="36"/>
        <w:gridCol w:w="36"/>
        <w:gridCol w:w="36"/>
        <w:gridCol w:w="57"/>
        <w:gridCol w:w="596"/>
        <w:gridCol w:w="36"/>
      </w:tblGrid>
      <w:tr w:rsidR="00D42204" w14:paraId="35D0960E" w14:textId="77777777">
        <w:tc>
          <w:tcPr>
            <w:tcW w:w="50" w:type="pct"/>
            <w:shd w:val="clear" w:color="auto" w:fill="auto"/>
            <w:vAlign w:val="bottom"/>
          </w:tcPr>
          <w:p w14:paraId="35D095F5" w14:textId="77777777" w:rsidR="00D42204" w:rsidRDefault="00D42204">
            <w:pPr>
              <w:rPr>
                <w:rFonts w:ascii="宋体"/>
              </w:rPr>
            </w:pPr>
          </w:p>
        </w:tc>
        <w:tc>
          <w:tcPr>
            <w:tcW w:w="3493" w:type="pct"/>
            <w:shd w:val="clear" w:color="auto" w:fill="auto"/>
            <w:vAlign w:val="bottom"/>
          </w:tcPr>
          <w:p w14:paraId="35D095F6" w14:textId="77777777" w:rsidR="00D42204" w:rsidRDefault="00D42204">
            <w:pPr>
              <w:rPr>
                <w:rFonts w:ascii="宋体"/>
              </w:rPr>
            </w:pPr>
          </w:p>
        </w:tc>
        <w:tc>
          <w:tcPr>
            <w:tcW w:w="5" w:type="pct"/>
            <w:shd w:val="clear" w:color="auto" w:fill="auto"/>
            <w:vAlign w:val="bottom"/>
          </w:tcPr>
          <w:p w14:paraId="35D095F7" w14:textId="77777777" w:rsidR="00D42204" w:rsidRDefault="00D42204">
            <w:pPr>
              <w:rPr>
                <w:rFonts w:ascii="宋体"/>
              </w:rPr>
            </w:pPr>
          </w:p>
        </w:tc>
        <w:tc>
          <w:tcPr>
            <w:tcW w:w="5" w:type="pct"/>
            <w:shd w:val="clear" w:color="auto" w:fill="auto"/>
            <w:vAlign w:val="bottom"/>
          </w:tcPr>
          <w:p w14:paraId="35D095F8" w14:textId="77777777" w:rsidR="00D42204" w:rsidRDefault="00D42204">
            <w:pPr>
              <w:rPr>
                <w:rFonts w:ascii="宋体"/>
              </w:rPr>
            </w:pPr>
          </w:p>
        </w:tc>
        <w:tc>
          <w:tcPr>
            <w:tcW w:w="26" w:type="pct"/>
            <w:shd w:val="clear" w:color="auto" w:fill="auto"/>
            <w:vAlign w:val="bottom"/>
          </w:tcPr>
          <w:p w14:paraId="35D095F9" w14:textId="77777777" w:rsidR="00D42204" w:rsidRDefault="00D42204">
            <w:pPr>
              <w:rPr>
                <w:rFonts w:ascii="宋体"/>
              </w:rPr>
            </w:pPr>
          </w:p>
        </w:tc>
        <w:tc>
          <w:tcPr>
            <w:tcW w:w="5" w:type="pct"/>
            <w:shd w:val="clear" w:color="auto" w:fill="auto"/>
            <w:vAlign w:val="bottom"/>
          </w:tcPr>
          <w:p w14:paraId="35D095FA" w14:textId="77777777" w:rsidR="00D42204" w:rsidRDefault="00D42204">
            <w:pPr>
              <w:rPr>
                <w:rFonts w:ascii="宋体"/>
              </w:rPr>
            </w:pPr>
          </w:p>
        </w:tc>
        <w:tc>
          <w:tcPr>
            <w:tcW w:w="50" w:type="pct"/>
            <w:shd w:val="clear" w:color="auto" w:fill="auto"/>
            <w:vAlign w:val="bottom"/>
          </w:tcPr>
          <w:p w14:paraId="35D095FB" w14:textId="77777777" w:rsidR="00D42204" w:rsidRDefault="00D42204">
            <w:pPr>
              <w:rPr>
                <w:rFonts w:ascii="宋体"/>
              </w:rPr>
            </w:pPr>
          </w:p>
        </w:tc>
        <w:tc>
          <w:tcPr>
            <w:tcW w:w="392" w:type="pct"/>
            <w:shd w:val="clear" w:color="auto" w:fill="auto"/>
            <w:vAlign w:val="bottom"/>
          </w:tcPr>
          <w:p w14:paraId="35D095FC" w14:textId="77777777" w:rsidR="00D42204" w:rsidRDefault="00D42204">
            <w:pPr>
              <w:rPr>
                <w:rFonts w:ascii="宋体"/>
              </w:rPr>
            </w:pPr>
          </w:p>
        </w:tc>
        <w:tc>
          <w:tcPr>
            <w:tcW w:w="5" w:type="pct"/>
            <w:shd w:val="clear" w:color="auto" w:fill="auto"/>
            <w:vAlign w:val="bottom"/>
          </w:tcPr>
          <w:p w14:paraId="35D095FD" w14:textId="77777777" w:rsidR="00D42204" w:rsidRDefault="00D42204">
            <w:pPr>
              <w:rPr>
                <w:rFonts w:ascii="宋体"/>
              </w:rPr>
            </w:pPr>
          </w:p>
        </w:tc>
        <w:tc>
          <w:tcPr>
            <w:tcW w:w="5" w:type="pct"/>
            <w:shd w:val="clear" w:color="auto" w:fill="auto"/>
            <w:vAlign w:val="bottom"/>
          </w:tcPr>
          <w:p w14:paraId="35D095FE" w14:textId="77777777" w:rsidR="00D42204" w:rsidRDefault="00D42204">
            <w:pPr>
              <w:rPr>
                <w:rFonts w:ascii="宋体"/>
              </w:rPr>
            </w:pPr>
          </w:p>
        </w:tc>
        <w:tc>
          <w:tcPr>
            <w:tcW w:w="26" w:type="pct"/>
            <w:shd w:val="clear" w:color="auto" w:fill="auto"/>
            <w:vAlign w:val="bottom"/>
          </w:tcPr>
          <w:p w14:paraId="35D095FF" w14:textId="77777777" w:rsidR="00D42204" w:rsidRDefault="00D42204">
            <w:pPr>
              <w:rPr>
                <w:rFonts w:ascii="宋体"/>
              </w:rPr>
            </w:pPr>
          </w:p>
        </w:tc>
        <w:tc>
          <w:tcPr>
            <w:tcW w:w="5" w:type="pct"/>
            <w:shd w:val="clear" w:color="auto" w:fill="auto"/>
            <w:vAlign w:val="bottom"/>
          </w:tcPr>
          <w:p w14:paraId="35D09600" w14:textId="77777777" w:rsidR="00D42204" w:rsidRDefault="00D42204">
            <w:pPr>
              <w:rPr>
                <w:rFonts w:ascii="宋体"/>
              </w:rPr>
            </w:pPr>
          </w:p>
        </w:tc>
        <w:tc>
          <w:tcPr>
            <w:tcW w:w="50" w:type="pct"/>
            <w:shd w:val="clear" w:color="auto" w:fill="auto"/>
            <w:vAlign w:val="bottom"/>
          </w:tcPr>
          <w:p w14:paraId="35D09601" w14:textId="77777777" w:rsidR="00D42204" w:rsidRDefault="00D42204">
            <w:pPr>
              <w:rPr>
                <w:rFonts w:ascii="宋体"/>
              </w:rPr>
            </w:pPr>
          </w:p>
        </w:tc>
        <w:tc>
          <w:tcPr>
            <w:tcW w:w="392" w:type="pct"/>
            <w:shd w:val="clear" w:color="auto" w:fill="auto"/>
            <w:vAlign w:val="bottom"/>
          </w:tcPr>
          <w:p w14:paraId="35D09602" w14:textId="77777777" w:rsidR="00D42204" w:rsidRDefault="00D42204">
            <w:pPr>
              <w:rPr>
                <w:rFonts w:ascii="宋体"/>
              </w:rPr>
            </w:pPr>
          </w:p>
        </w:tc>
        <w:tc>
          <w:tcPr>
            <w:tcW w:w="5" w:type="pct"/>
            <w:shd w:val="clear" w:color="auto" w:fill="auto"/>
            <w:vAlign w:val="bottom"/>
          </w:tcPr>
          <w:p w14:paraId="35D09603" w14:textId="77777777" w:rsidR="00D42204" w:rsidRDefault="00D42204">
            <w:pPr>
              <w:rPr>
                <w:rFonts w:ascii="宋体"/>
              </w:rPr>
            </w:pPr>
          </w:p>
        </w:tc>
        <w:tc>
          <w:tcPr>
            <w:tcW w:w="5" w:type="pct"/>
            <w:shd w:val="clear" w:color="auto" w:fill="auto"/>
            <w:vAlign w:val="bottom"/>
          </w:tcPr>
          <w:p w14:paraId="35D09604" w14:textId="77777777" w:rsidR="00D42204" w:rsidRDefault="00D42204">
            <w:pPr>
              <w:rPr>
                <w:rFonts w:ascii="宋体"/>
              </w:rPr>
            </w:pPr>
          </w:p>
        </w:tc>
        <w:tc>
          <w:tcPr>
            <w:tcW w:w="26" w:type="pct"/>
            <w:shd w:val="clear" w:color="auto" w:fill="auto"/>
            <w:vAlign w:val="bottom"/>
          </w:tcPr>
          <w:p w14:paraId="35D09605" w14:textId="77777777" w:rsidR="00D42204" w:rsidRDefault="00D42204">
            <w:pPr>
              <w:rPr>
                <w:rFonts w:ascii="宋体"/>
              </w:rPr>
            </w:pPr>
          </w:p>
        </w:tc>
        <w:tc>
          <w:tcPr>
            <w:tcW w:w="5" w:type="pct"/>
            <w:shd w:val="clear" w:color="auto" w:fill="auto"/>
            <w:vAlign w:val="bottom"/>
          </w:tcPr>
          <w:p w14:paraId="35D09606" w14:textId="77777777" w:rsidR="00D42204" w:rsidRDefault="00D42204">
            <w:pPr>
              <w:rPr>
                <w:rFonts w:ascii="宋体"/>
              </w:rPr>
            </w:pPr>
          </w:p>
        </w:tc>
        <w:tc>
          <w:tcPr>
            <w:tcW w:w="0" w:type="auto"/>
            <w:shd w:val="clear" w:color="auto" w:fill="auto"/>
            <w:vAlign w:val="bottom"/>
          </w:tcPr>
          <w:p w14:paraId="35D09607" w14:textId="77777777" w:rsidR="00D42204" w:rsidRDefault="00D42204">
            <w:pPr>
              <w:rPr>
                <w:rFonts w:ascii="宋体"/>
                <w:vanish/>
              </w:rPr>
            </w:pPr>
          </w:p>
        </w:tc>
        <w:tc>
          <w:tcPr>
            <w:tcW w:w="0" w:type="auto"/>
            <w:shd w:val="clear" w:color="auto" w:fill="auto"/>
            <w:vAlign w:val="bottom"/>
          </w:tcPr>
          <w:p w14:paraId="35D09608" w14:textId="77777777" w:rsidR="00D42204" w:rsidRDefault="00D42204">
            <w:pPr>
              <w:rPr>
                <w:rFonts w:ascii="宋体"/>
                <w:vanish/>
              </w:rPr>
            </w:pPr>
          </w:p>
        </w:tc>
        <w:tc>
          <w:tcPr>
            <w:tcW w:w="0" w:type="auto"/>
            <w:shd w:val="clear" w:color="auto" w:fill="auto"/>
            <w:vAlign w:val="bottom"/>
          </w:tcPr>
          <w:p w14:paraId="35D09609" w14:textId="77777777" w:rsidR="00D42204" w:rsidRDefault="00D42204">
            <w:pPr>
              <w:rPr>
                <w:rFonts w:ascii="宋体"/>
                <w:vanish/>
              </w:rPr>
            </w:pPr>
          </w:p>
        </w:tc>
        <w:tc>
          <w:tcPr>
            <w:tcW w:w="0" w:type="auto"/>
            <w:shd w:val="clear" w:color="auto" w:fill="auto"/>
            <w:vAlign w:val="bottom"/>
          </w:tcPr>
          <w:p w14:paraId="35D0960A" w14:textId="77777777" w:rsidR="00D42204" w:rsidRDefault="00D42204">
            <w:pPr>
              <w:rPr>
                <w:rFonts w:ascii="宋体"/>
                <w:vanish/>
              </w:rPr>
            </w:pPr>
          </w:p>
        </w:tc>
        <w:tc>
          <w:tcPr>
            <w:tcW w:w="50" w:type="pct"/>
            <w:shd w:val="clear" w:color="auto" w:fill="auto"/>
            <w:vAlign w:val="bottom"/>
          </w:tcPr>
          <w:p w14:paraId="35D0960B" w14:textId="77777777" w:rsidR="00D42204" w:rsidRDefault="00D42204">
            <w:pPr>
              <w:rPr>
                <w:rFonts w:ascii="宋体"/>
              </w:rPr>
            </w:pPr>
          </w:p>
        </w:tc>
        <w:tc>
          <w:tcPr>
            <w:tcW w:w="392" w:type="pct"/>
            <w:shd w:val="clear" w:color="auto" w:fill="auto"/>
            <w:vAlign w:val="bottom"/>
          </w:tcPr>
          <w:p w14:paraId="35D0960C" w14:textId="77777777" w:rsidR="00D42204" w:rsidRDefault="00D42204">
            <w:pPr>
              <w:rPr>
                <w:rFonts w:ascii="宋体"/>
              </w:rPr>
            </w:pPr>
          </w:p>
        </w:tc>
        <w:tc>
          <w:tcPr>
            <w:tcW w:w="5" w:type="pct"/>
            <w:shd w:val="clear" w:color="auto" w:fill="auto"/>
            <w:vAlign w:val="bottom"/>
          </w:tcPr>
          <w:p w14:paraId="35D0960D" w14:textId="77777777" w:rsidR="00D42204" w:rsidRDefault="00D42204">
            <w:pPr>
              <w:rPr>
                <w:rFonts w:ascii="宋体"/>
              </w:rPr>
            </w:pPr>
          </w:p>
        </w:tc>
      </w:tr>
      <w:tr w:rsidR="00D42204" w14:paraId="35D0961A" w14:textId="77777777">
        <w:tc>
          <w:tcPr>
            <w:tcW w:w="0" w:type="auto"/>
            <w:gridSpan w:val="3"/>
            <w:shd w:val="clear" w:color="auto" w:fill="auto"/>
            <w:tcMar>
              <w:top w:w="0" w:type="dxa"/>
              <w:left w:w="20" w:type="dxa"/>
              <w:bottom w:w="0" w:type="dxa"/>
              <w:right w:w="20" w:type="dxa"/>
            </w:tcMar>
            <w:vAlign w:val="bottom"/>
          </w:tcPr>
          <w:p w14:paraId="35D0960F"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610"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9611" w14:textId="77777777" w:rsidR="00D42204" w:rsidRDefault="004E439D">
            <w:pPr>
              <w:jc w:val="center"/>
              <w:textAlignment w:val="bottom"/>
            </w:pPr>
            <w:r>
              <w:rPr>
                <w:rFonts w:ascii="Times New Roman" w:eastAsia="宋体" w:hAnsi="Times New Roman"/>
                <w:b/>
                <w:bCs/>
                <w:color w:val="000000"/>
                <w:sz w:val="16"/>
                <w:szCs w:val="16"/>
              </w:rPr>
              <w:t>Owned</w:t>
            </w:r>
          </w:p>
        </w:tc>
        <w:tc>
          <w:tcPr>
            <w:tcW w:w="0" w:type="auto"/>
            <w:gridSpan w:val="3"/>
            <w:shd w:val="clear" w:color="auto" w:fill="auto"/>
            <w:tcMar>
              <w:top w:w="0" w:type="dxa"/>
              <w:left w:w="20" w:type="dxa"/>
              <w:bottom w:w="0" w:type="dxa"/>
              <w:right w:w="20" w:type="dxa"/>
            </w:tcMar>
            <w:vAlign w:val="bottom"/>
          </w:tcPr>
          <w:p w14:paraId="35D09612"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9613" w14:textId="77777777" w:rsidR="00D42204" w:rsidRDefault="004E439D">
            <w:pPr>
              <w:jc w:val="center"/>
              <w:textAlignment w:val="bottom"/>
            </w:pPr>
            <w:r>
              <w:rPr>
                <w:rFonts w:ascii="Times New Roman" w:eastAsia="宋体" w:hAnsi="Times New Roman"/>
                <w:b/>
                <w:bCs/>
                <w:color w:val="000000"/>
                <w:sz w:val="16"/>
                <w:szCs w:val="16"/>
              </w:rPr>
              <w:t>Leased</w:t>
            </w:r>
            <w:r>
              <w:rPr>
                <w:rFonts w:ascii="Times New Roman" w:eastAsia="宋体" w:hAnsi="Times New Roman"/>
                <w:b/>
                <w:bCs/>
                <w:color w:val="000000"/>
                <w:sz w:val="10"/>
                <w:szCs w:val="10"/>
              </w:rPr>
              <w:t>(2)</w:t>
            </w:r>
          </w:p>
        </w:tc>
        <w:tc>
          <w:tcPr>
            <w:tcW w:w="0" w:type="auto"/>
            <w:gridSpan w:val="3"/>
            <w:shd w:val="clear" w:color="auto" w:fill="auto"/>
            <w:tcMar>
              <w:top w:w="0" w:type="dxa"/>
              <w:left w:w="20" w:type="dxa"/>
              <w:bottom w:w="0" w:type="dxa"/>
              <w:right w:w="20" w:type="dxa"/>
            </w:tcMar>
            <w:vAlign w:val="bottom"/>
          </w:tcPr>
          <w:p w14:paraId="35D09614" w14:textId="77777777" w:rsidR="00D42204" w:rsidRDefault="00D42204">
            <w:pPr>
              <w:rPr>
                <w:rFonts w:ascii="宋体"/>
              </w:rPr>
            </w:pPr>
          </w:p>
        </w:tc>
        <w:tc>
          <w:tcPr>
            <w:tcW w:w="0" w:type="auto"/>
            <w:shd w:val="clear" w:color="auto" w:fill="auto"/>
            <w:vAlign w:val="bottom"/>
          </w:tcPr>
          <w:p w14:paraId="35D09615" w14:textId="77777777" w:rsidR="00D42204" w:rsidRDefault="00D42204">
            <w:pPr>
              <w:rPr>
                <w:rFonts w:ascii="宋体"/>
                <w:vanish/>
              </w:rPr>
            </w:pPr>
          </w:p>
        </w:tc>
        <w:tc>
          <w:tcPr>
            <w:tcW w:w="0" w:type="auto"/>
            <w:shd w:val="clear" w:color="auto" w:fill="auto"/>
            <w:vAlign w:val="bottom"/>
          </w:tcPr>
          <w:p w14:paraId="35D09616" w14:textId="77777777" w:rsidR="00D42204" w:rsidRDefault="00D42204">
            <w:pPr>
              <w:rPr>
                <w:rFonts w:ascii="宋体"/>
                <w:vanish/>
              </w:rPr>
            </w:pPr>
          </w:p>
        </w:tc>
        <w:tc>
          <w:tcPr>
            <w:tcW w:w="0" w:type="auto"/>
            <w:shd w:val="clear" w:color="auto" w:fill="auto"/>
            <w:vAlign w:val="bottom"/>
          </w:tcPr>
          <w:p w14:paraId="35D09617" w14:textId="77777777" w:rsidR="00D42204" w:rsidRDefault="00D42204">
            <w:pPr>
              <w:rPr>
                <w:rFonts w:ascii="宋体"/>
                <w:vanish/>
              </w:rPr>
            </w:pPr>
          </w:p>
        </w:tc>
        <w:tc>
          <w:tcPr>
            <w:tcW w:w="0" w:type="auto"/>
            <w:shd w:val="clear" w:color="auto" w:fill="auto"/>
            <w:vAlign w:val="bottom"/>
          </w:tcPr>
          <w:p w14:paraId="35D09618" w14:textId="77777777" w:rsidR="00D42204" w:rsidRDefault="00D42204">
            <w:pPr>
              <w:rPr>
                <w:rFonts w:ascii="宋体"/>
                <w:vanish/>
              </w:rPr>
            </w:pPr>
          </w:p>
        </w:tc>
        <w:tc>
          <w:tcPr>
            <w:tcW w:w="0" w:type="auto"/>
            <w:gridSpan w:val="3"/>
            <w:shd w:val="clear" w:color="auto" w:fill="auto"/>
            <w:tcMar>
              <w:top w:w="40" w:type="dxa"/>
              <w:left w:w="20" w:type="dxa"/>
              <w:bottom w:w="40" w:type="dxa"/>
              <w:right w:w="20" w:type="dxa"/>
            </w:tcMar>
            <w:vAlign w:val="bottom"/>
          </w:tcPr>
          <w:p w14:paraId="35D09619" w14:textId="77777777" w:rsidR="00D42204" w:rsidRDefault="004E439D">
            <w:pPr>
              <w:jc w:val="center"/>
              <w:textAlignment w:val="bottom"/>
            </w:pPr>
            <w:r>
              <w:rPr>
                <w:rFonts w:ascii="Times New Roman" w:eastAsia="宋体" w:hAnsi="Times New Roman"/>
                <w:b/>
                <w:bCs/>
                <w:color w:val="000000"/>
                <w:sz w:val="16"/>
                <w:szCs w:val="16"/>
              </w:rPr>
              <w:t>Total</w:t>
            </w:r>
          </w:p>
        </w:tc>
      </w:tr>
      <w:tr w:rsidR="00D42204" w14:paraId="35D09626" w14:textId="77777777">
        <w:tc>
          <w:tcPr>
            <w:tcW w:w="0" w:type="auto"/>
            <w:gridSpan w:val="3"/>
            <w:shd w:val="clear" w:color="auto" w:fill="CCEEFF"/>
            <w:tcMar>
              <w:top w:w="40" w:type="dxa"/>
              <w:left w:w="20" w:type="dxa"/>
              <w:bottom w:w="40" w:type="dxa"/>
              <w:right w:w="20" w:type="dxa"/>
            </w:tcMar>
            <w:vAlign w:val="center"/>
          </w:tcPr>
          <w:p w14:paraId="35D0961B" w14:textId="77777777" w:rsidR="00D42204" w:rsidRDefault="004E439D">
            <w:pPr>
              <w:textAlignment w:val="center"/>
            </w:pPr>
            <w:r>
              <w:rPr>
                <w:rFonts w:ascii="Times New Roman" w:eastAsia="宋体" w:hAnsi="Times New Roman"/>
                <w:b/>
                <w:bCs/>
                <w:color w:val="000000"/>
                <w:sz w:val="16"/>
                <w:szCs w:val="16"/>
              </w:rPr>
              <w:t>U.S. properties</w:t>
            </w:r>
          </w:p>
        </w:tc>
        <w:tc>
          <w:tcPr>
            <w:tcW w:w="0" w:type="auto"/>
            <w:gridSpan w:val="3"/>
            <w:shd w:val="clear" w:color="auto" w:fill="CCEEFF"/>
            <w:tcMar>
              <w:top w:w="0" w:type="dxa"/>
              <w:left w:w="20" w:type="dxa"/>
              <w:bottom w:w="0" w:type="dxa"/>
              <w:right w:w="20" w:type="dxa"/>
            </w:tcMar>
            <w:vAlign w:val="bottom"/>
          </w:tcPr>
          <w:p w14:paraId="35D0961C"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961D"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61E"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961F"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620" w14:textId="77777777" w:rsidR="00D42204" w:rsidRDefault="00D42204">
            <w:pPr>
              <w:rPr>
                <w:rFonts w:ascii="宋体"/>
              </w:rPr>
            </w:pPr>
          </w:p>
        </w:tc>
        <w:tc>
          <w:tcPr>
            <w:tcW w:w="0" w:type="auto"/>
            <w:shd w:val="clear" w:color="auto" w:fill="auto"/>
            <w:vAlign w:val="bottom"/>
          </w:tcPr>
          <w:p w14:paraId="35D09621" w14:textId="77777777" w:rsidR="00D42204" w:rsidRDefault="00D42204">
            <w:pPr>
              <w:rPr>
                <w:rFonts w:ascii="宋体"/>
                <w:vanish/>
              </w:rPr>
            </w:pPr>
          </w:p>
        </w:tc>
        <w:tc>
          <w:tcPr>
            <w:tcW w:w="0" w:type="auto"/>
            <w:shd w:val="clear" w:color="auto" w:fill="auto"/>
            <w:vAlign w:val="bottom"/>
          </w:tcPr>
          <w:p w14:paraId="35D09622" w14:textId="77777777" w:rsidR="00D42204" w:rsidRDefault="00D42204">
            <w:pPr>
              <w:rPr>
                <w:rFonts w:ascii="宋体"/>
                <w:vanish/>
              </w:rPr>
            </w:pPr>
          </w:p>
        </w:tc>
        <w:tc>
          <w:tcPr>
            <w:tcW w:w="0" w:type="auto"/>
            <w:shd w:val="clear" w:color="auto" w:fill="auto"/>
            <w:vAlign w:val="bottom"/>
          </w:tcPr>
          <w:p w14:paraId="35D09623" w14:textId="77777777" w:rsidR="00D42204" w:rsidRDefault="00D42204">
            <w:pPr>
              <w:rPr>
                <w:rFonts w:ascii="宋体"/>
                <w:vanish/>
              </w:rPr>
            </w:pPr>
          </w:p>
        </w:tc>
        <w:tc>
          <w:tcPr>
            <w:tcW w:w="0" w:type="auto"/>
            <w:shd w:val="clear" w:color="auto" w:fill="auto"/>
            <w:vAlign w:val="bottom"/>
          </w:tcPr>
          <w:p w14:paraId="35D09624" w14:textId="77777777" w:rsidR="00D42204" w:rsidRDefault="00D42204">
            <w:pPr>
              <w:rPr>
                <w:rFonts w:ascii="宋体"/>
                <w:vanish/>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9625" w14:textId="77777777" w:rsidR="00D42204" w:rsidRDefault="00D42204">
            <w:pPr>
              <w:rPr>
                <w:rFonts w:ascii="宋体"/>
              </w:rPr>
            </w:pPr>
          </w:p>
        </w:tc>
      </w:tr>
      <w:tr w:rsidR="00D42204" w14:paraId="35D09635" w14:textId="77777777">
        <w:tc>
          <w:tcPr>
            <w:tcW w:w="0" w:type="auto"/>
            <w:gridSpan w:val="3"/>
            <w:shd w:val="clear" w:color="auto" w:fill="FFFFFF"/>
            <w:tcMar>
              <w:top w:w="40" w:type="dxa"/>
              <w:left w:w="20" w:type="dxa"/>
              <w:bottom w:w="40" w:type="dxa"/>
              <w:right w:w="20" w:type="dxa"/>
            </w:tcMar>
            <w:vAlign w:val="center"/>
          </w:tcPr>
          <w:p w14:paraId="35D09627" w14:textId="77777777" w:rsidR="00D42204" w:rsidRDefault="004E439D">
            <w:pPr>
              <w:textAlignment w:val="center"/>
            </w:pPr>
            <w:r>
              <w:rPr>
                <w:rFonts w:ascii="Times New Roman" w:eastAsia="宋体" w:hAnsi="Times New Roman"/>
                <w:color w:val="000000"/>
                <w:sz w:val="16"/>
                <w:szCs w:val="16"/>
              </w:rPr>
              <w:t>    Walmart U.S. retail units</w:t>
            </w:r>
          </w:p>
        </w:tc>
        <w:tc>
          <w:tcPr>
            <w:tcW w:w="0" w:type="auto"/>
            <w:gridSpan w:val="3"/>
            <w:shd w:val="clear" w:color="auto" w:fill="FFFFFF"/>
            <w:tcMar>
              <w:top w:w="0" w:type="dxa"/>
              <w:left w:w="20" w:type="dxa"/>
              <w:bottom w:w="0" w:type="dxa"/>
              <w:right w:w="20" w:type="dxa"/>
            </w:tcMar>
            <w:vAlign w:val="bottom"/>
          </w:tcPr>
          <w:p w14:paraId="35D0962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629" w14:textId="77777777" w:rsidR="00D42204" w:rsidRDefault="004E439D">
            <w:pPr>
              <w:jc w:val="right"/>
              <w:textAlignment w:val="center"/>
            </w:pPr>
            <w:r>
              <w:rPr>
                <w:rFonts w:ascii="Times New Roman" w:eastAsia="宋体" w:hAnsi="Times New Roman"/>
                <w:color w:val="000000"/>
                <w:sz w:val="16"/>
                <w:szCs w:val="16"/>
              </w:rPr>
              <w:t>4,065 </w:t>
            </w:r>
          </w:p>
        </w:tc>
        <w:tc>
          <w:tcPr>
            <w:tcW w:w="0" w:type="auto"/>
            <w:shd w:val="clear" w:color="auto" w:fill="FFFFFF"/>
            <w:tcMar>
              <w:top w:w="40" w:type="dxa"/>
              <w:left w:w="0" w:type="dxa"/>
              <w:bottom w:w="40" w:type="dxa"/>
              <w:right w:w="20" w:type="dxa"/>
            </w:tcMar>
            <w:vAlign w:val="center"/>
          </w:tcPr>
          <w:p w14:paraId="35D0962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62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62C" w14:textId="77777777" w:rsidR="00D42204" w:rsidRDefault="004E439D">
            <w:pPr>
              <w:jc w:val="right"/>
              <w:textAlignment w:val="center"/>
            </w:pPr>
            <w:r>
              <w:rPr>
                <w:rFonts w:ascii="Times New Roman" w:eastAsia="宋体" w:hAnsi="Times New Roman"/>
                <w:color w:val="000000"/>
                <w:sz w:val="16"/>
                <w:szCs w:val="16"/>
              </w:rPr>
              <w:t>677 </w:t>
            </w:r>
          </w:p>
        </w:tc>
        <w:tc>
          <w:tcPr>
            <w:tcW w:w="0" w:type="auto"/>
            <w:shd w:val="clear" w:color="auto" w:fill="FFFFFF"/>
            <w:tcMar>
              <w:top w:w="40" w:type="dxa"/>
              <w:left w:w="0" w:type="dxa"/>
              <w:bottom w:w="40" w:type="dxa"/>
              <w:right w:w="20" w:type="dxa"/>
            </w:tcMar>
            <w:vAlign w:val="center"/>
          </w:tcPr>
          <w:p w14:paraId="35D0962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62E" w14:textId="77777777" w:rsidR="00D42204" w:rsidRDefault="00D42204">
            <w:pPr>
              <w:rPr>
                <w:rFonts w:ascii="宋体"/>
              </w:rPr>
            </w:pPr>
          </w:p>
        </w:tc>
        <w:tc>
          <w:tcPr>
            <w:tcW w:w="0" w:type="auto"/>
            <w:shd w:val="clear" w:color="auto" w:fill="auto"/>
            <w:vAlign w:val="bottom"/>
          </w:tcPr>
          <w:p w14:paraId="35D0962F" w14:textId="77777777" w:rsidR="00D42204" w:rsidRDefault="00D42204">
            <w:pPr>
              <w:rPr>
                <w:rFonts w:ascii="宋体"/>
                <w:vanish/>
              </w:rPr>
            </w:pPr>
          </w:p>
        </w:tc>
        <w:tc>
          <w:tcPr>
            <w:tcW w:w="0" w:type="auto"/>
            <w:shd w:val="clear" w:color="auto" w:fill="auto"/>
            <w:vAlign w:val="bottom"/>
          </w:tcPr>
          <w:p w14:paraId="35D09630" w14:textId="77777777" w:rsidR="00D42204" w:rsidRDefault="00D42204">
            <w:pPr>
              <w:rPr>
                <w:rFonts w:ascii="宋体"/>
                <w:vanish/>
              </w:rPr>
            </w:pPr>
          </w:p>
        </w:tc>
        <w:tc>
          <w:tcPr>
            <w:tcW w:w="0" w:type="auto"/>
            <w:shd w:val="clear" w:color="auto" w:fill="auto"/>
            <w:vAlign w:val="bottom"/>
          </w:tcPr>
          <w:p w14:paraId="35D09631" w14:textId="77777777" w:rsidR="00D42204" w:rsidRDefault="00D42204">
            <w:pPr>
              <w:rPr>
                <w:rFonts w:ascii="宋体"/>
                <w:vanish/>
              </w:rPr>
            </w:pPr>
          </w:p>
        </w:tc>
        <w:tc>
          <w:tcPr>
            <w:tcW w:w="0" w:type="auto"/>
            <w:shd w:val="clear" w:color="auto" w:fill="auto"/>
            <w:vAlign w:val="bottom"/>
          </w:tcPr>
          <w:p w14:paraId="35D09632" w14:textId="77777777" w:rsidR="00D42204" w:rsidRDefault="00D42204">
            <w:pPr>
              <w:rPr>
                <w:rFonts w:ascii="宋体"/>
                <w:vanish/>
              </w:rPr>
            </w:pPr>
          </w:p>
        </w:tc>
        <w:tc>
          <w:tcPr>
            <w:tcW w:w="0" w:type="auto"/>
            <w:gridSpan w:val="2"/>
            <w:shd w:val="clear" w:color="auto" w:fill="FFFFFF"/>
            <w:tcMar>
              <w:top w:w="40" w:type="dxa"/>
              <w:left w:w="20" w:type="dxa"/>
              <w:bottom w:w="40" w:type="dxa"/>
              <w:right w:w="0" w:type="dxa"/>
            </w:tcMar>
            <w:vAlign w:val="center"/>
          </w:tcPr>
          <w:p w14:paraId="35D09633" w14:textId="77777777" w:rsidR="00D42204" w:rsidRDefault="004E439D">
            <w:pPr>
              <w:jc w:val="right"/>
              <w:textAlignment w:val="center"/>
            </w:pPr>
            <w:r>
              <w:rPr>
                <w:rFonts w:ascii="Times New Roman" w:eastAsia="宋体" w:hAnsi="Times New Roman"/>
                <w:color w:val="000000"/>
                <w:sz w:val="16"/>
                <w:szCs w:val="16"/>
              </w:rPr>
              <w:t>4,742 </w:t>
            </w:r>
          </w:p>
        </w:tc>
        <w:tc>
          <w:tcPr>
            <w:tcW w:w="0" w:type="auto"/>
            <w:shd w:val="clear" w:color="auto" w:fill="FFFFFF"/>
            <w:tcMar>
              <w:top w:w="40" w:type="dxa"/>
              <w:left w:w="0" w:type="dxa"/>
              <w:bottom w:w="40" w:type="dxa"/>
              <w:right w:w="20" w:type="dxa"/>
            </w:tcMar>
            <w:vAlign w:val="center"/>
          </w:tcPr>
          <w:p w14:paraId="35D09634" w14:textId="77777777" w:rsidR="00D42204" w:rsidRDefault="00D42204">
            <w:pPr>
              <w:jc w:val="right"/>
              <w:rPr>
                <w:rFonts w:ascii="宋体"/>
              </w:rPr>
            </w:pPr>
          </w:p>
        </w:tc>
      </w:tr>
      <w:tr w:rsidR="00D42204" w14:paraId="35D09644" w14:textId="77777777">
        <w:tc>
          <w:tcPr>
            <w:tcW w:w="0" w:type="auto"/>
            <w:gridSpan w:val="3"/>
            <w:shd w:val="clear" w:color="auto" w:fill="CCEEFF"/>
            <w:tcMar>
              <w:top w:w="40" w:type="dxa"/>
              <w:left w:w="20" w:type="dxa"/>
              <w:bottom w:w="40" w:type="dxa"/>
              <w:right w:w="20" w:type="dxa"/>
            </w:tcMar>
            <w:vAlign w:val="center"/>
          </w:tcPr>
          <w:p w14:paraId="35D09636" w14:textId="77777777" w:rsidR="00D42204" w:rsidRDefault="004E439D">
            <w:pPr>
              <w:textAlignment w:val="center"/>
            </w:pPr>
            <w:r>
              <w:rPr>
                <w:rFonts w:ascii="Times New Roman" w:eastAsia="宋体" w:hAnsi="Times New Roman"/>
                <w:color w:val="000000"/>
                <w:sz w:val="16"/>
                <w:szCs w:val="16"/>
              </w:rPr>
              <w:t>    Sam's Club retail units</w:t>
            </w:r>
          </w:p>
        </w:tc>
        <w:tc>
          <w:tcPr>
            <w:tcW w:w="0" w:type="auto"/>
            <w:gridSpan w:val="3"/>
            <w:shd w:val="clear" w:color="auto" w:fill="CCEEFF"/>
            <w:tcMar>
              <w:top w:w="0" w:type="dxa"/>
              <w:left w:w="20" w:type="dxa"/>
              <w:bottom w:w="0" w:type="dxa"/>
              <w:right w:w="20" w:type="dxa"/>
            </w:tcMar>
            <w:vAlign w:val="bottom"/>
          </w:tcPr>
          <w:p w14:paraId="35D0963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638" w14:textId="77777777" w:rsidR="00D42204" w:rsidRDefault="004E439D">
            <w:pPr>
              <w:jc w:val="right"/>
              <w:textAlignment w:val="center"/>
            </w:pPr>
            <w:r>
              <w:rPr>
                <w:rFonts w:ascii="Times New Roman" w:eastAsia="宋体" w:hAnsi="Times New Roman"/>
                <w:color w:val="000000"/>
                <w:sz w:val="16"/>
                <w:szCs w:val="16"/>
              </w:rPr>
              <w:t>513 </w:t>
            </w:r>
          </w:p>
        </w:tc>
        <w:tc>
          <w:tcPr>
            <w:tcW w:w="0" w:type="auto"/>
            <w:shd w:val="clear" w:color="auto" w:fill="CCEEFF"/>
            <w:tcMar>
              <w:top w:w="40" w:type="dxa"/>
              <w:left w:w="0" w:type="dxa"/>
              <w:bottom w:w="40" w:type="dxa"/>
              <w:right w:w="20" w:type="dxa"/>
            </w:tcMar>
            <w:vAlign w:val="center"/>
          </w:tcPr>
          <w:p w14:paraId="35D0963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63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63B" w14:textId="77777777" w:rsidR="00D42204" w:rsidRDefault="004E439D">
            <w:pPr>
              <w:jc w:val="right"/>
              <w:textAlignment w:val="center"/>
            </w:pPr>
            <w:r>
              <w:rPr>
                <w:rFonts w:ascii="Times New Roman" w:eastAsia="宋体" w:hAnsi="Times New Roman"/>
                <w:color w:val="000000"/>
                <w:sz w:val="16"/>
                <w:szCs w:val="16"/>
              </w:rPr>
              <w:t>87 </w:t>
            </w:r>
          </w:p>
        </w:tc>
        <w:tc>
          <w:tcPr>
            <w:tcW w:w="0" w:type="auto"/>
            <w:shd w:val="clear" w:color="auto" w:fill="CCEEFF"/>
            <w:tcMar>
              <w:top w:w="40" w:type="dxa"/>
              <w:left w:w="0" w:type="dxa"/>
              <w:bottom w:w="40" w:type="dxa"/>
              <w:right w:w="20" w:type="dxa"/>
            </w:tcMar>
            <w:vAlign w:val="center"/>
          </w:tcPr>
          <w:p w14:paraId="35D0963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63D" w14:textId="77777777" w:rsidR="00D42204" w:rsidRDefault="00D42204">
            <w:pPr>
              <w:rPr>
                <w:rFonts w:ascii="宋体"/>
              </w:rPr>
            </w:pPr>
          </w:p>
        </w:tc>
        <w:tc>
          <w:tcPr>
            <w:tcW w:w="0" w:type="auto"/>
            <w:shd w:val="clear" w:color="auto" w:fill="auto"/>
            <w:vAlign w:val="bottom"/>
          </w:tcPr>
          <w:p w14:paraId="35D0963E" w14:textId="77777777" w:rsidR="00D42204" w:rsidRDefault="00D42204">
            <w:pPr>
              <w:rPr>
                <w:rFonts w:ascii="宋体"/>
                <w:vanish/>
              </w:rPr>
            </w:pPr>
          </w:p>
        </w:tc>
        <w:tc>
          <w:tcPr>
            <w:tcW w:w="0" w:type="auto"/>
            <w:shd w:val="clear" w:color="auto" w:fill="auto"/>
            <w:vAlign w:val="bottom"/>
          </w:tcPr>
          <w:p w14:paraId="35D0963F" w14:textId="77777777" w:rsidR="00D42204" w:rsidRDefault="00D42204">
            <w:pPr>
              <w:rPr>
                <w:rFonts w:ascii="宋体"/>
                <w:vanish/>
              </w:rPr>
            </w:pPr>
          </w:p>
        </w:tc>
        <w:tc>
          <w:tcPr>
            <w:tcW w:w="0" w:type="auto"/>
            <w:shd w:val="clear" w:color="auto" w:fill="auto"/>
            <w:vAlign w:val="bottom"/>
          </w:tcPr>
          <w:p w14:paraId="35D09640" w14:textId="77777777" w:rsidR="00D42204" w:rsidRDefault="00D42204">
            <w:pPr>
              <w:rPr>
                <w:rFonts w:ascii="宋体"/>
                <w:vanish/>
              </w:rPr>
            </w:pPr>
          </w:p>
        </w:tc>
        <w:tc>
          <w:tcPr>
            <w:tcW w:w="0" w:type="auto"/>
            <w:shd w:val="clear" w:color="auto" w:fill="auto"/>
            <w:vAlign w:val="bottom"/>
          </w:tcPr>
          <w:p w14:paraId="35D09641" w14:textId="77777777" w:rsidR="00D42204" w:rsidRDefault="00D42204">
            <w:pPr>
              <w:rPr>
                <w:rFonts w:ascii="宋体"/>
                <w:vanish/>
              </w:rPr>
            </w:pPr>
          </w:p>
        </w:tc>
        <w:tc>
          <w:tcPr>
            <w:tcW w:w="0" w:type="auto"/>
            <w:gridSpan w:val="2"/>
            <w:shd w:val="clear" w:color="auto" w:fill="CCEEFF"/>
            <w:tcMar>
              <w:top w:w="40" w:type="dxa"/>
              <w:left w:w="20" w:type="dxa"/>
              <w:bottom w:w="40" w:type="dxa"/>
              <w:right w:w="0" w:type="dxa"/>
            </w:tcMar>
            <w:vAlign w:val="center"/>
          </w:tcPr>
          <w:p w14:paraId="35D09642" w14:textId="77777777" w:rsidR="00D42204" w:rsidRDefault="004E439D">
            <w:pPr>
              <w:jc w:val="right"/>
              <w:textAlignment w:val="center"/>
            </w:pPr>
            <w:r>
              <w:rPr>
                <w:rFonts w:ascii="Times New Roman" w:eastAsia="宋体" w:hAnsi="Times New Roman"/>
                <w:color w:val="000000"/>
                <w:sz w:val="16"/>
                <w:szCs w:val="16"/>
              </w:rPr>
              <w:t>600 </w:t>
            </w:r>
          </w:p>
        </w:tc>
        <w:tc>
          <w:tcPr>
            <w:tcW w:w="0" w:type="auto"/>
            <w:shd w:val="clear" w:color="auto" w:fill="CCEEFF"/>
            <w:tcMar>
              <w:top w:w="40" w:type="dxa"/>
              <w:left w:w="0" w:type="dxa"/>
              <w:bottom w:w="40" w:type="dxa"/>
              <w:right w:w="20" w:type="dxa"/>
            </w:tcMar>
            <w:vAlign w:val="center"/>
          </w:tcPr>
          <w:p w14:paraId="35D09643" w14:textId="77777777" w:rsidR="00D42204" w:rsidRDefault="00D42204">
            <w:pPr>
              <w:jc w:val="right"/>
              <w:rPr>
                <w:rFonts w:ascii="宋体"/>
              </w:rPr>
            </w:pPr>
          </w:p>
        </w:tc>
      </w:tr>
      <w:tr w:rsidR="00D42204" w14:paraId="35D09653" w14:textId="77777777">
        <w:tc>
          <w:tcPr>
            <w:tcW w:w="0" w:type="auto"/>
            <w:gridSpan w:val="3"/>
            <w:shd w:val="clear" w:color="auto" w:fill="FFFFFF"/>
            <w:tcMar>
              <w:top w:w="40" w:type="dxa"/>
              <w:left w:w="20" w:type="dxa"/>
              <w:bottom w:w="40" w:type="dxa"/>
              <w:right w:w="20" w:type="dxa"/>
            </w:tcMar>
            <w:vAlign w:val="center"/>
          </w:tcPr>
          <w:p w14:paraId="35D09645" w14:textId="77777777" w:rsidR="00D42204" w:rsidRDefault="004E439D">
            <w:pPr>
              <w:textAlignment w:val="center"/>
            </w:pPr>
            <w:r>
              <w:rPr>
                <w:rFonts w:ascii="Times New Roman" w:eastAsia="宋体" w:hAnsi="Times New Roman"/>
                <w:b/>
                <w:bCs/>
                <w:color w:val="000000"/>
                <w:sz w:val="16"/>
                <w:szCs w:val="16"/>
              </w:rPr>
              <w:t>            Total U.S. retail units</w:t>
            </w:r>
          </w:p>
        </w:tc>
        <w:tc>
          <w:tcPr>
            <w:tcW w:w="0" w:type="auto"/>
            <w:gridSpan w:val="3"/>
            <w:shd w:val="clear" w:color="auto" w:fill="FFFFFF"/>
            <w:tcMar>
              <w:top w:w="0" w:type="dxa"/>
              <w:left w:w="20" w:type="dxa"/>
              <w:bottom w:w="0" w:type="dxa"/>
              <w:right w:w="20" w:type="dxa"/>
            </w:tcMar>
            <w:vAlign w:val="bottom"/>
          </w:tcPr>
          <w:p w14:paraId="35D09646"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9647" w14:textId="77777777" w:rsidR="00D42204" w:rsidRDefault="004E439D">
            <w:pPr>
              <w:jc w:val="right"/>
              <w:textAlignment w:val="center"/>
            </w:pPr>
            <w:r>
              <w:rPr>
                <w:rFonts w:ascii="Times New Roman" w:eastAsia="宋体" w:hAnsi="Times New Roman"/>
                <w:color w:val="000000"/>
                <w:sz w:val="16"/>
                <w:szCs w:val="16"/>
              </w:rPr>
              <w:t>4,578 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964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649"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964A" w14:textId="77777777" w:rsidR="00D42204" w:rsidRDefault="004E439D">
            <w:pPr>
              <w:jc w:val="right"/>
              <w:textAlignment w:val="center"/>
            </w:pPr>
            <w:r>
              <w:rPr>
                <w:rFonts w:ascii="Times New Roman" w:eastAsia="宋体" w:hAnsi="Times New Roman"/>
                <w:color w:val="000000"/>
                <w:sz w:val="16"/>
                <w:szCs w:val="16"/>
              </w:rPr>
              <w:t>764 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964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64C" w14:textId="77777777" w:rsidR="00D42204" w:rsidRDefault="00D42204">
            <w:pPr>
              <w:rPr>
                <w:rFonts w:ascii="宋体"/>
              </w:rPr>
            </w:pPr>
          </w:p>
        </w:tc>
        <w:tc>
          <w:tcPr>
            <w:tcW w:w="0" w:type="auto"/>
            <w:shd w:val="clear" w:color="auto" w:fill="auto"/>
            <w:vAlign w:val="bottom"/>
          </w:tcPr>
          <w:p w14:paraId="35D0964D" w14:textId="77777777" w:rsidR="00D42204" w:rsidRDefault="00D42204">
            <w:pPr>
              <w:rPr>
                <w:rFonts w:ascii="宋体"/>
                <w:vanish/>
              </w:rPr>
            </w:pPr>
          </w:p>
        </w:tc>
        <w:tc>
          <w:tcPr>
            <w:tcW w:w="0" w:type="auto"/>
            <w:shd w:val="clear" w:color="auto" w:fill="auto"/>
            <w:vAlign w:val="bottom"/>
          </w:tcPr>
          <w:p w14:paraId="35D0964E" w14:textId="77777777" w:rsidR="00D42204" w:rsidRDefault="00D42204">
            <w:pPr>
              <w:rPr>
                <w:rFonts w:ascii="宋体"/>
                <w:vanish/>
              </w:rPr>
            </w:pPr>
          </w:p>
        </w:tc>
        <w:tc>
          <w:tcPr>
            <w:tcW w:w="0" w:type="auto"/>
            <w:shd w:val="clear" w:color="auto" w:fill="auto"/>
            <w:vAlign w:val="bottom"/>
          </w:tcPr>
          <w:p w14:paraId="35D0964F" w14:textId="77777777" w:rsidR="00D42204" w:rsidRDefault="00D42204">
            <w:pPr>
              <w:rPr>
                <w:rFonts w:ascii="宋体"/>
                <w:vanish/>
              </w:rPr>
            </w:pPr>
          </w:p>
        </w:tc>
        <w:tc>
          <w:tcPr>
            <w:tcW w:w="0" w:type="auto"/>
            <w:shd w:val="clear" w:color="auto" w:fill="auto"/>
            <w:vAlign w:val="bottom"/>
          </w:tcPr>
          <w:p w14:paraId="35D09650" w14:textId="77777777" w:rsidR="00D42204" w:rsidRDefault="00D42204">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9651" w14:textId="77777777" w:rsidR="00D42204" w:rsidRDefault="004E439D">
            <w:pPr>
              <w:jc w:val="right"/>
              <w:textAlignment w:val="center"/>
            </w:pPr>
            <w:r>
              <w:rPr>
                <w:rFonts w:ascii="Times New Roman" w:eastAsia="宋体" w:hAnsi="Times New Roman"/>
                <w:color w:val="000000"/>
                <w:sz w:val="16"/>
                <w:szCs w:val="16"/>
              </w:rPr>
              <w:t>5,342 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9652" w14:textId="77777777" w:rsidR="00D42204" w:rsidRDefault="00D42204">
            <w:pPr>
              <w:jc w:val="right"/>
              <w:rPr>
                <w:rFonts w:ascii="宋体"/>
              </w:rPr>
            </w:pPr>
          </w:p>
        </w:tc>
      </w:tr>
      <w:tr w:rsidR="00D42204" w14:paraId="35D09662" w14:textId="77777777">
        <w:tc>
          <w:tcPr>
            <w:tcW w:w="0" w:type="auto"/>
            <w:gridSpan w:val="3"/>
            <w:shd w:val="clear" w:color="auto" w:fill="CCEEFF"/>
            <w:tcMar>
              <w:top w:w="40" w:type="dxa"/>
              <w:left w:w="20" w:type="dxa"/>
              <w:bottom w:w="40" w:type="dxa"/>
              <w:right w:w="20" w:type="dxa"/>
            </w:tcMar>
            <w:vAlign w:val="center"/>
          </w:tcPr>
          <w:p w14:paraId="35D09654" w14:textId="77777777" w:rsidR="00D42204" w:rsidRDefault="004E439D">
            <w:pPr>
              <w:textAlignment w:val="center"/>
            </w:pPr>
            <w:r>
              <w:rPr>
                <w:rFonts w:ascii="Times New Roman" w:eastAsia="宋体" w:hAnsi="Times New Roman"/>
                <w:color w:val="000000"/>
                <w:sz w:val="16"/>
                <w:szCs w:val="16"/>
              </w:rPr>
              <w:t>    Walmart U.S. distribution facilities</w:t>
            </w:r>
          </w:p>
        </w:tc>
        <w:tc>
          <w:tcPr>
            <w:tcW w:w="0" w:type="auto"/>
            <w:gridSpan w:val="3"/>
            <w:shd w:val="clear" w:color="auto" w:fill="CCEEFF"/>
            <w:tcMar>
              <w:top w:w="0" w:type="dxa"/>
              <w:left w:w="20" w:type="dxa"/>
              <w:bottom w:w="0" w:type="dxa"/>
              <w:right w:w="20" w:type="dxa"/>
            </w:tcMar>
            <w:vAlign w:val="bottom"/>
          </w:tcPr>
          <w:p w14:paraId="35D0965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656" w14:textId="77777777" w:rsidR="00D42204" w:rsidRDefault="004E439D">
            <w:pPr>
              <w:jc w:val="right"/>
              <w:textAlignment w:val="center"/>
            </w:pPr>
            <w:r>
              <w:rPr>
                <w:rFonts w:ascii="Times New Roman" w:eastAsia="宋体" w:hAnsi="Times New Roman"/>
                <w:color w:val="000000"/>
                <w:sz w:val="16"/>
                <w:szCs w:val="16"/>
              </w:rPr>
              <w:t>110 </w:t>
            </w:r>
          </w:p>
        </w:tc>
        <w:tc>
          <w:tcPr>
            <w:tcW w:w="0" w:type="auto"/>
            <w:shd w:val="clear" w:color="auto" w:fill="CCEEFF"/>
            <w:tcMar>
              <w:top w:w="40" w:type="dxa"/>
              <w:left w:w="0" w:type="dxa"/>
              <w:bottom w:w="40" w:type="dxa"/>
              <w:right w:w="20" w:type="dxa"/>
            </w:tcMar>
            <w:vAlign w:val="center"/>
          </w:tcPr>
          <w:p w14:paraId="35D0965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65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659" w14:textId="77777777" w:rsidR="00D42204" w:rsidRDefault="004E439D">
            <w:pPr>
              <w:jc w:val="right"/>
              <w:textAlignment w:val="center"/>
            </w:pPr>
            <w:r>
              <w:rPr>
                <w:rFonts w:ascii="Times New Roman" w:eastAsia="宋体" w:hAnsi="Times New Roman"/>
                <w:color w:val="000000"/>
                <w:sz w:val="16"/>
                <w:szCs w:val="16"/>
              </w:rPr>
              <w:t>47 </w:t>
            </w:r>
          </w:p>
        </w:tc>
        <w:tc>
          <w:tcPr>
            <w:tcW w:w="0" w:type="auto"/>
            <w:shd w:val="clear" w:color="auto" w:fill="CCEEFF"/>
            <w:tcMar>
              <w:top w:w="40" w:type="dxa"/>
              <w:left w:w="0" w:type="dxa"/>
              <w:bottom w:w="40" w:type="dxa"/>
              <w:right w:w="20" w:type="dxa"/>
            </w:tcMar>
            <w:vAlign w:val="center"/>
          </w:tcPr>
          <w:p w14:paraId="35D0965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65B" w14:textId="77777777" w:rsidR="00D42204" w:rsidRDefault="00D42204">
            <w:pPr>
              <w:rPr>
                <w:rFonts w:ascii="宋体"/>
              </w:rPr>
            </w:pPr>
          </w:p>
        </w:tc>
        <w:tc>
          <w:tcPr>
            <w:tcW w:w="0" w:type="auto"/>
            <w:shd w:val="clear" w:color="auto" w:fill="auto"/>
            <w:vAlign w:val="bottom"/>
          </w:tcPr>
          <w:p w14:paraId="35D0965C" w14:textId="77777777" w:rsidR="00D42204" w:rsidRDefault="00D42204">
            <w:pPr>
              <w:rPr>
                <w:rFonts w:ascii="宋体"/>
                <w:vanish/>
              </w:rPr>
            </w:pPr>
          </w:p>
        </w:tc>
        <w:tc>
          <w:tcPr>
            <w:tcW w:w="0" w:type="auto"/>
            <w:shd w:val="clear" w:color="auto" w:fill="auto"/>
            <w:vAlign w:val="bottom"/>
          </w:tcPr>
          <w:p w14:paraId="35D0965D" w14:textId="77777777" w:rsidR="00D42204" w:rsidRDefault="00D42204">
            <w:pPr>
              <w:rPr>
                <w:rFonts w:ascii="宋体"/>
                <w:vanish/>
              </w:rPr>
            </w:pPr>
          </w:p>
        </w:tc>
        <w:tc>
          <w:tcPr>
            <w:tcW w:w="0" w:type="auto"/>
            <w:shd w:val="clear" w:color="auto" w:fill="auto"/>
            <w:vAlign w:val="bottom"/>
          </w:tcPr>
          <w:p w14:paraId="35D0965E" w14:textId="77777777" w:rsidR="00D42204" w:rsidRDefault="00D42204">
            <w:pPr>
              <w:rPr>
                <w:rFonts w:ascii="宋体"/>
                <w:vanish/>
              </w:rPr>
            </w:pPr>
          </w:p>
        </w:tc>
        <w:tc>
          <w:tcPr>
            <w:tcW w:w="0" w:type="auto"/>
            <w:shd w:val="clear" w:color="auto" w:fill="auto"/>
            <w:vAlign w:val="bottom"/>
          </w:tcPr>
          <w:p w14:paraId="35D0965F" w14:textId="77777777" w:rsidR="00D42204" w:rsidRDefault="00D42204">
            <w:pPr>
              <w:rPr>
                <w:rFonts w:ascii="宋体"/>
                <w:vanish/>
              </w:rPr>
            </w:pPr>
          </w:p>
        </w:tc>
        <w:tc>
          <w:tcPr>
            <w:tcW w:w="0" w:type="auto"/>
            <w:gridSpan w:val="2"/>
            <w:shd w:val="clear" w:color="auto" w:fill="CCEEFF"/>
            <w:tcMar>
              <w:top w:w="40" w:type="dxa"/>
              <w:left w:w="20" w:type="dxa"/>
              <w:bottom w:w="40" w:type="dxa"/>
              <w:right w:w="0" w:type="dxa"/>
            </w:tcMar>
            <w:vAlign w:val="center"/>
          </w:tcPr>
          <w:p w14:paraId="35D09660" w14:textId="77777777" w:rsidR="00D42204" w:rsidRDefault="004E439D">
            <w:pPr>
              <w:jc w:val="right"/>
              <w:textAlignment w:val="center"/>
            </w:pPr>
            <w:r>
              <w:rPr>
                <w:rFonts w:ascii="Times New Roman" w:eastAsia="宋体" w:hAnsi="Times New Roman"/>
                <w:color w:val="000000"/>
                <w:sz w:val="16"/>
                <w:szCs w:val="16"/>
              </w:rPr>
              <w:t>157 </w:t>
            </w:r>
          </w:p>
        </w:tc>
        <w:tc>
          <w:tcPr>
            <w:tcW w:w="0" w:type="auto"/>
            <w:shd w:val="clear" w:color="auto" w:fill="CCEEFF"/>
            <w:tcMar>
              <w:top w:w="40" w:type="dxa"/>
              <w:left w:w="0" w:type="dxa"/>
              <w:bottom w:w="40" w:type="dxa"/>
              <w:right w:w="20" w:type="dxa"/>
            </w:tcMar>
            <w:vAlign w:val="center"/>
          </w:tcPr>
          <w:p w14:paraId="35D09661" w14:textId="77777777" w:rsidR="00D42204" w:rsidRDefault="00D42204">
            <w:pPr>
              <w:jc w:val="right"/>
              <w:rPr>
                <w:rFonts w:ascii="宋体"/>
              </w:rPr>
            </w:pPr>
          </w:p>
        </w:tc>
      </w:tr>
      <w:tr w:rsidR="00D42204" w14:paraId="35D09671" w14:textId="77777777">
        <w:tc>
          <w:tcPr>
            <w:tcW w:w="0" w:type="auto"/>
            <w:gridSpan w:val="3"/>
            <w:shd w:val="clear" w:color="auto" w:fill="FFFFFF"/>
            <w:tcMar>
              <w:top w:w="40" w:type="dxa"/>
              <w:left w:w="20" w:type="dxa"/>
              <w:bottom w:w="40" w:type="dxa"/>
              <w:right w:w="20" w:type="dxa"/>
            </w:tcMar>
            <w:vAlign w:val="center"/>
          </w:tcPr>
          <w:p w14:paraId="35D09663" w14:textId="77777777" w:rsidR="00D42204" w:rsidRDefault="004E439D">
            <w:pPr>
              <w:textAlignment w:val="center"/>
            </w:pPr>
            <w:r>
              <w:rPr>
                <w:rFonts w:ascii="Times New Roman" w:eastAsia="宋体" w:hAnsi="Times New Roman"/>
                <w:color w:val="000000"/>
                <w:sz w:val="16"/>
                <w:szCs w:val="16"/>
              </w:rPr>
              <w:t>    Sam's Club distribution facilities</w:t>
            </w:r>
          </w:p>
        </w:tc>
        <w:tc>
          <w:tcPr>
            <w:tcW w:w="0" w:type="auto"/>
            <w:gridSpan w:val="3"/>
            <w:shd w:val="clear" w:color="auto" w:fill="FFFFFF"/>
            <w:tcMar>
              <w:top w:w="0" w:type="dxa"/>
              <w:left w:w="20" w:type="dxa"/>
              <w:bottom w:w="0" w:type="dxa"/>
              <w:right w:w="20" w:type="dxa"/>
            </w:tcMar>
            <w:vAlign w:val="bottom"/>
          </w:tcPr>
          <w:p w14:paraId="35D0966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665" w14:textId="77777777" w:rsidR="00D42204" w:rsidRDefault="004E439D">
            <w:pPr>
              <w:jc w:val="right"/>
              <w:textAlignment w:val="center"/>
            </w:pPr>
            <w:r>
              <w:rPr>
                <w:rFonts w:ascii="Times New Roman" w:eastAsia="宋体" w:hAnsi="Times New Roman"/>
                <w:color w:val="000000"/>
                <w:sz w:val="16"/>
                <w:szCs w:val="16"/>
              </w:rPr>
              <w:t>11 </w:t>
            </w:r>
          </w:p>
        </w:tc>
        <w:tc>
          <w:tcPr>
            <w:tcW w:w="0" w:type="auto"/>
            <w:shd w:val="clear" w:color="auto" w:fill="FFFFFF"/>
            <w:tcMar>
              <w:top w:w="40" w:type="dxa"/>
              <w:left w:w="0" w:type="dxa"/>
              <w:bottom w:w="40" w:type="dxa"/>
              <w:right w:w="20" w:type="dxa"/>
            </w:tcMar>
            <w:vAlign w:val="center"/>
          </w:tcPr>
          <w:p w14:paraId="35D0966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66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668" w14:textId="77777777" w:rsidR="00D42204" w:rsidRDefault="004E439D">
            <w:pPr>
              <w:jc w:val="right"/>
              <w:textAlignment w:val="center"/>
            </w:pPr>
            <w:r>
              <w:rPr>
                <w:rFonts w:ascii="Times New Roman" w:eastAsia="宋体" w:hAnsi="Times New Roman"/>
                <w:color w:val="000000"/>
                <w:sz w:val="16"/>
                <w:szCs w:val="16"/>
              </w:rPr>
              <w:t>17 </w:t>
            </w:r>
          </w:p>
        </w:tc>
        <w:tc>
          <w:tcPr>
            <w:tcW w:w="0" w:type="auto"/>
            <w:shd w:val="clear" w:color="auto" w:fill="FFFFFF"/>
            <w:tcMar>
              <w:top w:w="40" w:type="dxa"/>
              <w:left w:w="0" w:type="dxa"/>
              <w:bottom w:w="40" w:type="dxa"/>
              <w:right w:w="20" w:type="dxa"/>
            </w:tcMar>
            <w:vAlign w:val="center"/>
          </w:tcPr>
          <w:p w14:paraId="35D0966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66A" w14:textId="77777777" w:rsidR="00D42204" w:rsidRDefault="00D42204">
            <w:pPr>
              <w:rPr>
                <w:rFonts w:ascii="宋体"/>
              </w:rPr>
            </w:pPr>
          </w:p>
        </w:tc>
        <w:tc>
          <w:tcPr>
            <w:tcW w:w="0" w:type="auto"/>
            <w:shd w:val="clear" w:color="auto" w:fill="auto"/>
            <w:vAlign w:val="bottom"/>
          </w:tcPr>
          <w:p w14:paraId="35D0966B" w14:textId="77777777" w:rsidR="00D42204" w:rsidRDefault="00D42204">
            <w:pPr>
              <w:rPr>
                <w:rFonts w:ascii="宋体"/>
                <w:vanish/>
              </w:rPr>
            </w:pPr>
          </w:p>
        </w:tc>
        <w:tc>
          <w:tcPr>
            <w:tcW w:w="0" w:type="auto"/>
            <w:shd w:val="clear" w:color="auto" w:fill="auto"/>
            <w:vAlign w:val="bottom"/>
          </w:tcPr>
          <w:p w14:paraId="35D0966C" w14:textId="77777777" w:rsidR="00D42204" w:rsidRDefault="00D42204">
            <w:pPr>
              <w:rPr>
                <w:rFonts w:ascii="宋体"/>
                <w:vanish/>
              </w:rPr>
            </w:pPr>
          </w:p>
        </w:tc>
        <w:tc>
          <w:tcPr>
            <w:tcW w:w="0" w:type="auto"/>
            <w:shd w:val="clear" w:color="auto" w:fill="auto"/>
            <w:vAlign w:val="bottom"/>
          </w:tcPr>
          <w:p w14:paraId="35D0966D" w14:textId="77777777" w:rsidR="00D42204" w:rsidRDefault="00D42204">
            <w:pPr>
              <w:rPr>
                <w:rFonts w:ascii="宋体"/>
                <w:vanish/>
              </w:rPr>
            </w:pPr>
          </w:p>
        </w:tc>
        <w:tc>
          <w:tcPr>
            <w:tcW w:w="0" w:type="auto"/>
            <w:shd w:val="clear" w:color="auto" w:fill="auto"/>
            <w:vAlign w:val="bottom"/>
          </w:tcPr>
          <w:p w14:paraId="35D0966E" w14:textId="77777777" w:rsidR="00D42204" w:rsidRDefault="00D42204">
            <w:pPr>
              <w:rPr>
                <w:rFonts w:ascii="宋体"/>
                <w:vanish/>
              </w:rPr>
            </w:pPr>
          </w:p>
        </w:tc>
        <w:tc>
          <w:tcPr>
            <w:tcW w:w="0" w:type="auto"/>
            <w:gridSpan w:val="2"/>
            <w:shd w:val="clear" w:color="auto" w:fill="FFFFFF"/>
            <w:tcMar>
              <w:top w:w="40" w:type="dxa"/>
              <w:left w:w="20" w:type="dxa"/>
              <w:bottom w:w="40" w:type="dxa"/>
              <w:right w:w="0" w:type="dxa"/>
            </w:tcMar>
            <w:vAlign w:val="center"/>
          </w:tcPr>
          <w:p w14:paraId="35D0966F" w14:textId="77777777" w:rsidR="00D42204" w:rsidRDefault="004E439D">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35D09670" w14:textId="77777777" w:rsidR="00D42204" w:rsidRDefault="00D42204">
            <w:pPr>
              <w:jc w:val="right"/>
              <w:rPr>
                <w:rFonts w:ascii="宋体"/>
              </w:rPr>
            </w:pPr>
          </w:p>
        </w:tc>
      </w:tr>
      <w:tr w:rsidR="00D42204" w14:paraId="35D09680" w14:textId="77777777">
        <w:tc>
          <w:tcPr>
            <w:tcW w:w="0" w:type="auto"/>
            <w:gridSpan w:val="3"/>
            <w:shd w:val="clear" w:color="auto" w:fill="CCEEFF"/>
            <w:tcMar>
              <w:top w:w="40" w:type="dxa"/>
              <w:left w:w="20" w:type="dxa"/>
              <w:bottom w:w="40" w:type="dxa"/>
              <w:right w:w="20" w:type="dxa"/>
            </w:tcMar>
            <w:vAlign w:val="center"/>
          </w:tcPr>
          <w:p w14:paraId="35D09672" w14:textId="77777777" w:rsidR="00D42204" w:rsidRDefault="004E439D">
            <w:pPr>
              <w:textAlignment w:val="center"/>
            </w:pPr>
            <w:r>
              <w:rPr>
                <w:rFonts w:ascii="Times New Roman" w:eastAsia="宋体" w:hAnsi="Times New Roman"/>
                <w:b/>
                <w:bCs/>
                <w:color w:val="000000"/>
                <w:sz w:val="16"/>
                <w:szCs w:val="16"/>
              </w:rPr>
              <w:t>Total U.S. distribution facilities</w:t>
            </w:r>
          </w:p>
        </w:tc>
        <w:tc>
          <w:tcPr>
            <w:tcW w:w="0" w:type="auto"/>
            <w:gridSpan w:val="3"/>
            <w:shd w:val="clear" w:color="auto" w:fill="CCEEFF"/>
            <w:tcMar>
              <w:top w:w="0" w:type="dxa"/>
              <w:left w:w="20" w:type="dxa"/>
              <w:bottom w:w="0" w:type="dxa"/>
              <w:right w:w="20" w:type="dxa"/>
            </w:tcMar>
            <w:vAlign w:val="bottom"/>
          </w:tcPr>
          <w:p w14:paraId="35D09673"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674" w14:textId="77777777" w:rsidR="00D42204" w:rsidRDefault="004E439D">
            <w:pPr>
              <w:jc w:val="right"/>
              <w:textAlignment w:val="center"/>
            </w:pPr>
            <w:r>
              <w:rPr>
                <w:rFonts w:ascii="Times New Roman" w:eastAsia="宋体" w:hAnsi="Times New Roman"/>
                <w:color w:val="000000"/>
                <w:sz w:val="16"/>
                <w:szCs w:val="16"/>
              </w:rPr>
              <w:t>121 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67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676"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677" w14:textId="77777777" w:rsidR="00D42204" w:rsidRDefault="004E439D">
            <w:pPr>
              <w:jc w:val="right"/>
              <w:textAlignment w:val="center"/>
            </w:pPr>
            <w:r>
              <w:rPr>
                <w:rFonts w:ascii="Times New Roman" w:eastAsia="宋体" w:hAnsi="Times New Roman"/>
                <w:color w:val="000000"/>
                <w:sz w:val="16"/>
                <w:szCs w:val="16"/>
              </w:rPr>
              <w:t>64 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67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679" w14:textId="77777777" w:rsidR="00D42204" w:rsidRDefault="00D42204">
            <w:pPr>
              <w:rPr>
                <w:rFonts w:ascii="宋体"/>
              </w:rPr>
            </w:pPr>
          </w:p>
        </w:tc>
        <w:tc>
          <w:tcPr>
            <w:tcW w:w="0" w:type="auto"/>
            <w:shd w:val="clear" w:color="auto" w:fill="auto"/>
            <w:vAlign w:val="bottom"/>
          </w:tcPr>
          <w:p w14:paraId="35D0967A" w14:textId="77777777" w:rsidR="00D42204" w:rsidRDefault="00D42204">
            <w:pPr>
              <w:rPr>
                <w:rFonts w:ascii="宋体"/>
                <w:vanish/>
              </w:rPr>
            </w:pPr>
          </w:p>
        </w:tc>
        <w:tc>
          <w:tcPr>
            <w:tcW w:w="0" w:type="auto"/>
            <w:shd w:val="clear" w:color="auto" w:fill="auto"/>
            <w:vAlign w:val="bottom"/>
          </w:tcPr>
          <w:p w14:paraId="35D0967B" w14:textId="77777777" w:rsidR="00D42204" w:rsidRDefault="00D42204">
            <w:pPr>
              <w:rPr>
                <w:rFonts w:ascii="宋体"/>
                <w:vanish/>
              </w:rPr>
            </w:pPr>
          </w:p>
        </w:tc>
        <w:tc>
          <w:tcPr>
            <w:tcW w:w="0" w:type="auto"/>
            <w:shd w:val="clear" w:color="auto" w:fill="auto"/>
            <w:vAlign w:val="bottom"/>
          </w:tcPr>
          <w:p w14:paraId="35D0967C" w14:textId="77777777" w:rsidR="00D42204" w:rsidRDefault="00D42204">
            <w:pPr>
              <w:rPr>
                <w:rFonts w:ascii="宋体"/>
                <w:vanish/>
              </w:rPr>
            </w:pPr>
          </w:p>
        </w:tc>
        <w:tc>
          <w:tcPr>
            <w:tcW w:w="0" w:type="auto"/>
            <w:shd w:val="clear" w:color="auto" w:fill="auto"/>
            <w:vAlign w:val="bottom"/>
          </w:tcPr>
          <w:p w14:paraId="35D0967D" w14:textId="77777777" w:rsidR="00D42204" w:rsidRDefault="00D42204">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67E" w14:textId="77777777" w:rsidR="00D42204" w:rsidRDefault="004E439D">
            <w:pPr>
              <w:jc w:val="right"/>
              <w:textAlignment w:val="center"/>
            </w:pPr>
            <w:r>
              <w:rPr>
                <w:rFonts w:ascii="Times New Roman" w:eastAsia="宋体" w:hAnsi="Times New Roman"/>
                <w:color w:val="000000"/>
                <w:sz w:val="16"/>
                <w:szCs w:val="16"/>
              </w:rPr>
              <w:t>185 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67F" w14:textId="77777777" w:rsidR="00D42204" w:rsidRDefault="00D42204">
            <w:pPr>
              <w:jc w:val="right"/>
              <w:rPr>
                <w:rFonts w:ascii="宋体"/>
              </w:rPr>
            </w:pPr>
          </w:p>
        </w:tc>
      </w:tr>
      <w:tr w:rsidR="00D42204" w14:paraId="35D0968F" w14:textId="77777777">
        <w:tc>
          <w:tcPr>
            <w:tcW w:w="0" w:type="auto"/>
            <w:gridSpan w:val="3"/>
            <w:shd w:val="clear" w:color="auto" w:fill="FFFFFF"/>
            <w:tcMar>
              <w:top w:w="40" w:type="dxa"/>
              <w:left w:w="515" w:type="dxa"/>
              <w:bottom w:w="40" w:type="dxa"/>
              <w:right w:w="20" w:type="dxa"/>
            </w:tcMar>
            <w:vAlign w:val="center"/>
          </w:tcPr>
          <w:p w14:paraId="35D09681" w14:textId="77777777" w:rsidR="00D42204" w:rsidRDefault="004E439D">
            <w:pPr>
              <w:textAlignment w:val="center"/>
            </w:pPr>
            <w:r>
              <w:rPr>
                <w:rFonts w:ascii="Times New Roman" w:eastAsia="宋体" w:hAnsi="Times New Roman"/>
                <w:b/>
                <w:bCs/>
                <w:color w:val="000000"/>
                <w:sz w:val="16"/>
                <w:szCs w:val="16"/>
              </w:rPr>
              <w:t>Total U.S. properties</w:t>
            </w:r>
          </w:p>
        </w:tc>
        <w:tc>
          <w:tcPr>
            <w:tcW w:w="0" w:type="auto"/>
            <w:gridSpan w:val="3"/>
            <w:shd w:val="clear" w:color="auto" w:fill="FFFFFF"/>
            <w:tcMar>
              <w:top w:w="0" w:type="dxa"/>
              <w:left w:w="20" w:type="dxa"/>
              <w:bottom w:w="0" w:type="dxa"/>
              <w:right w:w="20" w:type="dxa"/>
            </w:tcMar>
            <w:vAlign w:val="bottom"/>
          </w:tcPr>
          <w:p w14:paraId="35D09682"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9683" w14:textId="77777777" w:rsidR="00D42204" w:rsidRDefault="004E439D">
            <w:pPr>
              <w:jc w:val="right"/>
              <w:textAlignment w:val="center"/>
            </w:pPr>
            <w:r>
              <w:rPr>
                <w:rFonts w:ascii="Times New Roman" w:eastAsia="宋体" w:hAnsi="Times New Roman"/>
                <w:b/>
                <w:bCs/>
                <w:color w:val="000000"/>
                <w:sz w:val="16"/>
                <w:szCs w:val="16"/>
              </w:rPr>
              <w:t>4,699</w:t>
            </w: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968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685"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9686" w14:textId="77777777" w:rsidR="00D42204" w:rsidRDefault="004E439D">
            <w:pPr>
              <w:jc w:val="right"/>
              <w:textAlignment w:val="center"/>
            </w:pPr>
            <w:r>
              <w:rPr>
                <w:rFonts w:ascii="Times New Roman" w:eastAsia="宋体" w:hAnsi="Times New Roman"/>
                <w:b/>
                <w:bCs/>
                <w:color w:val="000000"/>
                <w:sz w:val="16"/>
                <w:szCs w:val="16"/>
              </w:rPr>
              <w:t>828</w:t>
            </w: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968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688" w14:textId="77777777" w:rsidR="00D42204" w:rsidRDefault="00D42204">
            <w:pPr>
              <w:rPr>
                <w:rFonts w:ascii="宋体"/>
              </w:rPr>
            </w:pPr>
          </w:p>
        </w:tc>
        <w:tc>
          <w:tcPr>
            <w:tcW w:w="0" w:type="auto"/>
            <w:shd w:val="clear" w:color="auto" w:fill="auto"/>
            <w:vAlign w:val="bottom"/>
          </w:tcPr>
          <w:p w14:paraId="35D09689" w14:textId="77777777" w:rsidR="00D42204" w:rsidRDefault="00D42204">
            <w:pPr>
              <w:rPr>
                <w:rFonts w:ascii="宋体"/>
                <w:vanish/>
              </w:rPr>
            </w:pPr>
          </w:p>
        </w:tc>
        <w:tc>
          <w:tcPr>
            <w:tcW w:w="0" w:type="auto"/>
            <w:shd w:val="clear" w:color="auto" w:fill="auto"/>
            <w:vAlign w:val="bottom"/>
          </w:tcPr>
          <w:p w14:paraId="35D0968A" w14:textId="77777777" w:rsidR="00D42204" w:rsidRDefault="00D42204">
            <w:pPr>
              <w:rPr>
                <w:rFonts w:ascii="宋体"/>
                <w:vanish/>
              </w:rPr>
            </w:pPr>
          </w:p>
        </w:tc>
        <w:tc>
          <w:tcPr>
            <w:tcW w:w="0" w:type="auto"/>
            <w:shd w:val="clear" w:color="auto" w:fill="auto"/>
            <w:vAlign w:val="bottom"/>
          </w:tcPr>
          <w:p w14:paraId="35D0968B" w14:textId="77777777" w:rsidR="00D42204" w:rsidRDefault="00D42204">
            <w:pPr>
              <w:rPr>
                <w:rFonts w:ascii="宋体"/>
                <w:vanish/>
              </w:rPr>
            </w:pPr>
          </w:p>
        </w:tc>
        <w:tc>
          <w:tcPr>
            <w:tcW w:w="0" w:type="auto"/>
            <w:shd w:val="clear" w:color="auto" w:fill="auto"/>
            <w:vAlign w:val="bottom"/>
          </w:tcPr>
          <w:p w14:paraId="35D0968C" w14:textId="77777777" w:rsidR="00D42204" w:rsidRDefault="00D42204">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968D" w14:textId="77777777" w:rsidR="00D42204" w:rsidRDefault="004E439D">
            <w:pPr>
              <w:jc w:val="right"/>
              <w:textAlignment w:val="center"/>
            </w:pPr>
            <w:r>
              <w:rPr>
                <w:rFonts w:ascii="Times New Roman" w:eastAsia="宋体" w:hAnsi="Times New Roman"/>
                <w:b/>
                <w:bCs/>
                <w:color w:val="000000"/>
                <w:sz w:val="16"/>
                <w:szCs w:val="16"/>
              </w:rPr>
              <w:t>5,527</w:t>
            </w:r>
            <w:r>
              <w:rPr>
                <w:rFonts w:ascii="Times New Roman" w:eastAsia="宋体" w:hAnsi="Times New Roman"/>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968E" w14:textId="77777777" w:rsidR="00D42204" w:rsidRDefault="00D42204">
            <w:pPr>
              <w:jc w:val="right"/>
              <w:rPr>
                <w:rFonts w:ascii="宋体"/>
              </w:rPr>
            </w:pPr>
          </w:p>
        </w:tc>
      </w:tr>
      <w:tr w:rsidR="00D42204" w14:paraId="35D0969B" w14:textId="77777777">
        <w:trPr>
          <w:trHeight w:val="240"/>
        </w:trPr>
        <w:tc>
          <w:tcPr>
            <w:tcW w:w="0" w:type="auto"/>
            <w:gridSpan w:val="3"/>
            <w:shd w:val="clear" w:color="auto" w:fill="CCEEFF"/>
            <w:tcMar>
              <w:top w:w="0" w:type="dxa"/>
              <w:left w:w="20" w:type="dxa"/>
              <w:bottom w:w="0" w:type="dxa"/>
              <w:right w:w="20" w:type="dxa"/>
            </w:tcMar>
            <w:vAlign w:val="bottom"/>
          </w:tcPr>
          <w:p w14:paraId="35D09690"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691"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969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693"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9694"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695" w14:textId="77777777" w:rsidR="00D42204" w:rsidRDefault="00D42204">
            <w:pPr>
              <w:rPr>
                <w:rFonts w:ascii="宋体"/>
              </w:rPr>
            </w:pPr>
          </w:p>
        </w:tc>
        <w:tc>
          <w:tcPr>
            <w:tcW w:w="0" w:type="auto"/>
            <w:shd w:val="clear" w:color="auto" w:fill="auto"/>
            <w:vAlign w:val="bottom"/>
          </w:tcPr>
          <w:p w14:paraId="35D09696" w14:textId="77777777" w:rsidR="00D42204" w:rsidRDefault="00D42204">
            <w:pPr>
              <w:rPr>
                <w:rFonts w:ascii="宋体"/>
                <w:vanish/>
              </w:rPr>
            </w:pPr>
          </w:p>
        </w:tc>
        <w:tc>
          <w:tcPr>
            <w:tcW w:w="0" w:type="auto"/>
            <w:shd w:val="clear" w:color="auto" w:fill="auto"/>
            <w:vAlign w:val="bottom"/>
          </w:tcPr>
          <w:p w14:paraId="35D09697" w14:textId="77777777" w:rsidR="00D42204" w:rsidRDefault="00D42204">
            <w:pPr>
              <w:rPr>
                <w:rFonts w:ascii="宋体"/>
                <w:vanish/>
              </w:rPr>
            </w:pPr>
          </w:p>
        </w:tc>
        <w:tc>
          <w:tcPr>
            <w:tcW w:w="0" w:type="auto"/>
            <w:shd w:val="clear" w:color="auto" w:fill="auto"/>
            <w:vAlign w:val="bottom"/>
          </w:tcPr>
          <w:p w14:paraId="35D09698" w14:textId="77777777" w:rsidR="00D42204" w:rsidRDefault="00D42204">
            <w:pPr>
              <w:rPr>
                <w:rFonts w:ascii="宋体"/>
                <w:vanish/>
              </w:rPr>
            </w:pPr>
          </w:p>
        </w:tc>
        <w:tc>
          <w:tcPr>
            <w:tcW w:w="0" w:type="auto"/>
            <w:shd w:val="clear" w:color="auto" w:fill="auto"/>
            <w:vAlign w:val="bottom"/>
          </w:tcPr>
          <w:p w14:paraId="35D09699" w14:textId="77777777" w:rsidR="00D42204" w:rsidRDefault="00D42204">
            <w:pPr>
              <w:rPr>
                <w:rFonts w:ascii="宋体"/>
                <w:vanish/>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969A" w14:textId="77777777" w:rsidR="00D42204" w:rsidRDefault="00D42204">
            <w:pPr>
              <w:rPr>
                <w:rFonts w:ascii="宋体"/>
              </w:rPr>
            </w:pPr>
          </w:p>
        </w:tc>
      </w:tr>
      <w:tr w:rsidR="00D42204" w14:paraId="35D096A7" w14:textId="77777777">
        <w:tc>
          <w:tcPr>
            <w:tcW w:w="0" w:type="auto"/>
            <w:gridSpan w:val="3"/>
            <w:shd w:val="clear" w:color="auto" w:fill="FFFFFF"/>
            <w:tcMar>
              <w:top w:w="40" w:type="dxa"/>
              <w:left w:w="20" w:type="dxa"/>
              <w:bottom w:w="40" w:type="dxa"/>
              <w:right w:w="20" w:type="dxa"/>
            </w:tcMar>
            <w:vAlign w:val="center"/>
          </w:tcPr>
          <w:p w14:paraId="35D0969C" w14:textId="77777777" w:rsidR="00D42204" w:rsidRDefault="004E439D">
            <w:pPr>
              <w:textAlignment w:val="center"/>
            </w:pPr>
            <w:r>
              <w:rPr>
                <w:rFonts w:ascii="Times New Roman" w:eastAsia="宋体" w:hAnsi="Times New Roman"/>
                <w:b/>
                <w:bCs/>
                <w:color w:val="000000"/>
                <w:sz w:val="16"/>
                <w:szCs w:val="16"/>
              </w:rPr>
              <w:t>International properties</w:t>
            </w:r>
          </w:p>
        </w:tc>
        <w:tc>
          <w:tcPr>
            <w:tcW w:w="0" w:type="auto"/>
            <w:gridSpan w:val="3"/>
            <w:shd w:val="clear" w:color="auto" w:fill="FFFFFF"/>
            <w:tcMar>
              <w:top w:w="0" w:type="dxa"/>
              <w:left w:w="20" w:type="dxa"/>
              <w:bottom w:w="0" w:type="dxa"/>
              <w:right w:w="20" w:type="dxa"/>
            </w:tcMar>
            <w:vAlign w:val="bottom"/>
          </w:tcPr>
          <w:p w14:paraId="35D0969D"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69E"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69F"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6A0"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6A1" w14:textId="77777777" w:rsidR="00D42204" w:rsidRDefault="00D42204">
            <w:pPr>
              <w:rPr>
                <w:rFonts w:ascii="宋体"/>
              </w:rPr>
            </w:pPr>
          </w:p>
        </w:tc>
        <w:tc>
          <w:tcPr>
            <w:tcW w:w="0" w:type="auto"/>
            <w:shd w:val="clear" w:color="auto" w:fill="auto"/>
            <w:vAlign w:val="bottom"/>
          </w:tcPr>
          <w:p w14:paraId="35D096A2" w14:textId="77777777" w:rsidR="00D42204" w:rsidRDefault="00D42204">
            <w:pPr>
              <w:rPr>
                <w:rFonts w:ascii="宋体"/>
                <w:vanish/>
              </w:rPr>
            </w:pPr>
          </w:p>
        </w:tc>
        <w:tc>
          <w:tcPr>
            <w:tcW w:w="0" w:type="auto"/>
            <w:shd w:val="clear" w:color="auto" w:fill="auto"/>
            <w:vAlign w:val="bottom"/>
          </w:tcPr>
          <w:p w14:paraId="35D096A3" w14:textId="77777777" w:rsidR="00D42204" w:rsidRDefault="00D42204">
            <w:pPr>
              <w:rPr>
                <w:rFonts w:ascii="宋体"/>
                <w:vanish/>
              </w:rPr>
            </w:pPr>
          </w:p>
        </w:tc>
        <w:tc>
          <w:tcPr>
            <w:tcW w:w="0" w:type="auto"/>
            <w:shd w:val="clear" w:color="auto" w:fill="auto"/>
            <w:vAlign w:val="bottom"/>
          </w:tcPr>
          <w:p w14:paraId="35D096A4" w14:textId="77777777" w:rsidR="00D42204" w:rsidRDefault="00D42204">
            <w:pPr>
              <w:rPr>
                <w:rFonts w:ascii="宋体"/>
                <w:vanish/>
              </w:rPr>
            </w:pPr>
          </w:p>
        </w:tc>
        <w:tc>
          <w:tcPr>
            <w:tcW w:w="0" w:type="auto"/>
            <w:shd w:val="clear" w:color="auto" w:fill="auto"/>
            <w:vAlign w:val="bottom"/>
          </w:tcPr>
          <w:p w14:paraId="35D096A5" w14:textId="77777777" w:rsidR="00D42204" w:rsidRDefault="00D42204">
            <w:pPr>
              <w:rPr>
                <w:rFonts w:ascii="宋体"/>
                <w:vanish/>
              </w:rPr>
            </w:pPr>
          </w:p>
        </w:tc>
        <w:tc>
          <w:tcPr>
            <w:tcW w:w="0" w:type="auto"/>
            <w:gridSpan w:val="3"/>
            <w:shd w:val="clear" w:color="auto" w:fill="FFFFFF"/>
            <w:tcMar>
              <w:top w:w="0" w:type="dxa"/>
              <w:left w:w="20" w:type="dxa"/>
              <w:bottom w:w="0" w:type="dxa"/>
              <w:right w:w="20" w:type="dxa"/>
            </w:tcMar>
            <w:vAlign w:val="bottom"/>
          </w:tcPr>
          <w:p w14:paraId="35D096A6" w14:textId="77777777" w:rsidR="00D42204" w:rsidRDefault="00D42204">
            <w:pPr>
              <w:rPr>
                <w:rFonts w:ascii="宋体"/>
              </w:rPr>
            </w:pPr>
          </w:p>
        </w:tc>
      </w:tr>
      <w:tr w:rsidR="00D42204" w14:paraId="35D096B6" w14:textId="77777777">
        <w:tc>
          <w:tcPr>
            <w:tcW w:w="0" w:type="auto"/>
            <w:gridSpan w:val="3"/>
            <w:shd w:val="clear" w:color="auto" w:fill="CCEEFF"/>
            <w:tcMar>
              <w:top w:w="40" w:type="dxa"/>
              <w:left w:w="20" w:type="dxa"/>
              <w:bottom w:w="40" w:type="dxa"/>
              <w:right w:w="20" w:type="dxa"/>
            </w:tcMar>
            <w:vAlign w:val="center"/>
          </w:tcPr>
          <w:p w14:paraId="35D096A8" w14:textId="77777777" w:rsidR="00D42204" w:rsidRDefault="004E439D">
            <w:pPr>
              <w:textAlignment w:val="center"/>
            </w:pPr>
            <w:r>
              <w:rPr>
                <w:rFonts w:ascii="Times New Roman" w:eastAsia="宋体" w:hAnsi="Times New Roman"/>
                <w:color w:val="000000"/>
                <w:sz w:val="16"/>
                <w:szCs w:val="16"/>
              </w:rPr>
              <w:t>    Africa</w:t>
            </w:r>
          </w:p>
        </w:tc>
        <w:tc>
          <w:tcPr>
            <w:tcW w:w="0" w:type="auto"/>
            <w:gridSpan w:val="3"/>
            <w:shd w:val="clear" w:color="auto" w:fill="CCEEFF"/>
            <w:tcMar>
              <w:top w:w="0" w:type="dxa"/>
              <w:left w:w="20" w:type="dxa"/>
              <w:bottom w:w="0" w:type="dxa"/>
              <w:right w:w="20" w:type="dxa"/>
            </w:tcMar>
            <w:vAlign w:val="bottom"/>
          </w:tcPr>
          <w:p w14:paraId="35D096A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6AA" w14:textId="77777777" w:rsidR="00D42204" w:rsidRDefault="004E439D">
            <w:pPr>
              <w:jc w:val="right"/>
              <w:textAlignment w:val="center"/>
            </w:pPr>
            <w:r>
              <w:rPr>
                <w:rFonts w:ascii="Times New Roman" w:eastAsia="宋体" w:hAnsi="Times New Roman"/>
                <w:color w:val="000000"/>
                <w:sz w:val="16"/>
                <w:szCs w:val="16"/>
              </w:rPr>
              <w:t>36 </w:t>
            </w:r>
          </w:p>
        </w:tc>
        <w:tc>
          <w:tcPr>
            <w:tcW w:w="0" w:type="auto"/>
            <w:shd w:val="clear" w:color="auto" w:fill="CCEEFF"/>
            <w:tcMar>
              <w:top w:w="40" w:type="dxa"/>
              <w:left w:w="0" w:type="dxa"/>
              <w:bottom w:w="40" w:type="dxa"/>
              <w:right w:w="20" w:type="dxa"/>
            </w:tcMar>
            <w:vAlign w:val="center"/>
          </w:tcPr>
          <w:p w14:paraId="35D096A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6A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6AD" w14:textId="77777777" w:rsidR="00D42204" w:rsidRDefault="004E439D">
            <w:pPr>
              <w:jc w:val="right"/>
              <w:textAlignment w:val="center"/>
            </w:pPr>
            <w:r>
              <w:rPr>
                <w:rFonts w:ascii="Times New Roman" w:eastAsia="宋体" w:hAnsi="Times New Roman"/>
                <w:color w:val="000000"/>
                <w:sz w:val="16"/>
                <w:szCs w:val="16"/>
              </w:rPr>
              <w:t>378 </w:t>
            </w:r>
          </w:p>
        </w:tc>
        <w:tc>
          <w:tcPr>
            <w:tcW w:w="0" w:type="auto"/>
            <w:shd w:val="clear" w:color="auto" w:fill="CCEEFF"/>
            <w:tcMar>
              <w:top w:w="40" w:type="dxa"/>
              <w:left w:w="0" w:type="dxa"/>
              <w:bottom w:w="40" w:type="dxa"/>
              <w:right w:w="20" w:type="dxa"/>
            </w:tcMar>
            <w:vAlign w:val="center"/>
          </w:tcPr>
          <w:p w14:paraId="35D096A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6AF" w14:textId="77777777" w:rsidR="00D42204" w:rsidRDefault="00D42204">
            <w:pPr>
              <w:rPr>
                <w:rFonts w:ascii="宋体"/>
              </w:rPr>
            </w:pPr>
          </w:p>
        </w:tc>
        <w:tc>
          <w:tcPr>
            <w:tcW w:w="0" w:type="auto"/>
            <w:shd w:val="clear" w:color="auto" w:fill="auto"/>
            <w:vAlign w:val="bottom"/>
          </w:tcPr>
          <w:p w14:paraId="35D096B0" w14:textId="77777777" w:rsidR="00D42204" w:rsidRDefault="00D42204">
            <w:pPr>
              <w:rPr>
                <w:rFonts w:ascii="宋体"/>
                <w:vanish/>
              </w:rPr>
            </w:pPr>
          </w:p>
        </w:tc>
        <w:tc>
          <w:tcPr>
            <w:tcW w:w="0" w:type="auto"/>
            <w:shd w:val="clear" w:color="auto" w:fill="auto"/>
            <w:vAlign w:val="bottom"/>
          </w:tcPr>
          <w:p w14:paraId="35D096B1" w14:textId="77777777" w:rsidR="00D42204" w:rsidRDefault="00D42204">
            <w:pPr>
              <w:rPr>
                <w:rFonts w:ascii="宋体"/>
                <w:vanish/>
              </w:rPr>
            </w:pPr>
          </w:p>
        </w:tc>
        <w:tc>
          <w:tcPr>
            <w:tcW w:w="0" w:type="auto"/>
            <w:shd w:val="clear" w:color="auto" w:fill="auto"/>
            <w:vAlign w:val="bottom"/>
          </w:tcPr>
          <w:p w14:paraId="35D096B2" w14:textId="77777777" w:rsidR="00D42204" w:rsidRDefault="00D42204">
            <w:pPr>
              <w:rPr>
                <w:rFonts w:ascii="宋体"/>
                <w:vanish/>
              </w:rPr>
            </w:pPr>
          </w:p>
        </w:tc>
        <w:tc>
          <w:tcPr>
            <w:tcW w:w="0" w:type="auto"/>
            <w:shd w:val="clear" w:color="auto" w:fill="auto"/>
            <w:vAlign w:val="bottom"/>
          </w:tcPr>
          <w:p w14:paraId="35D096B3" w14:textId="77777777" w:rsidR="00D42204" w:rsidRDefault="00D42204">
            <w:pPr>
              <w:rPr>
                <w:rFonts w:ascii="宋体"/>
                <w:vanish/>
              </w:rPr>
            </w:pPr>
          </w:p>
        </w:tc>
        <w:tc>
          <w:tcPr>
            <w:tcW w:w="0" w:type="auto"/>
            <w:gridSpan w:val="2"/>
            <w:shd w:val="clear" w:color="auto" w:fill="CCEEFF"/>
            <w:tcMar>
              <w:top w:w="40" w:type="dxa"/>
              <w:left w:w="20" w:type="dxa"/>
              <w:bottom w:w="40" w:type="dxa"/>
              <w:right w:w="0" w:type="dxa"/>
            </w:tcMar>
            <w:vAlign w:val="center"/>
          </w:tcPr>
          <w:p w14:paraId="35D096B4" w14:textId="77777777" w:rsidR="00D42204" w:rsidRDefault="004E439D">
            <w:pPr>
              <w:jc w:val="right"/>
              <w:textAlignment w:val="center"/>
            </w:pPr>
            <w:r>
              <w:rPr>
                <w:rFonts w:ascii="Times New Roman" w:eastAsia="宋体" w:hAnsi="Times New Roman"/>
                <w:color w:val="000000"/>
                <w:sz w:val="16"/>
                <w:szCs w:val="16"/>
              </w:rPr>
              <w:t>414 </w:t>
            </w:r>
          </w:p>
        </w:tc>
        <w:tc>
          <w:tcPr>
            <w:tcW w:w="0" w:type="auto"/>
            <w:shd w:val="clear" w:color="auto" w:fill="CCEEFF"/>
            <w:tcMar>
              <w:top w:w="40" w:type="dxa"/>
              <w:left w:w="0" w:type="dxa"/>
              <w:bottom w:w="40" w:type="dxa"/>
              <w:right w:w="20" w:type="dxa"/>
            </w:tcMar>
            <w:vAlign w:val="center"/>
          </w:tcPr>
          <w:p w14:paraId="35D096B5" w14:textId="77777777" w:rsidR="00D42204" w:rsidRDefault="00D42204">
            <w:pPr>
              <w:jc w:val="right"/>
              <w:rPr>
                <w:rFonts w:ascii="宋体"/>
              </w:rPr>
            </w:pPr>
          </w:p>
        </w:tc>
      </w:tr>
      <w:tr w:rsidR="00D42204" w14:paraId="35D096C5" w14:textId="77777777">
        <w:tc>
          <w:tcPr>
            <w:tcW w:w="0" w:type="auto"/>
            <w:gridSpan w:val="3"/>
            <w:shd w:val="clear" w:color="auto" w:fill="FFFFFF"/>
            <w:tcMar>
              <w:top w:w="40" w:type="dxa"/>
              <w:left w:w="20" w:type="dxa"/>
              <w:bottom w:w="40" w:type="dxa"/>
              <w:right w:w="20" w:type="dxa"/>
            </w:tcMar>
            <w:vAlign w:val="center"/>
          </w:tcPr>
          <w:p w14:paraId="35D096B7" w14:textId="77777777" w:rsidR="00D42204" w:rsidRDefault="004E439D">
            <w:pPr>
              <w:textAlignment w:val="center"/>
            </w:pPr>
            <w:r>
              <w:rPr>
                <w:rFonts w:ascii="Times New Roman" w:eastAsia="宋体" w:hAnsi="Times New Roman"/>
                <w:color w:val="000000"/>
                <w:sz w:val="16"/>
                <w:szCs w:val="16"/>
              </w:rPr>
              <w:t>    Canada</w:t>
            </w:r>
          </w:p>
        </w:tc>
        <w:tc>
          <w:tcPr>
            <w:tcW w:w="0" w:type="auto"/>
            <w:gridSpan w:val="3"/>
            <w:shd w:val="clear" w:color="auto" w:fill="FFFFFF"/>
            <w:tcMar>
              <w:top w:w="0" w:type="dxa"/>
              <w:left w:w="20" w:type="dxa"/>
              <w:bottom w:w="0" w:type="dxa"/>
              <w:right w:w="20" w:type="dxa"/>
            </w:tcMar>
            <w:vAlign w:val="bottom"/>
          </w:tcPr>
          <w:p w14:paraId="35D096B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6B9" w14:textId="77777777" w:rsidR="00D42204" w:rsidRDefault="004E439D">
            <w:pPr>
              <w:jc w:val="right"/>
              <w:textAlignment w:val="center"/>
            </w:pPr>
            <w:r>
              <w:rPr>
                <w:rFonts w:ascii="Times New Roman" w:eastAsia="宋体" w:hAnsi="Times New Roman"/>
                <w:color w:val="000000"/>
                <w:sz w:val="16"/>
                <w:szCs w:val="16"/>
              </w:rPr>
              <w:t>124 </w:t>
            </w:r>
          </w:p>
        </w:tc>
        <w:tc>
          <w:tcPr>
            <w:tcW w:w="0" w:type="auto"/>
            <w:shd w:val="clear" w:color="auto" w:fill="FFFFFF"/>
            <w:tcMar>
              <w:top w:w="40" w:type="dxa"/>
              <w:left w:w="0" w:type="dxa"/>
              <w:bottom w:w="40" w:type="dxa"/>
              <w:right w:w="20" w:type="dxa"/>
            </w:tcMar>
            <w:vAlign w:val="center"/>
          </w:tcPr>
          <w:p w14:paraId="35D096B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6B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6BC" w14:textId="77777777" w:rsidR="00D42204" w:rsidRDefault="004E439D">
            <w:pPr>
              <w:jc w:val="right"/>
              <w:textAlignment w:val="center"/>
            </w:pPr>
            <w:r>
              <w:rPr>
                <w:rFonts w:ascii="Times New Roman" w:eastAsia="宋体" w:hAnsi="Times New Roman"/>
                <w:color w:val="000000"/>
                <w:sz w:val="16"/>
                <w:szCs w:val="16"/>
              </w:rPr>
              <w:t>284 </w:t>
            </w:r>
          </w:p>
        </w:tc>
        <w:tc>
          <w:tcPr>
            <w:tcW w:w="0" w:type="auto"/>
            <w:shd w:val="clear" w:color="auto" w:fill="FFFFFF"/>
            <w:tcMar>
              <w:top w:w="40" w:type="dxa"/>
              <w:left w:w="0" w:type="dxa"/>
              <w:bottom w:w="40" w:type="dxa"/>
              <w:right w:w="20" w:type="dxa"/>
            </w:tcMar>
            <w:vAlign w:val="center"/>
          </w:tcPr>
          <w:p w14:paraId="35D096B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6BE" w14:textId="77777777" w:rsidR="00D42204" w:rsidRDefault="00D42204">
            <w:pPr>
              <w:rPr>
                <w:rFonts w:ascii="宋体"/>
              </w:rPr>
            </w:pPr>
          </w:p>
        </w:tc>
        <w:tc>
          <w:tcPr>
            <w:tcW w:w="0" w:type="auto"/>
            <w:shd w:val="clear" w:color="auto" w:fill="auto"/>
            <w:vAlign w:val="bottom"/>
          </w:tcPr>
          <w:p w14:paraId="35D096BF" w14:textId="77777777" w:rsidR="00D42204" w:rsidRDefault="00D42204">
            <w:pPr>
              <w:rPr>
                <w:rFonts w:ascii="宋体"/>
                <w:vanish/>
              </w:rPr>
            </w:pPr>
          </w:p>
        </w:tc>
        <w:tc>
          <w:tcPr>
            <w:tcW w:w="0" w:type="auto"/>
            <w:shd w:val="clear" w:color="auto" w:fill="auto"/>
            <w:vAlign w:val="bottom"/>
          </w:tcPr>
          <w:p w14:paraId="35D096C0" w14:textId="77777777" w:rsidR="00D42204" w:rsidRDefault="00D42204">
            <w:pPr>
              <w:rPr>
                <w:rFonts w:ascii="宋体"/>
                <w:vanish/>
              </w:rPr>
            </w:pPr>
          </w:p>
        </w:tc>
        <w:tc>
          <w:tcPr>
            <w:tcW w:w="0" w:type="auto"/>
            <w:shd w:val="clear" w:color="auto" w:fill="auto"/>
            <w:vAlign w:val="bottom"/>
          </w:tcPr>
          <w:p w14:paraId="35D096C1" w14:textId="77777777" w:rsidR="00D42204" w:rsidRDefault="00D42204">
            <w:pPr>
              <w:rPr>
                <w:rFonts w:ascii="宋体"/>
                <w:vanish/>
              </w:rPr>
            </w:pPr>
          </w:p>
        </w:tc>
        <w:tc>
          <w:tcPr>
            <w:tcW w:w="0" w:type="auto"/>
            <w:shd w:val="clear" w:color="auto" w:fill="auto"/>
            <w:vAlign w:val="bottom"/>
          </w:tcPr>
          <w:p w14:paraId="35D096C2" w14:textId="77777777" w:rsidR="00D42204" w:rsidRDefault="00D42204">
            <w:pPr>
              <w:rPr>
                <w:rFonts w:ascii="宋体"/>
                <w:vanish/>
              </w:rPr>
            </w:pPr>
          </w:p>
        </w:tc>
        <w:tc>
          <w:tcPr>
            <w:tcW w:w="0" w:type="auto"/>
            <w:gridSpan w:val="2"/>
            <w:shd w:val="clear" w:color="auto" w:fill="FFFFFF"/>
            <w:tcMar>
              <w:top w:w="40" w:type="dxa"/>
              <w:left w:w="20" w:type="dxa"/>
              <w:bottom w:w="40" w:type="dxa"/>
              <w:right w:w="0" w:type="dxa"/>
            </w:tcMar>
            <w:vAlign w:val="center"/>
          </w:tcPr>
          <w:p w14:paraId="35D096C3" w14:textId="77777777" w:rsidR="00D42204" w:rsidRDefault="004E439D">
            <w:pPr>
              <w:jc w:val="right"/>
              <w:textAlignment w:val="center"/>
            </w:pPr>
            <w:r>
              <w:rPr>
                <w:rFonts w:ascii="Times New Roman" w:eastAsia="宋体" w:hAnsi="Times New Roman"/>
                <w:color w:val="000000"/>
                <w:sz w:val="16"/>
                <w:szCs w:val="16"/>
              </w:rPr>
              <w:t>408 </w:t>
            </w:r>
          </w:p>
        </w:tc>
        <w:tc>
          <w:tcPr>
            <w:tcW w:w="0" w:type="auto"/>
            <w:shd w:val="clear" w:color="auto" w:fill="FFFFFF"/>
            <w:tcMar>
              <w:top w:w="40" w:type="dxa"/>
              <w:left w:w="0" w:type="dxa"/>
              <w:bottom w:w="40" w:type="dxa"/>
              <w:right w:w="20" w:type="dxa"/>
            </w:tcMar>
            <w:vAlign w:val="center"/>
          </w:tcPr>
          <w:p w14:paraId="35D096C4" w14:textId="77777777" w:rsidR="00D42204" w:rsidRDefault="00D42204">
            <w:pPr>
              <w:jc w:val="right"/>
              <w:rPr>
                <w:rFonts w:ascii="宋体"/>
              </w:rPr>
            </w:pPr>
          </w:p>
        </w:tc>
      </w:tr>
      <w:tr w:rsidR="00D42204" w14:paraId="35D096D4" w14:textId="77777777">
        <w:tc>
          <w:tcPr>
            <w:tcW w:w="0" w:type="auto"/>
            <w:gridSpan w:val="3"/>
            <w:shd w:val="clear" w:color="auto" w:fill="CCEEFF"/>
            <w:tcMar>
              <w:top w:w="40" w:type="dxa"/>
              <w:left w:w="20" w:type="dxa"/>
              <w:bottom w:w="40" w:type="dxa"/>
              <w:right w:w="20" w:type="dxa"/>
            </w:tcMar>
            <w:vAlign w:val="center"/>
          </w:tcPr>
          <w:p w14:paraId="35D096C6" w14:textId="77777777" w:rsidR="00D42204" w:rsidRDefault="004E439D">
            <w:pPr>
              <w:textAlignment w:val="center"/>
            </w:pPr>
            <w:r>
              <w:rPr>
                <w:rFonts w:ascii="Times New Roman" w:eastAsia="宋体" w:hAnsi="Times New Roman"/>
                <w:color w:val="000000"/>
                <w:sz w:val="16"/>
                <w:szCs w:val="16"/>
              </w:rPr>
              <w:t>    Central America</w:t>
            </w:r>
          </w:p>
        </w:tc>
        <w:tc>
          <w:tcPr>
            <w:tcW w:w="0" w:type="auto"/>
            <w:gridSpan w:val="3"/>
            <w:shd w:val="clear" w:color="auto" w:fill="CCEEFF"/>
            <w:tcMar>
              <w:top w:w="0" w:type="dxa"/>
              <w:left w:w="20" w:type="dxa"/>
              <w:bottom w:w="0" w:type="dxa"/>
              <w:right w:w="20" w:type="dxa"/>
            </w:tcMar>
            <w:vAlign w:val="bottom"/>
          </w:tcPr>
          <w:p w14:paraId="35D096C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6C8" w14:textId="77777777" w:rsidR="00D42204" w:rsidRDefault="004E439D">
            <w:pPr>
              <w:jc w:val="right"/>
              <w:textAlignment w:val="center"/>
            </w:pPr>
            <w:r>
              <w:rPr>
                <w:rFonts w:ascii="Times New Roman" w:eastAsia="宋体" w:hAnsi="Times New Roman"/>
                <w:color w:val="000000"/>
                <w:sz w:val="16"/>
                <w:szCs w:val="16"/>
              </w:rPr>
              <w:t>367 </w:t>
            </w:r>
          </w:p>
        </w:tc>
        <w:tc>
          <w:tcPr>
            <w:tcW w:w="0" w:type="auto"/>
            <w:shd w:val="clear" w:color="auto" w:fill="CCEEFF"/>
            <w:tcMar>
              <w:top w:w="40" w:type="dxa"/>
              <w:left w:w="0" w:type="dxa"/>
              <w:bottom w:w="40" w:type="dxa"/>
              <w:right w:w="20" w:type="dxa"/>
            </w:tcMar>
            <w:vAlign w:val="center"/>
          </w:tcPr>
          <w:p w14:paraId="35D096C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6C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6CB" w14:textId="77777777" w:rsidR="00D42204" w:rsidRDefault="004E439D">
            <w:pPr>
              <w:jc w:val="right"/>
              <w:textAlignment w:val="center"/>
            </w:pPr>
            <w:r>
              <w:rPr>
                <w:rFonts w:ascii="Times New Roman" w:eastAsia="宋体" w:hAnsi="Times New Roman"/>
                <w:color w:val="000000"/>
                <w:sz w:val="16"/>
                <w:szCs w:val="16"/>
              </w:rPr>
              <w:t>497 </w:t>
            </w:r>
          </w:p>
        </w:tc>
        <w:tc>
          <w:tcPr>
            <w:tcW w:w="0" w:type="auto"/>
            <w:shd w:val="clear" w:color="auto" w:fill="CCEEFF"/>
            <w:tcMar>
              <w:top w:w="40" w:type="dxa"/>
              <w:left w:w="0" w:type="dxa"/>
              <w:bottom w:w="40" w:type="dxa"/>
              <w:right w:w="20" w:type="dxa"/>
            </w:tcMar>
            <w:vAlign w:val="center"/>
          </w:tcPr>
          <w:p w14:paraId="35D096C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6CD" w14:textId="77777777" w:rsidR="00D42204" w:rsidRDefault="00D42204">
            <w:pPr>
              <w:rPr>
                <w:rFonts w:ascii="宋体"/>
              </w:rPr>
            </w:pPr>
          </w:p>
        </w:tc>
        <w:tc>
          <w:tcPr>
            <w:tcW w:w="0" w:type="auto"/>
            <w:shd w:val="clear" w:color="auto" w:fill="auto"/>
            <w:vAlign w:val="bottom"/>
          </w:tcPr>
          <w:p w14:paraId="35D096CE" w14:textId="77777777" w:rsidR="00D42204" w:rsidRDefault="00D42204">
            <w:pPr>
              <w:rPr>
                <w:rFonts w:ascii="宋体"/>
                <w:vanish/>
              </w:rPr>
            </w:pPr>
          </w:p>
        </w:tc>
        <w:tc>
          <w:tcPr>
            <w:tcW w:w="0" w:type="auto"/>
            <w:shd w:val="clear" w:color="auto" w:fill="auto"/>
            <w:vAlign w:val="bottom"/>
          </w:tcPr>
          <w:p w14:paraId="35D096CF" w14:textId="77777777" w:rsidR="00D42204" w:rsidRDefault="00D42204">
            <w:pPr>
              <w:rPr>
                <w:rFonts w:ascii="宋体"/>
                <w:vanish/>
              </w:rPr>
            </w:pPr>
          </w:p>
        </w:tc>
        <w:tc>
          <w:tcPr>
            <w:tcW w:w="0" w:type="auto"/>
            <w:shd w:val="clear" w:color="auto" w:fill="auto"/>
            <w:vAlign w:val="bottom"/>
          </w:tcPr>
          <w:p w14:paraId="35D096D0" w14:textId="77777777" w:rsidR="00D42204" w:rsidRDefault="00D42204">
            <w:pPr>
              <w:rPr>
                <w:rFonts w:ascii="宋体"/>
                <w:vanish/>
              </w:rPr>
            </w:pPr>
          </w:p>
        </w:tc>
        <w:tc>
          <w:tcPr>
            <w:tcW w:w="0" w:type="auto"/>
            <w:shd w:val="clear" w:color="auto" w:fill="auto"/>
            <w:vAlign w:val="bottom"/>
          </w:tcPr>
          <w:p w14:paraId="35D096D1" w14:textId="77777777" w:rsidR="00D42204" w:rsidRDefault="00D42204">
            <w:pPr>
              <w:rPr>
                <w:rFonts w:ascii="宋体"/>
                <w:vanish/>
              </w:rPr>
            </w:pPr>
          </w:p>
        </w:tc>
        <w:tc>
          <w:tcPr>
            <w:tcW w:w="0" w:type="auto"/>
            <w:gridSpan w:val="2"/>
            <w:shd w:val="clear" w:color="auto" w:fill="CCEEFF"/>
            <w:tcMar>
              <w:top w:w="40" w:type="dxa"/>
              <w:left w:w="20" w:type="dxa"/>
              <w:bottom w:w="40" w:type="dxa"/>
              <w:right w:w="0" w:type="dxa"/>
            </w:tcMar>
            <w:vAlign w:val="center"/>
          </w:tcPr>
          <w:p w14:paraId="35D096D2" w14:textId="77777777" w:rsidR="00D42204" w:rsidRDefault="004E439D">
            <w:pPr>
              <w:jc w:val="right"/>
              <w:textAlignment w:val="center"/>
            </w:pPr>
            <w:r>
              <w:rPr>
                <w:rFonts w:ascii="Times New Roman" w:eastAsia="宋体" w:hAnsi="Times New Roman"/>
                <w:color w:val="000000"/>
                <w:sz w:val="16"/>
                <w:szCs w:val="16"/>
              </w:rPr>
              <w:t>864 </w:t>
            </w:r>
          </w:p>
        </w:tc>
        <w:tc>
          <w:tcPr>
            <w:tcW w:w="0" w:type="auto"/>
            <w:shd w:val="clear" w:color="auto" w:fill="CCEEFF"/>
            <w:tcMar>
              <w:top w:w="40" w:type="dxa"/>
              <w:left w:w="0" w:type="dxa"/>
              <w:bottom w:w="40" w:type="dxa"/>
              <w:right w:w="20" w:type="dxa"/>
            </w:tcMar>
            <w:vAlign w:val="center"/>
          </w:tcPr>
          <w:p w14:paraId="35D096D3" w14:textId="77777777" w:rsidR="00D42204" w:rsidRDefault="00D42204">
            <w:pPr>
              <w:jc w:val="right"/>
              <w:rPr>
                <w:rFonts w:ascii="宋体"/>
              </w:rPr>
            </w:pPr>
          </w:p>
        </w:tc>
      </w:tr>
      <w:tr w:rsidR="00D42204" w14:paraId="35D096E3" w14:textId="77777777">
        <w:tc>
          <w:tcPr>
            <w:tcW w:w="0" w:type="auto"/>
            <w:gridSpan w:val="3"/>
            <w:shd w:val="clear" w:color="auto" w:fill="FFFFFF"/>
            <w:tcMar>
              <w:top w:w="40" w:type="dxa"/>
              <w:left w:w="20" w:type="dxa"/>
              <w:bottom w:w="40" w:type="dxa"/>
              <w:right w:w="20" w:type="dxa"/>
            </w:tcMar>
            <w:vAlign w:val="center"/>
          </w:tcPr>
          <w:p w14:paraId="35D096D5" w14:textId="77777777" w:rsidR="00D42204" w:rsidRDefault="004E439D">
            <w:pPr>
              <w:textAlignment w:val="center"/>
            </w:pPr>
            <w:r>
              <w:rPr>
                <w:rFonts w:ascii="Times New Roman" w:eastAsia="宋体" w:hAnsi="Times New Roman"/>
                <w:color w:val="000000"/>
                <w:sz w:val="16"/>
                <w:szCs w:val="16"/>
              </w:rPr>
              <w:t>    Chile</w:t>
            </w:r>
          </w:p>
        </w:tc>
        <w:tc>
          <w:tcPr>
            <w:tcW w:w="0" w:type="auto"/>
            <w:gridSpan w:val="3"/>
            <w:shd w:val="clear" w:color="auto" w:fill="FFFFFF"/>
            <w:tcMar>
              <w:top w:w="0" w:type="dxa"/>
              <w:left w:w="20" w:type="dxa"/>
              <w:bottom w:w="0" w:type="dxa"/>
              <w:right w:w="20" w:type="dxa"/>
            </w:tcMar>
            <w:vAlign w:val="bottom"/>
          </w:tcPr>
          <w:p w14:paraId="35D096D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6D7" w14:textId="77777777" w:rsidR="00D42204" w:rsidRDefault="004E439D">
            <w:pPr>
              <w:jc w:val="right"/>
              <w:textAlignment w:val="center"/>
            </w:pPr>
            <w:r>
              <w:rPr>
                <w:rFonts w:ascii="Times New Roman" w:eastAsia="宋体" w:hAnsi="Times New Roman"/>
                <w:color w:val="000000"/>
                <w:sz w:val="16"/>
                <w:szCs w:val="16"/>
              </w:rPr>
              <w:t>205 </w:t>
            </w:r>
          </w:p>
        </w:tc>
        <w:tc>
          <w:tcPr>
            <w:tcW w:w="0" w:type="auto"/>
            <w:shd w:val="clear" w:color="auto" w:fill="FFFFFF"/>
            <w:tcMar>
              <w:top w:w="40" w:type="dxa"/>
              <w:left w:w="0" w:type="dxa"/>
              <w:bottom w:w="40" w:type="dxa"/>
              <w:right w:w="20" w:type="dxa"/>
            </w:tcMar>
            <w:vAlign w:val="center"/>
          </w:tcPr>
          <w:p w14:paraId="35D096D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6D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6DA" w14:textId="77777777" w:rsidR="00D42204" w:rsidRDefault="004E439D">
            <w:pPr>
              <w:jc w:val="right"/>
              <w:textAlignment w:val="center"/>
            </w:pPr>
            <w:r>
              <w:rPr>
                <w:rFonts w:ascii="Times New Roman" w:eastAsia="宋体" w:hAnsi="Times New Roman"/>
                <w:color w:val="000000"/>
                <w:sz w:val="16"/>
                <w:szCs w:val="16"/>
              </w:rPr>
              <w:t>179 </w:t>
            </w:r>
          </w:p>
        </w:tc>
        <w:tc>
          <w:tcPr>
            <w:tcW w:w="0" w:type="auto"/>
            <w:shd w:val="clear" w:color="auto" w:fill="FFFFFF"/>
            <w:tcMar>
              <w:top w:w="40" w:type="dxa"/>
              <w:left w:w="0" w:type="dxa"/>
              <w:bottom w:w="40" w:type="dxa"/>
              <w:right w:w="20" w:type="dxa"/>
            </w:tcMar>
            <w:vAlign w:val="center"/>
          </w:tcPr>
          <w:p w14:paraId="35D096D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6DC" w14:textId="77777777" w:rsidR="00D42204" w:rsidRDefault="00D42204">
            <w:pPr>
              <w:rPr>
                <w:rFonts w:ascii="宋体"/>
              </w:rPr>
            </w:pPr>
          </w:p>
        </w:tc>
        <w:tc>
          <w:tcPr>
            <w:tcW w:w="0" w:type="auto"/>
            <w:shd w:val="clear" w:color="auto" w:fill="auto"/>
            <w:vAlign w:val="bottom"/>
          </w:tcPr>
          <w:p w14:paraId="35D096DD" w14:textId="77777777" w:rsidR="00D42204" w:rsidRDefault="00D42204">
            <w:pPr>
              <w:rPr>
                <w:rFonts w:ascii="宋体"/>
                <w:vanish/>
              </w:rPr>
            </w:pPr>
          </w:p>
        </w:tc>
        <w:tc>
          <w:tcPr>
            <w:tcW w:w="0" w:type="auto"/>
            <w:shd w:val="clear" w:color="auto" w:fill="auto"/>
            <w:vAlign w:val="bottom"/>
          </w:tcPr>
          <w:p w14:paraId="35D096DE" w14:textId="77777777" w:rsidR="00D42204" w:rsidRDefault="00D42204">
            <w:pPr>
              <w:rPr>
                <w:rFonts w:ascii="宋体"/>
                <w:vanish/>
              </w:rPr>
            </w:pPr>
          </w:p>
        </w:tc>
        <w:tc>
          <w:tcPr>
            <w:tcW w:w="0" w:type="auto"/>
            <w:shd w:val="clear" w:color="auto" w:fill="auto"/>
            <w:vAlign w:val="bottom"/>
          </w:tcPr>
          <w:p w14:paraId="35D096DF" w14:textId="77777777" w:rsidR="00D42204" w:rsidRDefault="00D42204">
            <w:pPr>
              <w:rPr>
                <w:rFonts w:ascii="宋体"/>
                <w:vanish/>
              </w:rPr>
            </w:pPr>
          </w:p>
        </w:tc>
        <w:tc>
          <w:tcPr>
            <w:tcW w:w="0" w:type="auto"/>
            <w:shd w:val="clear" w:color="auto" w:fill="auto"/>
            <w:vAlign w:val="bottom"/>
          </w:tcPr>
          <w:p w14:paraId="35D096E0" w14:textId="77777777" w:rsidR="00D42204" w:rsidRDefault="00D42204">
            <w:pPr>
              <w:rPr>
                <w:rFonts w:ascii="宋体"/>
                <w:vanish/>
              </w:rPr>
            </w:pPr>
          </w:p>
        </w:tc>
        <w:tc>
          <w:tcPr>
            <w:tcW w:w="0" w:type="auto"/>
            <w:gridSpan w:val="2"/>
            <w:shd w:val="clear" w:color="auto" w:fill="FFFFFF"/>
            <w:tcMar>
              <w:top w:w="40" w:type="dxa"/>
              <w:left w:w="20" w:type="dxa"/>
              <w:bottom w:w="40" w:type="dxa"/>
              <w:right w:w="0" w:type="dxa"/>
            </w:tcMar>
            <w:vAlign w:val="center"/>
          </w:tcPr>
          <w:p w14:paraId="35D096E1" w14:textId="77777777" w:rsidR="00D42204" w:rsidRDefault="004E439D">
            <w:pPr>
              <w:jc w:val="right"/>
              <w:textAlignment w:val="center"/>
            </w:pPr>
            <w:r>
              <w:rPr>
                <w:rFonts w:ascii="Times New Roman" w:eastAsia="宋体" w:hAnsi="Times New Roman"/>
                <w:color w:val="000000"/>
                <w:sz w:val="16"/>
                <w:szCs w:val="16"/>
              </w:rPr>
              <w:t>384 </w:t>
            </w:r>
          </w:p>
        </w:tc>
        <w:tc>
          <w:tcPr>
            <w:tcW w:w="0" w:type="auto"/>
            <w:shd w:val="clear" w:color="auto" w:fill="FFFFFF"/>
            <w:tcMar>
              <w:top w:w="40" w:type="dxa"/>
              <w:left w:w="0" w:type="dxa"/>
              <w:bottom w:w="40" w:type="dxa"/>
              <w:right w:w="20" w:type="dxa"/>
            </w:tcMar>
            <w:vAlign w:val="center"/>
          </w:tcPr>
          <w:p w14:paraId="35D096E2" w14:textId="77777777" w:rsidR="00D42204" w:rsidRDefault="00D42204">
            <w:pPr>
              <w:jc w:val="right"/>
              <w:rPr>
                <w:rFonts w:ascii="宋体"/>
              </w:rPr>
            </w:pPr>
          </w:p>
        </w:tc>
      </w:tr>
      <w:tr w:rsidR="00D42204" w14:paraId="35D096F2" w14:textId="77777777">
        <w:tc>
          <w:tcPr>
            <w:tcW w:w="0" w:type="auto"/>
            <w:gridSpan w:val="3"/>
            <w:shd w:val="clear" w:color="auto" w:fill="CCEEFF"/>
            <w:tcMar>
              <w:top w:w="40" w:type="dxa"/>
              <w:left w:w="20" w:type="dxa"/>
              <w:bottom w:w="40" w:type="dxa"/>
              <w:right w:w="20" w:type="dxa"/>
            </w:tcMar>
            <w:vAlign w:val="center"/>
          </w:tcPr>
          <w:p w14:paraId="35D096E4" w14:textId="77777777" w:rsidR="00D42204" w:rsidRDefault="004E439D">
            <w:pPr>
              <w:textAlignment w:val="center"/>
            </w:pPr>
            <w:r>
              <w:rPr>
                <w:rFonts w:ascii="Times New Roman" w:eastAsia="宋体" w:hAnsi="Times New Roman"/>
                <w:color w:val="000000"/>
                <w:sz w:val="16"/>
                <w:szCs w:val="16"/>
              </w:rPr>
              <w:t>    China</w:t>
            </w:r>
          </w:p>
        </w:tc>
        <w:tc>
          <w:tcPr>
            <w:tcW w:w="0" w:type="auto"/>
            <w:gridSpan w:val="3"/>
            <w:shd w:val="clear" w:color="auto" w:fill="CCEEFF"/>
            <w:tcMar>
              <w:top w:w="0" w:type="dxa"/>
              <w:left w:w="20" w:type="dxa"/>
              <w:bottom w:w="0" w:type="dxa"/>
              <w:right w:w="20" w:type="dxa"/>
            </w:tcMar>
            <w:vAlign w:val="bottom"/>
          </w:tcPr>
          <w:p w14:paraId="35D096E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6E6" w14:textId="77777777" w:rsidR="00D42204" w:rsidRDefault="004E439D">
            <w:pPr>
              <w:jc w:val="right"/>
              <w:textAlignment w:val="center"/>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center"/>
          </w:tcPr>
          <w:p w14:paraId="35D096E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6E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6E9" w14:textId="77777777" w:rsidR="00D42204" w:rsidRDefault="004E439D">
            <w:pPr>
              <w:jc w:val="right"/>
              <w:textAlignment w:val="center"/>
            </w:pPr>
            <w:r>
              <w:rPr>
                <w:rFonts w:ascii="Times New Roman" w:eastAsia="宋体" w:hAnsi="Times New Roman"/>
                <w:color w:val="000000"/>
                <w:sz w:val="16"/>
                <w:szCs w:val="16"/>
              </w:rPr>
              <w:t>395 </w:t>
            </w:r>
          </w:p>
        </w:tc>
        <w:tc>
          <w:tcPr>
            <w:tcW w:w="0" w:type="auto"/>
            <w:shd w:val="clear" w:color="auto" w:fill="CCEEFF"/>
            <w:tcMar>
              <w:top w:w="40" w:type="dxa"/>
              <w:left w:w="0" w:type="dxa"/>
              <w:bottom w:w="40" w:type="dxa"/>
              <w:right w:w="20" w:type="dxa"/>
            </w:tcMar>
            <w:vAlign w:val="center"/>
          </w:tcPr>
          <w:p w14:paraId="35D096E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6EB" w14:textId="77777777" w:rsidR="00D42204" w:rsidRDefault="00D42204">
            <w:pPr>
              <w:rPr>
                <w:rFonts w:ascii="宋体"/>
              </w:rPr>
            </w:pPr>
          </w:p>
        </w:tc>
        <w:tc>
          <w:tcPr>
            <w:tcW w:w="0" w:type="auto"/>
            <w:shd w:val="clear" w:color="auto" w:fill="auto"/>
            <w:vAlign w:val="bottom"/>
          </w:tcPr>
          <w:p w14:paraId="35D096EC" w14:textId="77777777" w:rsidR="00D42204" w:rsidRDefault="00D42204">
            <w:pPr>
              <w:rPr>
                <w:rFonts w:ascii="宋体"/>
                <w:vanish/>
              </w:rPr>
            </w:pPr>
          </w:p>
        </w:tc>
        <w:tc>
          <w:tcPr>
            <w:tcW w:w="0" w:type="auto"/>
            <w:shd w:val="clear" w:color="auto" w:fill="auto"/>
            <w:vAlign w:val="bottom"/>
          </w:tcPr>
          <w:p w14:paraId="35D096ED" w14:textId="77777777" w:rsidR="00D42204" w:rsidRDefault="00D42204">
            <w:pPr>
              <w:rPr>
                <w:rFonts w:ascii="宋体"/>
                <w:vanish/>
              </w:rPr>
            </w:pPr>
          </w:p>
        </w:tc>
        <w:tc>
          <w:tcPr>
            <w:tcW w:w="0" w:type="auto"/>
            <w:shd w:val="clear" w:color="auto" w:fill="auto"/>
            <w:vAlign w:val="bottom"/>
          </w:tcPr>
          <w:p w14:paraId="35D096EE" w14:textId="77777777" w:rsidR="00D42204" w:rsidRDefault="00D42204">
            <w:pPr>
              <w:rPr>
                <w:rFonts w:ascii="宋体"/>
                <w:vanish/>
              </w:rPr>
            </w:pPr>
          </w:p>
        </w:tc>
        <w:tc>
          <w:tcPr>
            <w:tcW w:w="0" w:type="auto"/>
            <w:shd w:val="clear" w:color="auto" w:fill="auto"/>
            <w:vAlign w:val="bottom"/>
          </w:tcPr>
          <w:p w14:paraId="35D096EF" w14:textId="77777777" w:rsidR="00D42204" w:rsidRDefault="00D42204">
            <w:pPr>
              <w:rPr>
                <w:rFonts w:ascii="宋体"/>
                <w:vanish/>
              </w:rPr>
            </w:pPr>
          </w:p>
        </w:tc>
        <w:tc>
          <w:tcPr>
            <w:tcW w:w="0" w:type="auto"/>
            <w:gridSpan w:val="2"/>
            <w:shd w:val="clear" w:color="auto" w:fill="CCEEFF"/>
            <w:tcMar>
              <w:top w:w="40" w:type="dxa"/>
              <w:left w:w="20" w:type="dxa"/>
              <w:bottom w:w="40" w:type="dxa"/>
              <w:right w:w="0" w:type="dxa"/>
            </w:tcMar>
            <w:vAlign w:val="center"/>
          </w:tcPr>
          <w:p w14:paraId="35D096F0" w14:textId="77777777" w:rsidR="00D42204" w:rsidRDefault="004E439D">
            <w:pPr>
              <w:jc w:val="right"/>
              <w:textAlignment w:val="center"/>
            </w:pPr>
            <w:r>
              <w:rPr>
                <w:rFonts w:ascii="Times New Roman" w:eastAsia="宋体" w:hAnsi="Times New Roman"/>
                <w:color w:val="000000"/>
                <w:sz w:val="16"/>
                <w:szCs w:val="16"/>
              </w:rPr>
              <w:t>397 </w:t>
            </w:r>
          </w:p>
        </w:tc>
        <w:tc>
          <w:tcPr>
            <w:tcW w:w="0" w:type="auto"/>
            <w:shd w:val="clear" w:color="auto" w:fill="CCEEFF"/>
            <w:tcMar>
              <w:top w:w="40" w:type="dxa"/>
              <w:left w:w="0" w:type="dxa"/>
              <w:bottom w:w="40" w:type="dxa"/>
              <w:right w:w="20" w:type="dxa"/>
            </w:tcMar>
            <w:vAlign w:val="center"/>
          </w:tcPr>
          <w:p w14:paraId="35D096F1" w14:textId="77777777" w:rsidR="00D42204" w:rsidRDefault="00D42204">
            <w:pPr>
              <w:jc w:val="right"/>
              <w:rPr>
                <w:rFonts w:ascii="宋体"/>
              </w:rPr>
            </w:pPr>
          </w:p>
        </w:tc>
      </w:tr>
      <w:tr w:rsidR="00D42204" w14:paraId="35D09701" w14:textId="77777777">
        <w:tc>
          <w:tcPr>
            <w:tcW w:w="0" w:type="auto"/>
            <w:gridSpan w:val="3"/>
            <w:shd w:val="clear" w:color="auto" w:fill="FFFFFF"/>
            <w:tcMar>
              <w:top w:w="40" w:type="dxa"/>
              <w:left w:w="20" w:type="dxa"/>
              <w:bottom w:w="40" w:type="dxa"/>
              <w:right w:w="20" w:type="dxa"/>
            </w:tcMar>
            <w:vAlign w:val="center"/>
          </w:tcPr>
          <w:p w14:paraId="35D096F3" w14:textId="77777777" w:rsidR="00D42204" w:rsidRDefault="004E439D">
            <w:pPr>
              <w:textAlignment w:val="center"/>
            </w:pPr>
            <w:r>
              <w:rPr>
                <w:rFonts w:ascii="Times New Roman" w:eastAsia="宋体" w:hAnsi="Times New Roman"/>
                <w:color w:val="000000"/>
                <w:sz w:val="16"/>
                <w:szCs w:val="16"/>
              </w:rPr>
              <w:t>    India</w:t>
            </w:r>
          </w:p>
        </w:tc>
        <w:tc>
          <w:tcPr>
            <w:tcW w:w="0" w:type="auto"/>
            <w:gridSpan w:val="3"/>
            <w:shd w:val="clear" w:color="auto" w:fill="FFFFFF"/>
            <w:tcMar>
              <w:top w:w="0" w:type="dxa"/>
              <w:left w:w="20" w:type="dxa"/>
              <w:bottom w:w="0" w:type="dxa"/>
              <w:right w:w="20" w:type="dxa"/>
            </w:tcMar>
            <w:vAlign w:val="bottom"/>
          </w:tcPr>
          <w:p w14:paraId="35D096F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6F5" w14:textId="77777777" w:rsidR="00D42204" w:rsidRDefault="004E439D">
            <w:pPr>
              <w:jc w:val="right"/>
              <w:textAlignment w:val="center"/>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center"/>
          </w:tcPr>
          <w:p w14:paraId="35D096F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6F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6F8" w14:textId="77777777" w:rsidR="00D42204" w:rsidRDefault="004E439D">
            <w:pPr>
              <w:jc w:val="right"/>
              <w:textAlignment w:val="center"/>
            </w:pPr>
            <w:r>
              <w:rPr>
                <w:rFonts w:ascii="Times New Roman" w:eastAsia="宋体" w:hAnsi="Times New Roman"/>
                <w:color w:val="000000"/>
                <w:sz w:val="16"/>
                <w:szCs w:val="16"/>
              </w:rPr>
              <w:t>27 </w:t>
            </w:r>
          </w:p>
        </w:tc>
        <w:tc>
          <w:tcPr>
            <w:tcW w:w="0" w:type="auto"/>
            <w:shd w:val="clear" w:color="auto" w:fill="FFFFFF"/>
            <w:tcMar>
              <w:top w:w="40" w:type="dxa"/>
              <w:left w:w="0" w:type="dxa"/>
              <w:bottom w:w="40" w:type="dxa"/>
              <w:right w:w="20" w:type="dxa"/>
            </w:tcMar>
            <w:vAlign w:val="center"/>
          </w:tcPr>
          <w:p w14:paraId="35D096F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6FA" w14:textId="77777777" w:rsidR="00D42204" w:rsidRDefault="00D42204">
            <w:pPr>
              <w:rPr>
                <w:rFonts w:ascii="宋体"/>
              </w:rPr>
            </w:pPr>
          </w:p>
        </w:tc>
        <w:tc>
          <w:tcPr>
            <w:tcW w:w="0" w:type="auto"/>
            <w:shd w:val="clear" w:color="auto" w:fill="auto"/>
            <w:vAlign w:val="bottom"/>
          </w:tcPr>
          <w:p w14:paraId="35D096FB" w14:textId="77777777" w:rsidR="00D42204" w:rsidRDefault="00D42204">
            <w:pPr>
              <w:rPr>
                <w:rFonts w:ascii="宋体"/>
                <w:vanish/>
              </w:rPr>
            </w:pPr>
          </w:p>
        </w:tc>
        <w:tc>
          <w:tcPr>
            <w:tcW w:w="0" w:type="auto"/>
            <w:shd w:val="clear" w:color="auto" w:fill="auto"/>
            <w:vAlign w:val="bottom"/>
          </w:tcPr>
          <w:p w14:paraId="35D096FC" w14:textId="77777777" w:rsidR="00D42204" w:rsidRDefault="00D42204">
            <w:pPr>
              <w:rPr>
                <w:rFonts w:ascii="宋体"/>
                <w:vanish/>
              </w:rPr>
            </w:pPr>
          </w:p>
        </w:tc>
        <w:tc>
          <w:tcPr>
            <w:tcW w:w="0" w:type="auto"/>
            <w:shd w:val="clear" w:color="auto" w:fill="auto"/>
            <w:vAlign w:val="bottom"/>
          </w:tcPr>
          <w:p w14:paraId="35D096FD" w14:textId="77777777" w:rsidR="00D42204" w:rsidRDefault="00D42204">
            <w:pPr>
              <w:rPr>
                <w:rFonts w:ascii="宋体"/>
                <w:vanish/>
              </w:rPr>
            </w:pPr>
          </w:p>
        </w:tc>
        <w:tc>
          <w:tcPr>
            <w:tcW w:w="0" w:type="auto"/>
            <w:shd w:val="clear" w:color="auto" w:fill="auto"/>
            <w:vAlign w:val="bottom"/>
          </w:tcPr>
          <w:p w14:paraId="35D096FE" w14:textId="77777777" w:rsidR="00D42204" w:rsidRDefault="00D42204">
            <w:pPr>
              <w:rPr>
                <w:rFonts w:ascii="宋体"/>
                <w:vanish/>
              </w:rPr>
            </w:pPr>
          </w:p>
        </w:tc>
        <w:tc>
          <w:tcPr>
            <w:tcW w:w="0" w:type="auto"/>
            <w:gridSpan w:val="2"/>
            <w:shd w:val="clear" w:color="auto" w:fill="FFFFFF"/>
            <w:tcMar>
              <w:top w:w="40" w:type="dxa"/>
              <w:left w:w="20" w:type="dxa"/>
              <w:bottom w:w="40" w:type="dxa"/>
              <w:right w:w="0" w:type="dxa"/>
            </w:tcMar>
            <w:vAlign w:val="center"/>
          </w:tcPr>
          <w:p w14:paraId="35D096FF" w14:textId="77777777" w:rsidR="00D42204" w:rsidRDefault="004E439D">
            <w:pPr>
              <w:jc w:val="right"/>
              <w:textAlignment w:val="center"/>
            </w:pPr>
            <w:r>
              <w:rPr>
                <w:rFonts w:ascii="Times New Roman" w:eastAsia="宋体" w:hAnsi="Times New Roman"/>
                <w:color w:val="000000"/>
                <w:sz w:val="16"/>
                <w:szCs w:val="16"/>
              </w:rPr>
              <w:t>29 </w:t>
            </w:r>
          </w:p>
        </w:tc>
        <w:tc>
          <w:tcPr>
            <w:tcW w:w="0" w:type="auto"/>
            <w:shd w:val="clear" w:color="auto" w:fill="FFFFFF"/>
            <w:tcMar>
              <w:top w:w="40" w:type="dxa"/>
              <w:left w:w="0" w:type="dxa"/>
              <w:bottom w:w="40" w:type="dxa"/>
              <w:right w:w="20" w:type="dxa"/>
            </w:tcMar>
            <w:vAlign w:val="center"/>
          </w:tcPr>
          <w:p w14:paraId="35D09700" w14:textId="77777777" w:rsidR="00D42204" w:rsidRDefault="00D42204">
            <w:pPr>
              <w:jc w:val="right"/>
              <w:rPr>
                <w:rFonts w:ascii="宋体"/>
              </w:rPr>
            </w:pPr>
          </w:p>
        </w:tc>
      </w:tr>
      <w:tr w:rsidR="00D42204" w14:paraId="35D09710" w14:textId="77777777">
        <w:tc>
          <w:tcPr>
            <w:tcW w:w="0" w:type="auto"/>
            <w:gridSpan w:val="3"/>
            <w:shd w:val="clear" w:color="auto" w:fill="CCEEFF"/>
            <w:tcMar>
              <w:top w:w="40" w:type="dxa"/>
              <w:left w:w="20" w:type="dxa"/>
              <w:bottom w:w="40" w:type="dxa"/>
              <w:right w:w="20" w:type="dxa"/>
            </w:tcMar>
            <w:vAlign w:val="center"/>
          </w:tcPr>
          <w:p w14:paraId="35D09702" w14:textId="77777777" w:rsidR="00D42204" w:rsidRDefault="004E439D">
            <w:pPr>
              <w:textAlignment w:val="center"/>
            </w:pPr>
            <w:r>
              <w:rPr>
                <w:rFonts w:ascii="Times New Roman" w:eastAsia="宋体" w:hAnsi="Times New Roman"/>
                <w:color w:val="000000"/>
                <w:sz w:val="16"/>
                <w:szCs w:val="16"/>
              </w:rPr>
              <w:t>    Mexico</w:t>
            </w:r>
          </w:p>
        </w:tc>
        <w:tc>
          <w:tcPr>
            <w:tcW w:w="0" w:type="auto"/>
            <w:gridSpan w:val="3"/>
            <w:shd w:val="clear" w:color="auto" w:fill="CCEEFF"/>
            <w:tcMar>
              <w:top w:w="0" w:type="dxa"/>
              <w:left w:w="20" w:type="dxa"/>
              <w:bottom w:w="0" w:type="dxa"/>
              <w:right w:w="20" w:type="dxa"/>
            </w:tcMar>
            <w:vAlign w:val="bottom"/>
          </w:tcPr>
          <w:p w14:paraId="35D0970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704" w14:textId="77777777" w:rsidR="00D42204" w:rsidRDefault="004E439D">
            <w:pPr>
              <w:jc w:val="right"/>
              <w:textAlignment w:val="center"/>
            </w:pPr>
            <w:r>
              <w:rPr>
                <w:rFonts w:ascii="Times New Roman" w:eastAsia="宋体" w:hAnsi="Times New Roman"/>
                <w:color w:val="000000"/>
                <w:sz w:val="16"/>
                <w:szCs w:val="16"/>
              </w:rPr>
              <w:t>704 </w:t>
            </w:r>
          </w:p>
        </w:tc>
        <w:tc>
          <w:tcPr>
            <w:tcW w:w="0" w:type="auto"/>
            <w:shd w:val="clear" w:color="auto" w:fill="CCEEFF"/>
            <w:tcMar>
              <w:top w:w="40" w:type="dxa"/>
              <w:left w:w="0" w:type="dxa"/>
              <w:bottom w:w="40" w:type="dxa"/>
              <w:right w:w="20" w:type="dxa"/>
            </w:tcMar>
            <w:vAlign w:val="center"/>
          </w:tcPr>
          <w:p w14:paraId="35D0970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70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707" w14:textId="77777777" w:rsidR="00D42204" w:rsidRDefault="004E439D">
            <w:pPr>
              <w:jc w:val="right"/>
              <w:textAlignment w:val="center"/>
            </w:pPr>
            <w:r>
              <w:rPr>
                <w:rFonts w:ascii="Times New Roman" w:eastAsia="宋体" w:hAnsi="Times New Roman"/>
                <w:color w:val="000000"/>
                <w:sz w:val="16"/>
                <w:szCs w:val="16"/>
              </w:rPr>
              <w:t>2,051 </w:t>
            </w:r>
          </w:p>
        </w:tc>
        <w:tc>
          <w:tcPr>
            <w:tcW w:w="0" w:type="auto"/>
            <w:shd w:val="clear" w:color="auto" w:fill="CCEEFF"/>
            <w:tcMar>
              <w:top w:w="40" w:type="dxa"/>
              <w:left w:w="0" w:type="dxa"/>
              <w:bottom w:w="40" w:type="dxa"/>
              <w:right w:w="20" w:type="dxa"/>
            </w:tcMar>
            <w:vAlign w:val="center"/>
          </w:tcPr>
          <w:p w14:paraId="35D0970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709" w14:textId="77777777" w:rsidR="00D42204" w:rsidRDefault="00D42204">
            <w:pPr>
              <w:rPr>
                <w:rFonts w:ascii="宋体"/>
              </w:rPr>
            </w:pPr>
          </w:p>
        </w:tc>
        <w:tc>
          <w:tcPr>
            <w:tcW w:w="0" w:type="auto"/>
            <w:shd w:val="clear" w:color="auto" w:fill="auto"/>
            <w:vAlign w:val="bottom"/>
          </w:tcPr>
          <w:p w14:paraId="35D0970A" w14:textId="77777777" w:rsidR="00D42204" w:rsidRDefault="00D42204">
            <w:pPr>
              <w:rPr>
                <w:rFonts w:ascii="宋体"/>
                <w:vanish/>
              </w:rPr>
            </w:pPr>
          </w:p>
        </w:tc>
        <w:tc>
          <w:tcPr>
            <w:tcW w:w="0" w:type="auto"/>
            <w:shd w:val="clear" w:color="auto" w:fill="auto"/>
            <w:vAlign w:val="bottom"/>
          </w:tcPr>
          <w:p w14:paraId="35D0970B" w14:textId="77777777" w:rsidR="00D42204" w:rsidRDefault="00D42204">
            <w:pPr>
              <w:rPr>
                <w:rFonts w:ascii="宋体"/>
                <w:vanish/>
              </w:rPr>
            </w:pPr>
          </w:p>
        </w:tc>
        <w:tc>
          <w:tcPr>
            <w:tcW w:w="0" w:type="auto"/>
            <w:shd w:val="clear" w:color="auto" w:fill="auto"/>
            <w:vAlign w:val="bottom"/>
          </w:tcPr>
          <w:p w14:paraId="35D0970C" w14:textId="77777777" w:rsidR="00D42204" w:rsidRDefault="00D42204">
            <w:pPr>
              <w:rPr>
                <w:rFonts w:ascii="宋体"/>
                <w:vanish/>
              </w:rPr>
            </w:pPr>
          </w:p>
        </w:tc>
        <w:tc>
          <w:tcPr>
            <w:tcW w:w="0" w:type="auto"/>
            <w:shd w:val="clear" w:color="auto" w:fill="auto"/>
            <w:vAlign w:val="bottom"/>
          </w:tcPr>
          <w:p w14:paraId="35D0970D" w14:textId="77777777" w:rsidR="00D42204" w:rsidRDefault="00D42204">
            <w:pPr>
              <w:rPr>
                <w:rFonts w:ascii="宋体"/>
                <w:vanish/>
              </w:rPr>
            </w:pPr>
          </w:p>
        </w:tc>
        <w:tc>
          <w:tcPr>
            <w:tcW w:w="0" w:type="auto"/>
            <w:gridSpan w:val="2"/>
            <w:shd w:val="clear" w:color="auto" w:fill="CCEEFF"/>
            <w:tcMar>
              <w:top w:w="40" w:type="dxa"/>
              <w:left w:w="20" w:type="dxa"/>
              <w:bottom w:w="40" w:type="dxa"/>
              <w:right w:w="0" w:type="dxa"/>
            </w:tcMar>
            <w:vAlign w:val="center"/>
          </w:tcPr>
          <w:p w14:paraId="35D0970E" w14:textId="77777777" w:rsidR="00D42204" w:rsidRDefault="004E439D">
            <w:pPr>
              <w:jc w:val="right"/>
              <w:textAlignment w:val="center"/>
            </w:pPr>
            <w:r>
              <w:rPr>
                <w:rFonts w:ascii="Times New Roman" w:eastAsia="宋体" w:hAnsi="Times New Roman"/>
                <w:color w:val="000000"/>
                <w:sz w:val="16"/>
                <w:szCs w:val="16"/>
              </w:rPr>
              <w:t>2,755 </w:t>
            </w:r>
          </w:p>
        </w:tc>
        <w:tc>
          <w:tcPr>
            <w:tcW w:w="0" w:type="auto"/>
            <w:shd w:val="clear" w:color="auto" w:fill="CCEEFF"/>
            <w:tcMar>
              <w:top w:w="40" w:type="dxa"/>
              <w:left w:w="0" w:type="dxa"/>
              <w:bottom w:w="40" w:type="dxa"/>
              <w:right w:w="20" w:type="dxa"/>
            </w:tcMar>
            <w:vAlign w:val="center"/>
          </w:tcPr>
          <w:p w14:paraId="35D0970F" w14:textId="77777777" w:rsidR="00D42204" w:rsidRDefault="00D42204">
            <w:pPr>
              <w:jc w:val="right"/>
              <w:rPr>
                <w:rFonts w:ascii="宋体"/>
              </w:rPr>
            </w:pPr>
          </w:p>
        </w:tc>
      </w:tr>
      <w:tr w:rsidR="00D42204" w14:paraId="35D0971F" w14:textId="77777777">
        <w:tc>
          <w:tcPr>
            <w:tcW w:w="0" w:type="auto"/>
            <w:gridSpan w:val="3"/>
            <w:shd w:val="clear" w:color="auto" w:fill="FFFFFF"/>
            <w:tcMar>
              <w:top w:w="40" w:type="dxa"/>
              <w:left w:w="20" w:type="dxa"/>
              <w:bottom w:w="40" w:type="dxa"/>
              <w:right w:w="20" w:type="dxa"/>
            </w:tcMar>
            <w:vAlign w:val="center"/>
          </w:tcPr>
          <w:p w14:paraId="35D09711" w14:textId="77777777" w:rsidR="00D42204" w:rsidRDefault="004E439D">
            <w:pPr>
              <w:textAlignment w:val="center"/>
            </w:pPr>
            <w:r>
              <w:rPr>
                <w:rFonts w:ascii="Times New Roman" w:eastAsia="宋体" w:hAnsi="Times New Roman"/>
                <w:b/>
                <w:bCs/>
                <w:color w:val="000000"/>
                <w:sz w:val="16"/>
                <w:szCs w:val="16"/>
              </w:rPr>
              <w:t>            Total International retail units</w:t>
            </w:r>
          </w:p>
        </w:tc>
        <w:tc>
          <w:tcPr>
            <w:tcW w:w="0" w:type="auto"/>
            <w:gridSpan w:val="3"/>
            <w:shd w:val="clear" w:color="auto" w:fill="FFFFFF"/>
            <w:tcMar>
              <w:top w:w="0" w:type="dxa"/>
              <w:left w:w="20" w:type="dxa"/>
              <w:bottom w:w="0" w:type="dxa"/>
              <w:right w:w="20" w:type="dxa"/>
            </w:tcMar>
            <w:vAlign w:val="bottom"/>
          </w:tcPr>
          <w:p w14:paraId="35D09712"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9713" w14:textId="77777777" w:rsidR="00D42204" w:rsidRDefault="004E439D">
            <w:pPr>
              <w:jc w:val="right"/>
              <w:textAlignment w:val="center"/>
            </w:pPr>
            <w:r>
              <w:rPr>
                <w:rFonts w:ascii="Times New Roman" w:eastAsia="宋体" w:hAnsi="Times New Roman"/>
                <w:color w:val="000000"/>
                <w:sz w:val="16"/>
                <w:szCs w:val="16"/>
              </w:rPr>
              <w:t>1,440 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971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715"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9716" w14:textId="77777777" w:rsidR="00D42204" w:rsidRDefault="004E439D">
            <w:pPr>
              <w:jc w:val="right"/>
              <w:textAlignment w:val="center"/>
            </w:pPr>
            <w:r>
              <w:rPr>
                <w:rFonts w:ascii="Times New Roman" w:eastAsia="宋体" w:hAnsi="Times New Roman"/>
                <w:color w:val="000000"/>
                <w:sz w:val="16"/>
                <w:szCs w:val="16"/>
              </w:rPr>
              <w:t>3,811 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971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718" w14:textId="77777777" w:rsidR="00D42204" w:rsidRDefault="00D42204">
            <w:pPr>
              <w:rPr>
                <w:rFonts w:ascii="宋体"/>
              </w:rPr>
            </w:pPr>
          </w:p>
        </w:tc>
        <w:tc>
          <w:tcPr>
            <w:tcW w:w="0" w:type="auto"/>
            <w:shd w:val="clear" w:color="auto" w:fill="auto"/>
            <w:vAlign w:val="bottom"/>
          </w:tcPr>
          <w:p w14:paraId="35D09719" w14:textId="77777777" w:rsidR="00D42204" w:rsidRDefault="00D42204">
            <w:pPr>
              <w:rPr>
                <w:rFonts w:ascii="宋体"/>
                <w:vanish/>
              </w:rPr>
            </w:pPr>
          </w:p>
        </w:tc>
        <w:tc>
          <w:tcPr>
            <w:tcW w:w="0" w:type="auto"/>
            <w:shd w:val="clear" w:color="auto" w:fill="auto"/>
            <w:vAlign w:val="bottom"/>
          </w:tcPr>
          <w:p w14:paraId="35D0971A" w14:textId="77777777" w:rsidR="00D42204" w:rsidRDefault="00D42204">
            <w:pPr>
              <w:rPr>
                <w:rFonts w:ascii="宋体"/>
                <w:vanish/>
              </w:rPr>
            </w:pPr>
          </w:p>
        </w:tc>
        <w:tc>
          <w:tcPr>
            <w:tcW w:w="0" w:type="auto"/>
            <w:shd w:val="clear" w:color="auto" w:fill="auto"/>
            <w:vAlign w:val="bottom"/>
          </w:tcPr>
          <w:p w14:paraId="35D0971B" w14:textId="77777777" w:rsidR="00D42204" w:rsidRDefault="00D42204">
            <w:pPr>
              <w:rPr>
                <w:rFonts w:ascii="宋体"/>
                <w:vanish/>
              </w:rPr>
            </w:pPr>
          </w:p>
        </w:tc>
        <w:tc>
          <w:tcPr>
            <w:tcW w:w="0" w:type="auto"/>
            <w:shd w:val="clear" w:color="auto" w:fill="auto"/>
            <w:vAlign w:val="bottom"/>
          </w:tcPr>
          <w:p w14:paraId="35D0971C" w14:textId="77777777" w:rsidR="00D42204" w:rsidRDefault="00D42204">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971D" w14:textId="77777777" w:rsidR="00D42204" w:rsidRDefault="004E439D">
            <w:pPr>
              <w:jc w:val="right"/>
              <w:textAlignment w:val="center"/>
            </w:pPr>
            <w:r>
              <w:rPr>
                <w:rFonts w:ascii="Times New Roman" w:eastAsia="宋体" w:hAnsi="Times New Roman"/>
                <w:color w:val="000000"/>
                <w:sz w:val="16"/>
                <w:szCs w:val="16"/>
              </w:rPr>
              <w:t>5,251 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971E" w14:textId="77777777" w:rsidR="00D42204" w:rsidRDefault="00D42204">
            <w:pPr>
              <w:jc w:val="right"/>
              <w:rPr>
                <w:rFonts w:ascii="宋体"/>
              </w:rPr>
            </w:pPr>
          </w:p>
        </w:tc>
      </w:tr>
      <w:tr w:rsidR="00D42204" w14:paraId="35D0972E" w14:textId="77777777">
        <w:tc>
          <w:tcPr>
            <w:tcW w:w="0" w:type="auto"/>
            <w:gridSpan w:val="3"/>
            <w:shd w:val="clear" w:color="auto" w:fill="CCEEFF"/>
            <w:tcMar>
              <w:top w:w="40" w:type="dxa"/>
              <w:left w:w="20" w:type="dxa"/>
              <w:bottom w:w="40" w:type="dxa"/>
              <w:right w:w="20" w:type="dxa"/>
            </w:tcMar>
            <w:vAlign w:val="center"/>
          </w:tcPr>
          <w:p w14:paraId="35D09720" w14:textId="77777777" w:rsidR="00D42204" w:rsidRDefault="004E439D">
            <w:pPr>
              <w:textAlignment w:val="center"/>
            </w:pPr>
            <w:r>
              <w:rPr>
                <w:rFonts w:ascii="Times New Roman" w:eastAsia="宋体" w:hAnsi="Times New Roman"/>
                <w:color w:val="000000"/>
                <w:sz w:val="16"/>
                <w:szCs w:val="16"/>
              </w:rPr>
              <w:t>International distribution facilities</w:t>
            </w:r>
          </w:p>
        </w:tc>
        <w:tc>
          <w:tcPr>
            <w:tcW w:w="0" w:type="auto"/>
            <w:gridSpan w:val="3"/>
            <w:shd w:val="clear" w:color="auto" w:fill="CCEEFF"/>
            <w:tcMar>
              <w:top w:w="0" w:type="dxa"/>
              <w:left w:w="20" w:type="dxa"/>
              <w:bottom w:w="0" w:type="dxa"/>
              <w:right w:w="20" w:type="dxa"/>
            </w:tcMar>
            <w:vAlign w:val="bottom"/>
          </w:tcPr>
          <w:p w14:paraId="35D0972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722" w14:textId="77777777" w:rsidR="00D42204" w:rsidRDefault="004E439D">
            <w:pPr>
              <w:jc w:val="right"/>
              <w:textAlignment w:val="center"/>
            </w:pPr>
            <w:r>
              <w:rPr>
                <w:rFonts w:ascii="Times New Roman" w:eastAsia="宋体" w:hAnsi="Times New Roman"/>
                <w:color w:val="000000"/>
                <w:sz w:val="16"/>
                <w:szCs w:val="16"/>
              </w:rPr>
              <w:t>22 </w:t>
            </w:r>
          </w:p>
        </w:tc>
        <w:tc>
          <w:tcPr>
            <w:tcW w:w="0" w:type="auto"/>
            <w:shd w:val="clear" w:color="auto" w:fill="CCEEFF"/>
            <w:tcMar>
              <w:top w:w="40" w:type="dxa"/>
              <w:left w:w="0" w:type="dxa"/>
              <w:bottom w:w="40" w:type="dxa"/>
              <w:right w:w="20" w:type="dxa"/>
            </w:tcMar>
            <w:vAlign w:val="center"/>
          </w:tcPr>
          <w:p w14:paraId="35D0972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72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725" w14:textId="77777777" w:rsidR="00D42204" w:rsidRDefault="004E439D">
            <w:pPr>
              <w:jc w:val="right"/>
              <w:textAlignment w:val="center"/>
            </w:pPr>
            <w:r>
              <w:rPr>
                <w:rFonts w:ascii="Times New Roman" w:eastAsia="宋体" w:hAnsi="Times New Roman"/>
                <w:color w:val="000000"/>
                <w:sz w:val="16"/>
                <w:szCs w:val="16"/>
              </w:rPr>
              <w:t>157 </w:t>
            </w:r>
          </w:p>
        </w:tc>
        <w:tc>
          <w:tcPr>
            <w:tcW w:w="0" w:type="auto"/>
            <w:shd w:val="clear" w:color="auto" w:fill="CCEEFF"/>
            <w:tcMar>
              <w:top w:w="40" w:type="dxa"/>
              <w:left w:w="0" w:type="dxa"/>
              <w:bottom w:w="40" w:type="dxa"/>
              <w:right w:w="20" w:type="dxa"/>
            </w:tcMar>
            <w:vAlign w:val="center"/>
          </w:tcPr>
          <w:p w14:paraId="35D0972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727" w14:textId="77777777" w:rsidR="00D42204" w:rsidRDefault="00D42204">
            <w:pPr>
              <w:rPr>
                <w:rFonts w:ascii="宋体"/>
              </w:rPr>
            </w:pPr>
          </w:p>
        </w:tc>
        <w:tc>
          <w:tcPr>
            <w:tcW w:w="0" w:type="auto"/>
            <w:shd w:val="clear" w:color="auto" w:fill="auto"/>
            <w:vAlign w:val="bottom"/>
          </w:tcPr>
          <w:p w14:paraId="35D09728" w14:textId="77777777" w:rsidR="00D42204" w:rsidRDefault="00D42204">
            <w:pPr>
              <w:rPr>
                <w:rFonts w:ascii="宋体"/>
                <w:vanish/>
              </w:rPr>
            </w:pPr>
          </w:p>
        </w:tc>
        <w:tc>
          <w:tcPr>
            <w:tcW w:w="0" w:type="auto"/>
            <w:shd w:val="clear" w:color="auto" w:fill="auto"/>
            <w:vAlign w:val="bottom"/>
          </w:tcPr>
          <w:p w14:paraId="35D09729" w14:textId="77777777" w:rsidR="00D42204" w:rsidRDefault="00D42204">
            <w:pPr>
              <w:rPr>
                <w:rFonts w:ascii="宋体"/>
                <w:vanish/>
              </w:rPr>
            </w:pPr>
          </w:p>
        </w:tc>
        <w:tc>
          <w:tcPr>
            <w:tcW w:w="0" w:type="auto"/>
            <w:shd w:val="clear" w:color="auto" w:fill="auto"/>
            <w:vAlign w:val="bottom"/>
          </w:tcPr>
          <w:p w14:paraId="35D0972A" w14:textId="77777777" w:rsidR="00D42204" w:rsidRDefault="00D42204">
            <w:pPr>
              <w:rPr>
                <w:rFonts w:ascii="宋体"/>
                <w:vanish/>
              </w:rPr>
            </w:pPr>
          </w:p>
        </w:tc>
        <w:tc>
          <w:tcPr>
            <w:tcW w:w="0" w:type="auto"/>
            <w:shd w:val="clear" w:color="auto" w:fill="auto"/>
            <w:vAlign w:val="bottom"/>
          </w:tcPr>
          <w:p w14:paraId="35D0972B" w14:textId="77777777" w:rsidR="00D42204" w:rsidRDefault="00D42204">
            <w:pPr>
              <w:rPr>
                <w:rFonts w:ascii="宋体"/>
                <w:vanish/>
              </w:rPr>
            </w:pPr>
          </w:p>
        </w:tc>
        <w:tc>
          <w:tcPr>
            <w:tcW w:w="0" w:type="auto"/>
            <w:gridSpan w:val="2"/>
            <w:shd w:val="clear" w:color="auto" w:fill="CCEEFF"/>
            <w:tcMar>
              <w:top w:w="40" w:type="dxa"/>
              <w:left w:w="20" w:type="dxa"/>
              <w:bottom w:w="40" w:type="dxa"/>
              <w:right w:w="0" w:type="dxa"/>
            </w:tcMar>
            <w:vAlign w:val="center"/>
          </w:tcPr>
          <w:p w14:paraId="35D0972C" w14:textId="77777777" w:rsidR="00D42204" w:rsidRDefault="004E439D">
            <w:pPr>
              <w:jc w:val="right"/>
              <w:textAlignment w:val="center"/>
            </w:pPr>
            <w:r>
              <w:rPr>
                <w:rFonts w:ascii="Times New Roman" w:eastAsia="宋体" w:hAnsi="Times New Roman"/>
                <w:color w:val="000000"/>
                <w:sz w:val="16"/>
                <w:szCs w:val="16"/>
              </w:rPr>
              <w:t>179 </w:t>
            </w:r>
          </w:p>
        </w:tc>
        <w:tc>
          <w:tcPr>
            <w:tcW w:w="0" w:type="auto"/>
            <w:shd w:val="clear" w:color="auto" w:fill="CCEEFF"/>
            <w:tcMar>
              <w:top w:w="40" w:type="dxa"/>
              <w:left w:w="0" w:type="dxa"/>
              <w:bottom w:w="40" w:type="dxa"/>
              <w:right w:w="20" w:type="dxa"/>
            </w:tcMar>
            <w:vAlign w:val="center"/>
          </w:tcPr>
          <w:p w14:paraId="35D0972D" w14:textId="77777777" w:rsidR="00D42204" w:rsidRDefault="00D42204">
            <w:pPr>
              <w:jc w:val="right"/>
              <w:rPr>
                <w:rFonts w:ascii="宋体"/>
              </w:rPr>
            </w:pPr>
          </w:p>
        </w:tc>
      </w:tr>
      <w:tr w:rsidR="00D42204" w14:paraId="35D0973D" w14:textId="77777777">
        <w:tc>
          <w:tcPr>
            <w:tcW w:w="0" w:type="auto"/>
            <w:gridSpan w:val="3"/>
            <w:shd w:val="clear" w:color="auto" w:fill="FFFFFF"/>
            <w:tcMar>
              <w:top w:w="40" w:type="dxa"/>
              <w:left w:w="515" w:type="dxa"/>
              <w:bottom w:w="40" w:type="dxa"/>
              <w:right w:w="20" w:type="dxa"/>
            </w:tcMar>
            <w:vAlign w:val="center"/>
          </w:tcPr>
          <w:p w14:paraId="35D0972F" w14:textId="77777777" w:rsidR="00D42204" w:rsidRDefault="004E439D">
            <w:pPr>
              <w:textAlignment w:val="center"/>
            </w:pPr>
            <w:r>
              <w:rPr>
                <w:rFonts w:ascii="Times New Roman" w:eastAsia="宋体" w:hAnsi="Times New Roman"/>
                <w:b/>
                <w:bCs/>
                <w:color w:val="000000"/>
                <w:sz w:val="16"/>
                <w:szCs w:val="16"/>
              </w:rPr>
              <w:t>Total International properties</w:t>
            </w:r>
          </w:p>
        </w:tc>
        <w:tc>
          <w:tcPr>
            <w:tcW w:w="0" w:type="auto"/>
            <w:gridSpan w:val="3"/>
            <w:shd w:val="clear" w:color="auto" w:fill="FFFFFF"/>
            <w:tcMar>
              <w:top w:w="0" w:type="dxa"/>
              <w:left w:w="20" w:type="dxa"/>
              <w:bottom w:w="0" w:type="dxa"/>
              <w:right w:w="20" w:type="dxa"/>
            </w:tcMar>
            <w:vAlign w:val="bottom"/>
          </w:tcPr>
          <w:p w14:paraId="35D09730"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9731" w14:textId="77777777" w:rsidR="00D42204" w:rsidRDefault="004E439D">
            <w:pPr>
              <w:jc w:val="right"/>
              <w:textAlignment w:val="center"/>
            </w:pPr>
            <w:r>
              <w:rPr>
                <w:rFonts w:ascii="Times New Roman" w:eastAsia="宋体" w:hAnsi="Times New Roman"/>
                <w:color w:val="000000"/>
                <w:sz w:val="16"/>
                <w:szCs w:val="16"/>
              </w:rPr>
              <w:t>1,462 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973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733"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9734" w14:textId="77777777" w:rsidR="00D42204" w:rsidRDefault="004E439D">
            <w:pPr>
              <w:jc w:val="right"/>
              <w:textAlignment w:val="center"/>
            </w:pPr>
            <w:r>
              <w:rPr>
                <w:rFonts w:ascii="Times New Roman" w:eastAsia="宋体" w:hAnsi="Times New Roman"/>
                <w:color w:val="000000"/>
                <w:sz w:val="16"/>
                <w:szCs w:val="16"/>
              </w:rPr>
              <w:t>3,968 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973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736" w14:textId="77777777" w:rsidR="00D42204" w:rsidRDefault="00D42204">
            <w:pPr>
              <w:rPr>
                <w:rFonts w:ascii="宋体"/>
              </w:rPr>
            </w:pPr>
          </w:p>
        </w:tc>
        <w:tc>
          <w:tcPr>
            <w:tcW w:w="0" w:type="auto"/>
            <w:shd w:val="clear" w:color="auto" w:fill="auto"/>
            <w:vAlign w:val="bottom"/>
          </w:tcPr>
          <w:p w14:paraId="35D09737" w14:textId="77777777" w:rsidR="00D42204" w:rsidRDefault="00D42204">
            <w:pPr>
              <w:rPr>
                <w:rFonts w:ascii="宋体"/>
                <w:vanish/>
              </w:rPr>
            </w:pPr>
          </w:p>
        </w:tc>
        <w:tc>
          <w:tcPr>
            <w:tcW w:w="0" w:type="auto"/>
            <w:shd w:val="clear" w:color="auto" w:fill="auto"/>
            <w:vAlign w:val="bottom"/>
          </w:tcPr>
          <w:p w14:paraId="35D09738" w14:textId="77777777" w:rsidR="00D42204" w:rsidRDefault="00D42204">
            <w:pPr>
              <w:rPr>
                <w:rFonts w:ascii="宋体"/>
                <w:vanish/>
              </w:rPr>
            </w:pPr>
          </w:p>
        </w:tc>
        <w:tc>
          <w:tcPr>
            <w:tcW w:w="0" w:type="auto"/>
            <w:shd w:val="clear" w:color="auto" w:fill="auto"/>
            <w:vAlign w:val="bottom"/>
          </w:tcPr>
          <w:p w14:paraId="35D09739" w14:textId="77777777" w:rsidR="00D42204" w:rsidRDefault="00D42204">
            <w:pPr>
              <w:rPr>
                <w:rFonts w:ascii="宋体"/>
                <w:vanish/>
              </w:rPr>
            </w:pPr>
          </w:p>
        </w:tc>
        <w:tc>
          <w:tcPr>
            <w:tcW w:w="0" w:type="auto"/>
            <w:shd w:val="clear" w:color="auto" w:fill="auto"/>
            <w:vAlign w:val="bottom"/>
          </w:tcPr>
          <w:p w14:paraId="35D0973A" w14:textId="77777777" w:rsidR="00D42204" w:rsidRDefault="00D42204">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973B" w14:textId="77777777" w:rsidR="00D42204" w:rsidRDefault="004E439D">
            <w:pPr>
              <w:jc w:val="right"/>
              <w:textAlignment w:val="center"/>
            </w:pPr>
            <w:r>
              <w:rPr>
                <w:rFonts w:ascii="Times New Roman" w:eastAsia="宋体" w:hAnsi="Times New Roman"/>
                <w:color w:val="000000"/>
                <w:sz w:val="16"/>
                <w:szCs w:val="16"/>
              </w:rPr>
              <w:t>5,430 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973C" w14:textId="77777777" w:rsidR="00D42204" w:rsidRDefault="00D42204">
            <w:pPr>
              <w:jc w:val="right"/>
              <w:rPr>
                <w:rFonts w:ascii="宋体"/>
              </w:rPr>
            </w:pPr>
          </w:p>
        </w:tc>
      </w:tr>
      <w:tr w:rsidR="00D42204" w14:paraId="35D0974C" w14:textId="77777777">
        <w:tc>
          <w:tcPr>
            <w:tcW w:w="0" w:type="auto"/>
            <w:gridSpan w:val="3"/>
            <w:shd w:val="clear" w:color="auto" w:fill="CCEEFF"/>
            <w:tcMar>
              <w:top w:w="40" w:type="dxa"/>
              <w:left w:w="20" w:type="dxa"/>
              <w:bottom w:w="40" w:type="dxa"/>
              <w:right w:w="20" w:type="dxa"/>
            </w:tcMar>
            <w:vAlign w:val="center"/>
          </w:tcPr>
          <w:p w14:paraId="35D0973E" w14:textId="77777777" w:rsidR="00D42204" w:rsidRDefault="004E439D">
            <w:pPr>
              <w:textAlignment w:val="center"/>
            </w:pPr>
            <w:r>
              <w:rPr>
                <w:rFonts w:ascii="Times New Roman" w:eastAsia="宋体" w:hAnsi="Times New Roman"/>
                <w:b/>
                <w:bCs/>
                <w:color w:val="000000"/>
                <w:sz w:val="16"/>
                <w:szCs w:val="16"/>
              </w:rPr>
              <w:t>Total properties</w:t>
            </w:r>
          </w:p>
        </w:tc>
        <w:tc>
          <w:tcPr>
            <w:tcW w:w="0" w:type="auto"/>
            <w:gridSpan w:val="3"/>
            <w:shd w:val="clear" w:color="auto" w:fill="CCEEFF"/>
            <w:tcMar>
              <w:top w:w="0" w:type="dxa"/>
              <w:left w:w="20" w:type="dxa"/>
              <w:bottom w:w="0" w:type="dxa"/>
              <w:right w:w="20" w:type="dxa"/>
            </w:tcMar>
            <w:vAlign w:val="bottom"/>
          </w:tcPr>
          <w:p w14:paraId="35D0973F"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740" w14:textId="77777777" w:rsidR="00D42204" w:rsidRDefault="004E439D">
            <w:pPr>
              <w:jc w:val="right"/>
              <w:textAlignment w:val="center"/>
            </w:pPr>
            <w:r>
              <w:rPr>
                <w:rFonts w:ascii="Times New Roman" w:eastAsia="宋体" w:hAnsi="Times New Roman"/>
                <w:b/>
                <w:bCs/>
                <w:color w:val="000000"/>
                <w:sz w:val="16"/>
                <w:szCs w:val="16"/>
              </w:rPr>
              <w:t>6,161</w:t>
            </w: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74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742"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743" w14:textId="77777777" w:rsidR="00D42204" w:rsidRDefault="004E439D">
            <w:pPr>
              <w:jc w:val="right"/>
              <w:textAlignment w:val="center"/>
            </w:pPr>
            <w:r>
              <w:rPr>
                <w:rFonts w:ascii="Times New Roman" w:eastAsia="宋体" w:hAnsi="Times New Roman"/>
                <w:b/>
                <w:bCs/>
                <w:color w:val="000000"/>
                <w:sz w:val="16"/>
                <w:szCs w:val="16"/>
              </w:rPr>
              <w:t>4,796</w:t>
            </w: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74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745" w14:textId="77777777" w:rsidR="00D42204" w:rsidRDefault="00D42204">
            <w:pPr>
              <w:rPr>
                <w:rFonts w:ascii="宋体"/>
              </w:rPr>
            </w:pPr>
          </w:p>
        </w:tc>
        <w:tc>
          <w:tcPr>
            <w:tcW w:w="0" w:type="auto"/>
            <w:shd w:val="clear" w:color="auto" w:fill="auto"/>
            <w:vAlign w:val="bottom"/>
          </w:tcPr>
          <w:p w14:paraId="35D09746" w14:textId="77777777" w:rsidR="00D42204" w:rsidRDefault="00D42204">
            <w:pPr>
              <w:rPr>
                <w:rFonts w:ascii="宋体"/>
                <w:vanish/>
              </w:rPr>
            </w:pPr>
          </w:p>
        </w:tc>
        <w:tc>
          <w:tcPr>
            <w:tcW w:w="0" w:type="auto"/>
            <w:shd w:val="clear" w:color="auto" w:fill="auto"/>
            <w:vAlign w:val="bottom"/>
          </w:tcPr>
          <w:p w14:paraId="35D09747" w14:textId="77777777" w:rsidR="00D42204" w:rsidRDefault="00D42204">
            <w:pPr>
              <w:rPr>
                <w:rFonts w:ascii="宋体"/>
                <w:vanish/>
              </w:rPr>
            </w:pPr>
          </w:p>
        </w:tc>
        <w:tc>
          <w:tcPr>
            <w:tcW w:w="0" w:type="auto"/>
            <w:shd w:val="clear" w:color="auto" w:fill="auto"/>
            <w:vAlign w:val="bottom"/>
          </w:tcPr>
          <w:p w14:paraId="35D09748" w14:textId="77777777" w:rsidR="00D42204" w:rsidRDefault="00D42204">
            <w:pPr>
              <w:rPr>
                <w:rFonts w:ascii="宋体"/>
                <w:vanish/>
              </w:rPr>
            </w:pPr>
          </w:p>
        </w:tc>
        <w:tc>
          <w:tcPr>
            <w:tcW w:w="0" w:type="auto"/>
            <w:shd w:val="clear" w:color="auto" w:fill="auto"/>
            <w:vAlign w:val="bottom"/>
          </w:tcPr>
          <w:p w14:paraId="35D09749" w14:textId="77777777" w:rsidR="00D42204" w:rsidRDefault="00D42204">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974A" w14:textId="77777777" w:rsidR="00D42204" w:rsidRDefault="004E439D">
            <w:pPr>
              <w:jc w:val="right"/>
              <w:textAlignment w:val="center"/>
            </w:pPr>
            <w:r>
              <w:rPr>
                <w:rFonts w:ascii="Times New Roman" w:eastAsia="宋体" w:hAnsi="Times New Roman"/>
                <w:b/>
                <w:bCs/>
                <w:color w:val="000000"/>
                <w:sz w:val="16"/>
                <w:szCs w:val="16"/>
              </w:rPr>
              <w:t>10,957</w:t>
            </w: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74B" w14:textId="77777777" w:rsidR="00D42204" w:rsidRDefault="00D42204">
            <w:pPr>
              <w:jc w:val="right"/>
              <w:rPr>
                <w:rFonts w:ascii="宋体"/>
              </w:rPr>
            </w:pPr>
          </w:p>
        </w:tc>
      </w:tr>
      <w:tr w:rsidR="00D42204" w14:paraId="35D09758" w14:textId="77777777">
        <w:trPr>
          <w:trHeight w:val="240"/>
        </w:trPr>
        <w:tc>
          <w:tcPr>
            <w:tcW w:w="0" w:type="auto"/>
            <w:gridSpan w:val="3"/>
            <w:shd w:val="clear" w:color="auto" w:fill="FFFFFF"/>
            <w:tcMar>
              <w:top w:w="0" w:type="dxa"/>
              <w:left w:w="20" w:type="dxa"/>
              <w:bottom w:w="0" w:type="dxa"/>
              <w:right w:w="20" w:type="dxa"/>
            </w:tcMar>
            <w:vAlign w:val="bottom"/>
          </w:tcPr>
          <w:p w14:paraId="35D0974D"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74E" w14:textId="77777777" w:rsidR="00D42204" w:rsidRDefault="00D4220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D0974F"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750" w14:textId="77777777" w:rsidR="00D42204" w:rsidRDefault="00D4220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D09751"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752" w14:textId="77777777" w:rsidR="00D42204" w:rsidRDefault="00D42204">
            <w:pPr>
              <w:rPr>
                <w:rFonts w:ascii="宋体"/>
              </w:rPr>
            </w:pPr>
          </w:p>
        </w:tc>
        <w:tc>
          <w:tcPr>
            <w:tcW w:w="0" w:type="auto"/>
            <w:shd w:val="clear" w:color="auto" w:fill="auto"/>
            <w:vAlign w:val="bottom"/>
          </w:tcPr>
          <w:p w14:paraId="35D09753" w14:textId="77777777" w:rsidR="00D42204" w:rsidRDefault="00D42204">
            <w:pPr>
              <w:rPr>
                <w:rFonts w:ascii="宋体"/>
                <w:vanish/>
              </w:rPr>
            </w:pPr>
          </w:p>
        </w:tc>
        <w:tc>
          <w:tcPr>
            <w:tcW w:w="0" w:type="auto"/>
            <w:shd w:val="clear" w:color="auto" w:fill="auto"/>
            <w:vAlign w:val="bottom"/>
          </w:tcPr>
          <w:p w14:paraId="35D09754" w14:textId="77777777" w:rsidR="00D42204" w:rsidRDefault="00D42204">
            <w:pPr>
              <w:rPr>
                <w:rFonts w:ascii="宋体"/>
                <w:vanish/>
              </w:rPr>
            </w:pPr>
          </w:p>
        </w:tc>
        <w:tc>
          <w:tcPr>
            <w:tcW w:w="0" w:type="auto"/>
            <w:shd w:val="clear" w:color="auto" w:fill="auto"/>
            <w:vAlign w:val="bottom"/>
          </w:tcPr>
          <w:p w14:paraId="35D09755" w14:textId="77777777" w:rsidR="00D42204" w:rsidRDefault="00D42204">
            <w:pPr>
              <w:rPr>
                <w:rFonts w:ascii="宋体"/>
                <w:vanish/>
              </w:rPr>
            </w:pPr>
          </w:p>
        </w:tc>
        <w:tc>
          <w:tcPr>
            <w:tcW w:w="0" w:type="auto"/>
            <w:shd w:val="clear" w:color="auto" w:fill="auto"/>
            <w:vAlign w:val="bottom"/>
          </w:tcPr>
          <w:p w14:paraId="35D09756" w14:textId="77777777" w:rsidR="00D42204" w:rsidRDefault="00D42204">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D09757" w14:textId="77777777" w:rsidR="00D42204" w:rsidRDefault="00D42204">
            <w:pPr>
              <w:rPr>
                <w:rFonts w:ascii="宋体"/>
              </w:rPr>
            </w:pPr>
          </w:p>
        </w:tc>
      </w:tr>
      <w:tr w:rsidR="00D42204" w14:paraId="35D09767" w14:textId="77777777">
        <w:tc>
          <w:tcPr>
            <w:tcW w:w="0" w:type="auto"/>
            <w:gridSpan w:val="3"/>
            <w:shd w:val="clear" w:color="auto" w:fill="CCEEFF"/>
            <w:tcMar>
              <w:top w:w="40" w:type="dxa"/>
              <w:left w:w="20" w:type="dxa"/>
              <w:bottom w:w="40" w:type="dxa"/>
              <w:right w:w="20" w:type="dxa"/>
            </w:tcMar>
            <w:vAlign w:val="center"/>
          </w:tcPr>
          <w:p w14:paraId="35D09759" w14:textId="77777777" w:rsidR="00D42204" w:rsidRDefault="004E439D">
            <w:pPr>
              <w:textAlignment w:val="center"/>
            </w:pPr>
            <w:r>
              <w:rPr>
                <w:rFonts w:ascii="Times New Roman" w:eastAsia="宋体" w:hAnsi="Times New Roman"/>
                <w:b/>
                <w:bCs/>
                <w:color w:val="000000"/>
                <w:sz w:val="16"/>
                <w:szCs w:val="16"/>
              </w:rPr>
              <w:t>Total retail units</w:t>
            </w:r>
          </w:p>
        </w:tc>
        <w:tc>
          <w:tcPr>
            <w:tcW w:w="0" w:type="auto"/>
            <w:gridSpan w:val="3"/>
            <w:shd w:val="clear" w:color="auto" w:fill="CCEEFF"/>
            <w:tcMar>
              <w:top w:w="0" w:type="dxa"/>
              <w:left w:w="20" w:type="dxa"/>
              <w:bottom w:w="0" w:type="dxa"/>
              <w:right w:w="20" w:type="dxa"/>
            </w:tcMar>
            <w:vAlign w:val="bottom"/>
          </w:tcPr>
          <w:p w14:paraId="35D0975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75B" w14:textId="77777777" w:rsidR="00D42204" w:rsidRDefault="004E439D">
            <w:pPr>
              <w:jc w:val="right"/>
              <w:textAlignment w:val="center"/>
            </w:pPr>
            <w:r>
              <w:rPr>
                <w:rFonts w:ascii="Times New Roman" w:eastAsia="宋体" w:hAnsi="Times New Roman"/>
                <w:color w:val="000000"/>
                <w:sz w:val="16"/>
                <w:szCs w:val="16"/>
              </w:rPr>
              <w:t>6,018 </w:t>
            </w:r>
          </w:p>
        </w:tc>
        <w:tc>
          <w:tcPr>
            <w:tcW w:w="0" w:type="auto"/>
            <w:shd w:val="clear" w:color="auto" w:fill="CCEEFF"/>
            <w:tcMar>
              <w:top w:w="40" w:type="dxa"/>
              <w:left w:w="0" w:type="dxa"/>
              <w:bottom w:w="40" w:type="dxa"/>
              <w:right w:w="20" w:type="dxa"/>
            </w:tcMar>
            <w:vAlign w:val="center"/>
          </w:tcPr>
          <w:p w14:paraId="35D0975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75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75E" w14:textId="77777777" w:rsidR="00D42204" w:rsidRDefault="004E439D">
            <w:pPr>
              <w:jc w:val="right"/>
              <w:textAlignment w:val="center"/>
            </w:pPr>
            <w:r>
              <w:rPr>
                <w:rFonts w:ascii="Times New Roman" w:eastAsia="宋体" w:hAnsi="Times New Roman"/>
                <w:color w:val="000000"/>
                <w:sz w:val="16"/>
                <w:szCs w:val="16"/>
              </w:rPr>
              <w:t>4,575 </w:t>
            </w:r>
          </w:p>
        </w:tc>
        <w:tc>
          <w:tcPr>
            <w:tcW w:w="0" w:type="auto"/>
            <w:shd w:val="clear" w:color="auto" w:fill="CCEEFF"/>
            <w:tcMar>
              <w:top w:w="40" w:type="dxa"/>
              <w:left w:w="0" w:type="dxa"/>
              <w:bottom w:w="40" w:type="dxa"/>
              <w:right w:w="20" w:type="dxa"/>
            </w:tcMar>
            <w:vAlign w:val="center"/>
          </w:tcPr>
          <w:p w14:paraId="35D0975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760" w14:textId="77777777" w:rsidR="00D42204" w:rsidRDefault="00D42204">
            <w:pPr>
              <w:rPr>
                <w:rFonts w:ascii="宋体"/>
              </w:rPr>
            </w:pPr>
          </w:p>
        </w:tc>
        <w:tc>
          <w:tcPr>
            <w:tcW w:w="0" w:type="auto"/>
            <w:shd w:val="clear" w:color="auto" w:fill="auto"/>
            <w:vAlign w:val="bottom"/>
          </w:tcPr>
          <w:p w14:paraId="35D09761" w14:textId="77777777" w:rsidR="00D42204" w:rsidRDefault="00D42204">
            <w:pPr>
              <w:rPr>
                <w:rFonts w:ascii="宋体"/>
                <w:vanish/>
              </w:rPr>
            </w:pPr>
          </w:p>
        </w:tc>
        <w:tc>
          <w:tcPr>
            <w:tcW w:w="0" w:type="auto"/>
            <w:shd w:val="clear" w:color="auto" w:fill="auto"/>
            <w:vAlign w:val="bottom"/>
          </w:tcPr>
          <w:p w14:paraId="35D09762" w14:textId="77777777" w:rsidR="00D42204" w:rsidRDefault="00D42204">
            <w:pPr>
              <w:rPr>
                <w:rFonts w:ascii="宋体"/>
                <w:vanish/>
              </w:rPr>
            </w:pPr>
          </w:p>
        </w:tc>
        <w:tc>
          <w:tcPr>
            <w:tcW w:w="0" w:type="auto"/>
            <w:shd w:val="clear" w:color="auto" w:fill="auto"/>
            <w:vAlign w:val="bottom"/>
          </w:tcPr>
          <w:p w14:paraId="35D09763" w14:textId="77777777" w:rsidR="00D42204" w:rsidRDefault="00D42204">
            <w:pPr>
              <w:rPr>
                <w:rFonts w:ascii="宋体"/>
                <w:vanish/>
              </w:rPr>
            </w:pPr>
          </w:p>
        </w:tc>
        <w:tc>
          <w:tcPr>
            <w:tcW w:w="0" w:type="auto"/>
            <w:shd w:val="clear" w:color="auto" w:fill="auto"/>
            <w:vAlign w:val="bottom"/>
          </w:tcPr>
          <w:p w14:paraId="35D09764" w14:textId="77777777" w:rsidR="00D42204" w:rsidRDefault="00D42204">
            <w:pPr>
              <w:rPr>
                <w:rFonts w:ascii="宋体"/>
                <w:vanish/>
              </w:rPr>
            </w:pPr>
          </w:p>
        </w:tc>
        <w:tc>
          <w:tcPr>
            <w:tcW w:w="0" w:type="auto"/>
            <w:gridSpan w:val="2"/>
            <w:shd w:val="clear" w:color="auto" w:fill="CCEEFF"/>
            <w:tcMar>
              <w:top w:w="40" w:type="dxa"/>
              <w:left w:w="20" w:type="dxa"/>
              <w:bottom w:w="40" w:type="dxa"/>
              <w:right w:w="0" w:type="dxa"/>
            </w:tcMar>
            <w:vAlign w:val="center"/>
          </w:tcPr>
          <w:p w14:paraId="35D09765" w14:textId="77777777" w:rsidR="00D42204" w:rsidRDefault="004E439D">
            <w:pPr>
              <w:jc w:val="right"/>
              <w:textAlignment w:val="center"/>
            </w:pPr>
            <w:r>
              <w:rPr>
                <w:rFonts w:ascii="Times New Roman" w:eastAsia="宋体" w:hAnsi="Times New Roman"/>
                <w:color w:val="000000"/>
                <w:sz w:val="16"/>
                <w:szCs w:val="16"/>
              </w:rPr>
              <w:t>10,593 </w:t>
            </w:r>
          </w:p>
        </w:tc>
        <w:tc>
          <w:tcPr>
            <w:tcW w:w="0" w:type="auto"/>
            <w:shd w:val="clear" w:color="auto" w:fill="CCEEFF"/>
            <w:tcMar>
              <w:top w:w="40" w:type="dxa"/>
              <w:left w:w="0" w:type="dxa"/>
              <w:bottom w:w="40" w:type="dxa"/>
              <w:right w:w="20" w:type="dxa"/>
            </w:tcMar>
            <w:vAlign w:val="center"/>
          </w:tcPr>
          <w:p w14:paraId="35D09766" w14:textId="77777777" w:rsidR="00D42204" w:rsidRDefault="00D42204">
            <w:pPr>
              <w:jc w:val="right"/>
              <w:rPr>
                <w:rFonts w:ascii="宋体"/>
              </w:rPr>
            </w:pPr>
          </w:p>
        </w:tc>
      </w:tr>
      <w:tr w:rsidR="00D42204" w14:paraId="35D09776" w14:textId="77777777">
        <w:tc>
          <w:tcPr>
            <w:tcW w:w="0" w:type="auto"/>
            <w:gridSpan w:val="3"/>
            <w:shd w:val="clear" w:color="auto" w:fill="FFFFFF"/>
            <w:tcMar>
              <w:top w:w="40" w:type="dxa"/>
              <w:left w:w="20" w:type="dxa"/>
              <w:bottom w:w="40" w:type="dxa"/>
              <w:right w:w="20" w:type="dxa"/>
            </w:tcMar>
            <w:vAlign w:val="center"/>
          </w:tcPr>
          <w:p w14:paraId="35D09768" w14:textId="77777777" w:rsidR="00D42204" w:rsidRDefault="004E439D">
            <w:pPr>
              <w:textAlignment w:val="center"/>
            </w:pPr>
            <w:r>
              <w:rPr>
                <w:rFonts w:ascii="Times New Roman" w:eastAsia="宋体" w:hAnsi="Times New Roman"/>
                <w:b/>
                <w:bCs/>
                <w:color w:val="000000"/>
                <w:sz w:val="16"/>
                <w:szCs w:val="16"/>
              </w:rPr>
              <w:t>Total distribution facilities</w:t>
            </w:r>
          </w:p>
        </w:tc>
        <w:tc>
          <w:tcPr>
            <w:tcW w:w="0" w:type="auto"/>
            <w:gridSpan w:val="3"/>
            <w:shd w:val="clear" w:color="auto" w:fill="FFFFFF"/>
            <w:tcMar>
              <w:top w:w="0" w:type="dxa"/>
              <w:left w:w="20" w:type="dxa"/>
              <w:bottom w:w="0" w:type="dxa"/>
              <w:right w:w="20" w:type="dxa"/>
            </w:tcMar>
            <w:vAlign w:val="bottom"/>
          </w:tcPr>
          <w:p w14:paraId="35D0976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76A" w14:textId="77777777" w:rsidR="00D42204" w:rsidRDefault="004E439D">
            <w:pPr>
              <w:jc w:val="right"/>
              <w:textAlignment w:val="center"/>
            </w:pPr>
            <w:r>
              <w:rPr>
                <w:rFonts w:ascii="Times New Roman" w:eastAsia="宋体" w:hAnsi="Times New Roman"/>
                <w:color w:val="000000"/>
                <w:sz w:val="16"/>
                <w:szCs w:val="16"/>
              </w:rPr>
              <w:t>143 </w:t>
            </w:r>
          </w:p>
        </w:tc>
        <w:tc>
          <w:tcPr>
            <w:tcW w:w="0" w:type="auto"/>
            <w:shd w:val="clear" w:color="auto" w:fill="FFFFFF"/>
            <w:tcMar>
              <w:top w:w="40" w:type="dxa"/>
              <w:left w:w="0" w:type="dxa"/>
              <w:bottom w:w="40" w:type="dxa"/>
              <w:right w:w="20" w:type="dxa"/>
            </w:tcMar>
            <w:vAlign w:val="center"/>
          </w:tcPr>
          <w:p w14:paraId="35D0976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76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76D" w14:textId="77777777" w:rsidR="00D42204" w:rsidRDefault="004E439D">
            <w:pPr>
              <w:jc w:val="right"/>
              <w:textAlignment w:val="center"/>
            </w:pPr>
            <w:r>
              <w:rPr>
                <w:rFonts w:ascii="Times New Roman" w:eastAsia="宋体" w:hAnsi="Times New Roman"/>
                <w:color w:val="000000"/>
                <w:sz w:val="16"/>
                <w:szCs w:val="16"/>
              </w:rPr>
              <w:t>221 </w:t>
            </w:r>
          </w:p>
        </w:tc>
        <w:tc>
          <w:tcPr>
            <w:tcW w:w="0" w:type="auto"/>
            <w:shd w:val="clear" w:color="auto" w:fill="FFFFFF"/>
            <w:tcMar>
              <w:top w:w="40" w:type="dxa"/>
              <w:left w:w="0" w:type="dxa"/>
              <w:bottom w:w="40" w:type="dxa"/>
              <w:right w:w="20" w:type="dxa"/>
            </w:tcMar>
            <w:vAlign w:val="center"/>
          </w:tcPr>
          <w:p w14:paraId="35D0976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76F" w14:textId="77777777" w:rsidR="00D42204" w:rsidRDefault="00D42204">
            <w:pPr>
              <w:rPr>
                <w:rFonts w:ascii="宋体"/>
              </w:rPr>
            </w:pPr>
          </w:p>
        </w:tc>
        <w:tc>
          <w:tcPr>
            <w:tcW w:w="0" w:type="auto"/>
            <w:shd w:val="clear" w:color="auto" w:fill="auto"/>
            <w:vAlign w:val="bottom"/>
          </w:tcPr>
          <w:p w14:paraId="35D09770" w14:textId="77777777" w:rsidR="00D42204" w:rsidRDefault="00D42204">
            <w:pPr>
              <w:rPr>
                <w:rFonts w:ascii="宋体"/>
                <w:vanish/>
              </w:rPr>
            </w:pPr>
          </w:p>
        </w:tc>
        <w:tc>
          <w:tcPr>
            <w:tcW w:w="0" w:type="auto"/>
            <w:shd w:val="clear" w:color="auto" w:fill="auto"/>
            <w:vAlign w:val="bottom"/>
          </w:tcPr>
          <w:p w14:paraId="35D09771" w14:textId="77777777" w:rsidR="00D42204" w:rsidRDefault="00D42204">
            <w:pPr>
              <w:rPr>
                <w:rFonts w:ascii="宋体"/>
                <w:vanish/>
              </w:rPr>
            </w:pPr>
          </w:p>
        </w:tc>
        <w:tc>
          <w:tcPr>
            <w:tcW w:w="0" w:type="auto"/>
            <w:shd w:val="clear" w:color="auto" w:fill="auto"/>
            <w:vAlign w:val="bottom"/>
          </w:tcPr>
          <w:p w14:paraId="35D09772" w14:textId="77777777" w:rsidR="00D42204" w:rsidRDefault="00D42204">
            <w:pPr>
              <w:rPr>
                <w:rFonts w:ascii="宋体"/>
                <w:vanish/>
              </w:rPr>
            </w:pPr>
          </w:p>
        </w:tc>
        <w:tc>
          <w:tcPr>
            <w:tcW w:w="0" w:type="auto"/>
            <w:shd w:val="clear" w:color="auto" w:fill="auto"/>
            <w:vAlign w:val="bottom"/>
          </w:tcPr>
          <w:p w14:paraId="35D09773" w14:textId="77777777" w:rsidR="00D42204" w:rsidRDefault="00D42204">
            <w:pPr>
              <w:rPr>
                <w:rFonts w:ascii="宋体"/>
                <w:vanish/>
              </w:rPr>
            </w:pPr>
          </w:p>
        </w:tc>
        <w:tc>
          <w:tcPr>
            <w:tcW w:w="0" w:type="auto"/>
            <w:gridSpan w:val="2"/>
            <w:shd w:val="clear" w:color="auto" w:fill="FFFFFF"/>
            <w:tcMar>
              <w:top w:w="40" w:type="dxa"/>
              <w:left w:w="20" w:type="dxa"/>
              <w:bottom w:w="40" w:type="dxa"/>
              <w:right w:w="0" w:type="dxa"/>
            </w:tcMar>
            <w:vAlign w:val="center"/>
          </w:tcPr>
          <w:p w14:paraId="35D09774" w14:textId="77777777" w:rsidR="00D42204" w:rsidRDefault="004E439D">
            <w:pPr>
              <w:jc w:val="right"/>
              <w:textAlignment w:val="center"/>
            </w:pPr>
            <w:r>
              <w:rPr>
                <w:rFonts w:ascii="Times New Roman" w:eastAsia="宋体" w:hAnsi="Times New Roman"/>
                <w:color w:val="000000"/>
                <w:sz w:val="16"/>
                <w:szCs w:val="16"/>
              </w:rPr>
              <w:t>364 </w:t>
            </w:r>
          </w:p>
        </w:tc>
        <w:tc>
          <w:tcPr>
            <w:tcW w:w="0" w:type="auto"/>
            <w:shd w:val="clear" w:color="auto" w:fill="FFFFFF"/>
            <w:tcMar>
              <w:top w:w="40" w:type="dxa"/>
              <w:left w:w="0" w:type="dxa"/>
              <w:bottom w:w="40" w:type="dxa"/>
              <w:right w:w="20" w:type="dxa"/>
            </w:tcMar>
            <w:vAlign w:val="center"/>
          </w:tcPr>
          <w:p w14:paraId="35D09775" w14:textId="77777777" w:rsidR="00D42204" w:rsidRDefault="00D42204">
            <w:pPr>
              <w:jc w:val="right"/>
              <w:rPr>
                <w:rFonts w:ascii="宋体"/>
              </w:rPr>
            </w:pPr>
          </w:p>
        </w:tc>
      </w:tr>
      <w:tr w:rsidR="00D42204" w14:paraId="35D09785" w14:textId="77777777">
        <w:tc>
          <w:tcPr>
            <w:tcW w:w="0" w:type="auto"/>
            <w:gridSpan w:val="3"/>
            <w:shd w:val="clear" w:color="auto" w:fill="CCEEFF"/>
            <w:tcMar>
              <w:top w:w="40" w:type="dxa"/>
              <w:left w:w="20" w:type="dxa"/>
              <w:bottom w:w="40" w:type="dxa"/>
              <w:right w:w="20" w:type="dxa"/>
            </w:tcMar>
            <w:vAlign w:val="center"/>
          </w:tcPr>
          <w:p w14:paraId="35D09777" w14:textId="77777777" w:rsidR="00D42204" w:rsidRDefault="004E439D">
            <w:pPr>
              <w:textAlignment w:val="center"/>
            </w:pPr>
            <w:r>
              <w:rPr>
                <w:rFonts w:ascii="Times New Roman" w:eastAsia="宋体" w:hAnsi="Times New Roman"/>
                <w:b/>
                <w:bCs/>
                <w:color w:val="000000"/>
                <w:sz w:val="16"/>
                <w:szCs w:val="16"/>
              </w:rPr>
              <w:t>Total properties</w:t>
            </w:r>
          </w:p>
        </w:tc>
        <w:tc>
          <w:tcPr>
            <w:tcW w:w="0" w:type="auto"/>
            <w:gridSpan w:val="3"/>
            <w:shd w:val="clear" w:color="auto" w:fill="CCEEFF"/>
            <w:tcMar>
              <w:top w:w="0" w:type="dxa"/>
              <w:left w:w="20" w:type="dxa"/>
              <w:bottom w:w="0" w:type="dxa"/>
              <w:right w:w="20" w:type="dxa"/>
            </w:tcMar>
            <w:vAlign w:val="bottom"/>
          </w:tcPr>
          <w:p w14:paraId="35D09778" w14:textId="77777777" w:rsidR="00D42204" w:rsidRDefault="00D4220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9779" w14:textId="77777777" w:rsidR="00D42204" w:rsidRDefault="004E439D">
            <w:pPr>
              <w:jc w:val="right"/>
              <w:textAlignment w:val="center"/>
            </w:pPr>
            <w:r>
              <w:rPr>
                <w:rFonts w:ascii="Times New Roman" w:eastAsia="宋体" w:hAnsi="Times New Roman"/>
                <w:b/>
                <w:bCs/>
                <w:color w:val="000000"/>
                <w:sz w:val="16"/>
                <w:szCs w:val="16"/>
              </w:rPr>
              <w:t>6,161</w:t>
            </w:r>
            <w:r>
              <w:rPr>
                <w:rFonts w:ascii="Times New Roman" w:eastAsia="宋体" w:hAnsi="Times New Roman"/>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977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77B" w14:textId="77777777" w:rsidR="00D42204" w:rsidRDefault="00D4220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977C" w14:textId="77777777" w:rsidR="00D42204" w:rsidRDefault="004E439D">
            <w:pPr>
              <w:jc w:val="right"/>
              <w:textAlignment w:val="center"/>
            </w:pPr>
            <w:r>
              <w:rPr>
                <w:rFonts w:ascii="Times New Roman" w:eastAsia="宋体" w:hAnsi="Times New Roman"/>
                <w:b/>
                <w:bCs/>
                <w:color w:val="000000"/>
                <w:sz w:val="16"/>
                <w:szCs w:val="16"/>
              </w:rPr>
              <w:t>4,796</w:t>
            </w:r>
            <w:r>
              <w:rPr>
                <w:rFonts w:ascii="Times New Roman" w:eastAsia="宋体" w:hAnsi="Times New Roman"/>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977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77E" w14:textId="77777777" w:rsidR="00D42204" w:rsidRDefault="00D42204">
            <w:pPr>
              <w:rPr>
                <w:rFonts w:ascii="宋体"/>
              </w:rPr>
            </w:pPr>
          </w:p>
        </w:tc>
        <w:tc>
          <w:tcPr>
            <w:tcW w:w="0" w:type="auto"/>
            <w:shd w:val="clear" w:color="auto" w:fill="auto"/>
            <w:vAlign w:val="bottom"/>
          </w:tcPr>
          <w:p w14:paraId="35D0977F" w14:textId="77777777" w:rsidR="00D42204" w:rsidRDefault="00D42204">
            <w:pPr>
              <w:rPr>
                <w:rFonts w:ascii="宋体"/>
                <w:vanish/>
              </w:rPr>
            </w:pPr>
          </w:p>
        </w:tc>
        <w:tc>
          <w:tcPr>
            <w:tcW w:w="0" w:type="auto"/>
            <w:shd w:val="clear" w:color="auto" w:fill="auto"/>
            <w:vAlign w:val="bottom"/>
          </w:tcPr>
          <w:p w14:paraId="35D09780" w14:textId="77777777" w:rsidR="00D42204" w:rsidRDefault="00D42204">
            <w:pPr>
              <w:rPr>
                <w:rFonts w:ascii="宋体"/>
                <w:vanish/>
              </w:rPr>
            </w:pPr>
          </w:p>
        </w:tc>
        <w:tc>
          <w:tcPr>
            <w:tcW w:w="0" w:type="auto"/>
            <w:shd w:val="clear" w:color="auto" w:fill="auto"/>
            <w:vAlign w:val="bottom"/>
          </w:tcPr>
          <w:p w14:paraId="35D09781" w14:textId="77777777" w:rsidR="00D42204" w:rsidRDefault="00D42204">
            <w:pPr>
              <w:rPr>
                <w:rFonts w:ascii="宋体"/>
                <w:vanish/>
              </w:rPr>
            </w:pPr>
          </w:p>
        </w:tc>
        <w:tc>
          <w:tcPr>
            <w:tcW w:w="0" w:type="auto"/>
            <w:shd w:val="clear" w:color="auto" w:fill="auto"/>
            <w:vAlign w:val="bottom"/>
          </w:tcPr>
          <w:p w14:paraId="35D09782" w14:textId="77777777" w:rsidR="00D42204" w:rsidRDefault="00D42204">
            <w:pPr>
              <w:rPr>
                <w:rFonts w:ascii="宋体"/>
                <w:vanish/>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9783" w14:textId="77777777" w:rsidR="00D42204" w:rsidRDefault="004E439D">
            <w:pPr>
              <w:jc w:val="right"/>
              <w:textAlignment w:val="center"/>
            </w:pPr>
            <w:r>
              <w:rPr>
                <w:rFonts w:ascii="Times New Roman" w:eastAsia="宋体" w:hAnsi="Times New Roman"/>
                <w:b/>
                <w:bCs/>
                <w:color w:val="000000"/>
                <w:sz w:val="16"/>
                <w:szCs w:val="16"/>
              </w:rPr>
              <w:t>10,957</w:t>
            </w:r>
            <w:r>
              <w:rPr>
                <w:rFonts w:ascii="Times New Roman" w:eastAsia="宋体" w:hAnsi="Times New Roman"/>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9784" w14:textId="77777777" w:rsidR="00D42204" w:rsidRDefault="00D42204">
            <w:pPr>
              <w:jc w:val="right"/>
              <w:rPr>
                <w:rFonts w:ascii="宋体"/>
              </w:rPr>
            </w:pPr>
          </w:p>
        </w:tc>
      </w:tr>
    </w:tbl>
    <w:p w14:paraId="35D09786" w14:textId="77777777" w:rsidR="00D42204" w:rsidRDefault="004E439D">
      <w:pPr>
        <w:ind w:hanging="36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Walmart International properties, with the exception of Canada, are as of December 31, 2021, to correspond with the balance sheet date of the related geographic market. Canada unit counts are </w:t>
      </w:r>
      <w:r>
        <w:rPr>
          <w:rFonts w:ascii="Times New Roman" w:eastAsia="宋体" w:hAnsi="Times New Roman"/>
          <w:color w:val="000000"/>
          <w:sz w:val="16"/>
          <w:szCs w:val="16"/>
        </w:rPr>
        <w:t>as of January 31, 2022.</w:t>
      </w:r>
    </w:p>
    <w:p w14:paraId="35D09787" w14:textId="77777777" w:rsidR="00D42204" w:rsidRDefault="004E439D">
      <w:pPr>
        <w:ind w:hanging="360"/>
      </w:pPr>
      <w:r>
        <w:rPr>
          <w:rFonts w:ascii="Times New Roman" w:eastAsia="宋体" w:hAnsi="Times New Roman"/>
          <w:color w:val="000000"/>
          <w:sz w:val="10"/>
          <w:szCs w:val="10"/>
        </w:rPr>
        <w:t>(2)</w:t>
      </w:r>
      <w:r>
        <w:rPr>
          <w:rFonts w:ascii="Times New Roman" w:eastAsia="宋体" w:hAnsi="Times New Roman"/>
          <w:color w:val="000000"/>
          <w:sz w:val="16"/>
          <w:szCs w:val="16"/>
        </w:rPr>
        <w:t>Also includes U.S. and international distribution facilities which are third-party owned and operated.</w:t>
      </w:r>
    </w:p>
    <w:p w14:paraId="35D09788" w14:textId="77777777" w:rsidR="00D42204" w:rsidRDefault="004E439D">
      <w:pPr>
        <w:jc w:val="center"/>
      </w:pPr>
      <w:r>
        <w:rPr>
          <w:rFonts w:ascii="Times New Roman" w:eastAsia="宋体" w:hAnsi="Times New Roman"/>
          <w:color w:val="000000"/>
          <w:sz w:val="20"/>
          <w:szCs w:val="20"/>
        </w:rPr>
        <w:t>28</w:t>
      </w:r>
    </w:p>
    <w:p w14:paraId="35D09789" w14:textId="77777777" w:rsidR="00D42204" w:rsidRDefault="004E439D">
      <w:r>
        <w:pict w14:anchorId="35D0C375">
          <v:rect id="_x0000_i1052" style="width:415.3pt;height:1.5pt" o:hralign="center" o:hrstd="t" o:hr="t" fillcolor="#a0a0a0" stroked="f"/>
        </w:pict>
      </w:r>
    </w:p>
    <w:p w14:paraId="35D0978A" w14:textId="77777777" w:rsidR="00D42204" w:rsidRDefault="00D42204"/>
    <w:p w14:paraId="35D0978B" w14:textId="77777777" w:rsidR="00D42204" w:rsidRDefault="004E439D">
      <w:pPr>
        <w:spacing w:before="180"/>
      </w:pPr>
      <w:r>
        <w:rPr>
          <w:rFonts w:ascii="Times New Roman" w:eastAsia="宋体" w:hAnsi="Times New Roman"/>
          <w:color w:val="000000"/>
          <w:sz w:val="20"/>
          <w:szCs w:val="20"/>
        </w:rPr>
        <w:t xml:space="preserve">We own office facilities in Bentonville, Arkansas, that serve as our principal office and own and lease office </w:t>
      </w:r>
      <w:r>
        <w:rPr>
          <w:rFonts w:ascii="Times New Roman" w:eastAsia="宋体" w:hAnsi="Times New Roman"/>
          <w:color w:val="000000"/>
          <w:sz w:val="20"/>
          <w:szCs w:val="20"/>
        </w:rPr>
        <w:t xml:space="preserve">facilities throughout the U.S. and internationally for operations as well as for field and market management. The land on which our stores are located is either owned or leased by the Company. We use independent contractors to construct our buildings. All </w:t>
      </w:r>
      <w:r>
        <w:rPr>
          <w:rFonts w:ascii="Times New Roman" w:eastAsia="宋体" w:hAnsi="Times New Roman"/>
          <w:color w:val="000000"/>
          <w:sz w:val="20"/>
          <w:szCs w:val="20"/>
        </w:rPr>
        <w:t>store leases provide for annual rentals, some of which escalate during the original lease or provide for additional rent based on sales volume. Substantially all of the Company's store and club leases have renewal options, some of which include rent escala</w:t>
      </w:r>
      <w:r>
        <w:rPr>
          <w:rFonts w:ascii="Times New Roman" w:eastAsia="宋体" w:hAnsi="Times New Roman"/>
          <w:color w:val="000000"/>
          <w:sz w:val="20"/>
          <w:szCs w:val="20"/>
        </w:rPr>
        <w:t>tion clauses. For further information on our distribution centers, see the caption "Distribution" provided for each of our segments under "</w:t>
      </w:r>
      <w:hyperlink r:id="rId90" w:anchor="i1ba69ebb72ec48f9b754a5e96c4cdf3f_16" w:history="1">
        <w:r>
          <w:rPr>
            <w:rStyle w:val="a5"/>
            <w:rFonts w:ascii="Times New Roman" w:eastAsia="宋体" w:hAnsi="Times New Roman"/>
            <w:sz w:val="20"/>
            <w:szCs w:val="20"/>
          </w:rPr>
          <w:t>Item 1. Business</w:t>
        </w:r>
      </w:hyperlink>
      <w:r>
        <w:rPr>
          <w:rFonts w:ascii="Times New Roman" w:eastAsia="宋体" w:hAnsi="Times New Roman"/>
          <w:color w:val="000000"/>
          <w:sz w:val="20"/>
          <w:szCs w:val="20"/>
        </w:rPr>
        <w:t>."</w:t>
      </w:r>
    </w:p>
    <w:p w14:paraId="35D0978C" w14:textId="77777777" w:rsidR="00D42204" w:rsidRDefault="004E439D">
      <w:pPr>
        <w:jc w:val="center"/>
      </w:pPr>
      <w:r>
        <w:rPr>
          <w:rFonts w:ascii="Times New Roman" w:eastAsia="宋体" w:hAnsi="Times New Roman"/>
          <w:color w:val="000000"/>
          <w:sz w:val="20"/>
          <w:szCs w:val="20"/>
        </w:rPr>
        <w:t>29</w:t>
      </w:r>
    </w:p>
    <w:p w14:paraId="35D0978D" w14:textId="77777777" w:rsidR="00D42204" w:rsidRDefault="004E439D">
      <w:r>
        <w:pict w14:anchorId="35D0C376">
          <v:rect id="_x0000_i1053" style="width:415.3pt;height:1.5pt" o:hralign="center" o:hrstd="t" o:hr="t" fillcolor="#a0a0a0" stroked="f"/>
        </w:pict>
      </w:r>
    </w:p>
    <w:p w14:paraId="35D0978E" w14:textId="77777777" w:rsidR="00D42204" w:rsidRDefault="00D42204"/>
    <w:p w14:paraId="35D0978F" w14:textId="77777777" w:rsidR="00D42204" w:rsidRDefault="00D42204">
      <w:pPr>
        <w:spacing w:before="240"/>
      </w:pPr>
    </w:p>
    <w:tbl>
      <w:tblPr>
        <w:tblW w:w="3933" w:type="pct"/>
        <w:tblCellMar>
          <w:top w:w="15" w:type="dxa"/>
          <w:left w:w="15" w:type="dxa"/>
          <w:bottom w:w="15" w:type="dxa"/>
          <w:right w:w="15" w:type="dxa"/>
        </w:tblCellMar>
        <w:tblLook w:val="04A0" w:firstRow="1" w:lastRow="0" w:firstColumn="1" w:lastColumn="0" w:noHBand="0" w:noVBand="1"/>
      </w:tblPr>
      <w:tblGrid>
        <w:gridCol w:w="56"/>
        <w:gridCol w:w="821"/>
        <w:gridCol w:w="36"/>
        <w:gridCol w:w="51"/>
        <w:gridCol w:w="5557"/>
        <w:gridCol w:w="36"/>
      </w:tblGrid>
      <w:tr w:rsidR="00D42204" w14:paraId="35D09796" w14:textId="77777777">
        <w:tc>
          <w:tcPr>
            <w:tcW w:w="50" w:type="pct"/>
            <w:shd w:val="clear" w:color="auto" w:fill="auto"/>
            <w:vAlign w:val="bottom"/>
          </w:tcPr>
          <w:p w14:paraId="35D09790" w14:textId="77777777" w:rsidR="00D42204" w:rsidRDefault="00D42204">
            <w:pPr>
              <w:rPr>
                <w:rFonts w:ascii="宋体"/>
              </w:rPr>
            </w:pPr>
          </w:p>
        </w:tc>
        <w:tc>
          <w:tcPr>
            <w:tcW w:w="641" w:type="pct"/>
            <w:shd w:val="clear" w:color="auto" w:fill="auto"/>
            <w:vAlign w:val="bottom"/>
          </w:tcPr>
          <w:p w14:paraId="35D09791" w14:textId="77777777" w:rsidR="00D42204" w:rsidRDefault="00D42204">
            <w:pPr>
              <w:rPr>
                <w:rFonts w:ascii="宋体"/>
              </w:rPr>
            </w:pPr>
          </w:p>
        </w:tc>
        <w:tc>
          <w:tcPr>
            <w:tcW w:w="5" w:type="pct"/>
            <w:shd w:val="clear" w:color="auto" w:fill="auto"/>
            <w:vAlign w:val="bottom"/>
          </w:tcPr>
          <w:p w14:paraId="35D09792" w14:textId="77777777" w:rsidR="00D42204" w:rsidRDefault="00D42204">
            <w:pPr>
              <w:rPr>
                <w:rFonts w:ascii="宋体"/>
              </w:rPr>
            </w:pPr>
          </w:p>
        </w:tc>
        <w:tc>
          <w:tcPr>
            <w:tcW w:w="50" w:type="pct"/>
            <w:shd w:val="clear" w:color="auto" w:fill="auto"/>
            <w:vAlign w:val="bottom"/>
          </w:tcPr>
          <w:p w14:paraId="35D09793" w14:textId="77777777" w:rsidR="00D42204" w:rsidRDefault="00D42204">
            <w:pPr>
              <w:rPr>
                <w:rFonts w:ascii="宋体"/>
              </w:rPr>
            </w:pPr>
          </w:p>
        </w:tc>
        <w:tc>
          <w:tcPr>
            <w:tcW w:w="4248" w:type="pct"/>
            <w:shd w:val="clear" w:color="auto" w:fill="auto"/>
            <w:vAlign w:val="bottom"/>
          </w:tcPr>
          <w:p w14:paraId="35D09794" w14:textId="77777777" w:rsidR="00D42204" w:rsidRDefault="00D42204">
            <w:pPr>
              <w:rPr>
                <w:rFonts w:ascii="宋体"/>
              </w:rPr>
            </w:pPr>
          </w:p>
        </w:tc>
        <w:tc>
          <w:tcPr>
            <w:tcW w:w="5" w:type="pct"/>
            <w:shd w:val="clear" w:color="auto" w:fill="auto"/>
            <w:vAlign w:val="bottom"/>
          </w:tcPr>
          <w:p w14:paraId="35D09795" w14:textId="77777777" w:rsidR="00D42204" w:rsidRDefault="00D42204">
            <w:pPr>
              <w:rPr>
                <w:rFonts w:ascii="宋体"/>
              </w:rPr>
            </w:pPr>
          </w:p>
        </w:tc>
      </w:tr>
      <w:tr w:rsidR="00D42204" w14:paraId="35D09799" w14:textId="77777777">
        <w:tc>
          <w:tcPr>
            <w:tcW w:w="0" w:type="auto"/>
            <w:gridSpan w:val="3"/>
            <w:shd w:val="clear" w:color="auto" w:fill="FFFFFF"/>
            <w:tcMar>
              <w:top w:w="40" w:type="dxa"/>
              <w:left w:w="20" w:type="dxa"/>
              <w:bottom w:w="40" w:type="dxa"/>
              <w:right w:w="20" w:type="dxa"/>
            </w:tcMar>
          </w:tcPr>
          <w:p w14:paraId="35D09797" w14:textId="77777777" w:rsidR="00D42204" w:rsidRDefault="004E439D">
            <w:pPr>
              <w:textAlignment w:val="top"/>
            </w:pPr>
            <w:r>
              <w:rPr>
                <w:rFonts w:ascii="Times New Roman" w:eastAsia="宋体" w:hAnsi="Times New Roman"/>
                <w:b/>
                <w:bCs/>
                <w:color w:val="000000"/>
                <w:sz w:val="20"/>
                <w:szCs w:val="20"/>
                <w:u w:val="single"/>
              </w:rPr>
              <w:t>ITEM 3.</w:t>
            </w:r>
          </w:p>
        </w:tc>
        <w:tc>
          <w:tcPr>
            <w:tcW w:w="0" w:type="auto"/>
            <w:gridSpan w:val="3"/>
            <w:shd w:val="clear" w:color="auto" w:fill="FFFFFF"/>
            <w:tcMar>
              <w:top w:w="40" w:type="dxa"/>
              <w:left w:w="20" w:type="dxa"/>
              <w:bottom w:w="40" w:type="dxa"/>
              <w:right w:w="20" w:type="dxa"/>
            </w:tcMar>
          </w:tcPr>
          <w:p w14:paraId="35D09798" w14:textId="77777777" w:rsidR="00D42204" w:rsidRDefault="004E439D">
            <w:pPr>
              <w:textAlignment w:val="top"/>
            </w:pPr>
            <w:r>
              <w:rPr>
                <w:rFonts w:ascii="Times New Roman" w:eastAsia="宋体" w:hAnsi="Times New Roman"/>
                <w:b/>
                <w:bCs/>
                <w:color w:val="000000"/>
                <w:sz w:val="20"/>
                <w:szCs w:val="20"/>
                <w:u w:val="single"/>
              </w:rPr>
              <w:t>LEGAL PROCEEDINGS</w:t>
            </w:r>
          </w:p>
        </w:tc>
      </w:tr>
    </w:tbl>
    <w:p w14:paraId="35D0979A" w14:textId="77777777" w:rsidR="00D42204" w:rsidRDefault="004E439D">
      <w:pPr>
        <w:spacing w:before="80"/>
      </w:pPr>
      <w:r>
        <w:rPr>
          <w:rFonts w:ascii="Times New Roman" w:eastAsia="宋体" w:hAnsi="Times New Roman"/>
          <w:b/>
          <w:bCs/>
          <w:color w:val="000000"/>
          <w:sz w:val="20"/>
          <w:szCs w:val="20"/>
        </w:rPr>
        <w:t>I. SUPPLEMENTAL INFORMATION:</w:t>
      </w:r>
      <w:r>
        <w:rPr>
          <w:rFonts w:ascii="Times New Roman" w:eastAsia="宋体" w:hAnsi="Times New Roman"/>
          <w:color w:val="000000"/>
          <w:sz w:val="20"/>
          <w:szCs w:val="20"/>
        </w:rPr>
        <w:t xml:space="preserve"> We discuss certain legal proceedings in </w:t>
      </w:r>
      <w:hyperlink r:id="rId91" w:anchor="i1ba69ebb72ec48f9b754a5e96c4cdf3f_184" w:history="1">
        <w:r>
          <w:rPr>
            <w:rStyle w:val="a5"/>
            <w:rFonts w:ascii="Times New Roman" w:eastAsia="宋体" w:hAnsi="Times New Roman"/>
            <w:sz w:val="20"/>
            <w:szCs w:val="20"/>
          </w:rPr>
          <w:t>Note 10</w:t>
        </w:r>
      </w:hyperlink>
      <w:r>
        <w:rPr>
          <w:rFonts w:ascii="Times New Roman" w:eastAsia="宋体" w:hAnsi="Times New Roman"/>
          <w:color w:val="000000"/>
          <w:sz w:val="20"/>
          <w:szCs w:val="20"/>
        </w:rPr>
        <w:t xml:space="preserve"> to our Consolidated Financial Statements included in "</w:t>
      </w:r>
      <w:hyperlink r:id="rId92" w:anchor="i1ba69ebb72ec48f9b754a5e96c4cdf3f_121" w:history="1">
        <w:r>
          <w:rPr>
            <w:rStyle w:val="a5"/>
            <w:rFonts w:ascii="Times New Roman" w:eastAsia="宋体" w:hAnsi="Times New Roman"/>
            <w:sz w:val="20"/>
            <w:szCs w:val="20"/>
          </w:rPr>
          <w:t>Item 8. Financial Statements and Supplementary Data</w:t>
        </w:r>
      </w:hyperlink>
      <w:r>
        <w:rPr>
          <w:rFonts w:ascii="Times New Roman" w:eastAsia="宋体" w:hAnsi="Times New Roman"/>
          <w:color w:val="000000"/>
          <w:sz w:val="20"/>
          <w:szCs w:val="20"/>
        </w:rPr>
        <w:t xml:space="preserve">," which is captioned "Contingencies," under the sub-caption "Legal Proceedings." We refer </w:t>
      </w:r>
      <w:r>
        <w:rPr>
          <w:rFonts w:ascii="Times New Roman" w:eastAsia="宋体" w:hAnsi="Times New Roman"/>
          <w:color w:val="000000"/>
          <w:sz w:val="20"/>
          <w:szCs w:val="20"/>
        </w:rPr>
        <w:t>you to that discussion for important information concerning those legal proceedings, including the basis for such actions and, where known, the relief sought. We provide the following additional information concerning those legal proceedings, including the</w:t>
      </w:r>
      <w:r>
        <w:rPr>
          <w:rFonts w:ascii="Times New Roman" w:eastAsia="宋体" w:hAnsi="Times New Roman"/>
          <w:color w:val="000000"/>
          <w:sz w:val="20"/>
          <w:szCs w:val="20"/>
        </w:rPr>
        <w:t xml:space="preserve"> name of the lawsuit, the court in which the lawsuit is pending, and the date on which the petition commencing the lawsuit was filed.</w:t>
      </w:r>
    </w:p>
    <w:p w14:paraId="35D0979B" w14:textId="77777777" w:rsidR="00D42204" w:rsidRDefault="004E439D">
      <w:pPr>
        <w:spacing w:before="100"/>
      </w:pPr>
      <w:r>
        <w:rPr>
          <w:rFonts w:ascii="Times New Roman" w:eastAsia="宋体" w:hAnsi="Times New Roman"/>
          <w:b/>
          <w:bCs/>
          <w:color w:val="000000"/>
          <w:sz w:val="20"/>
          <w:szCs w:val="20"/>
        </w:rPr>
        <w:t>Prescription Opiate Litigation:</w:t>
      </w:r>
      <w:r>
        <w:rPr>
          <w:rFonts w:ascii="Times New Roman" w:eastAsia="宋体" w:hAnsi="Times New Roman"/>
          <w:i/>
          <w:iCs/>
          <w:color w:val="000000"/>
          <w:sz w:val="20"/>
          <w:szCs w:val="20"/>
        </w:rPr>
        <w:t xml:space="preserve"> In re National Prescription Opiate Litigation</w:t>
      </w:r>
      <w:r>
        <w:rPr>
          <w:rFonts w:ascii="Times New Roman" w:eastAsia="宋体" w:hAnsi="Times New Roman"/>
          <w:color w:val="000000"/>
          <w:sz w:val="20"/>
          <w:szCs w:val="20"/>
        </w:rPr>
        <w:t xml:space="preserve"> (MDL No. 2804) (the "MDL"). The MDL is pendi</w:t>
      </w:r>
      <w:r>
        <w:rPr>
          <w:rFonts w:ascii="Times New Roman" w:eastAsia="宋体" w:hAnsi="Times New Roman"/>
          <w:color w:val="000000"/>
          <w:sz w:val="20"/>
          <w:szCs w:val="20"/>
        </w:rPr>
        <w:t>ng in the U.S. District Court for the Northern District of Ohio and includes over 2,150 cases as of March 4, 2022. The liability phase of a trial in one of the MDL cases began on October 4, 2021 against a number of parties, including the Company, regarding</w:t>
      </w:r>
      <w:r>
        <w:rPr>
          <w:rFonts w:ascii="Times New Roman" w:eastAsia="宋体" w:hAnsi="Times New Roman"/>
          <w:color w:val="000000"/>
          <w:sz w:val="20"/>
          <w:szCs w:val="20"/>
        </w:rPr>
        <w:t xml:space="preserve"> opioid dispensing claims. On November 23, 2021, the jury found in favor of the plaintiffs as to the liability of all defendants, including the Company. The abatement phase of the trial, which will determine amounts owed by the defendants, is currently sch</w:t>
      </w:r>
      <w:r>
        <w:rPr>
          <w:rFonts w:ascii="Times New Roman" w:eastAsia="宋体" w:hAnsi="Times New Roman"/>
          <w:color w:val="000000"/>
          <w:sz w:val="20"/>
          <w:szCs w:val="20"/>
        </w:rPr>
        <w:t>eduled to begin on May 10, 2022. The Company intends to appeal the jury verdict from the liability phase upon completion of the abatement phase of the trial. There is one case in which the Company is named as a defendant that was remanded from the MDL cour</w:t>
      </w:r>
      <w:r>
        <w:rPr>
          <w:rFonts w:ascii="Times New Roman" w:eastAsia="宋体" w:hAnsi="Times New Roman"/>
          <w:color w:val="000000"/>
          <w:sz w:val="20"/>
          <w:szCs w:val="20"/>
        </w:rPr>
        <w:t>t to the U.S. District Court for the Eastern District of Oklahoma (</w:t>
      </w:r>
      <w:r>
        <w:rPr>
          <w:rFonts w:ascii="Times New Roman" w:eastAsia="宋体" w:hAnsi="Times New Roman"/>
          <w:i/>
          <w:iCs/>
          <w:color w:val="000000"/>
          <w:sz w:val="20"/>
          <w:szCs w:val="20"/>
        </w:rPr>
        <w:t>The Cherokee Nation v. CVS Pharmacy, Inc., et al.</w:t>
      </w:r>
      <w:r>
        <w:rPr>
          <w:rFonts w:ascii="Times New Roman" w:eastAsia="宋体" w:hAnsi="Times New Roman"/>
          <w:color w:val="000000"/>
          <w:sz w:val="20"/>
          <w:szCs w:val="20"/>
        </w:rPr>
        <w:t xml:space="preserve">, Case No. CIV-18-56-RAW-SPS (E.D. Okla.)). This case was brought by the Cherokee Nation. Certain motions have been filed by the parties to </w:t>
      </w:r>
      <w:r>
        <w:rPr>
          <w:rFonts w:ascii="Times New Roman" w:eastAsia="宋体" w:hAnsi="Times New Roman"/>
          <w:color w:val="000000"/>
          <w:sz w:val="20"/>
          <w:szCs w:val="20"/>
        </w:rPr>
        <w:t>this case, and the case is currently stayed pending a ruling on those motions. In addition, there are over 225 state court cases pending as of March 4, 2022, some of which may be removed to federal court to seek MDL transfer. The case citations for the sta</w:t>
      </w:r>
      <w:r>
        <w:rPr>
          <w:rFonts w:ascii="Times New Roman" w:eastAsia="宋体" w:hAnsi="Times New Roman"/>
          <w:color w:val="000000"/>
          <w:sz w:val="20"/>
          <w:szCs w:val="20"/>
        </w:rPr>
        <w:t>te cases are listed on Exhibit 99.1 to this Form 10-K.</w:t>
      </w:r>
    </w:p>
    <w:p w14:paraId="35D0979C" w14:textId="77777777" w:rsidR="00D42204" w:rsidRDefault="004E439D">
      <w:pPr>
        <w:spacing w:before="100"/>
      </w:pPr>
      <w:r>
        <w:rPr>
          <w:rFonts w:ascii="Times New Roman" w:eastAsia="宋体" w:hAnsi="Times New Roman"/>
          <w:b/>
          <w:bCs/>
          <w:color w:val="000000"/>
          <w:sz w:val="20"/>
          <w:szCs w:val="20"/>
        </w:rPr>
        <w:t>DOJ Opioid Civil Litigation:</w:t>
      </w:r>
      <w:r>
        <w:rPr>
          <w:rFonts w:ascii="Times New Roman" w:eastAsia="宋体" w:hAnsi="Times New Roman"/>
          <w:color w:val="000000"/>
          <w:sz w:val="20"/>
          <w:szCs w:val="20"/>
        </w:rPr>
        <w:t xml:space="preserve"> On October 22, 2020, the Company filed a declaratory judgment action in the U.S. District Court for the Eastern District of Texas against the U.S. Department of Justice (th</w:t>
      </w:r>
      <w:r>
        <w:rPr>
          <w:rFonts w:ascii="Times New Roman" w:eastAsia="宋体" w:hAnsi="Times New Roman"/>
          <w:color w:val="000000"/>
          <w:sz w:val="20"/>
          <w:szCs w:val="20"/>
        </w:rPr>
        <w:t>e "DOJ") and the U.S. Drug Enforcement Administration, asking a federal court to clarify the roles and responsibilities of pharmacists and pharmacies as to the dispensing and distribution of opioids under the Controlled Substances Act (the "CSA")</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The Comp</w:t>
      </w:r>
      <w:r>
        <w:rPr>
          <w:rFonts w:ascii="Times New Roman" w:eastAsia="宋体" w:hAnsi="Times New Roman"/>
          <w:color w:val="000000"/>
          <w:sz w:val="20"/>
          <w:szCs w:val="20"/>
        </w:rPr>
        <w:t xml:space="preserve">any's action, </w:t>
      </w:r>
      <w:r>
        <w:rPr>
          <w:rFonts w:ascii="Times New Roman" w:eastAsia="宋体" w:hAnsi="Times New Roman"/>
          <w:i/>
          <w:iCs/>
          <w:color w:val="000000"/>
          <w:sz w:val="20"/>
          <w:szCs w:val="20"/>
        </w:rPr>
        <w:t xml:space="preserve">Walmart Inc. v. U.S. Department of Justice et al., </w:t>
      </w:r>
      <w:r>
        <w:rPr>
          <w:rFonts w:ascii="Times New Roman" w:eastAsia="宋体" w:hAnsi="Times New Roman"/>
          <w:color w:val="000000"/>
          <w:sz w:val="20"/>
          <w:szCs w:val="20"/>
        </w:rPr>
        <w:t>USDC, Eastern Dist. of Texas, 10/22/20, was dismissed. The Company had appealed this decision to the Fifth Circuit. On December 22, 2021, the Fifth Circuit affirmed the dismissal of the actio</w:t>
      </w:r>
      <w:r>
        <w:rPr>
          <w:rFonts w:ascii="Times New Roman" w:eastAsia="宋体" w:hAnsi="Times New Roman"/>
          <w:color w:val="000000"/>
          <w:sz w:val="20"/>
          <w:szCs w:val="20"/>
        </w:rPr>
        <w:t>n. A civil complaint pending in the U.S. District Court for the District of Delaware has been filed by the DOJ against the Company, in which the DOJ alleges violations of the CSA related to nationwide distribution and dispensing of opioids.</w:t>
      </w:r>
      <w:r>
        <w:rPr>
          <w:rFonts w:ascii="Times New Roman" w:eastAsia="宋体" w:hAnsi="Times New Roman"/>
          <w:i/>
          <w:iCs/>
          <w:color w:val="000000"/>
          <w:sz w:val="20"/>
          <w:szCs w:val="20"/>
        </w:rPr>
        <w:t xml:space="preserve"> U.S. v. Walmart</w:t>
      </w:r>
      <w:r>
        <w:rPr>
          <w:rFonts w:ascii="Times New Roman" w:eastAsia="宋体" w:hAnsi="Times New Roman"/>
          <w:i/>
          <w:iCs/>
          <w:color w:val="000000"/>
          <w:sz w:val="20"/>
          <w:szCs w:val="20"/>
        </w:rPr>
        <w:t xml:space="preserve"> Inc., et al</w:t>
      </w:r>
      <w:r>
        <w:rPr>
          <w:rFonts w:ascii="Times New Roman" w:eastAsia="宋体" w:hAnsi="Times New Roman"/>
          <w:color w:val="000000"/>
          <w:sz w:val="20"/>
          <w:szCs w:val="20"/>
        </w:rPr>
        <w:t xml:space="preserve">., USDC, Dist. of DE, 12/22/20. The Company filed a motion to dismiss the DOJ complaint on February 22, 2021. The DOJ filed its opposition brief on April 23, 2021 and the Company filed its reply brief on May 24, 2021. On November 19, 2021, the </w:t>
      </w:r>
      <w:r>
        <w:rPr>
          <w:rFonts w:ascii="Times New Roman" w:eastAsia="宋体" w:hAnsi="Times New Roman"/>
          <w:color w:val="000000"/>
          <w:sz w:val="20"/>
          <w:szCs w:val="20"/>
        </w:rPr>
        <w:t xml:space="preserve">District Court stayed further proceedings in the DOJ complaint pending the decision of the United States Supreme Court in two other cases interpreting the CSA, which have been consolidated into </w:t>
      </w:r>
      <w:r>
        <w:rPr>
          <w:rFonts w:ascii="Times New Roman" w:eastAsia="宋体" w:hAnsi="Times New Roman"/>
          <w:i/>
          <w:iCs/>
          <w:color w:val="000000"/>
          <w:sz w:val="20"/>
          <w:szCs w:val="20"/>
        </w:rPr>
        <w:t>Ruan v. United States</w:t>
      </w:r>
      <w:r>
        <w:rPr>
          <w:rFonts w:ascii="Times New Roman" w:eastAsia="宋体" w:hAnsi="Times New Roman"/>
          <w:color w:val="000000"/>
          <w:sz w:val="20"/>
          <w:szCs w:val="20"/>
        </w:rPr>
        <w:t xml:space="preserve">, 142 S. Ct. 457 (2021). </w:t>
      </w:r>
    </w:p>
    <w:p w14:paraId="35D0979D" w14:textId="77777777" w:rsidR="00D42204" w:rsidRDefault="004E439D">
      <w:pPr>
        <w:spacing w:before="100"/>
      </w:pPr>
      <w:r>
        <w:rPr>
          <w:rFonts w:ascii="Times New Roman" w:eastAsia="宋体" w:hAnsi="Times New Roman"/>
          <w:b/>
          <w:bCs/>
          <w:color w:val="000000"/>
          <w:sz w:val="20"/>
          <w:szCs w:val="20"/>
        </w:rPr>
        <w:t>Opioids Related</w:t>
      </w:r>
      <w:r>
        <w:rPr>
          <w:rFonts w:ascii="Times New Roman" w:eastAsia="宋体" w:hAnsi="Times New Roman"/>
          <w:b/>
          <w:bCs/>
          <w:color w:val="000000"/>
          <w:sz w:val="20"/>
          <w:szCs w:val="20"/>
        </w:rPr>
        <w:t xml:space="preserve"> Securities Class Actions and Derivative Litigation</w:t>
      </w:r>
      <w:r>
        <w:rPr>
          <w:rFonts w:ascii="Times New Roman" w:eastAsia="宋体" w:hAnsi="Times New Roman"/>
          <w:color w:val="000000"/>
          <w:sz w:val="20"/>
          <w:szCs w:val="20"/>
        </w:rPr>
        <w:t>: Three derivative complaints and two securities class actions drawing heavily on the allegations of the DOJ complaint have been filed in Delaware naming the Company and various current and former director</w:t>
      </w:r>
      <w:r>
        <w:rPr>
          <w:rFonts w:ascii="Times New Roman" w:eastAsia="宋体" w:hAnsi="Times New Roman"/>
          <w:color w:val="000000"/>
          <w:sz w:val="20"/>
          <w:szCs w:val="20"/>
        </w:rPr>
        <w:t>s and certain current and former officers as defendants. The plaintiffs in the derivative suits (in which the Company is a nominal defendant) allege, among other things, that the defendants breached their fiduciary duties in connection with oversight of op</w:t>
      </w:r>
      <w:r>
        <w:rPr>
          <w:rFonts w:ascii="Times New Roman" w:eastAsia="宋体" w:hAnsi="Times New Roman"/>
          <w:color w:val="000000"/>
          <w:sz w:val="20"/>
          <w:szCs w:val="20"/>
        </w:rPr>
        <w:t>ioids dispensing and distribution and that the defendants violated Section 14(a) of the Securities Exchange Act of 1934, as amended (the "Exchange Act"), and are liable for contribution under Section 10(b) of the Exchange Act in connection with the Company</w:t>
      </w:r>
      <w:r>
        <w:rPr>
          <w:rFonts w:ascii="Times New Roman" w:eastAsia="宋体" w:hAnsi="Times New Roman"/>
          <w:color w:val="000000"/>
          <w:sz w:val="20"/>
          <w:szCs w:val="20"/>
        </w:rPr>
        <w:t xml:space="preserve">'s disclosures about opioids. Two of the derivative suits have been filed in the U.S. District Court in Delaware and those suits have been stayed pending further developments in other Opioids litigation matters. The other derivative suit has been filed in </w:t>
      </w:r>
      <w:r>
        <w:rPr>
          <w:rFonts w:ascii="Times New Roman" w:eastAsia="宋体" w:hAnsi="Times New Roman"/>
          <w:color w:val="000000"/>
          <w:sz w:val="20"/>
          <w:szCs w:val="20"/>
        </w:rPr>
        <w:t>the Chancery Court in Delaware. The securities class actions, alleging violations of Sections 10(b) and 20(a) of the Exchange Act regarding the Company's disclosures with respect to opioids, were purportedly filed on behalf of a class of investors who acqu</w:t>
      </w:r>
      <w:r>
        <w:rPr>
          <w:rFonts w:ascii="Times New Roman" w:eastAsia="宋体" w:hAnsi="Times New Roman"/>
          <w:color w:val="000000"/>
          <w:sz w:val="20"/>
          <w:szCs w:val="20"/>
        </w:rPr>
        <w:t>ired Walmart stock from March 30, 2016 through December 22, 2020. On May 11, 2021, the U.S. District Court in Delaware consolidated the class actions and appointed a lead plaintiff and lead counsel. The defendants filed a motion to dismiss the consolidated</w:t>
      </w:r>
      <w:r>
        <w:rPr>
          <w:rFonts w:ascii="Times New Roman" w:eastAsia="宋体" w:hAnsi="Times New Roman"/>
          <w:color w:val="000000"/>
          <w:sz w:val="20"/>
          <w:szCs w:val="20"/>
        </w:rPr>
        <w:t xml:space="preserve"> securities class action on October 8, 2021; the lead plaintiff responded to the motion on January 10, 2022; and the defendants filed their reply brief on February 10, 2022. The defendants in the derivative suit pending in Delaware Chancery Court filed the</w:t>
      </w:r>
      <w:r>
        <w:rPr>
          <w:rFonts w:ascii="Times New Roman" w:eastAsia="宋体" w:hAnsi="Times New Roman"/>
          <w:color w:val="000000"/>
          <w:sz w:val="20"/>
          <w:szCs w:val="20"/>
        </w:rPr>
        <w:t xml:space="preserve"> opening brief on their motion to dismiss that case on December 21, 2021; and the plaintiffs responded by filing an amended complaint on February 22, 2022.</w:t>
      </w:r>
    </w:p>
    <w:p w14:paraId="35D0979E" w14:textId="77777777" w:rsidR="00D42204" w:rsidRDefault="004E439D">
      <w:pPr>
        <w:spacing w:before="100"/>
      </w:pPr>
      <w:r>
        <w:rPr>
          <w:rFonts w:ascii="Times New Roman" w:eastAsia="宋体" w:hAnsi="Times New Roman"/>
          <w:b/>
          <w:bCs/>
          <w:color w:val="000000"/>
          <w:sz w:val="20"/>
          <w:szCs w:val="20"/>
        </w:rPr>
        <w:t xml:space="preserve">Derivative Lawsuits: </w:t>
      </w:r>
      <w:r>
        <w:rPr>
          <w:rFonts w:ascii="Times New Roman" w:eastAsia="宋体" w:hAnsi="Times New Roman"/>
          <w:i/>
          <w:iCs/>
          <w:color w:val="000000"/>
          <w:sz w:val="20"/>
          <w:szCs w:val="20"/>
        </w:rPr>
        <w:t>Abt v. Alvarez et al.</w:t>
      </w:r>
      <w:r>
        <w:rPr>
          <w:rFonts w:ascii="Times New Roman" w:eastAsia="宋体" w:hAnsi="Times New Roman"/>
          <w:color w:val="000000"/>
          <w:sz w:val="20"/>
          <w:szCs w:val="20"/>
        </w:rPr>
        <w:t xml:space="preserve">, USDC, Dist. of DE, 2/9/21; </w:t>
      </w:r>
      <w:r>
        <w:rPr>
          <w:rFonts w:ascii="Times New Roman" w:eastAsia="宋体" w:hAnsi="Times New Roman"/>
          <w:i/>
          <w:iCs/>
          <w:color w:val="000000"/>
          <w:sz w:val="20"/>
          <w:szCs w:val="20"/>
        </w:rPr>
        <w:t xml:space="preserve">Nguyen v. McMillon et </w:t>
      </w:r>
      <w:r>
        <w:rPr>
          <w:rFonts w:ascii="Times New Roman" w:eastAsia="宋体" w:hAnsi="Times New Roman"/>
          <w:i/>
          <w:iCs/>
          <w:color w:val="000000"/>
          <w:sz w:val="20"/>
          <w:szCs w:val="20"/>
        </w:rPr>
        <w:t>al.,</w:t>
      </w:r>
      <w:r>
        <w:rPr>
          <w:rFonts w:ascii="Times New Roman" w:eastAsia="宋体" w:hAnsi="Times New Roman"/>
          <w:color w:val="000000"/>
          <w:sz w:val="20"/>
          <w:szCs w:val="20"/>
        </w:rPr>
        <w:t xml:space="preserve"> USDC, Dist. of DE, 4/16/21: </w:t>
      </w:r>
      <w:r>
        <w:rPr>
          <w:rFonts w:ascii="Times New Roman" w:eastAsia="宋体" w:hAnsi="Times New Roman"/>
          <w:i/>
          <w:iCs/>
          <w:color w:val="000000"/>
          <w:sz w:val="20"/>
          <w:szCs w:val="20"/>
        </w:rPr>
        <w:t xml:space="preserve">Ontario Provincial Council of Carpenters' Pension Trust Fund et al. v. Walton et al., </w:t>
      </w:r>
      <w:r>
        <w:rPr>
          <w:rFonts w:ascii="Times New Roman" w:eastAsia="宋体" w:hAnsi="Times New Roman"/>
          <w:color w:val="000000"/>
          <w:sz w:val="20"/>
          <w:szCs w:val="20"/>
        </w:rPr>
        <w:t>DE Court of Chancery, 9/27/21.</w:t>
      </w:r>
    </w:p>
    <w:p w14:paraId="35D0979F" w14:textId="77777777" w:rsidR="00D42204" w:rsidRDefault="004E439D">
      <w:pPr>
        <w:spacing w:before="100"/>
      </w:pPr>
      <w:r>
        <w:rPr>
          <w:rFonts w:ascii="Times New Roman" w:eastAsia="宋体" w:hAnsi="Times New Roman"/>
          <w:b/>
          <w:bCs/>
          <w:color w:val="000000"/>
          <w:sz w:val="20"/>
          <w:szCs w:val="20"/>
        </w:rPr>
        <w:t xml:space="preserve">Securities Class Actions: </w:t>
      </w:r>
      <w:r>
        <w:rPr>
          <w:rFonts w:ascii="Times New Roman" w:eastAsia="宋体" w:hAnsi="Times New Roman"/>
          <w:i/>
          <w:iCs/>
          <w:color w:val="000000"/>
          <w:sz w:val="20"/>
          <w:szCs w:val="20"/>
        </w:rPr>
        <w:t>Stanton v. Walmart Inc.</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et al.</w:t>
      </w:r>
      <w:r>
        <w:rPr>
          <w:rFonts w:ascii="Times New Roman" w:eastAsia="宋体" w:hAnsi="Times New Roman"/>
          <w:color w:val="000000"/>
          <w:sz w:val="20"/>
          <w:szCs w:val="20"/>
        </w:rPr>
        <w:t>, USDC, Dist. of DE, 1/20/21 and</w:t>
      </w:r>
      <w:r>
        <w:rPr>
          <w:rFonts w:ascii="Times New Roman" w:eastAsia="宋体" w:hAnsi="Times New Roman"/>
          <w:i/>
          <w:iCs/>
          <w:color w:val="000000"/>
          <w:sz w:val="20"/>
          <w:szCs w:val="20"/>
        </w:rPr>
        <w:t xml:space="preserve"> Martin v. Walmart</w:t>
      </w:r>
      <w:r>
        <w:rPr>
          <w:rFonts w:ascii="Times New Roman" w:eastAsia="宋体" w:hAnsi="Times New Roman"/>
          <w:i/>
          <w:iCs/>
          <w:color w:val="000000"/>
          <w:sz w:val="20"/>
          <w:szCs w:val="20"/>
        </w:rPr>
        <w:t xml:space="preserve"> Inc. et al., </w:t>
      </w:r>
      <w:r>
        <w:rPr>
          <w:rFonts w:ascii="Times New Roman" w:eastAsia="宋体" w:hAnsi="Times New Roman"/>
          <w:color w:val="000000"/>
          <w:sz w:val="20"/>
          <w:szCs w:val="20"/>
        </w:rPr>
        <w:t>USDC</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Dist. of DE, 3/5/21, consolidated into </w:t>
      </w:r>
      <w:r>
        <w:rPr>
          <w:rFonts w:ascii="Times New Roman" w:eastAsia="宋体" w:hAnsi="Times New Roman"/>
          <w:i/>
          <w:iCs/>
          <w:color w:val="000000"/>
          <w:sz w:val="20"/>
          <w:szCs w:val="20"/>
        </w:rPr>
        <w:t>In re Walmart Inc. Securities Litigation</w:t>
      </w:r>
      <w:r>
        <w:rPr>
          <w:rFonts w:ascii="Times New Roman" w:eastAsia="宋体" w:hAnsi="Times New Roman"/>
          <w:color w:val="000000"/>
          <w:sz w:val="20"/>
          <w:szCs w:val="20"/>
        </w:rPr>
        <w:t>, USDC, Dist. of DE, 5/11/21.</w:t>
      </w:r>
    </w:p>
    <w:p w14:paraId="35D097A0" w14:textId="77777777" w:rsidR="00D42204" w:rsidRDefault="004E439D">
      <w:pPr>
        <w:jc w:val="center"/>
      </w:pPr>
      <w:r>
        <w:rPr>
          <w:rFonts w:ascii="Times New Roman" w:eastAsia="宋体" w:hAnsi="Times New Roman"/>
          <w:color w:val="000000"/>
          <w:sz w:val="20"/>
          <w:szCs w:val="20"/>
        </w:rPr>
        <w:t>30</w:t>
      </w:r>
    </w:p>
    <w:p w14:paraId="35D097A1" w14:textId="77777777" w:rsidR="00D42204" w:rsidRDefault="004E439D">
      <w:r>
        <w:pict w14:anchorId="35D0C377">
          <v:rect id="_x0000_i1054" style="width:415.3pt;height:1.5pt" o:hralign="center" o:hrstd="t" o:hr="t" fillcolor="#a0a0a0" stroked="f"/>
        </w:pict>
      </w:r>
    </w:p>
    <w:p w14:paraId="35D097A2" w14:textId="77777777" w:rsidR="00D42204" w:rsidRDefault="00D42204"/>
    <w:p w14:paraId="35D097A3" w14:textId="77777777" w:rsidR="00D42204" w:rsidRDefault="004E439D">
      <w:pPr>
        <w:spacing w:before="180" w:after="120"/>
      </w:pPr>
      <w:r>
        <w:rPr>
          <w:rFonts w:ascii="Times New Roman" w:eastAsia="宋体" w:hAnsi="Times New Roman"/>
          <w:b/>
          <w:bCs/>
          <w:color w:val="000000"/>
          <w:sz w:val="20"/>
          <w:szCs w:val="20"/>
        </w:rPr>
        <w:t xml:space="preserve">II. CERTAIN OTHER MATTERS: </w:t>
      </w:r>
    </w:p>
    <w:p w14:paraId="35D097A4" w14:textId="77777777" w:rsidR="00D42204" w:rsidRDefault="004E439D">
      <w:pPr>
        <w:spacing w:before="100" w:after="120"/>
      </w:pPr>
      <w:r>
        <w:rPr>
          <w:rFonts w:ascii="Times New Roman" w:eastAsia="宋体" w:hAnsi="Times New Roman"/>
          <w:b/>
          <w:bCs/>
          <w:color w:val="000000"/>
          <w:sz w:val="20"/>
          <w:szCs w:val="20"/>
        </w:rPr>
        <w:t xml:space="preserve">Asda Equal Value Claims: </w:t>
      </w:r>
      <w:r>
        <w:rPr>
          <w:rFonts w:ascii="Times New Roman" w:eastAsia="宋体" w:hAnsi="Times New Roman"/>
          <w:color w:val="000000"/>
          <w:sz w:val="20"/>
          <w:szCs w:val="20"/>
        </w:rPr>
        <w:t>Ms S Brierley &amp; Others v ASDA Stores Ltd (2406372/2008 &amp; Others - Ma</w:t>
      </w:r>
      <w:r>
        <w:rPr>
          <w:rFonts w:ascii="Times New Roman" w:eastAsia="宋体" w:hAnsi="Times New Roman"/>
          <w:color w:val="000000"/>
          <w:sz w:val="20"/>
          <w:szCs w:val="20"/>
        </w:rPr>
        <w:t>nchester Employment Tribunal); ASDA Stores Ltd v Brierley &amp; Ors (A2/2016/0973 - United Kingdom Court of Appeal); ASDA Stores Ltd v Ms S Brierley &amp; Others (UKEAT/0059/16/DM - United Kingdom Employment Appeal Tribunal); ASDA Stores Ltd v Ms S Brierley &amp; Othe</w:t>
      </w:r>
      <w:r>
        <w:rPr>
          <w:rFonts w:ascii="Times New Roman" w:eastAsia="宋体" w:hAnsi="Times New Roman"/>
          <w:color w:val="000000"/>
          <w:sz w:val="20"/>
          <w:szCs w:val="20"/>
        </w:rPr>
        <w:t>rs (UKEAT/0009/16/JOJ - United Kingdom Employment Appeal Tribunal).</w:t>
      </w:r>
    </w:p>
    <w:p w14:paraId="35D097A5" w14:textId="77777777" w:rsidR="00D42204" w:rsidRDefault="004E439D">
      <w:pPr>
        <w:spacing w:before="100"/>
      </w:pPr>
      <w:r>
        <w:rPr>
          <w:rFonts w:ascii="Times New Roman" w:eastAsia="宋体" w:hAnsi="Times New Roman"/>
          <w:b/>
          <w:bCs/>
          <w:color w:val="000000"/>
          <w:sz w:val="20"/>
          <w:szCs w:val="20"/>
        </w:rPr>
        <w:t>Money Transfer Agent Services Proceedings:</w:t>
      </w:r>
      <w:r>
        <w:rPr>
          <w:rFonts w:ascii="Times New Roman" w:eastAsia="宋体" w:hAnsi="Times New Roman"/>
          <w:color w:val="000000"/>
          <w:sz w:val="20"/>
          <w:szCs w:val="20"/>
        </w:rPr>
        <w:t xml:space="preserve"> The Company has received grand jury subpoenas issued by the United States Attorney's Office for the Middle District of Pennsylvania seeking docum</w:t>
      </w:r>
      <w:r>
        <w:rPr>
          <w:rFonts w:ascii="Times New Roman" w:eastAsia="宋体" w:hAnsi="Times New Roman"/>
          <w:color w:val="000000"/>
          <w:sz w:val="20"/>
          <w:szCs w:val="20"/>
        </w:rPr>
        <w:t>ents regarding the Company's consumer fraud program and anti-money laundering compliance related to the Company's money transfer services, where Walmart is an agent. The most recent subpoena was issued in August 2020. The Company has been responding to the</w:t>
      </w:r>
      <w:r>
        <w:rPr>
          <w:rFonts w:ascii="Times New Roman" w:eastAsia="宋体" w:hAnsi="Times New Roman"/>
          <w:color w:val="000000"/>
          <w:sz w:val="20"/>
          <w:szCs w:val="20"/>
        </w:rPr>
        <w:t>se subpoenas and is cooperating with the government's investigation. The Company has also responded to civil investigative demands from the United States Federal Trade Commission (the "FTC") in connection with the FTC's investigation related to money trans</w:t>
      </w:r>
      <w:r>
        <w:rPr>
          <w:rFonts w:ascii="Times New Roman" w:eastAsia="宋体" w:hAnsi="Times New Roman"/>
          <w:color w:val="000000"/>
          <w:sz w:val="20"/>
          <w:szCs w:val="20"/>
        </w:rPr>
        <w:t>fers and the Company's anti-fraud program in its capacity as an agent. While the Company had been engaged in discussions with the FTC regarding a potential resolution of this matter, the parties have not been able to reach a resolution. In November 2021, t</w:t>
      </w:r>
      <w:r>
        <w:rPr>
          <w:rFonts w:ascii="Times New Roman" w:eastAsia="宋体" w:hAnsi="Times New Roman"/>
          <w:color w:val="000000"/>
          <w:sz w:val="20"/>
          <w:szCs w:val="20"/>
        </w:rPr>
        <w:t>he FTC Bureau of Consumer Protection forwarded a draft civil complaint to the FTC seeking authority to file a complaint against the Company seeking various forms of monetary and injunctive relief. The FTC is currently considering whether to grant such auth</w:t>
      </w:r>
      <w:r>
        <w:rPr>
          <w:rFonts w:ascii="Times New Roman" w:eastAsia="宋体" w:hAnsi="Times New Roman"/>
          <w:color w:val="000000"/>
          <w:sz w:val="20"/>
          <w:szCs w:val="20"/>
        </w:rPr>
        <w:t>orization. The Company is unable to predict the outcome of the investigations or any related actions by the governmental entities regarding these matters at this time. While the Company does not currently believe that the outcome of these matters will have</w:t>
      </w:r>
      <w:r>
        <w:rPr>
          <w:rFonts w:ascii="Times New Roman" w:eastAsia="宋体" w:hAnsi="Times New Roman"/>
          <w:color w:val="000000"/>
          <w:sz w:val="20"/>
          <w:szCs w:val="20"/>
        </w:rPr>
        <w:t xml:space="preserve"> a material adverse effect on its business, financial position, results of operations or cash flows, the Company can provide no assurance as to the scope and outcome of these matters and whether its business, financial position, results of operations or ca</w:t>
      </w:r>
      <w:r>
        <w:rPr>
          <w:rFonts w:ascii="Times New Roman" w:eastAsia="宋体" w:hAnsi="Times New Roman"/>
          <w:color w:val="000000"/>
          <w:sz w:val="20"/>
          <w:szCs w:val="20"/>
        </w:rPr>
        <w:t>sh flows will not be materially adversely affected.</w:t>
      </w:r>
    </w:p>
    <w:p w14:paraId="35D097A6" w14:textId="77777777" w:rsidR="00D42204" w:rsidRDefault="004E439D">
      <w:pPr>
        <w:spacing w:before="100"/>
      </w:pPr>
      <w:r>
        <w:rPr>
          <w:rFonts w:ascii="Times New Roman" w:eastAsia="宋体" w:hAnsi="Times New Roman"/>
          <w:b/>
          <w:bCs/>
          <w:color w:val="000000"/>
          <w:sz w:val="20"/>
          <w:szCs w:val="20"/>
        </w:rPr>
        <w:t>Foreign Direct Investment Matters:</w:t>
      </w:r>
      <w:r>
        <w:rPr>
          <w:rFonts w:ascii="Times New Roman" w:eastAsia="宋体" w:hAnsi="Times New Roman"/>
          <w:color w:val="000000"/>
          <w:sz w:val="20"/>
          <w:szCs w:val="20"/>
        </w:rPr>
        <w:t xml:space="preserve"> In July 2021, the Directorate of Enforcement in India issued a show cause notice to Flipkart Private Limited and one of its subsidiaries ("Flipkart"), and to unrelated c</w:t>
      </w:r>
      <w:r>
        <w:rPr>
          <w:rFonts w:ascii="Times New Roman" w:eastAsia="宋体" w:hAnsi="Times New Roman"/>
          <w:color w:val="000000"/>
          <w:sz w:val="20"/>
          <w:szCs w:val="20"/>
        </w:rPr>
        <w:t>ompanies and individuals, including certain current and former shareholders and directors of Flipkart. The notice requests the recipients to show cause as to why further proceedings under India's Foreign Direct Investment rules and regulations (the "Rules"</w:t>
      </w:r>
      <w:r>
        <w:rPr>
          <w:rFonts w:ascii="Times New Roman" w:eastAsia="宋体" w:hAnsi="Times New Roman"/>
          <w:color w:val="000000"/>
          <w:sz w:val="20"/>
          <w:szCs w:val="20"/>
        </w:rPr>
        <w:t>) should not be initiated against them based on alleged violations during the period from 2009 to 2015, prior to the Company's acquisition of a majority stake in Flipkart in 2018. The notice is an initial stage of proceedings under the Rules which could, d</w:t>
      </w:r>
      <w:r>
        <w:rPr>
          <w:rFonts w:ascii="Times New Roman" w:eastAsia="宋体" w:hAnsi="Times New Roman"/>
          <w:color w:val="000000"/>
          <w:sz w:val="20"/>
          <w:szCs w:val="20"/>
        </w:rPr>
        <w:t>epending upon the conclusions at the end of the initial stage, lead to a hearing to consider the merits of the allegations described in the notice. If a hearing is initiated and if it is determined that violations of the Rules occurred, the regulatory auth</w:t>
      </w:r>
      <w:r>
        <w:rPr>
          <w:rFonts w:ascii="Times New Roman" w:eastAsia="宋体" w:hAnsi="Times New Roman"/>
          <w:color w:val="000000"/>
          <w:sz w:val="20"/>
          <w:szCs w:val="20"/>
        </w:rPr>
        <w:t>ority has the authority to impose monetary and/or non-monetary relief. Flipkart has begun the process of responding to the notice and, if the matter progresses to a consideration of the merits of the allegations described in the notice is initiated, Flipka</w:t>
      </w:r>
      <w:r>
        <w:rPr>
          <w:rFonts w:ascii="Times New Roman" w:eastAsia="宋体" w:hAnsi="Times New Roman"/>
          <w:color w:val="000000"/>
          <w:sz w:val="20"/>
          <w:szCs w:val="20"/>
        </w:rPr>
        <w:t>rt intends to defend against the allegations vigorously. Due to the fact that this process is in an early stage, the Company is unable to predict whether the notice will lead to a hearing on the merits or, if it does, the final outcome of the resulting pro</w:t>
      </w:r>
      <w:r>
        <w:rPr>
          <w:rFonts w:ascii="Times New Roman" w:eastAsia="宋体" w:hAnsi="Times New Roman"/>
          <w:color w:val="000000"/>
          <w:sz w:val="20"/>
          <w:szCs w:val="20"/>
        </w:rPr>
        <w:t>ceedings. While the Company does not currently believe that this matter will have a material adverse effect on its business, financial condition, results of operations or cash flows, the Company can provide no assurance as to the scope or outcome of any pr</w:t>
      </w:r>
      <w:r>
        <w:rPr>
          <w:rFonts w:ascii="Times New Roman" w:eastAsia="宋体" w:hAnsi="Times New Roman"/>
          <w:color w:val="000000"/>
          <w:sz w:val="20"/>
          <w:szCs w:val="20"/>
        </w:rPr>
        <w:t>oceeding that might result from the notice, the amount of the proceeds the Company may receive in indemnification from individuals and entities that sold shares to the Company under the 2018 agreement pursuant to which the Company acquired its majority sta</w:t>
      </w:r>
      <w:r>
        <w:rPr>
          <w:rFonts w:ascii="Times New Roman" w:eastAsia="宋体" w:hAnsi="Times New Roman"/>
          <w:color w:val="000000"/>
          <w:sz w:val="20"/>
          <w:szCs w:val="20"/>
        </w:rPr>
        <w:t xml:space="preserve">ke in Flipkart, or whether the Company's business, financial position, results of operations or cash flows will not be materially adversely affected. </w:t>
      </w:r>
    </w:p>
    <w:p w14:paraId="35D097A7" w14:textId="77777777" w:rsidR="00D42204" w:rsidRDefault="004E439D">
      <w:pPr>
        <w:spacing w:before="180" w:after="120"/>
      </w:pPr>
      <w:r>
        <w:rPr>
          <w:rFonts w:ascii="Times New Roman" w:eastAsia="宋体" w:hAnsi="Times New Roman"/>
          <w:b/>
          <w:bCs/>
          <w:color w:val="000000"/>
          <w:sz w:val="20"/>
          <w:szCs w:val="20"/>
        </w:rPr>
        <w:t>III. ENVIRONMENTAL MATTERS:</w:t>
      </w:r>
      <w:r>
        <w:rPr>
          <w:rFonts w:ascii="Times New Roman" w:eastAsia="宋体" w:hAnsi="Times New Roman"/>
          <w:color w:val="000000"/>
          <w:sz w:val="20"/>
          <w:szCs w:val="20"/>
        </w:rPr>
        <w:t xml:space="preserve"> Item 103 of SEC Regulation S-K requires disclosure of certain environmental m</w:t>
      </w:r>
      <w:r>
        <w:rPr>
          <w:rFonts w:ascii="Times New Roman" w:eastAsia="宋体" w:hAnsi="Times New Roman"/>
          <w:color w:val="000000"/>
          <w:sz w:val="20"/>
          <w:szCs w:val="20"/>
        </w:rPr>
        <w:t xml:space="preserve">atters when a governmental authority is a party to the proceedings and such proceedings involve potential monetary sanctions that the Company reasonably believes will exceed an applied threshold not to exceed $1 million. </w:t>
      </w:r>
    </w:p>
    <w:p w14:paraId="35D097A8" w14:textId="77777777" w:rsidR="00D42204" w:rsidRDefault="004E439D">
      <w:r>
        <w:rPr>
          <w:rFonts w:ascii="Times New Roman" w:eastAsia="宋体" w:hAnsi="Times New Roman"/>
          <w:color w:val="000000"/>
          <w:sz w:val="20"/>
          <w:szCs w:val="20"/>
        </w:rPr>
        <w:t>In June 2021, the Company signed a</w:t>
      </w:r>
      <w:r>
        <w:rPr>
          <w:rFonts w:ascii="Times New Roman" w:eastAsia="宋体" w:hAnsi="Times New Roman"/>
          <w:color w:val="000000"/>
          <w:sz w:val="20"/>
          <w:szCs w:val="20"/>
        </w:rPr>
        <w:t xml:space="preserve"> tolling agreement with the Office of the Attorney General of the State of California to toll the statute of limitations for potential claims regarding Walmart's management of waste consumer products at its California facilities that are alleged to be haza</w:t>
      </w:r>
      <w:r>
        <w:rPr>
          <w:rFonts w:ascii="Times New Roman" w:eastAsia="宋体" w:hAnsi="Times New Roman"/>
          <w:color w:val="000000"/>
          <w:sz w:val="20"/>
          <w:szCs w:val="20"/>
        </w:rPr>
        <w:t>rdous. In December 2021, the Office of the Attorney General of the State of California filed suit against the Company, bringing enforcement claims regarding Walmart's management of waste consumer products at its California facilities that are alleged to be</w:t>
      </w:r>
      <w:r>
        <w:rPr>
          <w:rFonts w:ascii="Times New Roman" w:eastAsia="宋体" w:hAnsi="Times New Roman"/>
          <w:color w:val="000000"/>
          <w:sz w:val="20"/>
          <w:szCs w:val="20"/>
        </w:rPr>
        <w:t xml:space="preserve"> hazardous. The Company believes the suit is without merit and is vigorously defending this litigation matter. While the Company cannot predict the ultimate outcome of this matter, the potential for penalties or settlement costs could exceed $1 million. Al</w:t>
      </w:r>
      <w:r>
        <w:rPr>
          <w:rFonts w:ascii="Times New Roman" w:eastAsia="宋体" w:hAnsi="Times New Roman"/>
          <w:color w:val="000000"/>
          <w:sz w:val="20"/>
          <w:szCs w:val="20"/>
        </w:rPr>
        <w:t>though the Company does not believe that this matter will have a material adverse effect on its business, financial position, results of operations, or cash flows, the Company can provide no assurance as to the scope and outcome of these matters and whethe</w:t>
      </w:r>
      <w:r>
        <w:rPr>
          <w:rFonts w:ascii="Times New Roman" w:eastAsia="宋体" w:hAnsi="Times New Roman"/>
          <w:color w:val="000000"/>
          <w:sz w:val="20"/>
          <w:szCs w:val="20"/>
        </w:rPr>
        <w:t>r its business, financial position, results of operations or cash flows will not be materially adversely affected.</w:t>
      </w:r>
      <w:r>
        <w:rPr>
          <w:rFonts w:ascii="Times New Roman" w:eastAsia="宋体" w:hAnsi="Times New Roman"/>
          <w:color w:val="000000"/>
        </w:rPr>
        <w:t xml:space="preserve"> </w:t>
      </w:r>
    </w:p>
    <w:tbl>
      <w:tblPr>
        <w:tblW w:w="2456" w:type="pct"/>
        <w:tblCellMar>
          <w:top w:w="15" w:type="dxa"/>
          <w:left w:w="15" w:type="dxa"/>
          <w:bottom w:w="15" w:type="dxa"/>
          <w:right w:w="15" w:type="dxa"/>
        </w:tblCellMar>
        <w:tblLook w:val="04A0" w:firstRow="1" w:lastRow="0" w:firstColumn="1" w:lastColumn="0" w:noHBand="0" w:noVBand="1"/>
      </w:tblPr>
      <w:tblGrid>
        <w:gridCol w:w="37"/>
        <w:gridCol w:w="841"/>
        <w:gridCol w:w="36"/>
        <w:gridCol w:w="37"/>
        <w:gridCol w:w="3108"/>
        <w:gridCol w:w="36"/>
      </w:tblGrid>
      <w:tr w:rsidR="00D42204" w14:paraId="35D097AF" w14:textId="77777777">
        <w:tc>
          <w:tcPr>
            <w:tcW w:w="50" w:type="pct"/>
            <w:shd w:val="clear" w:color="auto" w:fill="auto"/>
            <w:vAlign w:val="bottom"/>
          </w:tcPr>
          <w:p w14:paraId="35D097A9" w14:textId="77777777" w:rsidR="00D42204" w:rsidRDefault="00D42204">
            <w:pPr>
              <w:rPr>
                <w:rFonts w:ascii="宋体"/>
              </w:rPr>
            </w:pPr>
          </w:p>
        </w:tc>
        <w:tc>
          <w:tcPr>
            <w:tcW w:w="1061" w:type="pct"/>
            <w:shd w:val="clear" w:color="auto" w:fill="auto"/>
            <w:vAlign w:val="bottom"/>
          </w:tcPr>
          <w:p w14:paraId="35D097AA" w14:textId="77777777" w:rsidR="00D42204" w:rsidRDefault="00D42204">
            <w:pPr>
              <w:rPr>
                <w:rFonts w:ascii="宋体"/>
              </w:rPr>
            </w:pPr>
          </w:p>
        </w:tc>
        <w:tc>
          <w:tcPr>
            <w:tcW w:w="5" w:type="pct"/>
            <w:shd w:val="clear" w:color="auto" w:fill="auto"/>
            <w:vAlign w:val="bottom"/>
          </w:tcPr>
          <w:p w14:paraId="35D097AB" w14:textId="77777777" w:rsidR="00D42204" w:rsidRDefault="00D42204">
            <w:pPr>
              <w:rPr>
                <w:rFonts w:ascii="宋体"/>
              </w:rPr>
            </w:pPr>
          </w:p>
        </w:tc>
        <w:tc>
          <w:tcPr>
            <w:tcW w:w="50" w:type="pct"/>
            <w:shd w:val="clear" w:color="auto" w:fill="auto"/>
            <w:vAlign w:val="bottom"/>
          </w:tcPr>
          <w:p w14:paraId="35D097AC" w14:textId="77777777" w:rsidR="00D42204" w:rsidRDefault="00D42204">
            <w:pPr>
              <w:rPr>
                <w:rFonts w:ascii="宋体"/>
              </w:rPr>
            </w:pPr>
          </w:p>
        </w:tc>
        <w:tc>
          <w:tcPr>
            <w:tcW w:w="3828" w:type="pct"/>
            <w:shd w:val="clear" w:color="auto" w:fill="auto"/>
            <w:vAlign w:val="bottom"/>
          </w:tcPr>
          <w:p w14:paraId="35D097AD" w14:textId="77777777" w:rsidR="00D42204" w:rsidRDefault="00D42204">
            <w:pPr>
              <w:rPr>
                <w:rFonts w:ascii="宋体"/>
              </w:rPr>
            </w:pPr>
          </w:p>
        </w:tc>
        <w:tc>
          <w:tcPr>
            <w:tcW w:w="5" w:type="pct"/>
            <w:shd w:val="clear" w:color="auto" w:fill="auto"/>
            <w:vAlign w:val="bottom"/>
          </w:tcPr>
          <w:p w14:paraId="35D097AE" w14:textId="77777777" w:rsidR="00D42204" w:rsidRDefault="00D42204">
            <w:pPr>
              <w:rPr>
                <w:rFonts w:ascii="宋体"/>
              </w:rPr>
            </w:pPr>
          </w:p>
        </w:tc>
      </w:tr>
      <w:tr w:rsidR="00D42204" w14:paraId="35D097B2" w14:textId="77777777">
        <w:tc>
          <w:tcPr>
            <w:tcW w:w="0" w:type="auto"/>
            <w:gridSpan w:val="3"/>
            <w:shd w:val="clear" w:color="auto" w:fill="auto"/>
            <w:tcMar>
              <w:top w:w="40" w:type="dxa"/>
              <w:left w:w="20" w:type="dxa"/>
              <w:bottom w:w="40" w:type="dxa"/>
              <w:right w:w="20" w:type="dxa"/>
            </w:tcMar>
          </w:tcPr>
          <w:p w14:paraId="35D097B0" w14:textId="77777777" w:rsidR="00D42204" w:rsidRDefault="004E439D">
            <w:pPr>
              <w:textAlignment w:val="top"/>
            </w:pPr>
            <w:r>
              <w:rPr>
                <w:rFonts w:ascii="Times New Roman" w:eastAsia="宋体" w:hAnsi="Times New Roman"/>
                <w:b/>
                <w:bCs/>
                <w:color w:val="000000"/>
                <w:sz w:val="20"/>
                <w:szCs w:val="20"/>
                <w:u w:val="single"/>
              </w:rPr>
              <w:t>ITEM 4.</w:t>
            </w:r>
          </w:p>
        </w:tc>
        <w:tc>
          <w:tcPr>
            <w:tcW w:w="0" w:type="auto"/>
            <w:gridSpan w:val="3"/>
            <w:shd w:val="clear" w:color="auto" w:fill="auto"/>
            <w:tcMar>
              <w:top w:w="40" w:type="dxa"/>
              <w:left w:w="20" w:type="dxa"/>
              <w:bottom w:w="40" w:type="dxa"/>
              <w:right w:w="20" w:type="dxa"/>
            </w:tcMar>
          </w:tcPr>
          <w:p w14:paraId="35D097B1" w14:textId="77777777" w:rsidR="00D42204" w:rsidRDefault="004E439D">
            <w:pPr>
              <w:textAlignment w:val="top"/>
            </w:pPr>
            <w:r>
              <w:rPr>
                <w:rFonts w:ascii="Times New Roman" w:eastAsia="宋体" w:hAnsi="Times New Roman"/>
                <w:b/>
                <w:bCs/>
                <w:color w:val="000000"/>
                <w:sz w:val="20"/>
                <w:szCs w:val="20"/>
                <w:u w:val="single"/>
              </w:rPr>
              <w:t>MINE SAFETY DISCLOSURES</w:t>
            </w:r>
          </w:p>
        </w:tc>
      </w:tr>
    </w:tbl>
    <w:p w14:paraId="35D097B3" w14:textId="77777777" w:rsidR="00D42204" w:rsidRDefault="004E439D">
      <w:pPr>
        <w:spacing w:before="120"/>
      </w:pPr>
      <w:r>
        <w:rPr>
          <w:rFonts w:ascii="Times New Roman" w:eastAsia="宋体" w:hAnsi="Times New Roman"/>
          <w:color w:val="000000"/>
          <w:sz w:val="20"/>
          <w:szCs w:val="20"/>
        </w:rPr>
        <w:t>Not applicable.</w:t>
      </w:r>
    </w:p>
    <w:p w14:paraId="35D097B4" w14:textId="77777777" w:rsidR="00D42204" w:rsidRDefault="004E439D">
      <w:pPr>
        <w:jc w:val="center"/>
      </w:pPr>
      <w:r>
        <w:rPr>
          <w:rFonts w:ascii="Times New Roman" w:eastAsia="宋体" w:hAnsi="Times New Roman"/>
          <w:color w:val="000000"/>
          <w:sz w:val="20"/>
          <w:szCs w:val="20"/>
        </w:rPr>
        <w:t>31</w:t>
      </w:r>
    </w:p>
    <w:p w14:paraId="35D097B5" w14:textId="77777777" w:rsidR="00D42204" w:rsidRDefault="004E439D">
      <w:r>
        <w:pict w14:anchorId="35D0C378">
          <v:rect id="_x0000_i1055" style="width:415.3pt;height:1.5pt" o:hralign="center" o:hrstd="t" o:hr="t" fillcolor="#a0a0a0" stroked="f"/>
        </w:pict>
      </w:r>
    </w:p>
    <w:p w14:paraId="35D097B6" w14:textId="77777777" w:rsidR="00D42204" w:rsidRDefault="00D42204"/>
    <w:p w14:paraId="35D097B7" w14:textId="77777777" w:rsidR="00D42204" w:rsidRDefault="004E439D">
      <w:pPr>
        <w:spacing w:before="240"/>
        <w:jc w:val="center"/>
      </w:pPr>
      <w:r>
        <w:rPr>
          <w:rFonts w:ascii="Times New Roman" w:eastAsia="宋体" w:hAnsi="Times New Roman"/>
          <w:b/>
          <w:bCs/>
          <w:color w:val="000000"/>
          <w:sz w:val="20"/>
          <w:szCs w:val="20"/>
          <w:u w:val="single"/>
        </w:rPr>
        <w:t>PART II</w:t>
      </w:r>
    </w:p>
    <w:tbl>
      <w:tblPr>
        <w:tblW w:w="4993" w:type="pct"/>
        <w:tblCellMar>
          <w:top w:w="15" w:type="dxa"/>
          <w:left w:w="15" w:type="dxa"/>
          <w:bottom w:w="15" w:type="dxa"/>
          <w:right w:w="15" w:type="dxa"/>
        </w:tblCellMar>
        <w:tblLook w:val="04A0" w:firstRow="1" w:lastRow="0" w:firstColumn="1" w:lastColumn="0" w:noHBand="0" w:noVBand="1"/>
      </w:tblPr>
      <w:tblGrid>
        <w:gridCol w:w="71"/>
        <w:gridCol w:w="806"/>
        <w:gridCol w:w="36"/>
        <w:gridCol w:w="70"/>
        <w:gridCol w:w="7305"/>
        <w:gridCol w:w="36"/>
      </w:tblGrid>
      <w:tr w:rsidR="00D42204" w14:paraId="35D097BE" w14:textId="77777777">
        <w:tc>
          <w:tcPr>
            <w:tcW w:w="50" w:type="pct"/>
            <w:shd w:val="clear" w:color="auto" w:fill="auto"/>
            <w:vAlign w:val="bottom"/>
          </w:tcPr>
          <w:p w14:paraId="35D097B8" w14:textId="77777777" w:rsidR="00D42204" w:rsidRDefault="00D42204">
            <w:pPr>
              <w:rPr>
                <w:rFonts w:ascii="宋体"/>
              </w:rPr>
            </w:pPr>
          </w:p>
        </w:tc>
        <w:tc>
          <w:tcPr>
            <w:tcW w:w="494" w:type="pct"/>
            <w:shd w:val="clear" w:color="auto" w:fill="auto"/>
            <w:vAlign w:val="bottom"/>
          </w:tcPr>
          <w:p w14:paraId="35D097B9" w14:textId="77777777" w:rsidR="00D42204" w:rsidRDefault="00D42204">
            <w:pPr>
              <w:rPr>
                <w:rFonts w:ascii="宋体"/>
              </w:rPr>
            </w:pPr>
          </w:p>
        </w:tc>
        <w:tc>
          <w:tcPr>
            <w:tcW w:w="5" w:type="pct"/>
            <w:shd w:val="clear" w:color="auto" w:fill="auto"/>
            <w:vAlign w:val="bottom"/>
          </w:tcPr>
          <w:p w14:paraId="35D097BA" w14:textId="77777777" w:rsidR="00D42204" w:rsidRDefault="00D42204">
            <w:pPr>
              <w:rPr>
                <w:rFonts w:ascii="宋体"/>
              </w:rPr>
            </w:pPr>
          </w:p>
        </w:tc>
        <w:tc>
          <w:tcPr>
            <w:tcW w:w="50" w:type="pct"/>
            <w:shd w:val="clear" w:color="auto" w:fill="auto"/>
            <w:vAlign w:val="bottom"/>
          </w:tcPr>
          <w:p w14:paraId="35D097BB" w14:textId="77777777" w:rsidR="00D42204" w:rsidRDefault="00D42204">
            <w:pPr>
              <w:rPr>
                <w:rFonts w:ascii="宋体"/>
              </w:rPr>
            </w:pPr>
          </w:p>
        </w:tc>
        <w:tc>
          <w:tcPr>
            <w:tcW w:w="4396" w:type="pct"/>
            <w:shd w:val="clear" w:color="auto" w:fill="auto"/>
            <w:vAlign w:val="bottom"/>
          </w:tcPr>
          <w:p w14:paraId="35D097BC" w14:textId="77777777" w:rsidR="00D42204" w:rsidRDefault="00D42204">
            <w:pPr>
              <w:rPr>
                <w:rFonts w:ascii="宋体"/>
              </w:rPr>
            </w:pPr>
          </w:p>
        </w:tc>
        <w:tc>
          <w:tcPr>
            <w:tcW w:w="5" w:type="pct"/>
            <w:shd w:val="clear" w:color="auto" w:fill="auto"/>
            <w:vAlign w:val="bottom"/>
          </w:tcPr>
          <w:p w14:paraId="35D097BD" w14:textId="77777777" w:rsidR="00D42204" w:rsidRDefault="00D42204">
            <w:pPr>
              <w:rPr>
                <w:rFonts w:ascii="宋体"/>
              </w:rPr>
            </w:pPr>
          </w:p>
        </w:tc>
      </w:tr>
      <w:tr w:rsidR="00D42204" w14:paraId="35D097C1" w14:textId="77777777">
        <w:tc>
          <w:tcPr>
            <w:tcW w:w="0" w:type="auto"/>
            <w:gridSpan w:val="3"/>
            <w:shd w:val="clear" w:color="auto" w:fill="auto"/>
            <w:tcMar>
              <w:top w:w="40" w:type="dxa"/>
              <w:left w:w="20" w:type="dxa"/>
              <w:bottom w:w="40" w:type="dxa"/>
              <w:right w:w="20" w:type="dxa"/>
            </w:tcMar>
          </w:tcPr>
          <w:p w14:paraId="35D097BF" w14:textId="77777777" w:rsidR="00D42204" w:rsidRDefault="004E439D">
            <w:pPr>
              <w:textAlignment w:val="top"/>
            </w:pPr>
            <w:r>
              <w:rPr>
                <w:rFonts w:ascii="Times New Roman" w:eastAsia="宋体" w:hAnsi="Times New Roman"/>
                <w:b/>
                <w:bCs/>
                <w:color w:val="000000"/>
                <w:sz w:val="20"/>
                <w:szCs w:val="20"/>
                <w:u w:val="single"/>
              </w:rPr>
              <w:t>ITEM 5.</w:t>
            </w:r>
          </w:p>
        </w:tc>
        <w:tc>
          <w:tcPr>
            <w:tcW w:w="0" w:type="auto"/>
            <w:gridSpan w:val="3"/>
            <w:shd w:val="clear" w:color="auto" w:fill="auto"/>
            <w:tcMar>
              <w:top w:w="40" w:type="dxa"/>
              <w:left w:w="20" w:type="dxa"/>
              <w:bottom w:w="40" w:type="dxa"/>
              <w:right w:w="20" w:type="dxa"/>
            </w:tcMar>
          </w:tcPr>
          <w:p w14:paraId="35D097C0" w14:textId="77777777" w:rsidR="00D42204" w:rsidRDefault="004E439D">
            <w:pPr>
              <w:spacing w:after="60"/>
              <w:textAlignment w:val="top"/>
            </w:pPr>
            <w:r>
              <w:rPr>
                <w:rFonts w:ascii="Times New Roman" w:eastAsia="宋体" w:hAnsi="Times New Roman"/>
                <w:b/>
                <w:bCs/>
                <w:color w:val="000000"/>
                <w:sz w:val="20"/>
                <w:szCs w:val="20"/>
                <w:u w:val="single"/>
              </w:rPr>
              <w:t xml:space="preserve">MARKET FOR REGISTRANT'S COMMON EQUITY, RELATED </w:t>
            </w:r>
            <w:r>
              <w:rPr>
                <w:rFonts w:ascii="Times New Roman" w:eastAsia="宋体" w:hAnsi="Times New Roman"/>
                <w:b/>
                <w:bCs/>
                <w:color w:val="000000"/>
                <w:sz w:val="20"/>
                <w:szCs w:val="20"/>
                <w:u w:val="single"/>
              </w:rPr>
              <w:t>STOCKHOLDER MATTERS AND ISSUER PURCHASES OF EQUITY SECURITIES</w:t>
            </w:r>
          </w:p>
        </w:tc>
      </w:tr>
    </w:tbl>
    <w:p w14:paraId="35D097C2" w14:textId="77777777" w:rsidR="00D42204" w:rsidRDefault="004E439D">
      <w:r>
        <w:rPr>
          <w:rFonts w:ascii="Times New Roman" w:eastAsia="宋体" w:hAnsi="Times New Roman"/>
          <w:b/>
          <w:bCs/>
          <w:color w:val="000000"/>
          <w:sz w:val="20"/>
          <w:szCs w:val="20"/>
        </w:rPr>
        <w:t>Market for Common Stock</w:t>
      </w:r>
    </w:p>
    <w:p w14:paraId="35D097C3" w14:textId="77777777" w:rsidR="00D42204" w:rsidRDefault="004E439D">
      <w:pPr>
        <w:spacing w:before="100"/>
      </w:pPr>
      <w:r>
        <w:rPr>
          <w:rFonts w:ascii="Times New Roman" w:eastAsia="宋体" w:hAnsi="Times New Roman"/>
          <w:color w:val="000000"/>
          <w:sz w:val="20"/>
          <w:szCs w:val="20"/>
        </w:rPr>
        <w:t>The principal market on which Walmart's common stock is listed for trading is the New York Stock Exchange. The common stock trades under the symbol "WMT."</w:t>
      </w:r>
    </w:p>
    <w:p w14:paraId="35D097C4" w14:textId="77777777" w:rsidR="00D42204" w:rsidRDefault="004E439D">
      <w:pPr>
        <w:spacing w:before="180"/>
      </w:pPr>
      <w:r>
        <w:rPr>
          <w:rFonts w:ascii="Times New Roman" w:eastAsia="宋体" w:hAnsi="Times New Roman"/>
          <w:b/>
          <w:bCs/>
          <w:color w:val="000000"/>
          <w:sz w:val="20"/>
          <w:szCs w:val="20"/>
        </w:rPr>
        <w:t xml:space="preserve">Holders of </w:t>
      </w:r>
      <w:r>
        <w:rPr>
          <w:rFonts w:ascii="Times New Roman" w:eastAsia="宋体" w:hAnsi="Times New Roman"/>
          <w:b/>
          <w:bCs/>
          <w:color w:val="000000"/>
          <w:sz w:val="20"/>
          <w:szCs w:val="20"/>
        </w:rPr>
        <w:t>Record of Common Stock</w:t>
      </w:r>
    </w:p>
    <w:p w14:paraId="35D097C5" w14:textId="77777777" w:rsidR="00D42204" w:rsidRDefault="004E439D">
      <w:pPr>
        <w:spacing w:before="100"/>
      </w:pPr>
      <w:r>
        <w:rPr>
          <w:rFonts w:ascii="Times New Roman" w:eastAsia="宋体" w:hAnsi="Times New Roman"/>
          <w:color w:val="000000"/>
          <w:sz w:val="20"/>
          <w:szCs w:val="20"/>
        </w:rPr>
        <w:t>As of March 16, 2022, there were 209,870 holders of record of Walmart's common stock.</w:t>
      </w:r>
    </w:p>
    <w:p w14:paraId="35D097C6" w14:textId="77777777" w:rsidR="00D42204" w:rsidRDefault="004E439D">
      <w:pPr>
        <w:spacing w:before="180"/>
      </w:pPr>
      <w:r>
        <w:rPr>
          <w:rFonts w:ascii="Times New Roman" w:eastAsia="宋体" w:hAnsi="Times New Roman"/>
          <w:b/>
          <w:bCs/>
          <w:color w:val="000000"/>
          <w:sz w:val="20"/>
          <w:szCs w:val="20"/>
        </w:rPr>
        <w:t>Stock Performance Chart</w:t>
      </w:r>
    </w:p>
    <w:p w14:paraId="35D097C7" w14:textId="77777777" w:rsidR="00D42204" w:rsidRDefault="004E439D">
      <w:pPr>
        <w:spacing w:before="100"/>
      </w:pPr>
      <w:r>
        <w:rPr>
          <w:rFonts w:ascii="Times New Roman" w:eastAsia="宋体" w:hAnsi="Times New Roman"/>
          <w:color w:val="000000"/>
          <w:sz w:val="20"/>
          <w:szCs w:val="20"/>
        </w:rPr>
        <w:t>This graph compares the cumulative total shareholder return on Walmart's common stock during the five fiscal years ended th</w:t>
      </w:r>
      <w:r>
        <w:rPr>
          <w:rFonts w:ascii="Times New Roman" w:eastAsia="宋体" w:hAnsi="Times New Roman"/>
          <w:color w:val="000000"/>
          <w:sz w:val="20"/>
          <w:szCs w:val="20"/>
        </w:rPr>
        <w:t xml:space="preserve">rough fiscal 2022 to the cumulative total returns on the S&amp;P 500 Retailing Index and the S&amp;P 500 Index. The comparison assumes $100 was invested on February 1, 2017 in shares of our common stock and in each of the indices shown and assumes that all of the </w:t>
      </w:r>
      <w:r>
        <w:rPr>
          <w:rFonts w:ascii="Times New Roman" w:eastAsia="宋体" w:hAnsi="Times New Roman"/>
          <w:color w:val="000000"/>
          <w:sz w:val="20"/>
          <w:szCs w:val="20"/>
        </w:rPr>
        <w:t>dividends were reinvested.</w:t>
      </w:r>
    </w:p>
    <w:p w14:paraId="35D097C8" w14:textId="77777777" w:rsidR="00D42204" w:rsidRDefault="00D42204">
      <w:pPr>
        <w:spacing w:before="100"/>
        <w:jc w:val="center"/>
      </w:pPr>
    </w:p>
    <w:p w14:paraId="35D097C9" w14:textId="77777777" w:rsidR="00D42204" w:rsidRDefault="004E439D">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/Walmart/./Inline XBRL Viewer3_files/wmt-20220131_g2.jpg"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35D0C379" wp14:editId="35D0C37A">
            <wp:extent cx="304800" cy="304800"/>
            <wp:effectExtent l="0" t="0" r="0" b="0"/>
            <wp:docPr id="42" name="图片 6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6"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615" w:type="pct"/>
        <w:jc w:val="center"/>
        <w:tblCellMar>
          <w:top w:w="15" w:type="dxa"/>
          <w:left w:w="15" w:type="dxa"/>
          <w:bottom w:w="15" w:type="dxa"/>
          <w:right w:w="15" w:type="dxa"/>
        </w:tblCellMar>
        <w:tblLook w:val="04A0" w:firstRow="1" w:lastRow="0" w:firstColumn="1" w:lastColumn="0" w:noHBand="0" w:noVBand="1"/>
      </w:tblPr>
      <w:tblGrid>
        <w:gridCol w:w="37"/>
        <w:gridCol w:w="2620"/>
        <w:gridCol w:w="36"/>
      </w:tblGrid>
      <w:tr w:rsidR="00D42204" w14:paraId="35D097CD" w14:textId="77777777">
        <w:trPr>
          <w:jc w:val="center"/>
        </w:trPr>
        <w:tc>
          <w:tcPr>
            <w:tcW w:w="50" w:type="pct"/>
            <w:shd w:val="clear" w:color="auto" w:fill="auto"/>
            <w:vAlign w:val="bottom"/>
          </w:tcPr>
          <w:p w14:paraId="35D097CA" w14:textId="77777777" w:rsidR="00D42204" w:rsidRDefault="00D42204">
            <w:pPr>
              <w:rPr>
                <w:rFonts w:ascii="宋体"/>
              </w:rPr>
            </w:pPr>
          </w:p>
        </w:tc>
        <w:tc>
          <w:tcPr>
            <w:tcW w:w="4945" w:type="pct"/>
            <w:shd w:val="clear" w:color="auto" w:fill="auto"/>
            <w:vAlign w:val="bottom"/>
          </w:tcPr>
          <w:p w14:paraId="35D097CB" w14:textId="77777777" w:rsidR="00D42204" w:rsidRDefault="00D42204">
            <w:pPr>
              <w:rPr>
                <w:rFonts w:ascii="宋体"/>
              </w:rPr>
            </w:pPr>
          </w:p>
        </w:tc>
        <w:tc>
          <w:tcPr>
            <w:tcW w:w="5" w:type="pct"/>
            <w:shd w:val="clear" w:color="auto" w:fill="auto"/>
            <w:vAlign w:val="bottom"/>
          </w:tcPr>
          <w:p w14:paraId="35D097CC" w14:textId="77777777" w:rsidR="00D42204" w:rsidRDefault="00D42204">
            <w:pPr>
              <w:rPr>
                <w:rFonts w:ascii="宋体"/>
              </w:rPr>
            </w:pPr>
          </w:p>
        </w:tc>
      </w:tr>
      <w:tr w:rsidR="00D42204" w14:paraId="35D097CF" w14:textId="77777777">
        <w:trPr>
          <w:jc w:val="center"/>
        </w:trPr>
        <w:tc>
          <w:tcPr>
            <w:tcW w:w="0" w:type="auto"/>
            <w:gridSpan w:val="3"/>
            <w:shd w:val="clear" w:color="auto" w:fill="auto"/>
            <w:tcMar>
              <w:top w:w="40" w:type="dxa"/>
              <w:left w:w="20" w:type="dxa"/>
              <w:bottom w:w="40" w:type="dxa"/>
              <w:right w:w="20" w:type="dxa"/>
            </w:tcMar>
          </w:tcPr>
          <w:p w14:paraId="35D097CE" w14:textId="77777777" w:rsidR="00D42204" w:rsidRDefault="004E439D">
            <w:pPr>
              <w:jc w:val="center"/>
              <w:textAlignment w:val="top"/>
            </w:pPr>
            <w:r>
              <w:rPr>
                <w:rFonts w:ascii="Times New Roman" w:eastAsia="宋体" w:hAnsi="Times New Roman"/>
                <w:b/>
                <w:bCs/>
                <w:color w:val="000000"/>
                <w:sz w:val="14"/>
                <w:szCs w:val="14"/>
              </w:rPr>
              <w:t>*Assumes $100 Invested on February 1, 2017</w:t>
            </w:r>
            <w:r>
              <w:rPr>
                <w:rFonts w:ascii="Times New Roman" w:eastAsia="宋体" w:hAnsi="Times New Roman"/>
                <w:b/>
                <w:bCs/>
                <w:color w:val="000000"/>
                <w:sz w:val="14"/>
                <w:szCs w:val="14"/>
              </w:rPr>
              <w:br/>
            </w:r>
            <w:r>
              <w:rPr>
                <w:rFonts w:ascii="Times New Roman" w:eastAsia="宋体" w:hAnsi="Times New Roman"/>
                <w:b/>
                <w:bCs/>
                <w:color w:val="000000"/>
                <w:sz w:val="14"/>
                <w:szCs w:val="14"/>
              </w:rPr>
              <w:t xml:space="preserve">Assumes Dividends Reinvested </w:t>
            </w:r>
            <w:r>
              <w:rPr>
                <w:rFonts w:ascii="Times New Roman" w:eastAsia="宋体" w:hAnsi="Times New Roman"/>
                <w:b/>
                <w:bCs/>
                <w:color w:val="000000"/>
                <w:sz w:val="14"/>
                <w:szCs w:val="14"/>
              </w:rPr>
              <w:br/>
              <w:t>Fiscal Year ended January 31, 2022</w:t>
            </w:r>
          </w:p>
        </w:tc>
      </w:tr>
    </w:tbl>
    <w:p w14:paraId="35D097D0" w14:textId="77777777" w:rsidR="00D42204" w:rsidRDefault="00D42204">
      <w:pPr>
        <w:rPr>
          <w:vanish/>
        </w:rPr>
      </w:pP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1817"/>
        <w:gridCol w:w="36"/>
        <w:gridCol w:w="100"/>
        <w:gridCol w:w="877"/>
        <w:gridCol w:w="36"/>
        <w:gridCol w:w="36"/>
        <w:gridCol w:w="36"/>
        <w:gridCol w:w="36"/>
        <w:gridCol w:w="100"/>
        <w:gridCol w:w="840"/>
        <w:gridCol w:w="36"/>
        <w:gridCol w:w="36"/>
        <w:gridCol w:w="36"/>
        <w:gridCol w:w="36"/>
        <w:gridCol w:w="100"/>
        <w:gridCol w:w="840"/>
        <w:gridCol w:w="36"/>
        <w:gridCol w:w="36"/>
        <w:gridCol w:w="36"/>
        <w:gridCol w:w="36"/>
        <w:gridCol w:w="100"/>
        <w:gridCol w:w="840"/>
        <w:gridCol w:w="36"/>
        <w:gridCol w:w="36"/>
        <w:gridCol w:w="36"/>
        <w:gridCol w:w="36"/>
        <w:gridCol w:w="100"/>
        <w:gridCol w:w="840"/>
        <w:gridCol w:w="36"/>
        <w:gridCol w:w="36"/>
        <w:gridCol w:w="36"/>
        <w:gridCol w:w="36"/>
        <w:gridCol w:w="100"/>
        <w:gridCol w:w="840"/>
        <w:gridCol w:w="36"/>
      </w:tblGrid>
      <w:tr w:rsidR="00D42204" w14:paraId="35D097F5" w14:textId="77777777">
        <w:trPr>
          <w:jc w:val="center"/>
        </w:trPr>
        <w:tc>
          <w:tcPr>
            <w:tcW w:w="50" w:type="pct"/>
            <w:shd w:val="clear" w:color="auto" w:fill="auto"/>
            <w:vAlign w:val="bottom"/>
          </w:tcPr>
          <w:p w14:paraId="35D097D1" w14:textId="77777777" w:rsidR="00D42204" w:rsidRDefault="00D42204">
            <w:pPr>
              <w:rPr>
                <w:rFonts w:ascii="宋体"/>
              </w:rPr>
            </w:pPr>
          </w:p>
        </w:tc>
        <w:tc>
          <w:tcPr>
            <w:tcW w:w="1116" w:type="pct"/>
            <w:shd w:val="clear" w:color="auto" w:fill="auto"/>
            <w:vAlign w:val="bottom"/>
          </w:tcPr>
          <w:p w14:paraId="35D097D2" w14:textId="77777777" w:rsidR="00D42204" w:rsidRDefault="00D42204">
            <w:pPr>
              <w:rPr>
                <w:rFonts w:ascii="宋体"/>
              </w:rPr>
            </w:pPr>
          </w:p>
        </w:tc>
        <w:tc>
          <w:tcPr>
            <w:tcW w:w="5" w:type="pct"/>
            <w:shd w:val="clear" w:color="auto" w:fill="auto"/>
            <w:vAlign w:val="bottom"/>
          </w:tcPr>
          <w:p w14:paraId="35D097D3" w14:textId="77777777" w:rsidR="00D42204" w:rsidRDefault="00D42204">
            <w:pPr>
              <w:rPr>
                <w:rFonts w:ascii="宋体"/>
              </w:rPr>
            </w:pPr>
          </w:p>
        </w:tc>
        <w:tc>
          <w:tcPr>
            <w:tcW w:w="50" w:type="pct"/>
            <w:shd w:val="clear" w:color="auto" w:fill="auto"/>
            <w:vAlign w:val="bottom"/>
          </w:tcPr>
          <w:p w14:paraId="35D097D4" w14:textId="77777777" w:rsidR="00D42204" w:rsidRDefault="00D42204">
            <w:pPr>
              <w:rPr>
                <w:rFonts w:ascii="宋体"/>
              </w:rPr>
            </w:pPr>
          </w:p>
        </w:tc>
        <w:tc>
          <w:tcPr>
            <w:tcW w:w="552" w:type="pct"/>
            <w:shd w:val="clear" w:color="auto" w:fill="auto"/>
            <w:vAlign w:val="bottom"/>
          </w:tcPr>
          <w:p w14:paraId="35D097D5" w14:textId="77777777" w:rsidR="00D42204" w:rsidRDefault="00D42204">
            <w:pPr>
              <w:rPr>
                <w:rFonts w:ascii="宋体"/>
              </w:rPr>
            </w:pPr>
          </w:p>
        </w:tc>
        <w:tc>
          <w:tcPr>
            <w:tcW w:w="5" w:type="pct"/>
            <w:shd w:val="clear" w:color="auto" w:fill="auto"/>
            <w:vAlign w:val="bottom"/>
          </w:tcPr>
          <w:p w14:paraId="35D097D6" w14:textId="77777777" w:rsidR="00D42204" w:rsidRDefault="00D42204">
            <w:pPr>
              <w:rPr>
                <w:rFonts w:ascii="宋体"/>
              </w:rPr>
            </w:pPr>
          </w:p>
        </w:tc>
        <w:tc>
          <w:tcPr>
            <w:tcW w:w="5" w:type="pct"/>
            <w:shd w:val="clear" w:color="auto" w:fill="auto"/>
            <w:vAlign w:val="bottom"/>
          </w:tcPr>
          <w:p w14:paraId="35D097D7" w14:textId="77777777" w:rsidR="00D42204" w:rsidRDefault="00D42204">
            <w:pPr>
              <w:rPr>
                <w:rFonts w:ascii="宋体"/>
              </w:rPr>
            </w:pPr>
          </w:p>
        </w:tc>
        <w:tc>
          <w:tcPr>
            <w:tcW w:w="26" w:type="pct"/>
            <w:shd w:val="clear" w:color="auto" w:fill="auto"/>
            <w:vAlign w:val="bottom"/>
          </w:tcPr>
          <w:p w14:paraId="35D097D8" w14:textId="77777777" w:rsidR="00D42204" w:rsidRDefault="00D42204">
            <w:pPr>
              <w:rPr>
                <w:rFonts w:ascii="宋体"/>
              </w:rPr>
            </w:pPr>
          </w:p>
        </w:tc>
        <w:tc>
          <w:tcPr>
            <w:tcW w:w="5" w:type="pct"/>
            <w:shd w:val="clear" w:color="auto" w:fill="auto"/>
            <w:vAlign w:val="bottom"/>
          </w:tcPr>
          <w:p w14:paraId="35D097D9" w14:textId="77777777" w:rsidR="00D42204" w:rsidRDefault="00D42204">
            <w:pPr>
              <w:rPr>
                <w:rFonts w:ascii="宋体"/>
              </w:rPr>
            </w:pPr>
          </w:p>
        </w:tc>
        <w:tc>
          <w:tcPr>
            <w:tcW w:w="50" w:type="pct"/>
            <w:shd w:val="clear" w:color="auto" w:fill="auto"/>
            <w:vAlign w:val="bottom"/>
          </w:tcPr>
          <w:p w14:paraId="35D097DA" w14:textId="77777777" w:rsidR="00D42204" w:rsidRDefault="00D42204">
            <w:pPr>
              <w:rPr>
                <w:rFonts w:ascii="宋体"/>
              </w:rPr>
            </w:pPr>
          </w:p>
        </w:tc>
        <w:tc>
          <w:tcPr>
            <w:tcW w:w="552" w:type="pct"/>
            <w:shd w:val="clear" w:color="auto" w:fill="auto"/>
            <w:vAlign w:val="bottom"/>
          </w:tcPr>
          <w:p w14:paraId="35D097DB" w14:textId="77777777" w:rsidR="00D42204" w:rsidRDefault="00D42204">
            <w:pPr>
              <w:rPr>
                <w:rFonts w:ascii="宋体"/>
              </w:rPr>
            </w:pPr>
          </w:p>
        </w:tc>
        <w:tc>
          <w:tcPr>
            <w:tcW w:w="5" w:type="pct"/>
            <w:shd w:val="clear" w:color="auto" w:fill="auto"/>
            <w:vAlign w:val="bottom"/>
          </w:tcPr>
          <w:p w14:paraId="35D097DC" w14:textId="77777777" w:rsidR="00D42204" w:rsidRDefault="00D42204">
            <w:pPr>
              <w:rPr>
                <w:rFonts w:ascii="宋体"/>
              </w:rPr>
            </w:pPr>
          </w:p>
        </w:tc>
        <w:tc>
          <w:tcPr>
            <w:tcW w:w="5" w:type="pct"/>
            <w:shd w:val="clear" w:color="auto" w:fill="auto"/>
            <w:vAlign w:val="bottom"/>
          </w:tcPr>
          <w:p w14:paraId="35D097DD" w14:textId="77777777" w:rsidR="00D42204" w:rsidRDefault="00D42204">
            <w:pPr>
              <w:rPr>
                <w:rFonts w:ascii="宋体"/>
              </w:rPr>
            </w:pPr>
          </w:p>
        </w:tc>
        <w:tc>
          <w:tcPr>
            <w:tcW w:w="26" w:type="pct"/>
            <w:shd w:val="clear" w:color="auto" w:fill="auto"/>
            <w:vAlign w:val="bottom"/>
          </w:tcPr>
          <w:p w14:paraId="35D097DE" w14:textId="77777777" w:rsidR="00D42204" w:rsidRDefault="00D42204">
            <w:pPr>
              <w:rPr>
                <w:rFonts w:ascii="宋体"/>
              </w:rPr>
            </w:pPr>
          </w:p>
        </w:tc>
        <w:tc>
          <w:tcPr>
            <w:tcW w:w="5" w:type="pct"/>
            <w:shd w:val="clear" w:color="auto" w:fill="auto"/>
            <w:vAlign w:val="bottom"/>
          </w:tcPr>
          <w:p w14:paraId="35D097DF" w14:textId="77777777" w:rsidR="00D42204" w:rsidRDefault="00D42204">
            <w:pPr>
              <w:rPr>
                <w:rFonts w:ascii="宋体"/>
              </w:rPr>
            </w:pPr>
          </w:p>
        </w:tc>
        <w:tc>
          <w:tcPr>
            <w:tcW w:w="50" w:type="pct"/>
            <w:shd w:val="clear" w:color="auto" w:fill="auto"/>
            <w:vAlign w:val="bottom"/>
          </w:tcPr>
          <w:p w14:paraId="35D097E0" w14:textId="77777777" w:rsidR="00D42204" w:rsidRDefault="00D42204">
            <w:pPr>
              <w:rPr>
                <w:rFonts w:ascii="宋体"/>
              </w:rPr>
            </w:pPr>
          </w:p>
        </w:tc>
        <w:tc>
          <w:tcPr>
            <w:tcW w:w="552" w:type="pct"/>
            <w:shd w:val="clear" w:color="auto" w:fill="auto"/>
            <w:vAlign w:val="bottom"/>
          </w:tcPr>
          <w:p w14:paraId="35D097E1" w14:textId="77777777" w:rsidR="00D42204" w:rsidRDefault="00D42204">
            <w:pPr>
              <w:rPr>
                <w:rFonts w:ascii="宋体"/>
              </w:rPr>
            </w:pPr>
          </w:p>
        </w:tc>
        <w:tc>
          <w:tcPr>
            <w:tcW w:w="5" w:type="pct"/>
            <w:shd w:val="clear" w:color="auto" w:fill="auto"/>
            <w:vAlign w:val="bottom"/>
          </w:tcPr>
          <w:p w14:paraId="35D097E2" w14:textId="77777777" w:rsidR="00D42204" w:rsidRDefault="00D42204">
            <w:pPr>
              <w:rPr>
                <w:rFonts w:ascii="宋体"/>
              </w:rPr>
            </w:pPr>
          </w:p>
        </w:tc>
        <w:tc>
          <w:tcPr>
            <w:tcW w:w="5" w:type="pct"/>
            <w:shd w:val="clear" w:color="auto" w:fill="auto"/>
            <w:vAlign w:val="bottom"/>
          </w:tcPr>
          <w:p w14:paraId="35D097E3" w14:textId="77777777" w:rsidR="00D42204" w:rsidRDefault="00D42204">
            <w:pPr>
              <w:rPr>
                <w:rFonts w:ascii="宋体"/>
              </w:rPr>
            </w:pPr>
          </w:p>
        </w:tc>
        <w:tc>
          <w:tcPr>
            <w:tcW w:w="26" w:type="pct"/>
            <w:shd w:val="clear" w:color="auto" w:fill="auto"/>
            <w:vAlign w:val="bottom"/>
          </w:tcPr>
          <w:p w14:paraId="35D097E4" w14:textId="77777777" w:rsidR="00D42204" w:rsidRDefault="00D42204">
            <w:pPr>
              <w:rPr>
                <w:rFonts w:ascii="宋体"/>
              </w:rPr>
            </w:pPr>
          </w:p>
        </w:tc>
        <w:tc>
          <w:tcPr>
            <w:tcW w:w="5" w:type="pct"/>
            <w:shd w:val="clear" w:color="auto" w:fill="auto"/>
            <w:vAlign w:val="bottom"/>
          </w:tcPr>
          <w:p w14:paraId="35D097E5" w14:textId="77777777" w:rsidR="00D42204" w:rsidRDefault="00D42204">
            <w:pPr>
              <w:rPr>
                <w:rFonts w:ascii="宋体"/>
              </w:rPr>
            </w:pPr>
          </w:p>
        </w:tc>
        <w:tc>
          <w:tcPr>
            <w:tcW w:w="50" w:type="pct"/>
            <w:shd w:val="clear" w:color="auto" w:fill="auto"/>
            <w:vAlign w:val="bottom"/>
          </w:tcPr>
          <w:p w14:paraId="35D097E6" w14:textId="77777777" w:rsidR="00D42204" w:rsidRDefault="00D42204">
            <w:pPr>
              <w:rPr>
                <w:rFonts w:ascii="宋体"/>
              </w:rPr>
            </w:pPr>
          </w:p>
        </w:tc>
        <w:tc>
          <w:tcPr>
            <w:tcW w:w="552" w:type="pct"/>
            <w:shd w:val="clear" w:color="auto" w:fill="auto"/>
            <w:vAlign w:val="bottom"/>
          </w:tcPr>
          <w:p w14:paraId="35D097E7" w14:textId="77777777" w:rsidR="00D42204" w:rsidRDefault="00D42204">
            <w:pPr>
              <w:rPr>
                <w:rFonts w:ascii="宋体"/>
              </w:rPr>
            </w:pPr>
          </w:p>
        </w:tc>
        <w:tc>
          <w:tcPr>
            <w:tcW w:w="5" w:type="pct"/>
            <w:shd w:val="clear" w:color="auto" w:fill="auto"/>
            <w:vAlign w:val="bottom"/>
          </w:tcPr>
          <w:p w14:paraId="35D097E8" w14:textId="77777777" w:rsidR="00D42204" w:rsidRDefault="00D42204">
            <w:pPr>
              <w:rPr>
                <w:rFonts w:ascii="宋体"/>
              </w:rPr>
            </w:pPr>
          </w:p>
        </w:tc>
        <w:tc>
          <w:tcPr>
            <w:tcW w:w="5" w:type="pct"/>
            <w:shd w:val="clear" w:color="auto" w:fill="auto"/>
            <w:vAlign w:val="bottom"/>
          </w:tcPr>
          <w:p w14:paraId="35D097E9" w14:textId="77777777" w:rsidR="00D42204" w:rsidRDefault="00D42204">
            <w:pPr>
              <w:rPr>
                <w:rFonts w:ascii="宋体"/>
              </w:rPr>
            </w:pPr>
          </w:p>
        </w:tc>
        <w:tc>
          <w:tcPr>
            <w:tcW w:w="26" w:type="pct"/>
            <w:shd w:val="clear" w:color="auto" w:fill="auto"/>
            <w:vAlign w:val="bottom"/>
          </w:tcPr>
          <w:p w14:paraId="35D097EA" w14:textId="77777777" w:rsidR="00D42204" w:rsidRDefault="00D42204">
            <w:pPr>
              <w:rPr>
                <w:rFonts w:ascii="宋体"/>
              </w:rPr>
            </w:pPr>
          </w:p>
        </w:tc>
        <w:tc>
          <w:tcPr>
            <w:tcW w:w="5" w:type="pct"/>
            <w:shd w:val="clear" w:color="auto" w:fill="auto"/>
            <w:vAlign w:val="bottom"/>
          </w:tcPr>
          <w:p w14:paraId="35D097EB" w14:textId="77777777" w:rsidR="00D42204" w:rsidRDefault="00D42204">
            <w:pPr>
              <w:rPr>
                <w:rFonts w:ascii="宋体"/>
              </w:rPr>
            </w:pPr>
          </w:p>
        </w:tc>
        <w:tc>
          <w:tcPr>
            <w:tcW w:w="50" w:type="pct"/>
            <w:shd w:val="clear" w:color="auto" w:fill="auto"/>
            <w:vAlign w:val="bottom"/>
          </w:tcPr>
          <w:p w14:paraId="35D097EC" w14:textId="77777777" w:rsidR="00D42204" w:rsidRDefault="00D42204">
            <w:pPr>
              <w:rPr>
                <w:rFonts w:ascii="宋体"/>
              </w:rPr>
            </w:pPr>
          </w:p>
        </w:tc>
        <w:tc>
          <w:tcPr>
            <w:tcW w:w="552" w:type="pct"/>
            <w:shd w:val="clear" w:color="auto" w:fill="auto"/>
            <w:vAlign w:val="bottom"/>
          </w:tcPr>
          <w:p w14:paraId="35D097ED" w14:textId="77777777" w:rsidR="00D42204" w:rsidRDefault="00D42204">
            <w:pPr>
              <w:rPr>
                <w:rFonts w:ascii="宋体"/>
              </w:rPr>
            </w:pPr>
          </w:p>
        </w:tc>
        <w:tc>
          <w:tcPr>
            <w:tcW w:w="5" w:type="pct"/>
            <w:shd w:val="clear" w:color="auto" w:fill="auto"/>
            <w:vAlign w:val="bottom"/>
          </w:tcPr>
          <w:p w14:paraId="35D097EE" w14:textId="77777777" w:rsidR="00D42204" w:rsidRDefault="00D42204">
            <w:pPr>
              <w:rPr>
                <w:rFonts w:ascii="宋体"/>
              </w:rPr>
            </w:pPr>
          </w:p>
        </w:tc>
        <w:tc>
          <w:tcPr>
            <w:tcW w:w="5" w:type="pct"/>
            <w:shd w:val="clear" w:color="auto" w:fill="auto"/>
            <w:vAlign w:val="bottom"/>
          </w:tcPr>
          <w:p w14:paraId="35D097EF" w14:textId="77777777" w:rsidR="00D42204" w:rsidRDefault="00D42204">
            <w:pPr>
              <w:rPr>
                <w:rFonts w:ascii="宋体"/>
              </w:rPr>
            </w:pPr>
          </w:p>
        </w:tc>
        <w:tc>
          <w:tcPr>
            <w:tcW w:w="26" w:type="pct"/>
            <w:shd w:val="clear" w:color="auto" w:fill="auto"/>
            <w:vAlign w:val="bottom"/>
          </w:tcPr>
          <w:p w14:paraId="35D097F0" w14:textId="77777777" w:rsidR="00D42204" w:rsidRDefault="00D42204">
            <w:pPr>
              <w:rPr>
                <w:rFonts w:ascii="宋体"/>
              </w:rPr>
            </w:pPr>
          </w:p>
        </w:tc>
        <w:tc>
          <w:tcPr>
            <w:tcW w:w="5" w:type="pct"/>
            <w:shd w:val="clear" w:color="auto" w:fill="auto"/>
            <w:vAlign w:val="bottom"/>
          </w:tcPr>
          <w:p w14:paraId="35D097F1" w14:textId="77777777" w:rsidR="00D42204" w:rsidRDefault="00D42204">
            <w:pPr>
              <w:rPr>
                <w:rFonts w:ascii="宋体"/>
              </w:rPr>
            </w:pPr>
          </w:p>
        </w:tc>
        <w:tc>
          <w:tcPr>
            <w:tcW w:w="50" w:type="pct"/>
            <w:shd w:val="clear" w:color="auto" w:fill="auto"/>
            <w:vAlign w:val="bottom"/>
          </w:tcPr>
          <w:p w14:paraId="35D097F2" w14:textId="77777777" w:rsidR="00D42204" w:rsidRDefault="00D42204">
            <w:pPr>
              <w:rPr>
                <w:rFonts w:ascii="宋体"/>
              </w:rPr>
            </w:pPr>
          </w:p>
        </w:tc>
        <w:tc>
          <w:tcPr>
            <w:tcW w:w="552" w:type="pct"/>
            <w:shd w:val="clear" w:color="auto" w:fill="auto"/>
            <w:vAlign w:val="bottom"/>
          </w:tcPr>
          <w:p w14:paraId="35D097F3" w14:textId="77777777" w:rsidR="00D42204" w:rsidRDefault="00D42204">
            <w:pPr>
              <w:rPr>
                <w:rFonts w:ascii="宋体"/>
              </w:rPr>
            </w:pPr>
          </w:p>
        </w:tc>
        <w:tc>
          <w:tcPr>
            <w:tcW w:w="5" w:type="pct"/>
            <w:shd w:val="clear" w:color="auto" w:fill="auto"/>
            <w:vAlign w:val="bottom"/>
          </w:tcPr>
          <w:p w14:paraId="35D097F4" w14:textId="77777777" w:rsidR="00D42204" w:rsidRDefault="00D42204">
            <w:pPr>
              <w:rPr>
                <w:rFonts w:ascii="宋体"/>
              </w:rPr>
            </w:pPr>
          </w:p>
        </w:tc>
      </w:tr>
      <w:tr w:rsidR="00D42204" w14:paraId="35D097F8" w14:textId="77777777">
        <w:trPr>
          <w:jc w:val="center"/>
        </w:trPr>
        <w:tc>
          <w:tcPr>
            <w:tcW w:w="0" w:type="auto"/>
            <w:gridSpan w:val="3"/>
            <w:shd w:val="clear" w:color="auto" w:fill="auto"/>
            <w:tcMar>
              <w:top w:w="0" w:type="dxa"/>
              <w:left w:w="20" w:type="dxa"/>
              <w:bottom w:w="0" w:type="dxa"/>
              <w:right w:w="20" w:type="dxa"/>
            </w:tcMar>
            <w:vAlign w:val="bottom"/>
          </w:tcPr>
          <w:p w14:paraId="35D097F6" w14:textId="77777777" w:rsidR="00D42204" w:rsidRDefault="00D42204">
            <w:pPr>
              <w:rPr>
                <w:rFonts w:ascii="宋体"/>
              </w:rPr>
            </w:pPr>
          </w:p>
        </w:tc>
        <w:tc>
          <w:tcPr>
            <w:tcW w:w="0" w:type="auto"/>
            <w:gridSpan w:val="33"/>
            <w:shd w:val="clear" w:color="auto" w:fill="auto"/>
            <w:tcMar>
              <w:top w:w="40" w:type="dxa"/>
              <w:left w:w="20" w:type="dxa"/>
              <w:bottom w:w="40" w:type="dxa"/>
              <w:right w:w="20" w:type="dxa"/>
            </w:tcMar>
            <w:vAlign w:val="center"/>
          </w:tcPr>
          <w:p w14:paraId="35D097F7" w14:textId="77777777" w:rsidR="00D42204" w:rsidRDefault="004E439D">
            <w:pPr>
              <w:jc w:val="center"/>
              <w:textAlignment w:val="center"/>
            </w:pPr>
            <w:r>
              <w:rPr>
                <w:rFonts w:ascii="Times New Roman" w:eastAsia="宋体" w:hAnsi="Times New Roman"/>
                <w:b/>
                <w:bCs/>
                <w:color w:val="000000"/>
                <w:sz w:val="16"/>
                <w:szCs w:val="16"/>
              </w:rPr>
              <w:t>Fiscal Years Ended January 31,</w:t>
            </w:r>
          </w:p>
        </w:tc>
      </w:tr>
      <w:tr w:rsidR="00D42204" w14:paraId="35D09805" w14:textId="77777777">
        <w:trPr>
          <w:jc w:val="center"/>
        </w:trPr>
        <w:tc>
          <w:tcPr>
            <w:tcW w:w="0" w:type="auto"/>
            <w:gridSpan w:val="3"/>
            <w:shd w:val="clear" w:color="auto" w:fill="auto"/>
            <w:tcMar>
              <w:top w:w="0" w:type="dxa"/>
              <w:left w:w="20" w:type="dxa"/>
              <w:bottom w:w="0" w:type="dxa"/>
              <w:right w:w="20" w:type="dxa"/>
            </w:tcMar>
            <w:vAlign w:val="bottom"/>
          </w:tcPr>
          <w:p w14:paraId="35D097F9"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7FA" w14:textId="77777777" w:rsidR="00D42204" w:rsidRDefault="004E439D">
            <w:pPr>
              <w:jc w:val="center"/>
              <w:textAlignment w:val="center"/>
            </w:pPr>
            <w:r>
              <w:rPr>
                <w:rFonts w:ascii="Times New Roman" w:eastAsia="宋体" w:hAnsi="Times New Roman"/>
                <w:b/>
                <w:bCs/>
                <w:color w:val="000000"/>
                <w:sz w:val="16"/>
                <w:szCs w:val="16"/>
              </w:rPr>
              <w:t>2017</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7FB"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7FC" w14:textId="77777777" w:rsidR="00D42204" w:rsidRDefault="004E439D">
            <w:pPr>
              <w:jc w:val="center"/>
              <w:textAlignment w:val="center"/>
            </w:pPr>
            <w:r>
              <w:rPr>
                <w:rFonts w:ascii="Times New Roman" w:eastAsia="宋体" w:hAnsi="Times New Roman"/>
                <w:b/>
                <w:bCs/>
                <w:color w:val="000000"/>
                <w:sz w:val="16"/>
                <w:szCs w:val="16"/>
              </w:rPr>
              <w:t>2018</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7FD"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7FE" w14:textId="77777777" w:rsidR="00D42204" w:rsidRDefault="004E439D">
            <w:pPr>
              <w:jc w:val="center"/>
              <w:textAlignment w:val="center"/>
            </w:pPr>
            <w:r>
              <w:rPr>
                <w:rFonts w:ascii="Times New Roman" w:eastAsia="宋体" w:hAnsi="Times New Roman"/>
                <w:b/>
                <w:bCs/>
                <w:color w:val="000000"/>
                <w:sz w:val="16"/>
                <w:szCs w:val="16"/>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7FF"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800" w14:textId="77777777" w:rsidR="00D42204" w:rsidRDefault="004E439D">
            <w:pPr>
              <w:jc w:val="center"/>
              <w:textAlignment w:val="center"/>
            </w:pPr>
            <w:r>
              <w:rPr>
                <w:rFonts w:ascii="Times New Roman" w:eastAsia="宋体" w:hAnsi="Times New Roman"/>
                <w:b/>
                <w:bCs/>
                <w:color w:val="000000"/>
                <w:sz w:val="16"/>
                <w:szCs w:val="16"/>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801"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802" w14:textId="77777777" w:rsidR="00D42204" w:rsidRDefault="004E439D">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803"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804" w14:textId="77777777" w:rsidR="00D42204" w:rsidRDefault="004E439D">
            <w:pPr>
              <w:jc w:val="center"/>
              <w:textAlignment w:val="center"/>
            </w:pPr>
            <w:r>
              <w:rPr>
                <w:rFonts w:ascii="Times New Roman" w:eastAsia="宋体" w:hAnsi="Times New Roman"/>
                <w:b/>
                <w:bCs/>
                <w:color w:val="000000"/>
                <w:sz w:val="16"/>
                <w:szCs w:val="16"/>
              </w:rPr>
              <w:t>2022</w:t>
            </w:r>
          </w:p>
        </w:tc>
      </w:tr>
      <w:tr w:rsidR="00D42204" w14:paraId="35D0981E" w14:textId="77777777">
        <w:trPr>
          <w:jc w:val="center"/>
        </w:trPr>
        <w:tc>
          <w:tcPr>
            <w:tcW w:w="0" w:type="auto"/>
            <w:gridSpan w:val="3"/>
            <w:shd w:val="clear" w:color="auto" w:fill="CCEEFF"/>
            <w:tcMar>
              <w:top w:w="40" w:type="dxa"/>
              <w:left w:w="20" w:type="dxa"/>
              <w:bottom w:w="40" w:type="dxa"/>
              <w:right w:w="20" w:type="dxa"/>
            </w:tcMar>
            <w:vAlign w:val="center"/>
          </w:tcPr>
          <w:p w14:paraId="35D09806" w14:textId="77777777" w:rsidR="00D42204" w:rsidRDefault="004E439D">
            <w:pPr>
              <w:textAlignment w:val="center"/>
            </w:pPr>
            <w:r>
              <w:rPr>
                <w:rFonts w:ascii="Times New Roman" w:eastAsia="宋体" w:hAnsi="Times New Roman"/>
                <w:color w:val="000000"/>
                <w:sz w:val="16"/>
                <w:szCs w:val="16"/>
              </w:rPr>
              <w:t>Walmart Inc.</w:t>
            </w:r>
          </w:p>
        </w:tc>
        <w:tc>
          <w:tcPr>
            <w:tcW w:w="0" w:type="auto"/>
            <w:tcBorders>
              <w:top w:val="single" w:sz="8" w:space="0" w:color="000000"/>
            </w:tcBorders>
            <w:shd w:val="clear" w:color="auto" w:fill="CCEEFF"/>
            <w:tcMar>
              <w:top w:w="40" w:type="dxa"/>
              <w:left w:w="20" w:type="dxa"/>
              <w:bottom w:w="40" w:type="dxa"/>
              <w:right w:w="0" w:type="dxa"/>
            </w:tcMar>
            <w:vAlign w:val="center"/>
          </w:tcPr>
          <w:p w14:paraId="35D09807"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808" w14:textId="77777777" w:rsidR="00D42204" w:rsidRDefault="004E439D">
            <w:pPr>
              <w:jc w:val="right"/>
              <w:textAlignment w:val="center"/>
            </w:pPr>
            <w:r>
              <w:rPr>
                <w:rFonts w:ascii="Times New Roman" w:eastAsia="宋体" w:hAnsi="Times New Roman"/>
                <w:color w:val="000000"/>
                <w:sz w:val="16"/>
                <w:szCs w:val="16"/>
              </w:rPr>
              <w:t>100.00 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80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80A"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80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80C" w14:textId="77777777" w:rsidR="00D42204" w:rsidRDefault="004E439D">
            <w:pPr>
              <w:jc w:val="right"/>
              <w:textAlignment w:val="center"/>
            </w:pPr>
            <w:r>
              <w:rPr>
                <w:rFonts w:ascii="Times New Roman" w:eastAsia="宋体" w:hAnsi="Times New Roman"/>
                <w:color w:val="000000"/>
                <w:sz w:val="16"/>
                <w:szCs w:val="16"/>
              </w:rPr>
              <w:t>163.83 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80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80E"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80F"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810" w14:textId="77777777" w:rsidR="00D42204" w:rsidRDefault="004E439D">
            <w:pPr>
              <w:jc w:val="right"/>
              <w:textAlignment w:val="center"/>
            </w:pPr>
            <w:r>
              <w:rPr>
                <w:rFonts w:ascii="Times New Roman" w:eastAsia="宋体" w:hAnsi="Times New Roman"/>
                <w:color w:val="000000"/>
                <w:sz w:val="16"/>
                <w:szCs w:val="16"/>
              </w:rPr>
              <w:t>150.78 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81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812"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813"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814" w14:textId="77777777" w:rsidR="00D42204" w:rsidRDefault="004E439D">
            <w:pPr>
              <w:jc w:val="right"/>
              <w:textAlignment w:val="center"/>
            </w:pPr>
            <w:r>
              <w:rPr>
                <w:rFonts w:ascii="Times New Roman" w:eastAsia="宋体" w:hAnsi="Times New Roman"/>
                <w:color w:val="000000"/>
                <w:sz w:val="16"/>
                <w:szCs w:val="16"/>
              </w:rPr>
              <w:t>183.78 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81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816"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817"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818" w14:textId="77777777" w:rsidR="00D42204" w:rsidRDefault="004E439D">
            <w:pPr>
              <w:jc w:val="right"/>
              <w:textAlignment w:val="center"/>
            </w:pPr>
            <w:r>
              <w:rPr>
                <w:rFonts w:ascii="Times New Roman" w:eastAsia="宋体" w:hAnsi="Times New Roman"/>
                <w:color w:val="000000"/>
                <w:sz w:val="16"/>
                <w:szCs w:val="16"/>
              </w:rPr>
              <w:t>229.31 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81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81A"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81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81C" w14:textId="77777777" w:rsidR="00D42204" w:rsidRDefault="004E439D">
            <w:pPr>
              <w:jc w:val="right"/>
              <w:textAlignment w:val="center"/>
            </w:pPr>
            <w:r>
              <w:rPr>
                <w:rFonts w:ascii="Times New Roman" w:eastAsia="宋体" w:hAnsi="Times New Roman"/>
                <w:color w:val="000000"/>
                <w:sz w:val="16"/>
                <w:szCs w:val="16"/>
              </w:rPr>
              <w:t>231.82 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81D" w14:textId="77777777" w:rsidR="00D42204" w:rsidRDefault="00D42204">
            <w:pPr>
              <w:jc w:val="right"/>
              <w:rPr>
                <w:rFonts w:ascii="宋体"/>
              </w:rPr>
            </w:pPr>
          </w:p>
        </w:tc>
      </w:tr>
      <w:tr w:rsidR="00D42204" w14:paraId="35D0982B" w14:textId="77777777">
        <w:trPr>
          <w:jc w:val="center"/>
        </w:trPr>
        <w:tc>
          <w:tcPr>
            <w:tcW w:w="0" w:type="auto"/>
            <w:gridSpan w:val="3"/>
            <w:shd w:val="clear" w:color="auto" w:fill="FFFFFF"/>
            <w:tcMar>
              <w:top w:w="40" w:type="dxa"/>
              <w:left w:w="20" w:type="dxa"/>
              <w:bottom w:w="40" w:type="dxa"/>
              <w:right w:w="20" w:type="dxa"/>
            </w:tcMar>
            <w:vAlign w:val="center"/>
          </w:tcPr>
          <w:p w14:paraId="35D0981F" w14:textId="77777777" w:rsidR="00D42204" w:rsidRDefault="004E439D">
            <w:pPr>
              <w:textAlignment w:val="center"/>
            </w:pPr>
            <w:r>
              <w:rPr>
                <w:rFonts w:ascii="Times New Roman" w:eastAsia="宋体" w:hAnsi="Times New Roman"/>
                <w:color w:val="000000"/>
                <w:sz w:val="16"/>
                <w:szCs w:val="16"/>
              </w:rPr>
              <w:t>S&amp;P 500 Index</w:t>
            </w:r>
          </w:p>
        </w:tc>
        <w:tc>
          <w:tcPr>
            <w:tcW w:w="0" w:type="auto"/>
            <w:gridSpan w:val="3"/>
            <w:shd w:val="clear" w:color="auto" w:fill="FFFFFF"/>
            <w:tcMar>
              <w:top w:w="40" w:type="dxa"/>
              <w:left w:w="20" w:type="dxa"/>
              <w:bottom w:w="40" w:type="dxa"/>
              <w:right w:w="20" w:type="dxa"/>
            </w:tcMar>
            <w:vAlign w:val="center"/>
          </w:tcPr>
          <w:p w14:paraId="35D09820" w14:textId="77777777" w:rsidR="00D42204" w:rsidRDefault="004E439D">
            <w:pPr>
              <w:jc w:val="right"/>
              <w:textAlignment w:val="center"/>
            </w:pPr>
            <w:r>
              <w:rPr>
                <w:rFonts w:ascii="Times New Roman" w:eastAsia="宋体" w:hAnsi="Times New Roman"/>
                <w:color w:val="000000"/>
                <w:sz w:val="16"/>
                <w:szCs w:val="16"/>
              </w:rPr>
              <w:t>100.00</w:t>
            </w:r>
          </w:p>
        </w:tc>
        <w:tc>
          <w:tcPr>
            <w:tcW w:w="0" w:type="auto"/>
            <w:gridSpan w:val="3"/>
            <w:shd w:val="clear" w:color="auto" w:fill="FFFFFF"/>
            <w:tcMar>
              <w:top w:w="0" w:type="dxa"/>
              <w:left w:w="20" w:type="dxa"/>
              <w:bottom w:w="0" w:type="dxa"/>
              <w:right w:w="20" w:type="dxa"/>
            </w:tcMar>
            <w:vAlign w:val="bottom"/>
          </w:tcPr>
          <w:p w14:paraId="35D09821"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9822" w14:textId="77777777" w:rsidR="00D42204" w:rsidRDefault="004E439D">
            <w:pPr>
              <w:jc w:val="right"/>
              <w:textAlignment w:val="center"/>
            </w:pPr>
            <w:r>
              <w:rPr>
                <w:rFonts w:ascii="Times New Roman" w:eastAsia="宋体" w:hAnsi="Times New Roman"/>
                <w:color w:val="000000"/>
                <w:sz w:val="16"/>
                <w:szCs w:val="16"/>
              </w:rPr>
              <w:t>126.41</w:t>
            </w:r>
          </w:p>
        </w:tc>
        <w:tc>
          <w:tcPr>
            <w:tcW w:w="0" w:type="auto"/>
            <w:gridSpan w:val="3"/>
            <w:shd w:val="clear" w:color="auto" w:fill="FFFFFF"/>
            <w:tcMar>
              <w:top w:w="0" w:type="dxa"/>
              <w:left w:w="20" w:type="dxa"/>
              <w:bottom w:w="0" w:type="dxa"/>
              <w:right w:w="20" w:type="dxa"/>
            </w:tcMar>
            <w:vAlign w:val="bottom"/>
          </w:tcPr>
          <w:p w14:paraId="35D09823"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9824" w14:textId="77777777" w:rsidR="00D42204" w:rsidRDefault="004E439D">
            <w:pPr>
              <w:jc w:val="right"/>
              <w:textAlignment w:val="center"/>
            </w:pPr>
            <w:r>
              <w:rPr>
                <w:rFonts w:ascii="Times New Roman" w:eastAsia="宋体" w:hAnsi="Times New Roman"/>
                <w:color w:val="000000"/>
                <w:sz w:val="16"/>
                <w:szCs w:val="16"/>
              </w:rPr>
              <w:t>123.48</w:t>
            </w:r>
          </w:p>
        </w:tc>
        <w:tc>
          <w:tcPr>
            <w:tcW w:w="0" w:type="auto"/>
            <w:gridSpan w:val="3"/>
            <w:shd w:val="clear" w:color="auto" w:fill="FFFFFF"/>
            <w:tcMar>
              <w:top w:w="0" w:type="dxa"/>
              <w:left w:w="20" w:type="dxa"/>
              <w:bottom w:w="0" w:type="dxa"/>
              <w:right w:w="20" w:type="dxa"/>
            </w:tcMar>
            <w:vAlign w:val="bottom"/>
          </w:tcPr>
          <w:p w14:paraId="35D09825"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9826" w14:textId="77777777" w:rsidR="00D42204" w:rsidRDefault="004E439D">
            <w:pPr>
              <w:jc w:val="right"/>
              <w:textAlignment w:val="center"/>
            </w:pPr>
            <w:r>
              <w:rPr>
                <w:rFonts w:ascii="Times New Roman" w:eastAsia="宋体" w:hAnsi="Times New Roman"/>
                <w:color w:val="000000"/>
                <w:sz w:val="16"/>
                <w:szCs w:val="16"/>
              </w:rPr>
              <w:t>150.26</w:t>
            </w:r>
          </w:p>
        </w:tc>
        <w:tc>
          <w:tcPr>
            <w:tcW w:w="0" w:type="auto"/>
            <w:gridSpan w:val="3"/>
            <w:shd w:val="clear" w:color="auto" w:fill="FFFFFF"/>
            <w:tcMar>
              <w:top w:w="0" w:type="dxa"/>
              <w:left w:w="20" w:type="dxa"/>
              <w:bottom w:w="0" w:type="dxa"/>
              <w:right w:w="20" w:type="dxa"/>
            </w:tcMar>
            <w:vAlign w:val="bottom"/>
          </w:tcPr>
          <w:p w14:paraId="35D09827"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9828" w14:textId="77777777" w:rsidR="00D42204" w:rsidRDefault="004E439D">
            <w:pPr>
              <w:jc w:val="right"/>
              <w:textAlignment w:val="center"/>
            </w:pPr>
            <w:r>
              <w:rPr>
                <w:rFonts w:ascii="Times New Roman" w:eastAsia="宋体" w:hAnsi="Times New Roman"/>
                <w:color w:val="000000"/>
                <w:sz w:val="16"/>
                <w:szCs w:val="16"/>
              </w:rPr>
              <w:t>176.18</w:t>
            </w:r>
          </w:p>
        </w:tc>
        <w:tc>
          <w:tcPr>
            <w:tcW w:w="0" w:type="auto"/>
            <w:gridSpan w:val="3"/>
            <w:shd w:val="clear" w:color="auto" w:fill="FFFFFF"/>
            <w:tcMar>
              <w:top w:w="0" w:type="dxa"/>
              <w:left w:w="20" w:type="dxa"/>
              <w:bottom w:w="0" w:type="dxa"/>
              <w:right w:w="20" w:type="dxa"/>
            </w:tcMar>
            <w:vAlign w:val="bottom"/>
          </w:tcPr>
          <w:p w14:paraId="35D09829"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982A" w14:textId="77777777" w:rsidR="00D42204" w:rsidRDefault="004E439D">
            <w:pPr>
              <w:jc w:val="right"/>
              <w:textAlignment w:val="center"/>
            </w:pPr>
            <w:r>
              <w:rPr>
                <w:rFonts w:ascii="Times New Roman" w:eastAsia="宋体" w:hAnsi="Times New Roman"/>
                <w:color w:val="000000"/>
                <w:sz w:val="16"/>
                <w:szCs w:val="16"/>
              </w:rPr>
              <w:t>217.21</w:t>
            </w:r>
          </w:p>
        </w:tc>
      </w:tr>
      <w:tr w:rsidR="00D42204" w14:paraId="35D09838" w14:textId="77777777">
        <w:trPr>
          <w:jc w:val="center"/>
        </w:trPr>
        <w:tc>
          <w:tcPr>
            <w:tcW w:w="0" w:type="auto"/>
            <w:gridSpan w:val="3"/>
            <w:shd w:val="clear" w:color="auto" w:fill="CCEEFF"/>
            <w:tcMar>
              <w:top w:w="40" w:type="dxa"/>
              <w:left w:w="20" w:type="dxa"/>
              <w:bottom w:w="40" w:type="dxa"/>
              <w:right w:w="20" w:type="dxa"/>
            </w:tcMar>
            <w:vAlign w:val="center"/>
          </w:tcPr>
          <w:p w14:paraId="35D0982C" w14:textId="77777777" w:rsidR="00D42204" w:rsidRDefault="004E439D">
            <w:pPr>
              <w:textAlignment w:val="center"/>
            </w:pPr>
            <w:r>
              <w:rPr>
                <w:rFonts w:ascii="Times New Roman" w:eastAsia="宋体" w:hAnsi="Times New Roman"/>
                <w:color w:val="000000"/>
                <w:sz w:val="16"/>
                <w:szCs w:val="16"/>
              </w:rPr>
              <w:t>S&amp;P 500 Retailing Index</w:t>
            </w:r>
          </w:p>
        </w:tc>
        <w:tc>
          <w:tcPr>
            <w:tcW w:w="0" w:type="auto"/>
            <w:gridSpan w:val="3"/>
            <w:shd w:val="clear" w:color="auto" w:fill="CCEEFF"/>
            <w:tcMar>
              <w:top w:w="40" w:type="dxa"/>
              <w:left w:w="20" w:type="dxa"/>
              <w:bottom w:w="40" w:type="dxa"/>
              <w:right w:w="20" w:type="dxa"/>
            </w:tcMar>
            <w:vAlign w:val="center"/>
          </w:tcPr>
          <w:p w14:paraId="35D0982D" w14:textId="77777777" w:rsidR="00D42204" w:rsidRDefault="004E439D">
            <w:pPr>
              <w:jc w:val="right"/>
              <w:textAlignment w:val="center"/>
            </w:pPr>
            <w:r>
              <w:rPr>
                <w:rFonts w:ascii="Times New Roman" w:eastAsia="宋体" w:hAnsi="Times New Roman"/>
                <w:color w:val="000000"/>
                <w:sz w:val="16"/>
                <w:szCs w:val="16"/>
              </w:rPr>
              <w:t>100.00</w:t>
            </w:r>
          </w:p>
        </w:tc>
        <w:tc>
          <w:tcPr>
            <w:tcW w:w="0" w:type="auto"/>
            <w:gridSpan w:val="3"/>
            <w:shd w:val="clear" w:color="auto" w:fill="CCEEFF"/>
            <w:tcMar>
              <w:top w:w="0" w:type="dxa"/>
              <w:left w:w="20" w:type="dxa"/>
              <w:bottom w:w="0" w:type="dxa"/>
              <w:right w:w="20" w:type="dxa"/>
            </w:tcMar>
            <w:vAlign w:val="bottom"/>
          </w:tcPr>
          <w:p w14:paraId="35D0982E"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center"/>
          </w:tcPr>
          <w:p w14:paraId="35D0982F" w14:textId="77777777" w:rsidR="00D42204" w:rsidRDefault="004E439D">
            <w:pPr>
              <w:jc w:val="right"/>
              <w:textAlignment w:val="center"/>
            </w:pPr>
            <w:r>
              <w:rPr>
                <w:rFonts w:ascii="Times New Roman" w:eastAsia="宋体" w:hAnsi="Times New Roman"/>
                <w:color w:val="000000"/>
                <w:sz w:val="16"/>
                <w:szCs w:val="16"/>
              </w:rPr>
              <w:t>148.34</w:t>
            </w:r>
          </w:p>
        </w:tc>
        <w:tc>
          <w:tcPr>
            <w:tcW w:w="0" w:type="auto"/>
            <w:gridSpan w:val="3"/>
            <w:shd w:val="clear" w:color="auto" w:fill="CCEEFF"/>
            <w:tcMar>
              <w:top w:w="0" w:type="dxa"/>
              <w:left w:w="20" w:type="dxa"/>
              <w:bottom w:w="0" w:type="dxa"/>
              <w:right w:w="20" w:type="dxa"/>
            </w:tcMar>
            <w:vAlign w:val="bottom"/>
          </w:tcPr>
          <w:p w14:paraId="35D09830"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center"/>
          </w:tcPr>
          <w:p w14:paraId="35D09831" w14:textId="77777777" w:rsidR="00D42204" w:rsidRDefault="004E439D">
            <w:pPr>
              <w:jc w:val="right"/>
              <w:textAlignment w:val="center"/>
            </w:pPr>
            <w:r>
              <w:rPr>
                <w:rFonts w:ascii="Times New Roman" w:eastAsia="宋体" w:hAnsi="Times New Roman"/>
                <w:color w:val="000000"/>
                <w:sz w:val="16"/>
                <w:szCs w:val="16"/>
              </w:rPr>
              <w:t>159.89</w:t>
            </w:r>
          </w:p>
        </w:tc>
        <w:tc>
          <w:tcPr>
            <w:tcW w:w="0" w:type="auto"/>
            <w:gridSpan w:val="3"/>
            <w:shd w:val="clear" w:color="auto" w:fill="CCEEFF"/>
            <w:tcMar>
              <w:top w:w="0" w:type="dxa"/>
              <w:left w:w="20" w:type="dxa"/>
              <w:bottom w:w="0" w:type="dxa"/>
              <w:right w:w="20" w:type="dxa"/>
            </w:tcMar>
            <w:vAlign w:val="bottom"/>
          </w:tcPr>
          <w:p w14:paraId="35D09832"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center"/>
          </w:tcPr>
          <w:p w14:paraId="35D09833" w14:textId="77777777" w:rsidR="00D42204" w:rsidRDefault="004E439D">
            <w:pPr>
              <w:jc w:val="right"/>
              <w:textAlignment w:val="center"/>
            </w:pPr>
            <w:r>
              <w:rPr>
                <w:rFonts w:ascii="Times New Roman" w:eastAsia="宋体" w:hAnsi="Times New Roman"/>
                <w:color w:val="000000"/>
                <w:sz w:val="16"/>
                <w:szCs w:val="16"/>
              </w:rPr>
              <w:t>190.43</w:t>
            </w:r>
          </w:p>
        </w:tc>
        <w:tc>
          <w:tcPr>
            <w:tcW w:w="0" w:type="auto"/>
            <w:gridSpan w:val="3"/>
            <w:shd w:val="clear" w:color="auto" w:fill="CCEEFF"/>
            <w:tcMar>
              <w:top w:w="0" w:type="dxa"/>
              <w:left w:w="20" w:type="dxa"/>
              <w:bottom w:w="0" w:type="dxa"/>
              <w:right w:w="20" w:type="dxa"/>
            </w:tcMar>
            <w:vAlign w:val="bottom"/>
          </w:tcPr>
          <w:p w14:paraId="35D09834"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center"/>
          </w:tcPr>
          <w:p w14:paraId="35D09835" w14:textId="77777777" w:rsidR="00D42204" w:rsidRDefault="004E439D">
            <w:pPr>
              <w:jc w:val="right"/>
              <w:textAlignment w:val="center"/>
            </w:pPr>
            <w:r>
              <w:rPr>
                <w:rFonts w:ascii="Times New Roman" w:eastAsia="宋体" w:hAnsi="Times New Roman"/>
                <w:color w:val="000000"/>
                <w:sz w:val="16"/>
                <w:szCs w:val="16"/>
              </w:rPr>
              <w:t>278.09</w:t>
            </w:r>
          </w:p>
        </w:tc>
        <w:tc>
          <w:tcPr>
            <w:tcW w:w="0" w:type="auto"/>
            <w:gridSpan w:val="3"/>
            <w:shd w:val="clear" w:color="auto" w:fill="CCEEFF"/>
            <w:tcMar>
              <w:top w:w="0" w:type="dxa"/>
              <w:left w:w="20" w:type="dxa"/>
              <w:bottom w:w="0" w:type="dxa"/>
              <w:right w:w="20" w:type="dxa"/>
            </w:tcMar>
            <w:vAlign w:val="bottom"/>
          </w:tcPr>
          <w:p w14:paraId="35D09836"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center"/>
          </w:tcPr>
          <w:p w14:paraId="35D09837" w14:textId="77777777" w:rsidR="00D42204" w:rsidRDefault="004E439D">
            <w:pPr>
              <w:jc w:val="right"/>
              <w:textAlignment w:val="center"/>
            </w:pPr>
            <w:r>
              <w:rPr>
                <w:rFonts w:ascii="Times New Roman" w:eastAsia="宋体" w:hAnsi="Times New Roman"/>
                <w:color w:val="000000"/>
                <w:sz w:val="16"/>
                <w:szCs w:val="16"/>
              </w:rPr>
              <w:t>296.49</w:t>
            </w:r>
          </w:p>
        </w:tc>
      </w:tr>
    </w:tbl>
    <w:p w14:paraId="35D09839" w14:textId="77777777" w:rsidR="00D42204" w:rsidRDefault="004E439D">
      <w:pPr>
        <w:spacing w:before="100"/>
      </w:pPr>
      <w:r>
        <w:rPr>
          <w:rFonts w:ascii="Times New Roman" w:eastAsia="宋体" w:hAnsi="Times New Roman"/>
          <w:b/>
          <w:bCs/>
          <w:color w:val="000000"/>
          <w:sz w:val="20"/>
          <w:szCs w:val="20"/>
        </w:rPr>
        <w:t>Issuer Repurchases of Equity Securities</w:t>
      </w:r>
    </w:p>
    <w:p w14:paraId="35D0983A" w14:textId="77777777" w:rsidR="00D42204" w:rsidRDefault="004E439D">
      <w:pPr>
        <w:spacing w:before="100"/>
      </w:pPr>
      <w:r>
        <w:rPr>
          <w:rFonts w:ascii="Times New Roman" w:eastAsia="宋体" w:hAnsi="Times New Roman"/>
          <w:color w:val="000000"/>
          <w:sz w:val="20"/>
          <w:szCs w:val="20"/>
        </w:rPr>
        <w:t xml:space="preserve">From time to time, the Company repurchases shares of our common stock under share repurchase programs authorized by the Company's Board of Directors. All repurchases made prior to February 22, 2021 were made </w:t>
      </w:r>
      <w:r>
        <w:rPr>
          <w:rFonts w:ascii="Times New Roman" w:eastAsia="宋体" w:hAnsi="Times New Roman"/>
          <w:color w:val="000000"/>
          <w:sz w:val="20"/>
          <w:szCs w:val="20"/>
        </w:rPr>
        <w:t>under the plan in effect at the beginning of fiscal 2022. On February 18, 2021, the Board of Directors approved a new $20.0 billion share repurchase program which has no expiration date or other restrictions limiting the period over which the Company can m</w:t>
      </w:r>
      <w:r>
        <w:rPr>
          <w:rFonts w:ascii="Times New Roman" w:eastAsia="宋体" w:hAnsi="Times New Roman"/>
          <w:color w:val="000000"/>
          <w:sz w:val="20"/>
          <w:szCs w:val="20"/>
        </w:rPr>
        <w:t>ake repurchases, and beginning February 22, 2021, replaced the previous share repurchase program. As of January 31, 2022, authorization for $10.6 billion of share repurchases remained under the share repurchase program. Any repurchased shares are construct</w:t>
      </w:r>
      <w:r>
        <w:rPr>
          <w:rFonts w:ascii="Times New Roman" w:eastAsia="宋体" w:hAnsi="Times New Roman"/>
          <w:color w:val="000000"/>
          <w:sz w:val="20"/>
          <w:szCs w:val="20"/>
        </w:rPr>
        <w:t>ively retired and returned to an unissued status.</w:t>
      </w:r>
    </w:p>
    <w:p w14:paraId="35D0983B" w14:textId="77777777" w:rsidR="00D42204" w:rsidRDefault="004E439D">
      <w:pPr>
        <w:jc w:val="center"/>
      </w:pPr>
      <w:r>
        <w:rPr>
          <w:rFonts w:ascii="Times New Roman" w:eastAsia="宋体" w:hAnsi="Times New Roman"/>
          <w:color w:val="000000"/>
          <w:sz w:val="20"/>
          <w:szCs w:val="20"/>
        </w:rPr>
        <w:t>32</w:t>
      </w:r>
    </w:p>
    <w:p w14:paraId="35D0983C" w14:textId="77777777" w:rsidR="00D42204" w:rsidRDefault="004E439D">
      <w:r>
        <w:pict w14:anchorId="35D0C37B">
          <v:rect id="_x0000_i1056" style="width:415.3pt;height:1.5pt" o:hralign="center" o:hrstd="t" o:hr="t" fillcolor="#a0a0a0" stroked="f"/>
        </w:pict>
      </w:r>
    </w:p>
    <w:p w14:paraId="35D0983D" w14:textId="77777777" w:rsidR="00D42204" w:rsidRDefault="00D42204"/>
    <w:p w14:paraId="35D0983E" w14:textId="77777777" w:rsidR="00D42204" w:rsidRDefault="004E439D">
      <w:pPr>
        <w:spacing w:before="100"/>
      </w:pPr>
      <w:r>
        <w:rPr>
          <w:rFonts w:ascii="Times New Roman" w:eastAsia="宋体" w:hAnsi="Times New Roman"/>
          <w:color w:val="000000"/>
          <w:sz w:val="20"/>
          <w:szCs w:val="20"/>
        </w:rPr>
        <w:t>Share repurchase activity under our share repurchase programs, on a trade date basis, for each month in the quarter ended January 31, 2022, was as follows:</w:t>
      </w:r>
    </w:p>
    <w:tbl>
      <w:tblPr>
        <w:tblW w:w="4985" w:type="pct"/>
        <w:tblCellMar>
          <w:top w:w="15" w:type="dxa"/>
          <w:left w:w="15" w:type="dxa"/>
          <w:bottom w:w="15" w:type="dxa"/>
          <w:right w:w="15" w:type="dxa"/>
        </w:tblCellMar>
        <w:tblLook w:val="04A0" w:firstRow="1" w:lastRow="0" w:firstColumn="1" w:lastColumn="0" w:noHBand="0" w:noVBand="1"/>
      </w:tblPr>
      <w:tblGrid>
        <w:gridCol w:w="50"/>
        <w:gridCol w:w="1692"/>
        <w:gridCol w:w="37"/>
        <w:gridCol w:w="36"/>
        <w:gridCol w:w="36"/>
        <w:gridCol w:w="36"/>
        <w:gridCol w:w="62"/>
        <w:gridCol w:w="1106"/>
        <w:gridCol w:w="36"/>
        <w:gridCol w:w="36"/>
        <w:gridCol w:w="36"/>
        <w:gridCol w:w="36"/>
        <w:gridCol w:w="101"/>
        <w:gridCol w:w="1106"/>
        <w:gridCol w:w="36"/>
        <w:gridCol w:w="36"/>
        <w:gridCol w:w="36"/>
        <w:gridCol w:w="36"/>
        <w:gridCol w:w="48"/>
        <w:gridCol w:w="1497"/>
        <w:gridCol w:w="36"/>
        <w:gridCol w:w="36"/>
        <w:gridCol w:w="36"/>
        <w:gridCol w:w="36"/>
        <w:gridCol w:w="101"/>
        <w:gridCol w:w="1935"/>
        <w:gridCol w:w="36"/>
      </w:tblGrid>
      <w:tr w:rsidR="00D42204" w14:paraId="35D0985A" w14:textId="77777777">
        <w:tc>
          <w:tcPr>
            <w:tcW w:w="50" w:type="pct"/>
            <w:shd w:val="clear" w:color="auto" w:fill="auto"/>
            <w:vAlign w:val="bottom"/>
          </w:tcPr>
          <w:p w14:paraId="35D0983F" w14:textId="77777777" w:rsidR="00D42204" w:rsidRDefault="00D42204">
            <w:pPr>
              <w:rPr>
                <w:rFonts w:ascii="宋体"/>
              </w:rPr>
            </w:pPr>
          </w:p>
        </w:tc>
        <w:tc>
          <w:tcPr>
            <w:tcW w:w="1037" w:type="pct"/>
            <w:shd w:val="clear" w:color="auto" w:fill="auto"/>
            <w:vAlign w:val="bottom"/>
          </w:tcPr>
          <w:p w14:paraId="35D09840" w14:textId="77777777" w:rsidR="00D42204" w:rsidRDefault="00D42204">
            <w:pPr>
              <w:rPr>
                <w:rFonts w:ascii="宋体"/>
              </w:rPr>
            </w:pPr>
          </w:p>
        </w:tc>
        <w:tc>
          <w:tcPr>
            <w:tcW w:w="5" w:type="pct"/>
            <w:shd w:val="clear" w:color="auto" w:fill="auto"/>
            <w:vAlign w:val="bottom"/>
          </w:tcPr>
          <w:p w14:paraId="35D09841" w14:textId="77777777" w:rsidR="00D42204" w:rsidRDefault="00D42204">
            <w:pPr>
              <w:rPr>
                <w:rFonts w:ascii="宋体"/>
              </w:rPr>
            </w:pPr>
          </w:p>
        </w:tc>
        <w:tc>
          <w:tcPr>
            <w:tcW w:w="5" w:type="pct"/>
            <w:shd w:val="clear" w:color="auto" w:fill="auto"/>
            <w:vAlign w:val="bottom"/>
          </w:tcPr>
          <w:p w14:paraId="35D09842" w14:textId="77777777" w:rsidR="00D42204" w:rsidRDefault="00D42204">
            <w:pPr>
              <w:rPr>
                <w:rFonts w:ascii="宋体"/>
              </w:rPr>
            </w:pPr>
          </w:p>
        </w:tc>
        <w:tc>
          <w:tcPr>
            <w:tcW w:w="26" w:type="pct"/>
            <w:shd w:val="clear" w:color="auto" w:fill="auto"/>
            <w:vAlign w:val="bottom"/>
          </w:tcPr>
          <w:p w14:paraId="35D09843" w14:textId="77777777" w:rsidR="00D42204" w:rsidRDefault="00D42204">
            <w:pPr>
              <w:rPr>
                <w:rFonts w:ascii="宋体"/>
              </w:rPr>
            </w:pPr>
          </w:p>
        </w:tc>
        <w:tc>
          <w:tcPr>
            <w:tcW w:w="5" w:type="pct"/>
            <w:shd w:val="clear" w:color="auto" w:fill="auto"/>
            <w:vAlign w:val="bottom"/>
          </w:tcPr>
          <w:p w14:paraId="35D09844" w14:textId="77777777" w:rsidR="00D42204" w:rsidRDefault="00D42204">
            <w:pPr>
              <w:rPr>
                <w:rFonts w:ascii="宋体"/>
              </w:rPr>
            </w:pPr>
          </w:p>
        </w:tc>
        <w:tc>
          <w:tcPr>
            <w:tcW w:w="50" w:type="pct"/>
            <w:shd w:val="clear" w:color="auto" w:fill="auto"/>
            <w:vAlign w:val="bottom"/>
          </w:tcPr>
          <w:p w14:paraId="35D09845" w14:textId="77777777" w:rsidR="00D42204" w:rsidRDefault="00D42204">
            <w:pPr>
              <w:rPr>
                <w:rFonts w:ascii="宋体"/>
              </w:rPr>
            </w:pPr>
          </w:p>
        </w:tc>
        <w:tc>
          <w:tcPr>
            <w:tcW w:w="707" w:type="pct"/>
            <w:shd w:val="clear" w:color="auto" w:fill="auto"/>
            <w:vAlign w:val="bottom"/>
          </w:tcPr>
          <w:p w14:paraId="35D09846" w14:textId="77777777" w:rsidR="00D42204" w:rsidRDefault="00D42204">
            <w:pPr>
              <w:rPr>
                <w:rFonts w:ascii="宋体"/>
              </w:rPr>
            </w:pPr>
          </w:p>
        </w:tc>
        <w:tc>
          <w:tcPr>
            <w:tcW w:w="5" w:type="pct"/>
            <w:shd w:val="clear" w:color="auto" w:fill="auto"/>
            <w:vAlign w:val="bottom"/>
          </w:tcPr>
          <w:p w14:paraId="35D09847" w14:textId="77777777" w:rsidR="00D42204" w:rsidRDefault="00D42204">
            <w:pPr>
              <w:rPr>
                <w:rFonts w:ascii="宋体"/>
              </w:rPr>
            </w:pPr>
          </w:p>
        </w:tc>
        <w:tc>
          <w:tcPr>
            <w:tcW w:w="5" w:type="pct"/>
            <w:shd w:val="clear" w:color="auto" w:fill="auto"/>
            <w:vAlign w:val="bottom"/>
          </w:tcPr>
          <w:p w14:paraId="35D09848" w14:textId="77777777" w:rsidR="00D42204" w:rsidRDefault="00D42204">
            <w:pPr>
              <w:rPr>
                <w:rFonts w:ascii="宋体"/>
              </w:rPr>
            </w:pPr>
          </w:p>
        </w:tc>
        <w:tc>
          <w:tcPr>
            <w:tcW w:w="26" w:type="pct"/>
            <w:shd w:val="clear" w:color="auto" w:fill="auto"/>
            <w:vAlign w:val="bottom"/>
          </w:tcPr>
          <w:p w14:paraId="35D09849" w14:textId="77777777" w:rsidR="00D42204" w:rsidRDefault="00D42204">
            <w:pPr>
              <w:rPr>
                <w:rFonts w:ascii="宋体"/>
              </w:rPr>
            </w:pPr>
          </w:p>
        </w:tc>
        <w:tc>
          <w:tcPr>
            <w:tcW w:w="5" w:type="pct"/>
            <w:shd w:val="clear" w:color="auto" w:fill="auto"/>
            <w:vAlign w:val="bottom"/>
          </w:tcPr>
          <w:p w14:paraId="35D0984A" w14:textId="77777777" w:rsidR="00D42204" w:rsidRDefault="00D42204">
            <w:pPr>
              <w:rPr>
                <w:rFonts w:ascii="宋体"/>
              </w:rPr>
            </w:pPr>
          </w:p>
        </w:tc>
        <w:tc>
          <w:tcPr>
            <w:tcW w:w="50" w:type="pct"/>
            <w:shd w:val="clear" w:color="auto" w:fill="auto"/>
            <w:vAlign w:val="bottom"/>
          </w:tcPr>
          <w:p w14:paraId="35D0984B" w14:textId="77777777" w:rsidR="00D42204" w:rsidRDefault="00D42204">
            <w:pPr>
              <w:rPr>
                <w:rFonts w:ascii="宋体"/>
              </w:rPr>
            </w:pPr>
          </w:p>
        </w:tc>
        <w:tc>
          <w:tcPr>
            <w:tcW w:w="700" w:type="pct"/>
            <w:shd w:val="clear" w:color="auto" w:fill="auto"/>
            <w:vAlign w:val="bottom"/>
          </w:tcPr>
          <w:p w14:paraId="35D0984C" w14:textId="77777777" w:rsidR="00D42204" w:rsidRDefault="00D42204">
            <w:pPr>
              <w:rPr>
                <w:rFonts w:ascii="宋体"/>
              </w:rPr>
            </w:pPr>
          </w:p>
        </w:tc>
        <w:tc>
          <w:tcPr>
            <w:tcW w:w="5" w:type="pct"/>
            <w:shd w:val="clear" w:color="auto" w:fill="auto"/>
            <w:vAlign w:val="bottom"/>
          </w:tcPr>
          <w:p w14:paraId="35D0984D" w14:textId="77777777" w:rsidR="00D42204" w:rsidRDefault="00D42204">
            <w:pPr>
              <w:rPr>
                <w:rFonts w:ascii="宋体"/>
              </w:rPr>
            </w:pPr>
          </w:p>
        </w:tc>
        <w:tc>
          <w:tcPr>
            <w:tcW w:w="5" w:type="pct"/>
            <w:shd w:val="clear" w:color="auto" w:fill="auto"/>
            <w:vAlign w:val="bottom"/>
          </w:tcPr>
          <w:p w14:paraId="35D0984E" w14:textId="77777777" w:rsidR="00D42204" w:rsidRDefault="00D42204">
            <w:pPr>
              <w:rPr>
                <w:rFonts w:ascii="宋体"/>
              </w:rPr>
            </w:pPr>
          </w:p>
        </w:tc>
        <w:tc>
          <w:tcPr>
            <w:tcW w:w="26" w:type="pct"/>
            <w:shd w:val="clear" w:color="auto" w:fill="auto"/>
            <w:vAlign w:val="bottom"/>
          </w:tcPr>
          <w:p w14:paraId="35D0984F" w14:textId="77777777" w:rsidR="00D42204" w:rsidRDefault="00D42204">
            <w:pPr>
              <w:rPr>
                <w:rFonts w:ascii="宋体"/>
              </w:rPr>
            </w:pPr>
          </w:p>
        </w:tc>
        <w:tc>
          <w:tcPr>
            <w:tcW w:w="5" w:type="pct"/>
            <w:shd w:val="clear" w:color="auto" w:fill="auto"/>
            <w:vAlign w:val="bottom"/>
          </w:tcPr>
          <w:p w14:paraId="35D09850" w14:textId="77777777" w:rsidR="00D42204" w:rsidRDefault="00D42204">
            <w:pPr>
              <w:rPr>
                <w:rFonts w:ascii="宋体"/>
              </w:rPr>
            </w:pPr>
          </w:p>
        </w:tc>
        <w:tc>
          <w:tcPr>
            <w:tcW w:w="50" w:type="pct"/>
            <w:shd w:val="clear" w:color="auto" w:fill="auto"/>
            <w:vAlign w:val="bottom"/>
          </w:tcPr>
          <w:p w14:paraId="35D09851" w14:textId="77777777" w:rsidR="00D42204" w:rsidRDefault="00D42204">
            <w:pPr>
              <w:rPr>
                <w:rFonts w:ascii="宋体"/>
              </w:rPr>
            </w:pPr>
          </w:p>
        </w:tc>
        <w:tc>
          <w:tcPr>
            <w:tcW w:w="934" w:type="pct"/>
            <w:shd w:val="clear" w:color="auto" w:fill="auto"/>
            <w:vAlign w:val="bottom"/>
          </w:tcPr>
          <w:p w14:paraId="35D09852" w14:textId="77777777" w:rsidR="00D42204" w:rsidRDefault="00D42204">
            <w:pPr>
              <w:rPr>
                <w:rFonts w:ascii="宋体"/>
              </w:rPr>
            </w:pPr>
          </w:p>
        </w:tc>
        <w:tc>
          <w:tcPr>
            <w:tcW w:w="5" w:type="pct"/>
            <w:shd w:val="clear" w:color="auto" w:fill="auto"/>
            <w:vAlign w:val="bottom"/>
          </w:tcPr>
          <w:p w14:paraId="35D09853" w14:textId="77777777" w:rsidR="00D42204" w:rsidRDefault="00D42204">
            <w:pPr>
              <w:rPr>
                <w:rFonts w:ascii="宋体"/>
              </w:rPr>
            </w:pPr>
          </w:p>
        </w:tc>
        <w:tc>
          <w:tcPr>
            <w:tcW w:w="5" w:type="pct"/>
            <w:shd w:val="clear" w:color="auto" w:fill="auto"/>
            <w:vAlign w:val="bottom"/>
          </w:tcPr>
          <w:p w14:paraId="35D09854" w14:textId="77777777" w:rsidR="00D42204" w:rsidRDefault="00D42204">
            <w:pPr>
              <w:rPr>
                <w:rFonts w:ascii="宋体"/>
              </w:rPr>
            </w:pPr>
          </w:p>
        </w:tc>
        <w:tc>
          <w:tcPr>
            <w:tcW w:w="26" w:type="pct"/>
            <w:shd w:val="clear" w:color="auto" w:fill="auto"/>
            <w:vAlign w:val="bottom"/>
          </w:tcPr>
          <w:p w14:paraId="35D09855" w14:textId="77777777" w:rsidR="00D42204" w:rsidRDefault="00D42204">
            <w:pPr>
              <w:rPr>
                <w:rFonts w:ascii="宋体"/>
              </w:rPr>
            </w:pPr>
          </w:p>
        </w:tc>
        <w:tc>
          <w:tcPr>
            <w:tcW w:w="5" w:type="pct"/>
            <w:shd w:val="clear" w:color="auto" w:fill="auto"/>
            <w:vAlign w:val="bottom"/>
          </w:tcPr>
          <w:p w14:paraId="35D09856" w14:textId="77777777" w:rsidR="00D42204" w:rsidRDefault="00D42204">
            <w:pPr>
              <w:rPr>
                <w:rFonts w:ascii="宋体"/>
              </w:rPr>
            </w:pPr>
          </w:p>
        </w:tc>
        <w:tc>
          <w:tcPr>
            <w:tcW w:w="50" w:type="pct"/>
            <w:shd w:val="clear" w:color="auto" w:fill="auto"/>
            <w:vAlign w:val="bottom"/>
          </w:tcPr>
          <w:p w14:paraId="35D09857" w14:textId="77777777" w:rsidR="00D42204" w:rsidRDefault="00D42204">
            <w:pPr>
              <w:rPr>
                <w:rFonts w:ascii="宋体"/>
              </w:rPr>
            </w:pPr>
          </w:p>
        </w:tc>
        <w:tc>
          <w:tcPr>
            <w:tcW w:w="1198" w:type="pct"/>
            <w:shd w:val="clear" w:color="auto" w:fill="auto"/>
            <w:vAlign w:val="bottom"/>
          </w:tcPr>
          <w:p w14:paraId="35D09858" w14:textId="77777777" w:rsidR="00D42204" w:rsidRDefault="00D42204">
            <w:pPr>
              <w:rPr>
                <w:rFonts w:ascii="宋体"/>
              </w:rPr>
            </w:pPr>
          </w:p>
        </w:tc>
        <w:tc>
          <w:tcPr>
            <w:tcW w:w="5" w:type="pct"/>
            <w:shd w:val="clear" w:color="auto" w:fill="auto"/>
            <w:vAlign w:val="bottom"/>
          </w:tcPr>
          <w:p w14:paraId="35D09859" w14:textId="77777777" w:rsidR="00D42204" w:rsidRDefault="00D42204">
            <w:pPr>
              <w:rPr>
                <w:rFonts w:ascii="宋体"/>
              </w:rPr>
            </w:pPr>
          </w:p>
        </w:tc>
      </w:tr>
      <w:tr w:rsidR="00D42204" w14:paraId="35D09868" w14:textId="77777777">
        <w:tc>
          <w:tcPr>
            <w:tcW w:w="0" w:type="auto"/>
            <w:gridSpan w:val="3"/>
            <w:shd w:val="clear" w:color="auto" w:fill="auto"/>
            <w:tcMar>
              <w:top w:w="40" w:type="dxa"/>
              <w:left w:w="20" w:type="dxa"/>
              <w:bottom w:w="40" w:type="dxa"/>
              <w:right w:w="20" w:type="dxa"/>
            </w:tcMar>
            <w:vAlign w:val="bottom"/>
          </w:tcPr>
          <w:p w14:paraId="35D0985B" w14:textId="77777777" w:rsidR="00D42204" w:rsidRDefault="004E439D">
            <w:pPr>
              <w:textAlignment w:val="bottom"/>
            </w:pPr>
            <w:r>
              <w:rPr>
                <w:rFonts w:ascii="Times New Roman" w:eastAsia="宋体" w:hAnsi="Times New Roman"/>
                <w:b/>
                <w:bCs/>
                <w:color w:val="000000"/>
                <w:sz w:val="16"/>
                <w:szCs w:val="16"/>
              </w:rPr>
              <w:t>Fiscal Period</w:t>
            </w:r>
          </w:p>
        </w:tc>
        <w:tc>
          <w:tcPr>
            <w:tcW w:w="0" w:type="auto"/>
            <w:gridSpan w:val="3"/>
            <w:shd w:val="clear" w:color="auto" w:fill="auto"/>
            <w:tcMar>
              <w:top w:w="0" w:type="dxa"/>
              <w:left w:w="20" w:type="dxa"/>
              <w:bottom w:w="0" w:type="dxa"/>
              <w:right w:w="20" w:type="dxa"/>
            </w:tcMar>
            <w:vAlign w:val="bottom"/>
          </w:tcPr>
          <w:p w14:paraId="35D0985C"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985D" w14:textId="77777777" w:rsidR="00D42204" w:rsidRDefault="004E439D">
            <w:pPr>
              <w:jc w:val="center"/>
              <w:textAlignment w:val="bottom"/>
            </w:pPr>
            <w:r>
              <w:rPr>
                <w:rFonts w:ascii="Times New Roman" w:eastAsia="宋体" w:hAnsi="Times New Roman"/>
                <w:b/>
                <w:bCs/>
                <w:color w:val="000000"/>
                <w:sz w:val="16"/>
                <w:szCs w:val="16"/>
              </w:rPr>
              <w:t>Total Number of</w:t>
            </w:r>
            <w:r>
              <w:rPr>
                <w:rFonts w:ascii="Times New Roman" w:eastAsia="宋体" w:hAnsi="Times New Roman"/>
                <w:b/>
                <w:bCs/>
                <w:color w:val="000000"/>
                <w:sz w:val="16"/>
                <w:szCs w:val="16"/>
              </w:rPr>
              <w:br/>
              <w:t>Shares Repurchased</w:t>
            </w:r>
          </w:p>
        </w:tc>
        <w:tc>
          <w:tcPr>
            <w:tcW w:w="0" w:type="auto"/>
            <w:gridSpan w:val="3"/>
            <w:shd w:val="clear" w:color="auto" w:fill="auto"/>
            <w:tcMar>
              <w:top w:w="0" w:type="dxa"/>
              <w:left w:w="20" w:type="dxa"/>
              <w:bottom w:w="0" w:type="dxa"/>
              <w:right w:w="20" w:type="dxa"/>
            </w:tcMar>
            <w:vAlign w:val="bottom"/>
          </w:tcPr>
          <w:p w14:paraId="35D0985E"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985F" w14:textId="77777777" w:rsidR="00D42204" w:rsidRDefault="004E439D">
            <w:pPr>
              <w:jc w:val="center"/>
              <w:textAlignment w:val="bottom"/>
            </w:pPr>
            <w:r>
              <w:rPr>
                <w:rFonts w:ascii="Times New Roman" w:eastAsia="宋体" w:hAnsi="Times New Roman"/>
                <w:b/>
                <w:bCs/>
                <w:color w:val="000000"/>
                <w:sz w:val="16"/>
                <w:szCs w:val="16"/>
              </w:rPr>
              <w:t>Average Price Paid</w:t>
            </w:r>
            <w:r>
              <w:rPr>
                <w:rFonts w:ascii="Times New Roman" w:eastAsia="宋体" w:hAnsi="Times New Roman"/>
                <w:b/>
                <w:bCs/>
                <w:color w:val="000000"/>
                <w:sz w:val="16"/>
                <w:szCs w:val="16"/>
              </w:rPr>
              <w:br/>
              <w:t>per Share</w:t>
            </w:r>
            <w:r>
              <w:rPr>
                <w:rFonts w:ascii="Times New Roman" w:eastAsia="宋体" w:hAnsi="Times New Roman"/>
                <w:b/>
                <w:bCs/>
                <w:color w:val="000000"/>
                <w:sz w:val="16"/>
                <w:szCs w:val="16"/>
              </w:rPr>
              <w:br/>
              <w:t>(in dollars)</w:t>
            </w:r>
          </w:p>
        </w:tc>
        <w:tc>
          <w:tcPr>
            <w:tcW w:w="0" w:type="auto"/>
            <w:gridSpan w:val="3"/>
            <w:shd w:val="clear" w:color="auto" w:fill="auto"/>
            <w:tcMar>
              <w:top w:w="0" w:type="dxa"/>
              <w:left w:w="20" w:type="dxa"/>
              <w:bottom w:w="0" w:type="dxa"/>
              <w:right w:w="20" w:type="dxa"/>
            </w:tcMar>
            <w:vAlign w:val="bottom"/>
          </w:tcPr>
          <w:p w14:paraId="35D09860"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9861" w14:textId="77777777" w:rsidR="00D42204" w:rsidRDefault="004E439D">
            <w:pPr>
              <w:jc w:val="center"/>
              <w:textAlignment w:val="bottom"/>
            </w:pPr>
            <w:r>
              <w:rPr>
                <w:rFonts w:ascii="Times New Roman" w:eastAsia="宋体" w:hAnsi="Times New Roman"/>
                <w:b/>
                <w:bCs/>
                <w:color w:val="000000"/>
                <w:sz w:val="16"/>
                <w:szCs w:val="16"/>
              </w:rPr>
              <w:t>Total Number of</w:t>
            </w:r>
            <w:r>
              <w:rPr>
                <w:rFonts w:ascii="Times New Roman" w:eastAsia="宋体" w:hAnsi="Times New Roman"/>
                <w:b/>
                <w:bCs/>
                <w:color w:val="000000"/>
                <w:sz w:val="16"/>
                <w:szCs w:val="16"/>
              </w:rPr>
              <w:br/>
              <w:t>Shares Repurchased</w:t>
            </w:r>
            <w:r>
              <w:rPr>
                <w:rFonts w:ascii="Times New Roman" w:eastAsia="宋体" w:hAnsi="Times New Roman"/>
                <w:b/>
                <w:bCs/>
                <w:color w:val="000000"/>
                <w:sz w:val="16"/>
                <w:szCs w:val="16"/>
              </w:rPr>
              <w:br/>
              <w:t>as Part of Publicly</w:t>
            </w:r>
            <w:r>
              <w:rPr>
                <w:rFonts w:ascii="Times New Roman" w:eastAsia="宋体" w:hAnsi="Times New Roman"/>
                <w:b/>
                <w:bCs/>
                <w:color w:val="000000"/>
                <w:sz w:val="16"/>
                <w:szCs w:val="16"/>
              </w:rPr>
              <w:br/>
              <w:t>Announced Plans or</w:t>
            </w:r>
            <w:r>
              <w:rPr>
                <w:rFonts w:ascii="Times New Roman" w:eastAsia="宋体" w:hAnsi="Times New Roman"/>
                <w:b/>
                <w:bCs/>
                <w:color w:val="000000"/>
                <w:sz w:val="16"/>
                <w:szCs w:val="16"/>
              </w:rPr>
              <w:br/>
              <w:t>Programs</w:t>
            </w:r>
          </w:p>
        </w:tc>
        <w:tc>
          <w:tcPr>
            <w:tcW w:w="0" w:type="auto"/>
            <w:gridSpan w:val="3"/>
            <w:shd w:val="clear" w:color="auto" w:fill="auto"/>
            <w:tcMar>
              <w:top w:w="0" w:type="dxa"/>
              <w:left w:w="20" w:type="dxa"/>
              <w:bottom w:w="0" w:type="dxa"/>
              <w:right w:w="20" w:type="dxa"/>
            </w:tcMar>
            <w:vAlign w:val="bottom"/>
          </w:tcPr>
          <w:p w14:paraId="35D09862"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9863" w14:textId="77777777" w:rsidR="00D42204" w:rsidRDefault="004E439D">
            <w:pPr>
              <w:jc w:val="center"/>
              <w:textAlignment w:val="bottom"/>
            </w:pPr>
            <w:r>
              <w:rPr>
                <w:rFonts w:ascii="Times New Roman" w:eastAsia="宋体" w:hAnsi="Times New Roman"/>
                <w:b/>
                <w:bCs/>
                <w:color w:val="000000"/>
                <w:sz w:val="16"/>
                <w:szCs w:val="16"/>
              </w:rPr>
              <w:t xml:space="preserve">Approximate </w:t>
            </w:r>
            <w:r>
              <w:rPr>
                <w:rFonts w:ascii="Times New Roman" w:eastAsia="宋体" w:hAnsi="Times New Roman"/>
                <w:b/>
                <w:bCs/>
                <w:color w:val="000000"/>
                <w:sz w:val="16"/>
                <w:szCs w:val="16"/>
              </w:rPr>
              <w:t>Dollar Value of</w:t>
            </w:r>
          </w:p>
          <w:p w14:paraId="35D09864" w14:textId="77777777" w:rsidR="00D42204" w:rsidRDefault="004E439D">
            <w:pPr>
              <w:jc w:val="center"/>
              <w:textAlignment w:val="bottom"/>
            </w:pPr>
            <w:r>
              <w:rPr>
                <w:rFonts w:ascii="Times New Roman" w:eastAsia="宋体" w:hAnsi="Times New Roman"/>
                <w:b/>
                <w:bCs/>
                <w:color w:val="000000"/>
                <w:sz w:val="16"/>
                <w:szCs w:val="16"/>
              </w:rPr>
              <w:t>Shares that May Yet Be</w:t>
            </w:r>
          </w:p>
          <w:p w14:paraId="35D09865" w14:textId="77777777" w:rsidR="00D42204" w:rsidRDefault="004E439D">
            <w:pPr>
              <w:jc w:val="center"/>
              <w:textAlignment w:val="bottom"/>
            </w:pPr>
            <w:r>
              <w:rPr>
                <w:rFonts w:ascii="Times New Roman" w:eastAsia="宋体" w:hAnsi="Times New Roman"/>
                <w:b/>
                <w:bCs/>
                <w:color w:val="000000"/>
                <w:sz w:val="16"/>
                <w:szCs w:val="16"/>
              </w:rPr>
              <w:t>Repurchased Under the</w:t>
            </w:r>
          </w:p>
          <w:p w14:paraId="35D09866" w14:textId="77777777" w:rsidR="00D42204" w:rsidRDefault="004E439D">
            <w:pPr>
              <w:jc w:val="center"/>
              <w:textAlignment w:val="bottom"/>
            </w:pPr>
            <w:r>
              <w:rPr>
                <w:rFonts w:ascii="Times New Roman" w:eastAsia="宋体" w:hAnsi="Times New Roman"/>
                <w:b/>
                <w:bCs/>
                <w:color w:val="000000"/>
                <w:sz w:val="16"/>
                <w:szCs w:val="16"/>
              </w:rPr>
              <w:t>Plans or Programs</w:t>
            </w:r>
            <w:r>
              <w:rPr>
                <w:rFonts w:ascii="Times New Roman" w:eastAsia="宋体" w:hAnsi="Times New Roman"/>
                <w:b/>
                <w:bCs/>
                <w:color w:val="000000"/>
                <w:sz w:val="10"/>
                <w:szCs w:val="10"/>
              </w:rPr>
              <w:t>(1)</w:t>
            </w:r>
          </w:p>
          <w:p w14:paraId="35D09867" w14:textId="77777777" w:rsidR="00D42204" w:rsidRDefault="004E439D">
            <w:pPr>
              <w:jc w:val="center"/>
              <w:textAlignment w:val="bottom"/>
            </w:pPr>
            <w:r>
              <w:rPr>
                <w:rFonts w:ascii="Times New Roman" w:eastAsia="宋体" w:hAnsi="Times New Roman"/>
                <w:b/>
                <w:bCs/>
                <w:color w:val="000000"/>
                <w:sz w:val="16"/>
                <w:szCs w:val="16"/>
              </w:rPr>
              <w:t>(in billions)</w:t>
            </w:r>
          </w:p>
        </w:tc>
      </w:tr>
      <w:tr w:rsidR="00D42204" w14:paraId="35D09878" w14:textId="77777777">
        <w:tc>
          <w:tcPr>
            <w:tcW w:w="0" w:type="auto"/>
            <w:gridSpan w:val="3"/>
            <w:shd w:val="clear" w:color="auto" w:fill="CCEEFF"/>
            <w:tcMar>
              <w:top w:w="40" w:type="dxa"/>
              <w:left w:w="20" w:type="dxa"/>
              <w:bottom w:w="40" w:type="dxa"/>
              <w:right w:w="20" w:type="dxa"/>
            </w:tcMar>
            <w:vAlign w:val="bottom"/>
          </w:tcPr>
          <w:p w14:paraId="35D09869" w14:textId="77777777" w:rsidR="00D42204" w:rsidRDefault="004E439D">
            <w:pPr>
              <w:textAlignment w:val="bottom"/>
            </w:pPr>
            <w:r>
              <w:rPr>
                <w:rFonts w:ascii="Times New Roman" w:eastAsia="宋体" w:hAnsi="Times New Roman"/>
                <w:color w:val="000000"/>
                <w:sz w:val="16"/>
                <w:szCs w:val="16"/>
              </w:rPr>
              <w:t>November 1-30, 2021</w:t>
            </w:r>
          </w:p>
        </w:tc>
        <w:tc>
          <w:tcPr>
            <w:tcW w:w="0" w:type="auto"/>
            <w:gridSpan w:val="3"/>
            <w:shd w:val="clear" w:color="auto" w:fill="CCEEFF"/>
            <w:tcMar>
              <w:top w:w="0" w:type="dxa"/>
              <w:left w:w="20" w:type="dxa"/>
              <w:bottom w:w="0" w:type="dxa"/>
              <w:right w:w="20" w:type="dxa"/>
            </w:tcMar>
            <w:vAlign w:val="bottom"/>
          </w:tcPr>
          <w:p w14:paraId="35D0986A"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D0986B" w14:textId="77777777" w:rsidR="00D42204" w:rsidRDefault="004E439D">
            <w:pPr>
              <w:jc w:val="right"/>
              <w:textAlignment w:val="bottom"/>
            </w:pPr>
            <w:r>
              <w:rPr>
                <w:rFonts w:ascii="Times New Roman" w:eastAsia="宋体" w:hAnsi="Times New Roman"/>
                <w:color w:val="000000"/>
                <w:sz w:val="16"/>
                <w:szCs w:val="16"/>
              </w:rPr>
              <w:t>4,709,717 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986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86D"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D0986E"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D0986F" w14:textId="77777777" w:rsidR="00D42204" w:rsidRDefault="004E439D">
            <w:pPr>
              <w:jc w:val="right"/>
              <w:textAlignment w:val="bottom"/>
            </w:pPr>
            <w:r>
              <w:rPr>
                <w:rFonts w:ascii="Times New Roman" w:eastAsia="宋体" w:hAnsi="Times New Roman"/>
                <w:color w:val="000000"/>
                <w:sz w:val="16"/>
                <w:szCs w:val="16"/>
              </w:rPr>
              <w:t>146.42 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987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871"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D09872" w14:textId="77777777" w:rsidR="00D42204" w:rsidRDefault="004E439D">
            <w:pPr>
              <w:jc w:val="right"/>
              <w:textAlignment w:val="bottom"/>
            </w:pPr>
            <w:r>
              <w:rPr>
                <w:rFonts w:ascii="Times New Roman" w:eastAsia="宋体" w:hAnsi="Times New Roman"/>
                <w:color w:val="000000"/>
                <w:sz w:val="16"/>
                <w:szCs w:val="16"/>
              </w:rPr>
              <w:t>4,709,717 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987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874"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D09875"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D09876" w14:textId="77777777" w:rsidR="00D42204" w:rsidRDefault="004E439D">
            <w:pPr>
              <w:jc w:val="right"/>
              <w:textAlignment w:val="bottom"/>
            </w:pPr>
            <w:r>
              <w:rPr>
                <w:rFonts w:ascii="Times New Roman" w:eastAsia="宋体" w:hAnsi="Times New Roman"/>
                <w:color w:val="000000"/>
                <w:sz w:val="16"/>
                <w:szCs w:val="16"/>
              </w:rPr>
              <w:t>12.4 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9877" w14:textId="77777777" w:rsidR="00D42204" w:rsidRDefault="00D42204">
            <w:pPr>
              <w:jc w:val="right"/>
              <w:rPr>
                <w:rFonts w:ascii="宋体"/>
              </w:rPr>
            </w:pPr>
          </w:p>
        </w:tc>
      </w:tr>
      <w:tr w:rsidR="00D42204" w14:paraId="35D09886" w14:textId="77777777">
        <w:tc>
          <w:tcPr>
            <w:tcW w:w="0" w:type="auto"/>
            <w:gridSpan w:val="3"/>
            <w:shd w:val="clear" w:color="auto" w:fill="auto"/>
            <w:tcMar>
              <w:top w:w="40" w:type="dxa"/>
              <w:left w:w="20" w:type="dxa"/>
              <w:bottom w:w="40" w:type="dxa"/>
              <w:right w:w="20" w:type="dxa"/>
            </w:tcMar>
            <w:vAlign w:val="bottom"/>
          </w:tcPr>
          <w:p w14:paraId="35D09879" w14:textId="77777777" w:rsidR="00D42204" w:rsidRDefault="004E439D">
            <w:pPr>
              <w:textAlignment w:val="bottom"/>
            </w:pPr>
            <w:r>
              <w:rPr>
                <w:rFonts w:ascii="Times New Roman" w:eastAsia="宋体" w:hAnsi="Times New Roman"/>
                <w:color w:val="000000"/>
                <w:sz w:val="16"/>
                <w:szCs w:val="16"/>
              </w:rPr>
              <w:t>December 1-31, 2021</w:t>
            </w:r>
          </w:p>
        </w:tc>
        <w:tc>
          <w:tcPr>
            <w:tcW w:w="0" w:type="auto"/>
            <w:gridSpan w:val="3"/>
            <w:shd w:val="clear" w:color="auto" w:fill="auto"/>
            <w:tcMar>
              <w:top w:w="0" w:type="dxa"/>
              <w:left w:w="20" w:type="dxa"/>
              <w:bottom w:w="0" w:type="dxa"/>
              <w:right w:w="20" w:type="dxa"/>
            </w:tcMar>
            <w:vAlign w:val="bottom"/>
          </w:tcPr>
          <w:p w14:paraId="35D0987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987B" w14:textId="77777777" w:rsidR="00D42204" w:rsidRDefault="004E439D">
            <w:pPr>
              <w:jc w:val="right"/>
              <w:textAlignment w:val="bottom"/>
            </w:pPr>
            <w:r>
              <w:rPr>
                <w:rFonts w:ascii="Times New Roman" w:eastAsia="宋体" w:hAnsi="Times New Roman"/>
                <w:color w:val="000000"/>
                <w:sz w:val="16"/>
                <w:szCs w:val="16"/>
              </w:rPr>
              <w:t>7,170,376 </w:t>
            </w:r>
          </w:p>
        </w:tc>
        <w:tc>
          <w:tcPr>
            <w:tcW w:w="0" w:type="auto"/>
            <w:shd w:val="clear" w:color="auto" w:fill="FFFFFF"/>
            <w:tcMar>
              <w:top w:w="40" w:type="dxa"/>
              <w:left w:w="0" w:type="dxa"/>
              <w:bottom w:w="40" w:type="dxa"/>
              <w:right w:w="20" w:type="dxa"/>
            </w:tcMar>
            <w:vAlign w:val="bottom"/>
          </w:tcPr>
          <w:p w14:paraId="35D0987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87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987E" w14:textId="77777777" w:rsidR="00D42204" w:rsidRDefault="004E439D">
            <w:pPr>
              <w:jc w:val="right"/>
              <w:textAlignment w:val="bottom"/>
            </w:pPr>
            <w:r>
              <w:rPr>
                <w:rFonts w:ascii="Times New Roman" w:eastAsia="宋体" w:hAnsi="Times New Roman"/>
                <w:color w:val="000000"/>
                <w:sz w:val="16"/>
                <w:szCs w:val="16"/>
              </w:rPr>
              <w:t>140.09 </w:t>
            </w:r>
          </w:p>
        </w:tc>
        <w:tc>
          <w:tcPr>
            <w:tcW w:w="0" w:type="auto"/>
            <w:shd w:val="clear" w:color="auto" w:fill="FFFFFF"/>
            <w:tcMar>
              <w:top w:w="40" w:type="dxa"/>
              <w:left w:w="0" w:type="dxa"/>
              <w:bottom w:w="40" w:type="dxa"/>
              <w:right w:w="20" w:type="dxa"/>
            </w:tcMar>
            <w:vAlign w:val="bottom"/>
          </w:tcPr>
          <w:p w14:paraId="35D0987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88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9881" w14:textId="77777777" w:rsidR="00D42204" w:rsidRDefault="004E439D">
            <w:pPr>
              <w:jc w:val="right"/>
              <w:textAlignment w:val="bottom"/>
            </w:pPr>
            <w:r>
              <w:rPr>
                <w:rFonts w:ascii="Times New Roman" w:eastAsia="宋体" w:hAnsi="Times New Roman"/>
                <w:color w:val="000000"/>
                <w:sz w:val="16"/>
                <w:szCs w:val="16"/>
              </w:rPr>
              <w:t>7,170,376 </w:t>
            </w:r>
          </w:p>
        </w:tc>
        <w:tc>
          <w:tcPr>
            <w:tcW w:w="0" w:type="auto"/>
            <w:shd w:val="clear" w:color="auto" w:fill="FFFFFF"/>
            <w:tcMar>
              <w:top w:w="40" w:type="dxa"/>
              <w:left w:w="0" w:type="dxa"/>
              <w:bottom w:w="40" w:type="dxa"/>
              <w:right w:w="20" w:type="dxa"/>
            </w:tcMar>
            <w:vAlign w:val="bottom"/>
          </w:tcPr>
          <w:p w14:paraId="35D0988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88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9884" w14:textId="77777777" w:rsidR="00D42204" w:rsidRDefault="004E439D">
            <w:pPr>
              <w:jc w:val="right"/>
              <w:textAlignment w:val="bottom"/>
            </w:pPr>
            <w:r>
              <w:rPr>
                <w:rFonts w:ascii="Times New Roman" w:eastAsia="宋体" w:hAnsi="Times New Roman"/>
                <w:color w:val="000000"/>
                <w:sz w:val="16"/>
                <w:szCs w:val="16"/>
              </w:rPr>
              <w:t>11.4 </w:t>
            </w:r>
          </w:p>
        </w:tc>
        <w:tc>
          <w:tcPr>
            <w:tcW w:w="0" w:type="auto"/>
            <w:shd w:val="clear" w:color="auto" w:fill="FFFFFF"/>
            <w:tcMar>
              <w:top w:w="40" w:type="dxa"/>
              <w:left w:w="0" w:type="dxa"/>
              <w:bottom w:w="40" w:type="dxa"/>
              <w:right w:w="20" w:type="dxa"/>
            </w:tcMar>
            <w:vAlign w:val="bottom"/>
          </w:tcPr>
          <w:p w14:paraId="35D09885" w14:textId="77777777" w:rsidR="00D42204" w:rsidRDefault="00D42204">
            <w:pPr>
              <w:jc w:val="right"/>
              <w:rPr>
                <w:rFonts w:ascii="宋体"/>
              </w:rPr>
            </w:pPr>
          </w:p>
        </w:tc>
      </w:tr>
      <w:tr w:rsidR="00D42204" w14:paraId="35D09894" w14:textId="77777777">
        <w:tc>
          <w:tcPr>
            <w:tcW w:w="0" w:type="auto"/>
            <w:gridSpan w:val="3"/>
            <w:shd w:val="clear" w:color="auto" w:fill="CCEEFF"/>
            <w:tcMar>
              <w:top w:w="40" w:type="dxa"/>
              <w:left w:w="20" w:type="dxa"/>
              <w:bottom w:w="40" w:type="dxa"/>
              <w:right w:w="20" w:type="dxa"/>
            </w:tcMar>
            <w:vAlign w:val="bottom"/>
          </w:tcPr>
          <w:p w14:paraId="35D09887" w14:textId="77777777" w:rsidR="00D42204" w:rsidRDefault="004E439D">
            <w:pPr>
              <w:textAlignment w:val="bottom"/>
            </w:pPr>
            <w:r>
              <w:rPr>
                <w:rFonts w:ascii="Times New Roman" w:eastAsia="宋体" w:hAnsi="Times New Roman"/>
                <w:color w:val="000000"/>
                <w:sz w:val="16"/>
                <w:szCs w:val="16"/>
              </w:rPr>
              <w:t>January 1-31, 2022</w:t>
            </w:r>
          </w:p>
        </w:tc>
        <w:tc>
          <w:tcPr>
            <w:tcW w:w="0" w:type="auto"/>
            <w:gridSpan w:val="3"/>
            <w:shd w:val="clear" w:color="auto" w:fill="CCEEFF"/>
            <w:tcMar>
              <w:top w:w="0" w:type="dxa"/>
              <w:left w:w="20" w:type="dxa"/>
              <w:bottom w:w="0" w:type="dxa"/>
              <w:right w:w="20" w:type="dxa"/>
            </w:tcMar>
            <w:vAlign w:val="bottom"/>
          </w:tcPr>
          <w:p w14:paraId="35D0988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9889" w14:textId="77777777" w:rsidR="00D42204" w:rsidRDefault="004E439D">
            <w:pPr>
              <w:jc w:val="right"/>
              <w:textAlignment w:val="bottom"/>
            </w:pPr>
            <w:r>
              <w:rPr>
                <w:rFonts w:ascii="Times New Roman" w:eastAsia="宋体" w:hAnsi="Times New Roman"/>
                <w:color w:val="000000"/>
                <w:sz w:val="16"/>
                <w:szCs w:val="16"/>
              </w:rPr>
              <w:t>5,284,996 </w:t>
            </w:r>
          </w:p>
        </w:tc>
        <w:tc>
          <w:tcPr>
            <w:tcW w:w="0" w:type="auto"/>
            <w:shd w:val="clear" w:color="auto" w:fill="CCEEFF"/>
            <w:tcMar>
              <w:top w:w="40" w:type="dxa"/>
              <w:left w:w="0" w:type="dxa"/>
              <w:bottom w:w="40" w:type="dxa"/>
              <w:right w:w="20" w:type="dxa"/>
            </w:tcMar>
            <w:vAlign w:val="bottom"/>
          </w:tcPr>
          <w:p w14:paraId="35D0988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88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988C" w14:textId="77777777" w:rsidR="00D42204" w:rsidRDefault="004E439D">
            <w:pPr>
              <w:jc w:val="right"/>
              <w:textAlignment w:val="bottom"/>
            </w:pPr>
            <w:r>
              <w:rPr>
                <w:rFonts w:ascii="Times New Roman" w:eastAsia="宋体" w:hAnsi="Times New Roman"/>
                <w:color w:val="000000"/>
                <w:sz w:val="16"/>
                <w:szCs w:val="16"/>
              </w:rPr>
              <w:t>141.50 </w:t>
            </w:r>
          </w:p>
        </w:tc>
        <w:tc>
          <w:tcPr>
            <w:tcW w:w="0" w:type="auto"/>
            <w:shd w:val="clear" w:color="auto" w:fill="CCEEFF"/>
            <w:tcMar>
              <w:top w:w="40" w:type="dxa"/>
              <w:left w:w="0" w:type="dxa"/>
              <w:bottom w:w="40" w:type="dxa"/>
              <w:right w:w="20" w:type="dxa"/>
            </w:tcMar>
            <w:vAlign w:val="bottom"/>
          </w:tcPr>
          <w:p w14:paraId="35D0988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88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988F" w14:textId="77777777" w:rsidR="00D42204" w:rsidRDefault="004E439D">
            <w:pPr>
              <w:jc w:val="right"/>
              <w:textAlignment w:val="bottom"/>
            </w:pPr>
            <w:r>
              <w:rPr>
                <w:rFonts w:ascii="Times New Roman" w:eastAsia="宋体" w:hAnsi="Times New Roman"/>
                <w:color w:val="000000"/>
                <w:sz w:val="16"/>
                <w:szCs w:val="16"/>
              </w:rPr>
              <w:t>5,284,996 </w:t>
            </w:r>
          </w:p>
        </w:tc>
        <w:tc>
          <w:tcPr>
            <w:tcW w:w="0" w:type="auto"/>
            <w:shd w:val="clear" w:color="auto" w:fill="CCEEFF"/>
            <w:tcMar>
              <w:top w:w="40" w:type="dxa"/>
              <w:left w:w="0" w:type="dxa"/>
              <w:bottom w:w="40" w:type="dxa"/>
              <w:right w:w="20" w:type="dxa"/>
            </w:tcMar>
            <w:vAlign w:val="bottom"/>
          </w:tcPr>
          <w:p w14:paraId="35D0989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89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9892" w14:textId="77777777" w:rsidR="00D42204" w:rsidRDefault="004E439D">
            <w:pPr>
              <w:jc w:val="right"/>
              <w:textAlignment w:val="bottom"/>
            </w:pPr>
            <w:r>
              <w:rPr>
                <w:rFonts w:ascii="Times New Roman" w:eastAsia="宋体" w:hAnsi="Times New Roman"/>
                <w:color w:val="000000"/>
                <w:sz w:val="16"/>
                <w:szCs w:val="16"/>
              </w:rPr>
              <w:t>10.6 </w:t>
            </w:r>
          </w:p>
        </w:tc>
        <w:tc>
          <w:tcPr>
            <w:tcW w:w="0" w:type="auto"/>
            <w:shd w:val="clear" w:color="auto" w:fill="CCEEFF"/>
            <w:tcMar>
              <w:top w:w="40" w:type="dxa"/>
              <w:left w:w="0" w:type="dxa"/>
              <w:bottom w:w="40" w:type="dxa"/>
              <w:right w:w="20" w:type="dxa"/>
            </w:tcMar>
            <w:vAlign w:val="bottom"/>
          </w:tcPr>
          <w:p w14:paraId="35D09893" w14:textId="77777777" w:rsidR="00D42204" w:rsidRDefault="00D42204">
            <w:pPr>
              <w:jc w:val="right"/>
              <w:rPr>
                <w:rFonts w:ascii="宋体"/>
              </w:rPr>
            </w:pPr>
          </w:p>
        </w:tc>
      </w:tr>
      <w:tr w:rsidR="00D42204" w14:paraId="35D098A0" w14:textId="77777777">
        <w:tc>
          <w:tcPr>
            <w:tcW w:w="0" w:type="auto"/>
            <w:gridSpan w:val="3"/>
            <w:shd w:val="clear" w:color="auto" w:fill="auto"/>
            <w:tcMar>
              <w:top w:w="40" w:type="dxa"/>
              <w:left w:w="20" w:type="dxa"/>
              <w:bottom w:w="40" w:type="dxa"/>
              <w:right w:w="20" w:type="dxa"/>
            </w:tcMar>
            <w:vAlign w:val="center"/>
          </w:tcPr>
          <w:p w14:paraId="35D09895" w14:textId="77777777" w:rsidR="00D42204" w:rsidRDefault="004E439D">
            <w:pPr>
              <w:textAlignment w:val="center"/>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35D09896" w14:textId="77777777" w:rsidR="00D42204" w:rsidRDefault="00D4220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9897" w14:textId="77777777" w:rsidR="00D42204" w:rsidRDefault="004E439D">
            <w:pPr>
              <w:jc w:val="right"/>
              <w:textAlignment w:val="center"/>
            </w:pPr>
            <w:r>
              <w:rPr>
                <w:rFonts w:ascii="Times New Roman" w:eastAsia="宋体" w:hAnsi="Times New Roman"/>
                <w:color w:val="000000"/>
                <w:sz w:val="16"/>
                <w:szCs w:val="16"/>
              </w:rPr>
              <w:t>17,165,089 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989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899"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89A"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89B" w14:textId="77777777" w:rsidR="00D42204" w:rsidRDefault="00D4220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989C" w14:textId="77777777" w:rsidR="00D42204" w:rsidRDefault="004E439D">
            <w:pPr>
              <w:jc w:val="right"/>
              <w:textAlignment w:val="center"/>
            </w:pPr>
            <w:r>
              <w:rPr>
                <w:rFonts w:ascii="Times New Roman" w:eastAsia="宋体" w:hAnsi="Times New Roman"/>
                <w:color w:val="000000"/>
                <w:sz w:val="16"/>
                <w:szCs w:val="16"/>
              </w:rPr>
              <w:t>17,165,089 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989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89E"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89F" w14:textId="77777777" w:rsidR="00D42204" w:rsidRDefault="00D42204">
            <w:pPr>
              <w:rPr>
                <w:rFonts w:ascii="宋体"/>
              </w:rPr>
            </w:pPr>
          </w:p>
        </w:tc>
      </w:tr>
    </w:tbl>
    <w:p w14:paraId="35D098A1" w14:textId="77777777" w:rsidR="00D42204" w:rsidRDefault="004E439D">
      <w:pPr>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Represents the approximate dollar value of shares that could have been repurchased at the end of the month. </w:t>
      </w:r>
    </w:p>
    <w:p w14:paraId="35D098A2" w14:textId="77777777" w:rsidR="00D42204" w:rsidRDefault="00D42204">
      <w:pPr>
        <w:ind w:hanging="270"/>
      </w:pPr>
    </w:p>
    <w:tbl>
      <w:tblPr>
        <w:tblW w:w="4993" w:type="pct"/>
        <w:tblCellMar>
          <w:top w:w="15" w:type="dxa"/>
          <w:left w:w="15" w:type="dxa"/>
          <w:bottom w:w="15" w:type="dxa"/>
          <w:right w:w="15" w:type="dxa"/>
        </w:tblCellMar>
        <w:tblLook w:val="04A0" w:firstRow="1" w:lastRow="0" w:firstColumn="1" w:lastColumn="0" w:noHBand="0" w:noVBand="1"/>
      </w:tblPr>
      <w:tblGrid>
        <w:gridCol w:w="71"/>
        <w:gridCol w:w="806"/>
        <w:gridCol w:w="36"/>
        <w:gridCol w:w="70"/>
        <w:gridCol w:w="7305"/>
        <w:gridCol w:w="36"/>
      </w:tblGrid>
      <w:tr w:rsidR="00D42204" w14:paraId="35D098A9" w14:textId="77777777">
        <w:tc>
          <w:tcPr>
            <w:tcW w:w="50" w:type="pct"/>
            <w:shd w:val="clear" w:color="auto" w:fill="auto"/>
            <w:vAlign w:val="bottom"/>
          </w:tcPr>
          <w:p w14:paraId="35D098A3" w14:textId="77777777" w:rsidR="00D42204" w:rsidRDefault="00D42204">
            <w:pPr>
              <w:rPr>
                <w:rFonts w:ascii="宋体"/>
              </w:rPr>
            </w:pPr>
          </w:p>
        </w:tc>
        <w:tc>
          <w:tcPr>
            <w:tcW w:w="494" w:type="pct"/>
            <w:shd w:val="clear" w:color="auto" w:fill="auto"/>
            <w:vAlign w:val="bottom"/>
          </w:tcPr>
          <w:p w14:paraId="35D098A4" w14:textId="77777777" w:rsidR="00D42204" w:rsidRDefault="00D42204">
            <w:pPr>
              <w:rPr>
                <w:rFonts w:ascii="宋体"/>
              </w:rPr>
            </w:pPr>
          </w:p>
        </w:tc>
        <w:tc>
          <w:tcPr>
            <w:tcW w:w="5" w:type="pct"/>
            <w:shd w:val="clear" w:color="auto" w:fill="auto"/>
            <w:vAlign w:val="bottom"/>
          </w:tcPr>
          <w:p w14:paraId="35D098A5" w14:textId="77777777" w:rsidR="00D42204" w:rsidRDefault="00D42204">
            <w:pPr>
              <w:rPr>
                <w:rFonts w:ascii="宋体"/>
              </w:rPr>
            </w:pPr>
          </w:p>
        </w:tc>
        <w:tc>
          <w:tcPr>
            <w:tcW w:w="50" w:type="pct"/>
            <w:shd w:val="clear" w:color="auto" w:fill="auto"/>
            <w:vAlign w:val="bottom"/>
          </w:tcPr>
          <w:p w14:paraId="35D098A6" w14:textId="77777777" w:rsidR="00D42204" w:rsidRDefault="00D42204">
            <w:pPr>
              <w:rPr>
                <w:rFonts w:ascii="宋体"/>
              </w:rPr>
            </w:pPr>
          </w:p>
        </w:tc>
        <w:tc>
          <w:tcPr>
            <w:tcW w:w="4396" w:type="pct"/>
            <w:shd w:val="clear" w:color="auto" w:fill="auto"/>
            <w:vAlign w:val="bottom"/>
          </w:tcPr>
          <w:p w14:paraId="35D098A7" w14:textId="77777777" w:rsidR="00D42204" w:rsidRDefault="00D42204">
            <w:pPr>
              <w:rPr>
                <w:rFonts w:ascii="宋体"/>
              </w:rPr>
            </w:pPr>
          </w:p>
        </w:tc>
        <w:tc>
          <w:tcPr>
            <w:tcW w:w="5" w:type="pct"/>
            <w:shd w:val="clear" w:color="auto" w:fill="auto"/>
            <w:vAlign w:val="bottom"/>
          </w:tcPr>
          <w:p w14:paraId="35D098A8" w14:textId="77777777" w:rsidR="00D42204" w:rsidRDefault="00D42204">
            <w:pPr>
              <w:rPr>
                <w:rFonts w:ascii="宋体"/>
              </w:rPr>
            </w:pPr>
          </w:p>
        </w:tc>
      </w:tr>
      <w:tr w:rsidR="00D42204" w14:paraId="35D098AC" w14:textId="77777777">
        <w:tc>
          <w:tcPr>
            <w:tcW w:w="0" w:type="auto"/>
            <w:gridSpan w:val="3"/>
            <w:shd w:val="clear" w:color="auto" w:fill="auto"/>
            <w:tcMar>
              <w:top w:w="40" w:type="dxa"/>
              <w:left w:w="20" w:type="dxa"/>
              <w:bottom w:w="40" w:type="dxa"/>
              <w:right w:w="20" w:type="dxa"/>
            </w:tcMar>
          </w:tcPr>
          <w:p w14:paraId="35D098AA" w14:textId="77777777" w:rsidR="00D42204" w:rsidRDefault="004E439D">
            <w:pPr>
              <w:textAlignment w:val="top"/>
            </w:pPr>
            <w:r>
              <w:rPr>
                <w:rFonts w:ascii="Times New Roman" w:eastAsia="宋体" w:hAnsi="Times New Roman"/>
                <w:b/>
                <w:bCs/>
                <w:color w:val="000000"/>
                <w:sz w:val="20"/>
                <w:szCs w:val="20"/>
                <w:u w:val="single"/>
              </w:rPr>
              <w:t>ITEM 6.</w:t>
            </w:r>
          </w:p>
        </w:tc>
        <w:tc>
          <w:tcPr>
            <w:tcW w:w="0" w:type="auto"/>
            <w:gridSpan w:val="3"/>
            <w:shd w:val="clear" w:color="auto" w:fill="auto"/>
            <w:tcMar>
              <w:top w:w="40" w:type="dxa"/>
              <w:left w:w="20" w:type="dxa"/>
              <w:bottom w:w="40" w:type="dxa"/>
              <w:right w:w="20" w:type="dxa"/>
            </w:tcMar>
          </w:tcPr>
          <w:p w14:paraId="35D098AB" w14:textId="77777777" w:rsidR="00D42204" w:rsidRDefault="004E439D">
            <w:pPr>
              <w:textAlignment w:val="top"/>
            </w:pPr>
            <w:r>
              <w:rPr>
                <w:rFonts w:ascii="Times New Roman" w:eastAsia="宋体" w:hAnsi="Times New Roman"/>
                <w:b/>
                <w:bCs/>
                <w:color w:val="000000"/>
                <w:sz w:val="20"/>
                <w:szCs w:val="20"/>
                <w:u w:val="single"/>
              </w:rPr>
              <w:t>RESERVED</w:t>
            </w:r>
          </w:p>
        </w:tc>
      </w:tr>
    </w:tbl>
    <w:p w14:paraId="35D098AD" w14:textId="77777777" w:rsidR="00D42204" w:rsidRDefault="00D42204"/>
    <w:p w14:paraId="35D098AE" w14:textId="77777777" w:rsidR="00D42204" w:rsidRDefault="004E439D">
      <w:pPr>
        <w:jc w:val="center"/>
      </w:pPr>
      <w:r>
        <w:rPr>
          <w:rFonts w:ascii="Times New Roman" w:eastAsia="宋体" w:hAnsi="Times New Roman"/>
          <w:color w:val="000000"/>
          <w:sz w:val="20"/>
          <w:szCs w:val="20"/>
        </w:rPr>
        <w:t>33</w:t>
      </w:r>
    </w:p>
    <w:p w14:paraId="35D098AF" w14:textId="77777777" w:rsidR="00D42204" w:rsidRDefault="004E439D">
      <w:r>
        <w:pict w14:anchorId="35D0C37C">
          <v:rect id="_x0000_i1057" style="width:415.3pt;height:1.5pt" o:hralign="center" o:hrstd="t" o:hr="t" fillcolor="#a0a0a0" stroked="f"/>
        </w:pict>
      </w:r>
    </w:p>
    <w:p w14:paraId="35D098B0" w14:textId="77777777" w:rsidR="00D42204" w:rsidRDefault="00D42204"/>
    <w:tbl>
      <w:tblPr>
        <w:tblW w:w="4993" w:type="pct"/>
        <w:tblCellMar>
          <w:top w:w="15" w:type="dxa"/>
          <w:left w:w="15" w:type="dxa"/>
          <w:bottom w:w="15" w:type="dxa"/>
          <w:right w:w="15" w:type="dxa"/>
        </w:tblCellMar>
        <w:tblLook w:val="04A0" w:firstRow="1" w:lastRow="0" w:firstColumn="1" w:lastColumn="0" w:noHBand="0" w:noVBand="1"/>
      </w:tblPr>
      <w:tblGrid>
        <w:gridCol w:w="71"/>
        <w:gridCol w:w="806"/>
        <w:gridCol w:w="36"/>
        <w:gridCol w:w="70"/>
        <w:gridCol w:w="7305"/>
        <w:gridCol w:w="36"/>
      </w:tblGrid>
      <w:tr w:rsidR="00D42204" w14:paraId="35D098B7" w14:textId="77777777">
        <w:tc>
          <w:tcPr>
            <w:tcW w:w="50" w:type="pct"/>
            <w:shd w:val="clear" w:color="auto" w:fill="auto"/>
            <w:vAlign w:val="bottom"/>
          </w:tcPr>
          <w:p w14:paraId="35D098B1" w14:textId="77777777" w:rsidR="00D42204" w:rsidRDefault="00D42204">
            <w:pPr>
              <w:rPr>
                <w:rFonts w:ascii="宋体"/>
              </w:rPr>
            </w:pPr>
          </w:p>
        </w:tc>
        <w:tc>
          <w:tcPr>
            <w:tcW w:w="494" w:type="pct"/>
            <w:shd w:val="clear" w:color="auto" w:fill="auto"/>
            <w:vAlign w:val="bottom"/>
          </w:tcPr>
          <w:p w14:paraId="35D098B2" w14:textId="77777777" w:rsidR="00D42204" w:rsidRDefault="00D42204">
            <w:pPr>
              <w:rPr>
                <w:rFonts w:ascii="宋体"/>
              </w:rPr>
            </w:pPr>
          </w:p>
        </w:tc>
        <w:tc>
          <w:tcPr>
            <w:tcW w:w="5" w:type="pct"/>
            <w:shd w:val="clear" w:color="auto" w:fill="auto"/>
            <w:vAlign w:val="bottom"/>
          </w:tcPr>
          <w:p w14:paraId="35D098B3" w14:textId="77777777" w:rsidR="00D42204" w:rsidRDefault="00D42204">
            <w:pPr>
              <w:rPr>
                <w:rFonts w:ascii="宋体"/>
              </w:rPr>
            </w:pPr>
          </w:p>
        </w:tc>
        <w:tc>
          <w:tcPr>
            <w:tcW w:w="50" w:type="pct"/>
            <w:shd w:val="clear" w:color="auto" w:fill="auto"/>
            <w:vAlign w:val="bottom"/>
          </w:tcPr>
          <w:p w14:paraId="35D098B4" w14:textId="77777777" w:rsidR="00D42204" w:rsidRDefault="00D42204">
            <w:pPr>
              <w:rPr>
                <w:rFonts w:ascii="宋体"/>
              </w:rPr>
            </w:pPr>
          </w:p>
        </w:tc>
        <w:tc>
          <w:tcPr>
            <w:tcW w:w="4396" w:type="pct"/>
            <w:shd w:val="clear" w:color="auto" w:fill="auto"/>
            <w:vAlign w:val="bottom"/>
          </w:tcPr>
          <w:p w14:paraId="35D098B5" w14:textId="77777777" w:rsidR="00D42204" w:rsidRDefault="00D42204">
            <w:pPr>
              <w:rPr>
                <w:rFonts w:ascii="宋体"/>
              </w:rPr>
            </w:pPr>
          </w:p>
        </w:tc>
        <w:tc>
          <w:tcPr>
            <w:tcW w:w="5" w:type="pct"/>
            <w:shd w:val="clear" w:color="auto" w:fill="auto"/>
            <w:vAlign w:val="bottom"/>
          </w:tcPr>
          <w:p w14:paraId="35D098B6" w14:textId="77777777" w:rsidR="00D42204" w:rsidRDefault="00D42204">
            <w:pPr>
              <w:rPr>
                <w:rFonts w:ascii="宋体"/>
              </w:rPr>
            </w:pPr>
          </w:p>
        </w:tc>
      </w:tr>
      <w:tr w:rsidR="00D42204" w14:paraId="35D098BA" w14:textId="77777777">
        <w:tc>
          <w:tcPr>
            <w:tcW w:w="0" w:type="auto"/>
            <w:gridSpan w:val="3"/>
            <w:shd w:val="clear" w:color="auto" w:fill="auto"/>
            <w:tcMar>
              <w:top w:w="40" w:type="dxa"/>
              <w:left w:w="20" w:type="dxa"/>
              <w:bottom w:w="40" w:type="dxa"/>
              <w:right w:w="20" w:type="dxa"/>
            </w:tcMar>
          </w:tcPr>
          <w:p w14:paraId="35D098B8" w14:textId="77777777" w:rsidR="00D42204" w:rsidRDefault="004E439D">
            <w:pPr>
              <w:textAlignment w:val="top"/>
            </w:pPr>
            <w:r>
              <w:rPr>
                <w:rFonts w:ascii="Times New Roman" w:eastAsia="宋体" w:hAnsi="Times New Roman"/>
                <w:b/>
                <w:bCs/>
                <w:color w:val="000000"/>
                <w:sz w:val="20"/>
                <w:szCs w:val="20"/>
                <w:u w:val="single"/>
              </w:rPr>
              <w:t>ITEM 7.</w:t>
            </w:r>
          </w:p>
        </w:tc>
        <w:tc>
          <w:tcPr>
            <w:tcW w:w="0" w:type="auto"/>
            <w:gridSpan w:val="3"/>
            <w:shd w:val="clear" w:color="auto" w:fill="auto"/>
            <w:tcMar>
              <w:top w:w="40" w:type="dxa"/>
              <w:left w:w="20" w:type="dxa"/>
              <w:bottom w:w="40" w:type="dxa"/>
              <w:right w:w="20" w:type="dxa"/>
            </w:tcMar>
          </w:tcPr>
          <w:p w14:paraId="35D098B9" w14:textId="77777777" w:rsidR="00D42204" w:rsidRDefault="004E439D">
            <w:pPr>
              <w:textAlignment w:val="top"/>
            </w:pPr>
            <w:r>
              <w:rPr>
                <w:rFonts w:ascii="Times New Roman" w:eastAsia="宋体" w:hAnsi="Times New Roman"/>
                <w:b/>
                <w:bCs/>
                <w:color w:val="000000"/>
                <w:sz w:val="20"/>
                <w:szCs w:val="20"/>
                <w:u w:val="single"/>
              </w:rPr>
              <w:t xml:space="preserve">MANAGEMENT'S DISCUSSION AND ANALYSIS OF FINANCIAL CONDITION AND RESULTS OF </w:t>
            </w:r>
            <w:r>
              <w:rPr>
                <w:rFonts w:ascii="Times New Roman" w:eastAsia="宋体" w:hAnsi="Times New Roman"/>
                <w:b/>
                <w:bCs/>
                <w:color w:val="000000"/>
                <w:sz w:val="20"/>
                <w:szCs w:val="20"/>
                <w:u w:val="single"/>
              </w:rPr>
              <w:t>OPERATIONS</w:t>
            </w:r>
          </w:p>
        </w:tc>
      </w:tr>
    </w:tbl>
    <w:p w14:paraId="35D098BB" w14:textId="77777777" w:rsidR="00D42204" w:rsidRDefault="004E439D">
      <w:pPr>
        <w:spacing w:before="100"/>
      </w:pPr>
      <w:r>
        <w:rPr>
          <w:rFonts w:ascii="Times New Roman" w:eastAsia="宋体" w:hAnsi="Times New Roman"/>
          <w:b/>
          <w:bCs/>
          <w:color w:val="000000"/>
          <w:sz w:val="20"/>
          <w:szCs w:val="20"/>
        </w:rPr>
        <w:t>Overview</w:t>
      </w:r>
    </w:p>
    <w:p w14:paraId="35D098BC" w14:textId="77777777" w:rsidR="00D42204" w:rsidRDefault="004E439D">
      <w:pPr>
        <w:spacing w:before="100"/>
      </w:pPr>
      <w:r>
        <w:rPr>
          <w:rFonts w:ascii="Times New Roman" w:eastAsia="宋体" w:hAnsi="Times New Roman"/>
          <w:color w:val="000000"/>
          <w:sz w:val="20"/>
          <w:szCs w:val="20"/>
        </w:rPr>
        <w:t xml:space="preserve">This discussion, which presents our results for the fiscal years ended January 31, 2022 ("fiscal 2022"), January 31, 2021 ("fiscal 2021") and January 31, 2020 ("fiscal 2020"), should be read in conjunction with our </w:t>
      </w:r>
      <w:r>
        <w:rPr>
          <w:rFonts w:ascii="Times New Roman" w:eastAsia="宋体" w:hAnsi="Times New Roman"/>
          <w:color w:val="000000"/>
          <w:sz w:val="20"/>
          <w:szCs w:val="20"/>
        </w:rPr>
        <w:t>Consolidated Financial Statements and the accompanying notes. We intend for this discussion to provide the reader with information that will assist in understanding our financial statements, the changes in certain key items in those financial statements fr</w:t>
      </w:r>
      <w:r>
        <w:rPr>
          <w:rFonts w:ascii="Times New Roman" w:eastAsia="宋体" w:hAnsi="Times New Roman"/>
          <w:color w:val="000000"/>
          <w:sz w:val="20"/>
          <w:szCs w:val="20"/>
        </w:rPr>
        <w:t>om period to period and the primary factors that accounted for those changes. We also discuss certain performance metrics that management uses to assess the Company's performance. Additionally, the discussion provides information about the financial result</w:t>
      </w:r>
      <w:r>
        <w:rPr>
          <w:rFonts w:ascii="Times New Roman" w:eastAsia="宋体" w:hAnsi="Times New Roman"/>
          <w:color w:val="000000"/>
          <w:sz w:val="20"/>
          <w:szCs w:val="20"/>
        </w:rPr>
        <w:t>s of each of the three segments to provide a better understanding of how each of those segments and its results of operations affect the financial position and results of operations of the Company as a whole.</w:t>
      </w:r>
    </w:p>
    <w:p w14:paraId="35D098BD" w14:textId="77777777" w:rsidR="00D42204" w:rsidRDefault="004E439D">
      <w:pPr>
        <w:spacing w:before="100"/>
      </w:pPr>
      <w:r>
        <w:rPr>
          <w:rFonts w:ascii="Times New Roman" w:eastAsia="宋体" w:hAnsi="Times New Roman"/>
          <w:color w:val="000000"/>
          <w:sz w:val="20"/>
          <w:szCs w:val="20"/>
        </w:rPr>
        <w:t>Throughout this Item 7, we discuss segment oper</w:t>
      </w:r>
      <w:r>
        <w:rPr>
          <w:rFonts w:ascii="Times New Roman" w:eastAsia="宋体" w:hAnsi="Times New Roman"/>
          <w:color w:val="000000"/>
          <w:sz w:val="20"/>
          <w:szCs w:val="20"/>
        </w:rPr>
        <w:t>ating income, comparable store and club sales and other measures.  Management measures the results of the Company's segments using each segment's operating income, including certain corporate overhead allocations, as well as other measures. From time to ti</w:t>
      </w:r>
      <w:r>
        <w:rPr>
          <w:rFonts w:ascii="Times New Roman" w:eastAsia="宋体" w:hAnsi="Times New Roman"/>
          <w:color w:val="000000"/>
          <w:sz w:val="20"/>
          <w:szCs w:val="20"/>
        </w:rPr>
        <w:t xml:space="preserve">me, we revise the measurement of each segment's operating income and other measures as determined by the information regularly reviewed by our chief operating decision maker. </w:t>
      </w:r>
    </w:p>
    <w:p w14:paraId="35D098BE" w14:textId="77777777" w:rsidR="00D42204" w:rsidRDefault="004E439D">
      <w:pPr>
        <w:spacing w:before="100"/>
      </w:pPr>
      <w:r>
        <w:rPr>
          <w:rFonts w:ascii="Times New Roman" w:eastAsia="宋体" w:hAnsi="Times New Roman"/>
          <w:color w:val="000000"/>
          <w:sz w:val="20"/>
          <w:szCs w:val="20"/>
        </w:rPr>
        <w:t>Management also measures the results of comparable store and club sales, or comp</w:t>
      </w:r>
      <w:r>
        <w:rPr>
          <w:rFonts w:ascii="Times New Roman" w:eastAsia="宋体" w:hAnsi="Times New Roman"/>
          <w:color w:val="000000"/>
          <w:sz w:val="20"/>
          <w:szCs w:val="20"/>
        </w:rPr>
        <w:t>arable sales, a metric that indicates the performance of our existing stores and clubs by measuring the change in sales for such stores and clubs, including eCommerce sales, for a particular period from the corresponding period in the previous year. Walmar</w:t>
      </w:r>
      <w:r>
        <w:rPr>
          <w:rFonts w:ascii="Times New Roman" w:eastAsia="宋体" w:hAnsi="Times New Roman"/>
          <w:color w:val="000000"/>
          <w:sz w:val="20"/>
          <w:szCs w:val="20"/>
        </w:rPr>
        <w:t>t's definition of comparable sales includes sales from stores and clubs open for the previous 12 months, including remodels, relocations, expansions and conversions, as well as eCommerce sales. We measure the eCommerce sales impact by including all sales i</w:t>
      </w:r>
      <w:r>
        <w:rPr>
          <w:rFonts w:ascii="Times New Roman" w:eastAsia="宋体" w:hAnsi="Times New Roman"/>
          <w:color w:val="000000"/>
          <w:sz w:val="20"/>
          <w:szCs w:val="20"/>
        </w:rPr>
        <w:t>nitiated digitally, including omni-channel transactions which are fulfilled through our stores and clubs. Sales at a store that has changed in format are excluded from comparable sales when the conversion of that store is accompanied by a relocation or exp</w:t>
      </w:r>
      <w:r>
        <w:rPr>
          <w:rFonts w:ascii="Times New Roman" w:eastAsia="宋体" w:hAnsi="Times New Roman"/>
          <w:color w:val="000000"/>
          <w:sz w:val="20"/>
          <w:szCs w:val="20"/>
        </w:rPr>
        <w:t>ansion that results in a change in the store's retail square feet of more than five percent. Sales related to divested businesses are excluded from comparable sales, and sales related to acquisitions are excluded until such acquisitions have been owned for</w:t>
      </w:r>
      <w:r>
        <w:rPr>
          <w:rFonts w:ascii="Times New Roman" w:eastAsia="宋体" w:hAnsi="Times New Roman"/>
          <w:color w:val="000000"/>
          <w:sz w:val="20"/>
          <w:szCs w:val="20"/>
        </w:rPr>
        <w:t xml:space="preserve"> 12 months. Comparable sales are also referred to as "same-store" sales by others within the retail industry. The method of calculating comparable sales varies across the retail industry. As a result, our calculation of comparable sales is not necessarily </w:t>
      </w:r>
      <w:r>
        <w:rPr>
          <w:rFonts w:ascii="Times New Roman" w:eastAsia="宋体" w:hAnsi="Times New Roman"/>
          <w:color w:val="000000"/>
          <w:sz w:val="20"/>
          <w:szCs w:val="20"/>
        </w:rPr>
        <w:t>comparable to similarly titled measures reported by other companies.</w:t>
      </w:r>
    </w:p>
    <w:p w14:paraId="35D098BF" w14:textId="77777777" w:rsidR="00D42204" w:rsidRDefault="004E439D">
      <w:pPr>
        <w:spacing w:before="100"/>
      </w:pPr>
      <w:r>
        <w:rPr>
          <w:rFonts w:ascii="Times New Roman" w:eastAsia="宋体" w:hAnsi="Times New Roman"/>
          <w:color w:val="000000"/>
          <w:sz w:val="20"/>
          <w:szCs w:val="20"/>
        </w:rPr>
        <w:t>In discussing our operating results, the term currency exchange rates refers to the currency exchange rates we use to convert the operating results for countries where the functional curr</w:t>
      </w:r>
      <w:r>
        <w:rPr>
          <w:rFonts w:ascii="Times New Roman" w:eastAsia="宋体" w:hAnsi="Times New Roman"/>
          <w:color w:val="000000"/>
          <w:sz w:val="20"/>
          <w:szCs w:val="20"/>
        </w:rPr>
        <w:t>ency is not the U.S. dollar into U.S. dollars. We calculate the effect of changes in currency exchange rates as the difference between current period activity translated using the current period's currency exchange rates and the comparable prior year perio</w:t>
      </w:r>
      <w:r>
        <w:rPr>
          <w:rFonts w:ascii="Times New Roman" w:eastAsia="宋体" w:hAnsi="Times New Roman"/>
          <w:color w:val="000000"/>
          <w:sz w:val="20"/>
          <w:szCs w:val="20"/>
        </w:rPr>
        <w:t>d's currency exchange rates. Additionally, no currency exchange rate fluctuations are calculated for non-USD acquisitions until owned for 12 months. Throughout our discussion, we refer to the results of this calculation as the impact of currency exchange r</w:t>
      </w:r>
      <w:r>
        <w:rPr>
          <w:rFonts w:ascii="Times New Roman" w:eastAsia="宋体" w:hAnsi="Times New Roman"/>
          <w:color w:val="000000"/>
          <w:sz w:val="20"/>
          <w:szCs w:val="20"/>
        </w:rPr>
        <w:t>ate fluctuations. Volatility in currency exchange rates may impact the results, including net sales and operating income, of the Company and the Walmart International segment in the future.</w:t>
      </w:r>
    </w:p>
    <w:p w14:paraId="35D098C0" w14:textId="77777777" w:rsidR="00D42204" w:rsidRDefault="004E439D">
      <w:pPr>
        <w:spacing w:before="100"/>
      </w:pPr>
      <w:r>
        <w:rPr>
          <w:rFonts w:ascii="Times New Roman" w:eastAsia="宋体" w:hAnsi="Times New Roman"/>
          <w:color w:val="000000"/>
          <w:sz w:val="20"/>
          <w:szCs w:val="20"/>
        </w:rPr>
        <w:t xml:space="preserve">We have taken certain strategic actions to strengthen our Walmart </w:t>
      </w:r>
      <w:r>
        <w:rPr>
          <w:rFonts w:ascii="Times New Roman" w:eastAsia="宋体" w:hAnsi="Times New Roman"/>
          <w:color w:val="000000"/>
          <w:sz w:val="20"/>
          <w:szCs w:val="20"/>
        </w:rPr>
        <w:t>International portfolio for the long-term, including the following highlights over the last three years:</w:t>
      </w:r>
    </w:p>
    <w:p w14:paraId="35D098C1" w14:textId="77777777" w:rsidR="00D42204" w:rsidRDefault="004E439D">
      <w:pPr>
        <w:spacing w:before="100"/>
        <w:ind w:hanging="360"/>
      </w:pPr>
      <w:r>
        <w:rPr>
          <w:rFonts w:ascii="Times New Roman" w:eastAsia="宋体" w:hAnsi="Times New Roman"/>
          <w:color w:val="000000"/>
          <w:sz w:val="20"/>
          <w:szCs w:val="20"/>
        </w:rPr>
        <w:t>•In November 2020, we completed the sale of Walmart Argentina and recorded a pre-tax non-cash loss in fiscal 2021 of $1.0 billion, primarily due to cum</w:t>
      </w:r>
      <w:r>
        <w:rPr>
          <w:rFonts w:ascii="Times New Roman" w:eastAsia="宋体" w:hAnsi="Times New Roman"/>
          <w:color w:val="000000"/>
          <w:sz w:val="20"/>
          <w:szCs w:val="20"/>
        </w:rPr>
        <w:t xml:space="preserve">ulative foreign currency translation losses. Refer to </w:t>
      </w:r>
      <w:hyperlink r:id="rId93" w:anchor="i1ba69ebb72ec48f9b754a5e96c4cdf3f_190"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w:t>
      </w:r>
    </w:p>
    <w:p w14:paraId="35D098C2" w14:textId="77777777" w:rsidR="00D42204" w:rsidRDefault="004E439D">
      <w:pPr>
        <w:spacing w:before="100"/>
        <w:ind w:hanging="360"/>
      </w:pPr>
      <w:r>
        <w:rPr>
          <w:rFonts w:ascii="Times New Roman" w:eastAsia="宋体" w:hAnsi="Times New Roman"/>
          <w:color w:val="000000"/>
          <w:sz w:val="20"/>
          <w:szCs w:val="20"/>
        </w:rPr>
        <w:t>•In February 2021, we completed the sal</w:t>
      </w:r>
      <w:r>
        <w:rPr>
          <w:rFonts w:ascii="Times New Roman" w:eastAsia="宋体" w:hAnsi="Times New Roman"/>
          <w:color w:val="000000"/>
          <w:sz w:val="20"/>
          <w:szCs w:val="20"/>
        </w:rPr>
        <w:t xml:space="preserve">e of Asda for net consideration of $9.6 billion, for which we recognized an estimated pre-tax loss in fiscal 2021 of $5.5 billion, and an incremental loss of $0.2 billion in fiscal 2022 upon closing of the transaction. Refer to </w:t>
      </w:r>
      <w:hyperlink r:id="rId94" w:anchor="i1ba69ebb72ec48f9b754a5e96c4cdf3f_187" w:history="1">
        <w:r>
          <w:rPr>
            <w:rStyle w:val="a5"/>
            <w:rFonts w:ascii="Times New Roman" w:eastAsia="宋体" w:hAnsi="Times New Roman"/>
            <w:sz w:val="20"/>
            <w:szCs w:val="20"/>
          </w:rPr>
          <w:t>Note 11</w:t>
        </w:r>
      </w:hyperlink>
      <w:r>
        <w:rPr>
          <w:rFonts w:ascii="Times New Roman" w:eastAsia="宋体" w:hAnsi="Times New Roman"/>
          <w:color w:val="000000"/>
          <w:sz w:val="20"/>
          <w:szCs w:val="20"/>
        </w:rPr>
        <w:t xml:space="preserve"> and </w:t>
      </w:r>
      <w:hyperlink r:id="rId95" w:anchor="i1ba69ebb72ec48f9b754a5e96c4cdf3f_190"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w:t>
      </w:r>
    </w:p>
    <w:p w14:paraId="35D098C3" w14:textId="77777777" w:rsidR="00D42204" w:rsidRDefault="004E439D">
      <w:pPr>
        <w:spacing w:before="60" w:after="60"/>
        <w:ind w:hanging="360"/>
      </w:pPr>
      <w:r>
        <w:rPr>
          <w:rFonts w:ascii="Times New Roman" w:eastAsia="宋体" w:hAnsi="Times New Roman"/>
          <w:i/>
          <w:iCs/>
          <w:color w:val="000000"/>
          <w:sz w:val="20"/>
          <w:szCs w:val="20"/>
        </w:rPr>
        <w:t>•</w:t>
      </w:r>
      <w:r>
        <w:rPr>
          <w:rFonts w:ascii="Times New Roman" w:eastAsia="宋体" w:hAnsi="Times New Roman"/>
          <w:color w:val="000000"/>
          <w:sz w:val="20"/>
          <w:szCs w:val="20"/>
        </w:rPr>
        <w:t>In March 2021, we completed the sale of Seiyu for net consideration of $1.2 billion, for which we recognized an estimated pre-tax loss in fiscal 2021 of $1.9 billion, and an incremental loss of $0.2 billion in fiscal 2022 upon closing of the transaction. R</w:t>
      </w:r>
      <w:r>
        <w:rPr>
          <w:rFonts w:ascii="Times New Roman" w:eastAsia="宋体" w:hAnsi="Times New Roman"/>
          <w:color w:val="000000"/>
          <w:sz w:val="20"/>
          <w:szCs w:val="20"/>
        </w:rPr>
        <w:t xml:space="preserve">efer to </w:t>
      </w:r>
      <w:hyperlink r:id="rId96" w:anchor="i1ba69ebb72ec48f9b754a5e96c4cdf3f_190"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w:t>
      </w:r>
    </w:p>
    <w:p w14:paraId="35D098C4" w14:textId="77777777" w:rsidR="00D42204" w:rsidRDefault="004E439D">
      <w:pPr>
        <w:spacing w:before="100"/>
      </w:pPr>
      <w:r>
        <w:rPr>
          <w:rFonts w:ascii="Times New Roman" w:eastAsia="宋体" w:hAnsi="Times New Roman"/>
          <w:color w:val="000000"/>
          <w:sz w:val="20"/>
          <w:szCs w:val="20"/>
        </w:rPr>
        <w:t>We operate in the highly competitive omni-channel retail industry in all of the marke</w:t>
      </w:r>
      <w:r>
        <w:rPr>
          <w:rFonts w:ascii="Times New Roman" w:eastAsia="宋体" w:hAnsi="Times New Roman"/>
          <w:color w:val="000000"/>
          <w:sz w:val="20"/>
          <w:szCs w:val="20"/>
        </w:rPr>
        <w:t>ts we serve. We face strong sales competition from other discount, department, drug, dollar, variety and specialty stores, warehouse clubs and supermarkets, as well as eCommerce, health and wellness, financial services, advertising, and data service busine</w:t>
      </w:r>
      <w:r>
        <w:rPr>
          <w:rFonts w:ascii="Times New Roman" w:eastAsia="宋体" w:hAnsi="Times New Roman"/>
          <w:color w:val="000000"/>
          <w:sz w:val="20"/>
          <w:szCs w:val="20"/>
        </w:rPr>
        <w:t>sses. Many of these competitors are national, regional or international chains or have a national or international omni-channel or eCommerce presence. We compete with a number of companies for attracting and retaining quality associates. We, along with oth</w:t>
      </w:r>
      <w:r>
        <w:rPr>
          <w:rFonts w:ascii="Times New Roman" w:eastAsia="宋体" w:hAnsi="Times New Roman"/>
          <w:color w:val="000000"/>
          <w:sz w:val="20"/>
          <w:szCs w:val="20"/>
        </w:rPr>
        <w:t>er retail companies, are influenced by a number of factors including, but not limited to: catastrophic events, weather and other risks related to climate change, global health epidemics, including the COVID-19 pandemic, competitive pressures, consumer disp</w:t>
      </w:r>
      <w:r>
        <w:rPr>
          <w:rFonts w:ascii="Times New Roman" w:eastAsia="宋体" w:hAnsi="Times New Roman"/>
          <w:color w:val="000000"/>
          <w:sz w:val="20"/>
          <w:szCs w:val="20"/>
        </w:rPr>
        <w:t xml:space="preserve">osable income, consumer debt levels and buying patterns, consumer credit availability, supply chain disruptions, cost and availability of goods, currency exchange rate fluctuations, customer preferences, deflation, inflation, fuel and energy prices, </w:t>
      </w:r>
    </w:p>
    <w:p w14:paraId="35D098C5" w14:textId="77777777" w:rsidR="00D42204" w:rsidRDefault="004E439D">
      <w:pPr>
        <w:jc w:val="center"/>
      </w:pPr>
      <w:r>
        <w:rPr>
          <w:rFonts w:ascii="Times New Roman" w:eastAsia="宋体" w:hAnsi="Times New Roman"/>
          <w:color w:val="000000"/>
          <w:sz w:val="20"/>
          <w:szCs w:val="20"/>
        </w:rPr>
        <w:t>34</w:t>
      </w:r>
    </w:p>
    <w:p w14:paraId="35D098C6" w14:textId="77777777" w:rsidR="00D42204" w:rsidRDefault="004E439D">
      <w:r>
        <w:pict w14:anchorId="35D0C37D">
          <v:rect id="_x0000_i1058" style="width:415.3pt;height:1.5pt" o:hralign="center" o:hrstd="t" o:hr="t" fillcolor="#a0a0a0" stroked="f"/>
        </w:pict>
      </w:r>
    </w:p>
    <w:p w14:paraId="35D098C7" w14:textId="77777777" w:rsidR="00D42204" w:rsidRDefault="00D42204"/>
    <w:p w14:paraId="35D098C8" w14:textId="77777777" w:rsidR="00D42204" w:rsidRDefault="004E439D">
      <w:pPr>
        <w:spacing w:before="100"/>
      </w:pPr>
      <w:r>
        <w:rPr>
          <w:rFonts w:ascii="Times New Roman" w:eastAsia="宋体" w:hAnsi="Times New Roman"/>
          <w:color w:val="000000"/>
          <w:sz w:val="20"/>
          <w:szCs w:val="20"/>
        </w:rPr>
        <w:t>general economic conditions, insurance costs, interest rates, labor availability and costs, tax rates, the imposition of tariffs, cybersecurity attacks and unemployment. Further information on the factors that can affect our operating results and on certa</w:t>
      </w:r>
      <w:r>
        <w:rPr>
          <w:rFonts w:ascii="Times New Roman" w:eastAsia="宋体" w:hAnsi="Times New Roman"/>
          <w:color w:val="000000"/>
          <w:sz w:val="20"/>
          <w:szCs w:val="20"/>
        </w:rPr>
        <w:t>in risks to our Company and an investment in its securities can be found herein under "</w:t>
      </w:r>
      <w:hyperlink r:id="rId97" w:anchor="i1ba69ebb72ec48f9b754a5e96c4cdf3f_37" w:history="1">
        <w:r>
          <w:rPr>
            <w:rStyle w:val="a5"/>
            <w:rFonts w:ascii="Times New Roman" w:eastAsia="宋体" w:hAnsi="Times New Roman"/>
            <w:sz w:val="20"/>
            <w:szCs w:val="20"/>
          </w:rPr>
          <w:t>Item 1A. Risk Facto</w:t>
        </w:r>
        <w:r>
          <w:rPr>
            <w:rStyle w:val="a5"/>
            <w:rFonts w:ascii="Times New Roman" w:eastAsia="宋体" w:hAnsi="Times New Roman"/>
            <w:sz w:val="20"/>
            <w:szCs w:val="20"/>
          </w:rPr>
          <w:t>rs</w:t>
        </w:r>
      </w:hyperlink>
      <w:r>
        <w:rPr>
          <w:rFonts w:ascii="Times New Roman" w:eastAsia="宋体" w:hAnsi="Times New Roman"/>
          <w:color w:val="000000"/>
          <w:sz w:val="20"/>
          <w:szCs w:val="20"/>
        </w:rPr>
        <w:t xml:space="preserve">." </w:t>
      </w:r>
    </w:p>
    <w:p w14:paraId="35D098C9" w14:textId="77777777" w:rsidR="00D42204" w:rsidRDefault="004E439D">
      <w:pPr>
        <w:spacing w:before="100"/>
      </w:pPr>
      <w:r>
        <w:rPr>
          <w:rFonts w:ascii="Times New Roman" w:eastAsia="宋体" w:hAnsi="Times New Roman"/>
          <w:color w:val="000000"/>
          <w:sz w:val="20"/>
          <w:szCs w:val="20"/>
        </w:rPr>
        <w:t>We expect continued uncertainty in our business and the global economy due to the duration and intensity of the COVID-19 pandemic; the duration and extent of economic stimulus measures; effectiveness and extent of administration of vaccinations an</w:t>
      </w:r>
      <w:r>
        <w:rPr>
          <w:rFonts w:ascii="Times New Roman" w:eastAsia="宋体" w:hAnsi="Times New Roman"/>
          <w:color w:val="000000"/>
          <w:sz w:val="20"/>
          <w:szCs w:val="20"/>
        </w:rPr>
        <w:t>d medical treatment; supply chain disruptions; and volatility in employment trends and consumer confidence which may impact our results. For a detailed discussion on results of operations by reportable segment, refer to "</w:t>
      </w:r>
      <w:hyperlink r:id="rId98" w:anchor="i1ba69ebb72ec48f9b754a5e96c4cdf3f_91" w:history="1">
        <w:r>
          <w:rPr>
            <w:rStyle w:val="a5"/>
            <w:rFonts w:ascii="Times New Roman" w:eastAsia="宋体" w:hAnsi="Times New Roman"/>
            <w:sz w:val="20"/>
            <w:szCs w:val="20"/>
          </w:rPr>
          <w:t>Results of Ope</w:t>
        </w:r>
      </w:hyperlink>
      <w:hyperlink r:id="rId99" w:anchor="i1ba69ebb72ec48f9b754a5e96c4cdf3f_91" w:history="1">
        <w:r>
          <w:rPr>
            <w:rStyle w:val="a5"/>
            <w:rFonts w:ascii="Times New Roman" w:eastAsia="宋体" w:hAnsi="Times New Roman"/>
            <w:sz w:val="20"/>
            <w:szCs w:val="20"/>
          </w:rPr>
          <w:t>rations</w:t>
        </w:r>
      </w:hyperlink>
      <w:r>
        <w:rPr>
          <w:rFonts w:ascii="Times New Roman" w:eastAsia="宋体" w:hAnsi="Times New Roman"/>
          <w:color w:val="000000"/>
          <w:sz w:val="20"/>
          <w:szCs w:val="20"/>
        </w:rPr>
        <w:t>" below.</w:t>
      </w:r>
    </w:p>
    <w:p w14:paraId="35D098CA" w14:textId="77777777" w:rsidR="00D42204" w:rsidRDefault="004E439D">
      <w:pPr>
        <w:spacing w:before="180"/>
      </w:pPr>
      <w:r>
        <w:rPr>
          <w:rFonts w:ascii="Times New Roman" w:eastAsia="宋体" w:hAnsi="Times New Roman"/>
          <w:b/>
          <w:bCs/>
          <w:color w:val="000000"/>
          <w:sz w:val="20"/>
          <w:szCs w:val="20"/>
        </w:rPr>
        <w:t>Company Performance Metrics</w:t>
      </w:r>
    </w:p>
    <w:p w14:paraId="35D098CB" w14:textId="77777777" w:rsidR="00D42204" w:rsidRDefault="004E439D">
      <w:pPr>
        <w:spacing w:before="100"/>
      </w:pPr>
      <w:r>
        <w:rPr>
          <w:rFonts w:ascii="Times New Roman" w:eastAsia="宋体" w:hAnsi="Times New Roman"/>
          <w:color w:val="000000"/>
          <w:sz w:val="20"/>
          <w:szCs w:val="20"/>
        </w:rPr>
        <w:t>We are committed to helping customers save money and live better through everyday low prices, supported by everyday low costs.  At times, we adjust our business strategies to maintain</w:t>
      </w:r>
      <w:r>
        <w:rPr>
          <w:rFonts w:ascii="Times New Roman" w:eastAsia="宋体" w:hAnsi="Times New Roman"/>
          <w:color w:val="000000"/>
          <w:sz w:val="20"/>
          <w:szCs w:val="20"/>
        </w:rPr>
        <w:t xml:space="preserve"> and strengthen our competitive positions in the countries in which we operate.  We define our financial framework as:</w:t>
      </w:r>
    </w:p>
    <w:p w14:paraId="35D098CC" w14:textId="77777777" w:rsidR="00D42204" w:rsidRDefault="004E439D">
      <w:pPr>
        <w:spacing w:before="100"/>
        <w:ind w:hanging="360"/>
      </w:pPr>
      <w:r>
        <w:rPr>
          <w:rFonts w:ascii="Times New Roman" w:eastAsia="宋体" w:hAnsi="Times New Roman"/>
          <w:color w:val="000000"/>
          <w:sz w:val="20"/>
          <w:szCs w:val="20"/>
        </w:rPr>
        <w:t>•strong, efficient growth;</w:t>
      </w:r>
    </w:p>
    <w:p w14:paraId="35D098CD" w14:textId="77777777" w:rsidR="00D42204" w:rsidRDefault="004E439D">
      <w:pPr>
        <w:spacing w:before="100"/>
        <w:ind w:hanging="360"/>
      </w:pPr>
      <w:r>
        <w:rPr>
          <w:rFonts w:ascii="Times New Roman" w:eastAsia="宋体" w:hAnsi="Times New Roman"/>
          <w:color w:val="000000"/>
          <w:sz w:val="20"/>
          <w:szCs w:val="20"/>
        </w:rPr>
        <w:t>•consistent operating discipline; and</w:t>
      </w:r>
    </w:p>
    <w:p w14:paraId="35D098CE" w14:textId="77777777" w:rsidR="00D42204" w:rsidRDefault="004E439D">
      <w:pPr>
        <w:spacing w:before="100"/>
        <w:ind w:hanging="360"/>
      </w:pPr>
      <w:r>
        <w:rPr>
          <w:rFonts w:ascii="Times New Roman" w:eastAsia="宋体" w:hAnsi="Times New Roman"/>
          <w:color w:val="000000"/>
          <w:sz w:val="20"/>
          <w:szCs w:val="20"/>
        </w:rPr>
        <w:t>•strategic capital allocation.</w:t>
      </w:r>
    </w:p>
    <w:p w14:paraId="35D098CF" w14:textId="77777777" w:rsidR="00D42204" w:rsidRDefault="004E439D">
      <w:pPr>
        <w:spacing w:before="100"/>
      </w:pPr>
      <w:r>
        <w:rPr>
          <w:rFonts w:ascii="Times New Roman" w:eastAsia="宋体" w:hAnsi="Times New Roman"/>
          <w:color w:val="000000"/>
          <w:sz w:val="20"/>
          <w:szCs w:val="20"/>
        </w:rPr>
        <w:t xml:space="preserve">As we execute on this financial </w:t>
      </w:r>
      <w:r>
        <w:rPr>
          <w:rFonts w:ascii="Times New Roman" w:eastAsia="宋体" w:hAnsi="Times New Roman"/>
          <w:color w:val="000000"/>
          <w:sz w:val="20"/>
          <w:szCs w:val="20"/>
        </w:rPr>
        <w:t>framework, we believe our returns on capital will improve over time.</w:t>
      </w:r>
    </w:p>
    <w:p w14:paraId="35D098D0" w14:textId="77777777" w:rsidR="00D42204" w:rsidRDefault="004E439D">
      <w:pPr>
        <w:spacing w:before="180"/>
      </w:pPr>
      <w:r>
        <w:rPr>
          <w:rFonts w:ascii="Times New Roman" w:eastAsia="宋体" w:hAnsi="Times New Roman"/>
          <w:b/>
          <w:bCs/>
          <w:color w:val="000000"/>
          <w:sz w:val="20"/>
          <w:szCs w:val="20"/>
          <w:u w:val="single"/>
        </w:rPr>
        <w:t>Strong, Efficient Growth</w:t>
      </w:r>
    </w:p>
    <w:p w14:paraId="35D098D1" w14:textId="77777777" w:rsidR="00D42204" w:rsidRDefault="004E439D">
      <w:pPr>
        <w:spacing w:before="100"/>
      </w:pPr>
      <w:r>
        <w:rPr>
          <w:rFonts w:ascii="Times New Roman" w:eastAsia="宋体" w:hAnsi="Times New Roman"/>
          <w:color w:val="000000"/>
          <w:sz w:val="20"/>
          <w:szCs w:val="20"/>
        </w:rPr>
        <w:t xml:space="preserve">Our objective of prioritizing strong, efficient growth means we will focus on the most productive growth opportunities, increasing comparable store and club </w:t>
      </w:r>
      <w:r>
        <w:rPr>
          <w:rFonts w:ascii="Times New Roman" w:eastAsia="宋体" w:hAnsi="Times New Roman"/>
          <w:color w:val="000000"/>
          <w:sz w:val="20"/>
          <w:szCs w:val="20"/>
        </w:rPr>
        <w:t>sales, accelerating eCommerce sales growth and expanding omni-channel initiatives that complement our flywheel strategy while slowing the rate of growth of new stores and clubs. At times, we make strategic investments which are focused on the long-term gro</w:t>
      </w:r>
      <w:r>
        <w:rPr>
          <w:rFonts w:ascii="Times New Roman" w:eastAsia="宋体" w:hAnsi="Times New Roman"/>
          <w:color w:val="000000"/>
          <w:sz w:val="20"/>
          <w:szCs w:val="20"/>
        </w:rPr>
        <w:t>wth of the Company.</w:t>
      </w:r>
    </w:p>
    <w:p w14:paraId="35D098D2" w14:textId="77777777" w:rsidR="00D42204" w:rsidRDefault="004E439D">
      <w:pPr>
        <w:spacing w:before="100"/>
      </w:pPr>
      <w:r>
        <w:rPr>
          <w:rFonts w:ascii="Times New Roman" w:eastAsia="宋体" w:hAnsi="Times New Roman"/>
          <w:color w:val="000000"/>
          <w:sz w:val="20"/>
          <w:szCs w:val="20"/>
        </w:rPr>
        <w:t>Comparable sales is a metric that indicates the performance of our existing stores and clubs by measuring the change in sales for such stores and clubs, including eCommerce sales, for a particular period over the corresponding period in</w:t>
      </w:r>
      <w:r>
        <w:rPr>
          <w:rFonts w:ascii="Times New Roman" w:eastAsia="宋体" w:hAnsi="Times New Roman"/>
          <w:color w:val="000000"/>
          <w:sz w:val="20"/>
          <w:szCs w:val="20"/>
        </w:rPr>
        <w:t xml:space="preserve"> the previous year. The retail industry generally reports comparable sales using the retail calendar (also known as the 4-5-4 calendar). To be consistent with the retail industry, we provide comparable sales using the retail calendar in our quarterly earni</w:t>
      </w:r>
      <w:r>
        <w:rPr>
          <w:rFonts w:ascii="Times New Roman" w:eastAsia="宋体" w:hAnsi="Times New Roman"/>
          <w:color w:val="000000"/>
          <w:sz w:val="20"/>
          <w:szCs w:val="20"/>
        </w:rPr>
        <w:t xml:space="preserve">ngs releases. However, when we discuss our comparable sales below, we are referring to our calendar comparable sales calculated using our fiscal calendar, which may result in differences when compared to comparable sales using the retail calendar. </w:t>
      </w:r>
    </w:p>
    <w:p w14:paraId="35D098D3" w14:textId="77777777" w:rsidR="00D42204" w:rsidRDefault="004E439D">
      <w:pPr>
        <w:spacing w:before="100"/>
      </w:pPr>
      <w:r>
        <w:rPr>
          <w:rFonts w:ascii="Times New Roman" w:eastAsia="宋体" w:hAnsi="Times New Roman"/>
          <w:color w:val="000000"/>
          <w:sz w:val="20"/>
          <w:szCs w:val="20"/>
        </w:rPr>
        <w:t>Calenda</w:t>
      </w:r>
      <w:r>
        <w:rPr>
          <w:rFonts w:ascii="Times New Roman" w:eastAsia="宋体" w:hAnsi="Times New Roman"/>
          <w:color w:val="000000"/>
          <w:sz w:val="20"/>
          <w:szCs w:val="20"/>
        </w:rPr>
        <w:t>r comparable sales, including the impact of fuel, for fiscal 2022 and 2021, were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57"/>
        <w:gridCol w:w="3408"/>
        <w:gridCol w:w="36"/>
        <w:gridCol w:w="36"/>
        <w:gridCol w:w="36"/>
        <w:gridCol w:w="36"/>
        <w:gridCol w:w="38"/>
        <w:gridCol w:w="1016"/>
        <w:gridCol w:w="37"/>
        <w:gridCol w:w="36"/>
        <w:gridCol w:w="36"/>
        <w:gridCol w:w="36"/>
        <w:gridCol w:w="63"/>
        <w:gridCol w:w="991"/>
        <w:gridCol w:w="36"/>
        <w:gridCol w:w="36"/>
        <w:gridCol w:w="36"/>
        <w:gridCol w:w="36"/>
        <w:gridCol w:w="38"/>
        <w:gridCol w:w="1017"/>
        <w:gridCol w:w="36"/>
        <w:gridCol w:w="36"/>
        <w:gridCol w:w="36"/>
        <w:gridCol w:w="36"/>
        <w:gridCol w:w="40"/>
        <w:gridCol w:w="1017"/>
        <w:gridCol w:w="37"/>
      </w:tblGrid>
      <w:tr w:rsidR="00D42204" w14:paraId="35D098EF" w14:textId="77777777">
        <w:trPr>
          <w:jc w:val="center"/>
        </w:trPr>
        <w:tc>
          <w:tcPr>
            <w:tcW w:w="50" w:type="pct"/>
            <w:shd w:val="clear" w:color="auto" w:fill="auto"/>
            <w:vAlign w:val="bottom"/>
          </w:tcPr>
          <w:p w14:paraId="35D098D4" w14:textId="77777777" w:rsidR="00D42204" w:rsidRDefault="00D42204">
            <w:pPr>
              <w:rPr>
                <w:rFonts w:ascii="宋体"/>
              </w:rPr>
            </w:pPr>
          </w:p>
        </w:tc>
        <w:tc>
          <w:tcPr>
            <w:tcW w:w="2066" w:type="pct"/>
            <w:shd w:val="clear" w:color="auto" w:fill="auto"/>
            <w:vAlign w:val="bottom"/>
          </w:tcPr>
          <w:p w14:paraId="35D098D5" w14:textId="77777777" w:rsidR="00D42204" w:rsidRDefault="00D42204">
            <w:pPr>
              <w:rPr>
                <w:rFonts w:ascii="宋体"/>
              </w:rPr>
            </w:pPr>
          </w:p>
        </w:tc>
        <w:tc>
          <w:tcPr>
            <w:tcW w:w="5" w:type="pct"/>
            <w:shd w:val="clear" w:color="auto" w:fill="auto"/>
            <w:vAlign w:val="bottom"/>
          </w:tcPr>
          <w:p w14:paraId="35D098D6" w14:textId="77777777" w:rsidR="00D42204" w:rsidRDefault="00D42204">
            <w:pPr>
              <w:rPr>
                <w:rFonts w:ascii="宋体"/>
              </w:rPr>
            </w:pPr>
          </w:p>
        </w:tc>
        <w:tc>
          <w:tcPr>
            <w:tcW w:w="5" w:type="pct"/>
            <w:shd w:val="clear" w:color="auto" w:fill="auto"/>
            <w:vAlign w:val="bottom"/>
          </w:tcPr>
          <w:p w14:paraId="35D098D7" w14:textId="77777777" w:rsidR="00D42204" w:rsidRDefault="00D42204">
            <w:pPr>
              <w:rPr>
                <w:rFonts w:ascii="宋体"/>
              </w:rPr>
            </w:pPr>
          </w:p>
        </w:tc>
        <w:tc>
          <w:tcPr>
            <w:tcW w:w="26" w:type="pct"/>
            <w:shd w:val="clear" w:color="auto" w:fill="auto"/>
            <w:vAlign w:val="bottom"/>
          </w:tcPr>
          <w:p w14:paraId="35D098D8" w14:textId="77777777" w:rsidR="00D42204" w:rsidRDefault="00D42204">
            <w:pPr>
              <w:rPr>
                <w:rFonts w:ascii="宋体"/>
              </w:rPr>
            </w:pPr>
          </w:p>
        </w:tc>
        <w:tc>
          <w:tcPr>
            <w:tcW w:w="5" w:type="pct"/>
            <w:shd w:val="clear" w:color="auto" w:fill="auto"/>
            <w:vAlign w:val="bottom"/>
          </w:tcPr>
          <w:p w14:paraId="35D098D9" w14:textId="77777777" w:rsidR="00D42204" w:rsidRDefault="00D42204">
            <w:pPr>
              <w:rPr>
                <w:rFonts w:ascii="宋体"/>
              </w:rPr>
            </w:pPr>
          </w:p>
        </w:tc>
        <w:tc>
          <w:tcPr>
            <w:tcW w:w="50" w:type="pct"/>
            <w:shd w:val="clear" w:color="auto" w:fill="auto"/>
            <w:vAlign w:val="bottom"/>
          </w:tcPr>
          <w:p w14:paraId="35D098DA" w14:textId="77777777" w:rsidR="00D42204" w:rsidRDefault="00D42204">
            <w:pPr>
              <w:rPr>
                <w:rFonts w:ascii="宋体"/>
              </w:rPr>
            </w:pPr>
          </w:p>
        </w:tc>
        <w:tc>
          <w:tcPr>
            <w:tcW w:w="627" w:type="pct"/>
            <w:shd w:val="clear" w:color="auto" w:fill="auto"/>
            <w:vAlign w:val="bottom"/>
          </w:tcPr>
          <w:p w14:paraId="35D098DB" w14:textId="77777777" w:rsidR="00D42204" w:rsidRDefault="00D42204">
            <w:pPr>
              <w:rPr>
                <w:rFonts w:ascii="宋体"/>
              </w:rPr>
            </w:pPr>
          </w:p>
        </w:tc>
        <w:tc>
          <w:tcPr>
            <w:tcW w:w="5" w:type="pct"/>
            <w:shd w:val="clear" w:color="auto" w:fill="auto"/>
            <w:vAlign w:val="bottom"/>
          </w:tcPr>
          <w:p w14:paraId="35D098DC" w14:textId="77777777" w:rsidR="00D42204" w:rsidRDefault="00D42204">
            <w:pPr>
              <w:rPr>
                <w:rFonts w:ascii="宋体"/>
              </w:rPr>
            </w:pPr>
          </w:p>
        </w:tc>
        <w:tc>
          <w:tcPr>
            <w:tcW w:w="5" w:type="pct"/>
            <w:shd w:val="clear" w:color="auto" w:fill="auto"/>
            <w:vAlign w:val="bottom"/>
          </w:tcPr>
          <w:p w14:paraId="35D098DD" w14:textId="77777777" w:rsidR="00D42204" w:rsidRDefault="00D42204">
            <w:pPr>
              <w:rPr>
                <w:rFonts w:ascii="宋体"/>
              </w:rPr>
            </w:pPr>
          </w:p>
        </w:tc>
        <w:tc>
          <w:tcPr>
            <w:tcW w:w="26" w:type="pct"/>
            <w:shd w:val="clear" w:color="auto" w:fill="auto"/>
            <w:vAlign w:val="bottom"/>
          </w:tcPr>
          <w:p w14:paraId="35D098DE" w14:textId="77777777" w:rsidR="00D42204" w:rsidRDefault="00D42204">
            <w:pPr>
              <w:rPr>
                <w:rFonts w:ascii="宋体"/>
              </w:rPr>
            </w:pPr>
          </w:p>
        </w:tc>
        <w:tc>
          <w:tcPr>
            <w:tcW w:w="5" w:type="pct"/>
            <w:shd w:val="clear" w:color="auto" w:fill="auto"/>
            <w:vAlign w:val="bottom"/>
          </w:tcPr>
          <w:p w14:paraId="35D098DF" w14:textId="77777777" w:rsidR="00D42204" w:rsidRDefault="00D42204">
            <w:pPr>
              <w:rPr>
                <w:rFonts w:ascii="宋体"/>
              </w:rPr>
            </w:pPr>
          </w:p>
        </w:tc>
        <w:tc>
          <w:tcPr>
            <w:tcW w:w="50" w:type="pct"/>
            <w:shd w:val="clear" w:color="auto" w:fill="auto"/>
            <w:vAlign w:val="bottom"/>
          </w:tcPr>
          <w:p w14:paraId="35D098E0" w14:textId="77777777" w:rsidR="00D42204" w:rsidRDefault="00D42204">
            <w:pPr>
              <w:rPr>
                <w:rFonts w:ascii="宋体"/>
              </w:rPr>
            </w:pPr>
          </w:p>
        </w:tc>
        <w:tc>
          <w:tcPr>
            <w:tcW w:w="627" w:type="pct"/>
            <w:shd w:val="clear" w:color="auto" w:fill="auto"/>
            <w:vAlign w:val="bottom"/>
          </w:tcPr>
          <w:p w14:paraId="35D098E1" w14:textId="77777777" w:rsidR="00D42204" w:rsidRDefault="00D42204">
            <w:pPr>
              <w:rPr>
                <w:rFonts w:ascii="宋体"/>
              </w:rPr>
            </w:pPr>
          </w:p>
        </w:tc>
        <w:tc>
          <w:tcPr>
            <w:tcW w:w="5" w:type="pct"/>
            <w:shd w:val="clear" w:color="auto" w:fill="auto"/>
            <w:vAlign w:val="bottom"/>
          </w:tcPr>
          <w:p w14:paraId="35D098E2" w14:textId="77777777" w:rsidR="00D42204" w:rsidRDefault="00D42204">
            <w:pPr>
              <w:rPr>
                <w:rFonts w:ascii="宋体"/>
              </w:rPr>
            </w:pPr>
          </w:p>
        </w:tc>
        <w:tc>
          <w:tcPr>
            <w:tcW w:w="5" w:type="pct"/>
            <w:shd w:val="clear" w:color="auto" w:fill="auto"/>
            <w:vAlign w:val="bottom"/>
          </w:tcPr>
          <w:p w14:paraId="35D098E3" w14:textId="77777777" w:rsidR="00D42204" w:rsidRDefault="00D42204">
            <w:pPr>
              <w:rPr>
                <w:rFonts w:ascii="宋体"/>
              </w:rPr>
            </w:pPr>
          </w:p>
        </w:tc>
        <w:tc>
          <w:tcPr>
            <w:tcW w:w="26" w:type="pct"/>
            <w:shd w:val="clear" w:color="auto" w:fill="auto"/>
            <w:vAlign w:val="bottom"/>
          </w:tcPr>
          <w:p w14:paraId="35D098E4" w14:textId="77777777" w:rsidR="00D42204" w:rsidRDefault="00D42204">
            <w:pPr>
              <w:rPr>
                <w:rFonts w:ascii="宋体"/>
              </w:rPr>
            </w:pPr>
          </w:p>
        </w:tc>
        <w:tc>
          <w:tcPr>
            <w:tcW w:w="5" w:type="pct"/>
            <w:shd w:val="clear" w:color="auto" w:fill="auto"/>
            <w:vAlign w:val="bottom"/>
          </w:tcPr>
          <w:p w14:paraId="35D098E5" w14:textId="77777777" w:rsidR="00D42204" w:rsidRDefault="00D42204">
            <w:pPr>
              <w:rPr>
                <w:rFonts w:ascii="宋体"/>
              </w:rPr>
            </w:pPr>
          </w:p>
        </w:tc>
        <w:tc>
          <w:tcPr>
            <w:tcW w:w="50" w:type="pct"/>
            <w:shd w:val="clear" w:color="auto" w:fill="auto"/>
            <w:vAlign w:val="bottom"/>
          </w:tcPr>
          <w:p w14:paraId="35D098E6" w14:textId="77777777" w:rsidR="00D42204" w:rsidRDefault="00D42204">
            <w:pPr>
              <w:rPr>
                <w:rFonts w:ascii="宋体"/>
              </w:rPr>
            </w:pPr>
          </w:p>
        </w:tc>
        <w:tc>
          <w:tcPr>
            <w:tcW w:w="627" w:type="pct"/>
            <w:shd w:val="clear" w:color="auto" w:fill="auto"/>
            <w:vAlign w:val="bottom"/>
          </w:tcPr>
          <w:p w14:paraId="35D098E7" w14:textId="77777777" w:rsidR="00D42204" w:rsidRDefault="00D42204">
            <w:pPr>
              <w:rPr>
                <w:rFonts w:ascii="宋体"/>
              </w:rPr>
            </w:pPr>
          </w:p>
        </w:tc>
        <w:tc>
          <w:tcPr>
            <w:tcW w:w="5" w:type="pct"/>
            <w:shd w:val="clear" w:color="auto" w:fill="auto"/>
            <w:vAlign w:val="bottom"/>
          </w:tcPr>
          <w:p w14:paraId="35D098E8" w14:textId="77777777" w:rsidR="00D42204" w:rsidRDefault="00D42204">
            <w:pPr>
              <w:rPr>
                <w:rFonts w:ascii="宋体"/>
              </w:rPr>
            </w:pPr>
          </w:p>
        </w:tc>
        <w:tc>
          <w:tcPr>
            <w:tcW w:w="5" w:type="pct"/>
            <w:shd w:val="clear" w:color="auto" w:fill="auto"/>
            <w:vAlign w:val="bottom"/>
          </w:tcPr>
          <w:p w14:paraId="35D098E9" w14:textId="77777777" w:rsidR="00D42204" w:rsidRDefault="00D42204">
            <w:pPr>
              <w:rPr>
                <w:rFonts w:ascii="宋体"/>
              </w:rPr>
            </w:pPr>
          </w:p>
        </w:tc>
        <w:tc>
          <w:tcPr>
            <w:tcW w:w="26" w:type="pct"/>
            <w:shd w:val="clear" w:color="auto" w:fill="auto"/>
            <w:vAlign w:val="bottom"/>
          </w:tcPr>
          <w:p w14:paraId="35D098EA" w14:textId="77777777" w:rsidR="00D42204" w:rsidRDefault="00D42204">
            <w:pPr>
              <w:rPr>
                <w:rFonts w:ascii="宋体"/>
              </w:rPr>
            </w:pPr>
          </w:p>
        </w:tc>
        <w:tc>
          <w:tcPr>
            <w:tcW w:w="5" w:type="pct"/>
            <w:shd w:val="clear" w:color="auto" w:fill="auto"/>
            <w:vAlign w:val="bottom"/>
          </w:tcPr>
          <w:p w14:paraId="35D098EB" w14:textId="77777777" w:rsidR="00D42204" w:rsidRDefault="00D42204">
            <w:pPr>
              <w:rPr>
                <w:rFonts w:ascii="宋体"/>
              </w:rPr>
            </w:pPr>
          </w:p>
        </w:tc>
        <w:tc>
          <w:tcPr>
            <w:tcW w:w="50" w:type="pct"/>
            <w:shd w:val="clear" w:color="auto" w:fill="auto"/>
            <w:vAlign w:val="bottom"/>
          </w:tcPr>
          <w:p w14:paraId="35D098EC" w14:textId="77777777" w:rsidR="00D42204" w:rsidRDefault="00D42204">
            <w:pPr>
              <w:rPr>
                <w:rFonts w:ascii="宋体"/>
              </w:rPr>
            </w:pPr>
          </w:p>
        </w:tc>
        <w:tc>
          <w:tcPr>
            <w:tcW w:w="627" w:type="pct"/>
            <w:shd w:val="clear" w:color="auto" w:fill="auto"/>
            <w:vAlign w:val="bottom"/>
          </w:tcPr>
          <w:p w14:paraId="35D098ED" w14:textId="77777777" w:rsidR="00D42204" w:rsidRDefault="00D42204">
            <w:pPr>
              <w:rPr>
                <w:rFonts w:ascii="宋体"/>
              </w:rPr>
            </w:pPr>
          </w:p>
        </w:tc>
        <w:tc>
          <w:tcPr>
            <w:tcW w:w="5" w:type="pct"/>
            <w:shd w:val="clear" w:color="auto" w:fill="auto"/>
            <w:vAlign w:val="bottom"/>
          </w:tcPr>
          <w:p w14:paraId="35D098EE" w14:textId="77777777" w:rsidR="00D42204" w:rsidRDefault="00D42204">
            <w:pPr>
              <w:rPr>
                <w:rFonts w:ascii="宋体"/>
              </w:rPr>
            </w:pPr>
          </w:p>
        </w:tc>
      </w:tr>
      <w:tr w:rsidR="00D42204" w14:paraId="35D098F3" w14:textId="77777777">
        <w:trPr>
          <w:jc w:val="center"/>
        </w:trPr>
        <w:tc>
          <w:tcPr>
            <w:tcW w:w="0" w:type="auto"/>
            <w:gridSpan w:val="3"/>
            <w:shd w:val="clear" w:color="auto" w:fill="auto"/>
            <w:tcMar>
              <w:top w:w="40" w:type="dxa"/>
              <w:left w:w="20" w:type="dxa"/>
              <w:bottom w:w="40" w:type="dxa"/>
              <w:right w:w="20" w:type="dxa"/>
            </w:tcMar>
            <w:vAlign w:val="center"/>
          </w:tcPr>
          <w:p w14:paraId="35D098F0" w14:textId="77777777" w:rsidR="00D42204" w:rsidRDefault="004E439D">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98F1" w14:textId="77777777" w:rsidR="00D42204" w:rsidRDefault="00D42204">
            <w:pPr>
              <w:rPr>
                <w:rFonts w:ascii="宋体"/>
              </w:rPr>
            </w:pPr>
          </w:p>
        </w:tc>
        <w:tc>
          <w:tcPr>
            <w:tcW w:w="0" w:type="auto"/>
            <w:gridSpan w:val="21"/>
            <w:shd w:val="clear" w:color="auto" w:fill="auto"/>
            <w:tcMar>
              <w:top w:w="40" w:type="dxa"/>
              <w:left w:w="20" w:type="dxa"/>
              <w:bottom w:w="40" w:type="dxa"/>
              <w:right w:w="20" w:type="dxa"/>
            </w:tcMar>
            <w:vAlign w:val="center"/>
          </w:tcPr>
          <w:p w14:paraId="35D098F2" w14:textId="77777777" w:rsidR="00D42204" w:rsidRDefault="004E439D">
            <w:pPr>
              <w:jc w:val="center"/>
              <w:textAlignment w:val="center"/>
            </w:pPr>
            <w:r>
              <w:rPr>
                <w:rFonts w:ascii="Times New Roman" w:eastAsia="宋体" w:hAnsi="Times New Roman"/>
                <w:b/>
                <w:bCs/>
                <w:color w:val="000000"/>
                <w:sz w:val="16"/>
                <w:szCs w:val="16"/>
              </w:rPr>
              <w:t>Fiscal Years Ended January 31,</w:t>
            </w:r>
          </w:p>
        </w:tc>
      </w:tr>
      <w:tr w:rsidR="00D42204" w14:paraId="35D098FD" w14:textId="77777777">
        <w:trPr>
          <w:jc w:val="center"/>
        </w:trPr>
        <w:tc>
          <w:tcPr>
            <w:tcW w:w="0" w:type="auto"/>
            <w:gridSpan w:val="3"/>
            <w:shd w:val="clear" w:color="auto" w:fill="auto"/>
            <w:tcMar>
              <w:top w:w="40" w:type="dxa"/>
              <w:left w:w="20" w:type="dxa"/>
              <w:bottom w:w="40" w:type="dxa"/>
              <w:right w:w="20" w:type="dxa"/>
            </w:tcMar>
            <w:vAlign w:val="center"/>
          </w:tcPr>
          <w:p w14:paraId="35D098F4" w14:textId="77777777" w:rsidR="00D42204" w:rsidRDefault="004E439D">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98F5"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8F6" w14:textId="77777777" w:rsidR="00D42204" w:rsidRDefault="004E439D">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8F7" w14:textId="77777777" w:rsidR="00D42204" w:rsidRDefault="00D42204">
            <w:pPr>
              <w:rPr>
                <w:rFonts w:ascii="宋体"/>
              </w:rPr>
            </w:pPr>
          </w:p>
        </w:tc>
        <w:tc>
          <w:tcPr>
            <w:tcW w:w="0" w:type="auto"/>
            <w:gridSpan w:val="3"/>
            <w:tcBorders>
              <w:top w:val="single" w:sz="8" w:space="0" w:color="000000"/>
              <w:bottom w:val="single" w:sz="8" w:space="0" w:color="000000"/>
            </w:tcBorders>
            <w:shd w:val="clear" w:color="auto" w:fill="auto"/>
            <w:tcMar>
              <w:top w:w="40" w:type="dxa"/>
              <w:left w:w="515" w:type="dxa"/>
              <w:bottom w:w="40" w:type="dxa"/>
              <w:right w:w="20" w:type="dxa"/>
            </w:tcMar>
            <w:vAlign w:val="center"/>
          </w:tcPr>
          <w:p w14:paraId="35D098F8" w14:textId="77777777" w:rsidR="00D42204" w:rsidRDefault="004E439D">
            <w:pP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8F9"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8FA" w14:textId="77777777" w:rsidR="00D42204" w:rsidRDefault="004E439D">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8FB" w14:textId="77777777" w:rsidR="00D42204" w:rsidRDefault="00D4220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35D098FC" w14:textId="77777777" w:rsidR="00D42204" w:rsidRDefault="004E439D">
            <w:pPr>
              <w:jc w:val="center"/>
              <w:textAlignment w:val="center"/>
            </w:pPr>
            <w:r>
              <w:rPr>
                <w:rFonts w:ascii="Times New Roman" w:eastAsia="宋体" w:hAnsi="Times New Roman"/>
                <w:b/>
                <w:bCs/>
                <w:color w:val="000000"/>
                <w:sz w:val="16"/>
                <w:szCs w:val="16"/>
              </w:rPr>
              <w:t>2021</w:t>
            </w:r>
          </w:p>
        </w:tc>
      </w:tr>
      <w:tr w:rsidR="00D42204" w14:paraId="35D09903" w14:textId="77777777">
        <w:trPr>
          <w:jc w:val="center"/>
        </w:trPr>
        <w:tc>
          <w:tcPr>
            <w:tcW w:w="0" w:type="auto"/>
            <w:gridSpan w:val="3"/>
            <w:shd w:val="clear" w:color="auto" w:fill="auto"/>
            <w:tcMar>
              <w:top w:w="40" w:type="dxa"/>
              <w:left w:w="20" w:type="dxa"/>
              <w:bottom w:w="40" w:type="dxa"/>
              <w:right w:w="20" w:type="dxa"/>
            </w:tcMar>
            <w:vAlign w:val="center"/>
          </w:tcPr>
          <w:p w14:paraId="35D098FE" w14:textId="77777777" w:rsidR="00D42204" w:rsidRDefault="004E439D">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98FF" w14:textId="77777777" w:rsidR="00D42204" w:rsidRDefault="00D4220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35D09900" w14:textId="77777777" w:rsidR="00D42204" w:rsidRDefault="004E439D">
            <w:pPr>
              <w:jc w:val="center"/>
              <w:textAlignment w:val="center"/>
            </w:pPr>
            <w:r>
              <w:rPr>
                <w:rFonts w:ascii="Times New Roman" w:eastAsia="宋体" w:hAnsi="Times New Roman"/>
                <w:b/>
                <w:bCs/>
                <w:color w:val="000000"/>
                <w:sz w:val="16"/>
                <w:szCs w:val="16"/>
              </w:rPr>
              <w:t>With Fuel</w:t>
            </w:r>
          </w:p>
        </w:tc>
        <w:tc>
          <w:tcPr>
            <w:tcW w:w="0" w:type="auto"/>
            <w:gridSpan w:val="3"/>
            <w:shd w:val="clear" w:color="auto" w:fill="auto"/>
            <w:tcMar>
              <w:top w:w="0" w:type="dxa"/>
              <w:left w:w="20" w:type="dxa"/>
              <w:bottom w:w="0" w:type="dxa"/>
              <w:right w:w="20" w:type="dxa"/>
            </w:tcMar>
            <w:vAlign w:val="bottom"/>
          </w:tcPr>
          <w:p w14:paraId="35D09901" w14:textId="77777777" w:rsidR="00D42204" w:rsidRDefault="00D4220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35D09902" w14:textId="77777777" w:rsidR="00D42204" w:rsidRDefault="004E439D">
            <w:pPr>
              <w:jc w:val="center"/>
              <w:textAlignment w:val="center"/>
            </w:pPr>
            <w:r>
              <w:rPr>
                <w:rFonts w:ascii="Times New Roman" w:eastAsia="宋体" w:hAnsi="Times New Roman"/>
                <w:b/>
                <w:bCs/>
                <w:color w:val="000000"/>
                <w:sz w:val="16"/>
                <w:szCs w:val="16"/>
              </w:rPr>
              <w:t>Fuel Impact</w:t>
            </w:r>
          </w:p>
        </w:tc>
      </w:tr>
      <w:tr w:rsidR="00D42204" w14:paraId="35D0990D" w14:textId="77777777">
        <w:trPr>
          <w:jc w:val="center"/>
        </w:trPr>
        <w:tc>
          <w:tcPr>
            <w:tcW w:w="0" w:type="auto"/>
            <w:gridSpan w:val="3"/>
            <w:shd w:val="clear" w:color="auto" w:fill="CCEEFF"/>
            <w:tcMar>
              <w:top w:w="40" w:type="dxa"/>
              <w:left w:w="20" w:type="dxa"/>
              <w:bottom w:w="40" w:type="dxa"/>
              <w:right w:w="20" w:type="dxa"/>
            </w:tcMar>
            <w:vAlign w:val="center"/>
          </w:tcPr>
          <w:p w14:paraId="35D09904" w14:textId="77777777" w:rsidR="00D42204" w:rsidRDefault="004E439D">
            <w:pPr>
              <w:textAlignment w:val="center"/>
            </w:pPr>
            <w:r>
              <w:rPr>
                <w:rFonts w:ascii="Times New Roman" w:eastAsia="宋体" w:hAnsi="Times New Roman"/>
                <w:color w:val="000000"/>
                <w:sz w:val="16"/>
                <w:szCs w:val="16"/>
              </w:rPr>
              <w:t>Walmart U.S.</w:t>
            </w:r>
          </w:p>
        </w:tc>
        <w:tc>
          <w:tcPr>
            <w:tcW w:w="0" w:type="auto"/>
            <w:gridSpan w:val="3"/>
            <w:shd w:val="clear" w:color="auto" w:fill="CCEEFF"/>
            <w:tcMar>
              <w:top w:w="0" w:type="dxa"/>
              <w:left w:w="20" w:type="dxa"/>
              <w:bottom w:w="0" w:type="dxa"/>
              <w:right w:w="20" w:type="dxa"/>
            </w:tcMar>
            <w:vAlign w:val="bottom"/>
          </w:tcPr>
          <w:p w14:paraId="35D09905"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9906" w14:textId="77777777" w:rsidR="00D42204" w:rsidRDefault="004E439D">
            <w:pPr>
              <w:jc w:val="center"/>
              <w:textAlignment w:val="center"/>
            </w:pPr>
            <w:r>
              <w:rPr>
                <w:rFonts w:ascii="Times New Roman" w:eastAsia="宋体" w:hAnsi="Times New Roman"/>
                <w:color w:val="000000"/>
                <w:sz w:val="16"/>
                <w:szCs w:val="16"/>
              </w:rPr>
              <w:t>6.4%</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9907"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9908" w14:textId="77777777" w:rsidR="00D42204" w:rsidRDefault="004E439D">
            <w:pPr>
              <w:jc w:val="center"/>
              <w:textAlignment w:val="center"/>
            </w:pPr>
            <w:r>
              <w:rPr>
                <w:rFonts w:ascii="Times New Roman" w:eastAsia="宋体" w:hAnsi="Times New Roman"/>
                <w:color w:val="000000"/>
                <w:sz w:val="16"/>
                <w:szCs w:val="16"/>
              </w:rPr>
              <w:t>8.7%</w:t>
            </w:r>
          </w:p>
        </w:tc>
        <w:tc>
          <w:tcPr>
            <w:tcW w:w="0" w:type="auto"/>
            <w:gridSpan w:val="3"/>
            <w:shd w:val="clear" w:color="auto" w:fill="CCEEFF"/>
            <w:tcMar>
              <w:top w:w="0" w:type="dxa"/>
              <w:left w:w="20" w:type="dxa"/>
              <w:bottom w:w="0" w:type="dxa"/>
              <w:right w:w="20" w:type="dxa"/>
            </w:tcMar>
            <w:vAlign w:val="bottom"/>
          </w:tcPr>
          <w:p w14:paraId="35D09909"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990A" w14:textId="77777777" w:rsidR="00D42204" w:rsidRDefault="004E439D">
            <w:pPr>
              <w:jc w:val="center"/>
              <w:textAlignment w:val="center"/>
            </w:pPr>
            <w:r>
              <w:rPr>
                <w:rFonts w:ascii="Times New Roman" w:eastAsia="宋体" w:hAnsi="Times New Roman"/>
                <w:color w:val="000000"/>
                <w:sz w:val="16"/>
                <w:szCs w:val="16"/>
              </w:rPr>
              <w:t>0.3%</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990B"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990C" w14:textId="77777777" w:rsidR="00D42204" w:rsidRDefault="004E439D">
            <w:pPr>
              <w:jc w:val="center"/>
              <w:textAlignment w:val="center"/>
            </w:pPr>
            <w:r>
              <w:rPr>
                <w:rFonts w:ascii="Times New Roman" w:eastAsia="宋体" w:hAnsi="Times New Roman"/>
                <w:color w:val="000000"/>
                <w:sz w:val="16"/>
                <w:szCs w:val="16"/>
              </w:rPr>
              <w:t>(0.2)%</w:t>
            </w:r>
          </w:p>
        </w:tc>
      </w:tr>
      <w:tr w:rsidR="00D42204" w14:paraId="35D09917" w14:textId="77777777">
        <w:trPr>
          <w:jc w:val="center"/>
        </w:trPr>
        <w:tc>
          <w:tcPr>
            <w:tcW w:w="0" w:type="auto"/>
            <w:gridSpan w:val="3"/>
            <w:shd w:val="clear" w:color="auto" w:fill="FFFFFF"/>
            <w:tcMar>
              <w:top w:w="40" w:type="dxa"/>
              <w:left w:w="20" w:type="dxa"/>
              <w:bottom w:w="40" w:type="dxa"/>
              <w:right w:w="20" w:type="dxa"/>
            </w:tcMar>
            <w:vAlign w:val="center"/>
          </w:tcPr>
          <w:p w14:paraId="35D0990E" w14:textId="77777777" w:rsidR="00D42204" w:rsidRDefault="004E439D">
            <w:pPr>
              <w:textAlignment w:val="center"/>
            </w:pPr>
            <w:r>
              <w:rPr>
                <w:rFonts w:ascii="Times New Roman" w:eastAsia="宋体" w:hAnsi="Times New Roman"/>
                <w:color w:val="000000"/>
                <w:sz w:val="16"/>
                <w:szCs w:val="16"/>
              </w:rPr>
              <w:t>Sam's Club</w:t>
            </w:r>
          </w:p>
        </w:tc>
        <w:tc>
          <w:tcPr>
            <w:tcW w:w="0" w:type="auto"/>
            <w:gridSpan w:val="3"/>
            <w:shd w:val="clear" w:color="auto" w:fill="FFFFFF"/>
            <w:tcMar>
              <w:top w:w="0" w:type="dxa"/>
              <w:left w:w="20" w:type="dxa"/>
              <w:bottom w:w="0" w:type="dxa"/>
              <w:right w:w="20" w:type="dxa"/>
            </w:tcMar>
            <w:vAlign w:val="bottom"/>
          </w:tcPr>
          <w:p w14:paraId="35D0990F"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9910" w14:textId="77777777" w:rsidR="00D42204" w:rsidRDefault="004E439D">
            <w:pPr>
              <w:jc w:val="center"/>
              <w:textAlignment w:val="center"/>
            </w:pPr>
            <w:r>
              <w:rPr>
                <w:rFonts w:ascii="Times New Roman" w:eastAsia="宋体" w:hAnsi="Times New Roman"/>
                <w:color w:val="000000"/>
                <w:sz w:val="16"/>
                <w:szCs w:val="16"/>
              </w:rPr>
              <w:t>15.0%</w:t>
            </w:r>
          </w:p>
        </w:tc>
        <w:tc>
          <w:tcPr>
            <w:tcW w:w="0" w:type="auto"/>
            <w:gridSpan w:val="3"/>
            <w:shd w:val="clear" w:color="auto" w:fill="FFFFFF"/>
            <w:tcMar>
              <w:top w:w="0" w:type="dxa"/>
              <w:left w:w="20" w:type="dxa"/>
              <w:bottom w:w="0" w:type="dxa"/>
              <w:right w:w="20" w:type="dxa"/>
            </w:tcMar>
            <w:vAlign w:val="bottom"/>
          </w:tcPr>
          <w:p w14:paraId="35D09911"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9912" w14:textId="77777777" w:rsidR="00D42204" w:rsidRDefault="004E439D">
            <w:pPr>
              <w:jc w:val="center"/>
              <w:textAlignment w:val="center"/>
            </w:pPr>
            <w:r>
              <w:rPr>
                <w:rFonts w:ascii="Times New Roman" w:eastAsia="宋体" w:hAnsi="Times New Roman"/>
                <w:color w:val="000000"/>
                <w:sz w:val="16"/>
                <w:szCs w:val="16"/>
              </w:rPr>
              <w:t>8.7%</w:t>
            </w:r>
          </w:p>
        </w:tc>
        <w:tc>
          <w:tcPr>
            <w:tcW w:w="0" w:type="auto"/>
            <w:gridSpan w:val="3"/>
            <w:shd w:val="clear" w:color="auto" w:fill="FFFFFF"/>
            <w:tcMar>
              <w:top w:w="0" w:type="dxa"/>
              <w:left w:w="20" w:type="dxa"/>
              <w:bottom w:w="0" w:type="dxa"/>
              <w:right w:w="20" w:type="dxa"/>
            </w:tcMar>
            <w:vAlign w:val="bottom"/>
          </w:tcPr>
          <w:p w14:paraId="35D09913"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9914" w14:textId="77777777" w:rsidR="00D42204" w:rsidRDefault="004E439D">
            <w:pPr>
              <w:jc w:val="center"/>
              <w:textAlignment w:val="center"/>
            </w:pPr>
            <w:r>
              <w:rPr>
                <w:rFonts w:ascii="Times New Roman" w:eastAsia="宋体" w:hAnsi="Times New Roman"/>
                <w:color w:val="000000"/>
                <w:sz w:val="16"/>
                <w:szCs w:val="16"/>
              </w:rPr>
              <w:t>5.5%</w:t>
            </w:r>
          </w:p>
        </w:tc>
        <w:tc>
          <w:tcPr>
            <w:tcW w:w="0" w:type="auto"/>
            <w:gridSpan w:val="3"/>
            <w:shd w:val="clear" w:color="auto" w:fill="FFFFFF"/>
            <w:tcMar>
              <w:top w:w="0" w:type="dxa"/>
              <w:left w:w="20" w:type="dxa"/>
              <w:bottom w:w="0" w:type="dxa"/>
              <w:right w:w="20" w:type="dxa"/>
            </w:tcMar>
            <w:vAlign w:val="bottom"/>
          </w:tcPr>
          <w:p w14:paraId="35D09915"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9916" w14:textId="77777777" w:rsidR="00D42204" w:rsidRDefault="004E439D">
            <w:pPr>
              <w:jc w:val="center"/>
              <w:textAlignment w:val="center"/>
            </w:pPr>
            <w:r>
              <w:rPr>
                <w:rFonts w:ascii="Times New Roman" w:eastAsia="宋体" w:hAnsi="Times New Roman"/>
                <w:color w:val="000000"/>
                <w:sz w:val="16"/>
                <w:szCs w:val="16"/>
              </w:rPr>
              <w:t>(3.4)%</w:t>
            </w:r>
          </w:p>
        </w:tc>
      </w:tr>
      <w:tr w:rsidR="00D42204" w14:paraId="35D09921" w14:textId="77777777">
        <w:trPr>
          <w:jc w:val="center"/>
        </w:trPr>
        <w:tc>
          <w:tcPr>
            <w:tcW w:w="0" w:type="auto"/>
            <w:gridSpan w:val="3"/>
            <w:shd w:val="clear" w:color="auto" w:fill="CCEEFF"/>
            <w:tcMar>
              <w:top w:w="40" w:type="dxa"/>
              <w:left w:w="20" w:type="dxa"/>
              <w:bottom w:w="40" w:type="dxa"/>
              <w:right w:w="20" w:type="dxa"/>
            </w:tcMar>
            <w:vAlign w:val="center"/>
          </w:tcPr>
          <w:p w14:paraId="35D09918" w14:textId="77777777" w:rsidR="00D42204" w:rsidRDefault="004E439D">
            <w:pPr>
              <w:textAlignment w:val="center"/>
            </w:pPr>
            <w:r>
              <w:rPr>
                <w:rFonts w:ascii="Times New Roman" w:eastAsia="宋体" w:hAnsi="Times New Roman"/>
                <w:b/>
                <w:bCs/>
                <w:color w:val="000000"/>
                <w:sz w:val="16"/>
                <w:szCs w:val="16"/>
              </w:rPr>
              <w:t>Total U.S.</w:t>
            </w:r>
          </w:p>
        </w:tc>
        <w:tc>
          <w:tcPr>
            <w:tcW w:w="0" w:type="auto"/>
            <w:gridSpan w:val="3"/>
            <w:shd w:val="clear" w:color="auto" w:fill="CCEEFF"/>
            <w:tcMar>
              <w:top w:w="0" w:type="dxa"/>
              <w:left w:w="20" w:type="dxa"/>
              <w:bottom w:w="0" w:type="dxa"/>
              <w:right w:w="20" w:type="dxa"/>
            </w:tcMar>
            <w:vAlign w:val="bottom"/>
          </w:tcPr>
          <w:p w14:paraId="35D09919"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991A" w14:textId="77777777" w:rsidR="00D42204" w:rsidRDefault="004E439D">
            <w:pPr>
              <w:jc w:val="center"/>
              <w:textAlignment w:val="center"/>
            </w:pPr>
            <w:r>
              <w:rPr>
                <w:rFonts w:ascii="Times New Roman" w:eastAsia="宋体" w:hAnsi="Times New Roman"/>
                <w:color w:val="000000"/>
                <w:sz w:val="16"/>
                <w:szCs w:val="16"/>
              </w:rPr>
              <w:t>7.7%</w:t>
            </w:r>
          </w:p>
        </w:tc>
        <w:tc>
          <w:tcPr>
            <w:tcW w:w="0" w:type="auto"/>
            <w:gridSpan w:val="3"/>
            <w:shd w:val="clear" w:color="auto" w:fill="CCEEFF"/>
            <w:tcMar>
              <w:top w:w="0" w:type="dxa"/>
              <w:left w:w="20" w:type="dxa"/>
              <w:bottom w:w="0" w:type="dxa"/>
              <w:right w:w="20" w:type="dxa"/>
            </w:tcMar>
            <w:vAlign w:val="bottom"/>
          </w:tcPr>
          <w:p w14:paraId="35D0991B"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991C" w14:textId="77777777" w:rsidR="00D42204" w:rsidRDefault="004E439D">
            <w:pPr>
              <w:jc w:val="center"/>
              <w:textAlignment w:val="center"/>
            </w:pPr>
            <w:r>
              <w:rPr>
                <w:rFonts w:ascii="Times New Roman" w:eastAsia="宋体" w:hAnsi="Times New Roman"/>
                <w:color w:val="000000"/>
                <w:sz w:val="16"/>
                <w:szCs w:val="16"/>
              </w:rPr>
              <w:t>8.7%</w:t>
            </w:r>
          </w:p>
        </w:tc>
        <w:tc>
          <w:tcPr>
            <w:tcW w:w="0" w:type="auto"/>
            <w:gridSpan w:val="3"/>
            <w:shd w:val="clear" w:color="auto" w:fill="CCEEFF"/>
            <w:tcMar>
              <w:top w:w="0" w:type="dxa"/>
              <w:left w:w="20" w:type="dxa"/>
              <w:bottom w:w="0" w:type="dxa"/>
              <w:right w:w="20" w:type="dxa"/>
            </w:tcMar>
            <w:vAlign w:val="bottom"/>
          </w:tcPr>
          <w:p w14:paraId="35D0991D"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991E" w14:textId="77777777" w:rsidR="00D42204" w:rsidRDefault="004E439D">
            <w:pPr>
              <w:jc w:val="center"/>
              <w:textAlignment w:val="center"/>
            </w:pPr>
            <w:r>
              <w:rPr>
                <w:rFonts w:ascii="Times New Roman" w:eastAsia="宋体" w:hAnsi="Times New Roman"/>
                <w:color w:val="000000"/>
                <w:sz w:val="16"/>
                <w:szCs w:val="16"/>
              </w:rPr>
              <w:t>1.2%</w:t>
            </w:r>
          </w:p>
        </w:tc>
        <w:tc>
          <w:tcPr>
            <w:tcW w:w="0" w:type="auto"/>
            <w:gridSpan w:val="3"/>
            <w:shd w:val="clear" w:color="auto" w:fill="CCEEFF"/>
            <w:tcMar>
              <w:top w:w="0" w:type="dxa"/>
              <w:left w:w="20" w:type="dxa"/>
              <w:bottom w:w="0" w:type="dxa"/>
              <w:right w:w="20" w:type="dxa"/>
            </w:tcMar>
            <w:vAlign w:val="bottom"/>
          </w:tcPr>
          <w:p w14:paraId="35D0991F"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9920" w14:textId="77777777" w:rsidR="00D42204" w:rsidRDefault="004E439D">
            <w:pPr>
              <w:jc w:val="center"/>
              <w:textAlignment w:val="center"/>
            </w:pPr>
            <w:r>
              <w:rPr>
                <w:rFonts w:ascii="Times New Roman" w:eastAsia="宋体" w:hAnsi="Times New Roman"/>
                <w:color w:val="000000"/>
                <w:sz w:val="16"/>
                <w:szCs w:val="16"/>
              </w:rPr>
              <w:t>(0.6)%</w:t>
            </w:r>
          </w:p>
        </w:tc>
      </w:tr>
    </w:tbl>
    <w:p w14:paraId="35D09922" w14:textId="77777777" w:rsidR="00D42204" w:rsidRDefault="004E439D">
      <w:pPr>
        <w:spacing w:before="80"/>
      </w:pPr>
      <w:r>
        <w:rPr>
          <w:rFonts w:ascii="Times New Roman" w:eastAsia="宋体" w:hAnsi="Times New Roman"/>
          <w:color w:val="000000"/>
          <w:sz w:val="20"/>
          <w:szCs w:val="20"/>
        </w:rPr>
        <w:t xml:space="preserve">Comparable sales in the U.S., including fuel, increased 7.7% and 8.7% in fiscal 2022 and 2021, respectively, when compared to the previous fiscal year. Walmart U.S. comparable sales increased 6.4% and 8.7% in fiscal 2022 and 2021, respectively. For fiscal </w:t>
      </w:r>
      <w:r>
        <w:rPr>
          <w:rFonts w:ascii="Times New Roman" w:eastAsia="宋体" w:hAnsi="Times New Roman"/>
          <w:color w:val="000000"/>
          <w:sz w:val="20"/>
          <w:szCs w:val="20"/>
        </w:rPr>
        <w:t>2022, comparable sales growth was driven by growth in average ticket and transactions, which includes strong consumer spending from government stimulus and some higher inflation impacts in certain merchandise categories compared to recent years. In the fir</w:t>
      </w:r>
      <w:r>
        <w:rPr>
          <w:rFonts w:ascii="Times New Roman" w:eastAsia="宋体" w:hAnsi="Times New Roman"/>
          <w:color w:val="000000"/>
          <w:sz w:val="20"/>
          <w:szCs w:val="20"/>
        </w:rPr>
        <w:t>st quarter of fiscal 2022, average ticket increased while transactions decreased as customers consolidated shopping trips and purchased larger baskets. Transaction growth turned positive in April 2021 and continued with strong growth through the rest of th</w:t>
      </w:r>
      <w:r>
        <w:rPr>
          <w:rFonts w:ascii="Times New Roman" w:eastAsia="宋体" w:hAnsi="Times New Roman"/>
          <w:color w:val="000000"/>
          <w:sz w:val="20"/>
          <w:szCs w:val="20"/>
        </w:rPr>
        <w:t>e year as customers' pre-pandemic behaviors largely resumed. For fiscal 2021, comparable sales growth was driven by growth in average ticket primarily resulting from meeting the increased demand due to economic conditions related to the COVID-19 pandemic w</w:t>
      </w:r>
      <w:r>
        <w:rPr>
          <w:rFonts w:ascii="Times New Roman" w:eastAsia="宋体" w:hAnsi="Times New Roman"/>
          <w:color w:val="000000"/>
          <w:sz w:val="20"/>
          <w:szCs w:val="20"/>
        </w:rPr>
        <w:t>hile transactions decreased as customers consolidated shopping trips. Walmart U.S. eCommerce sales positively contributed approximately 0.7% and 5.4% to comparable sales for fiscal 2022 and 2021, respectively, as we continue to focus on a seamless omni-cha</w:t>
      </w:r>
      <w:r>
        <w:rPr>
          <w:rFonts w:ascii="Times New Roman" w:eastAsia="宋体" w:hAnsi="Times New Roman"/>
          <w:color w:val="000000"/>
          <w:sz w:val="20"/>
          <w:szCs w:val="20"/>
        </w:rPr>
        <w:t xml:space="preserve">nnel experience for our customers. </w:t>
      </w:r>
    </w:p>
    <w:p w14:paraId="35D09923" w14:textId="77777777" w:rsidR="00D42204" w:rsidRDefault="004E439D">
      <w:pPr>
        <w:spacing w:before="180"/>
      </w:pPr>
      <w:r>
        <w:rPr>
          <w:rFonts w:ascii="Times New Roman" w:eastAsia="宋体" w:hAnsi="Times New Roman"/>
          <w:color w:val="000000"/>
          <w:sz w:val="20"/>
          <w:szCs w:val="20"/>
        </w:rPr>
        <w:t xml:space="preserve">Sam's Club comparable sales increased 15.0% and 8.7% in fiscal 2022 and 2021, respectively. For fiscal 2022, Sam's Club comparable sales benefited from growth in transactions and average ticket and was aided by consumer </w:t>
      </w:r>
      <w:r>
        <w:rPr>
          <w:rFonts w:ascii="Times New Roman" w:eastAsia="宋体" w:hAnsi="Times New Roman"/>
          <w:color w:val="000000"/>
          <w:sz w:val="20"/>
          <w:szCs w:val="20"/>
        </w:rPr>
        <w:t>spending due to government stimulus, and also includes some higher inflation impacts in certain merchandise categories compared to recent years. The growth in comparable sales was partially offset by our decision to remove tobacco from certain club locatio</w:t>
      </w:r>
      <w:r>
        <w:rPr>
          <w:rFonts w:ascii="Times New Roman" w:eastAsia="宋体" w:hAnsi="Times New Roman"/>
          <w:color w:val="000000"/>
          <w:sz w:val="20"/>
          <w:szCs w:val="20"/>
        </w:rPr>
        <w:t>ns. Sam's Club comparable sales for fiscal 2021 benefited from growth in transactions and average ticket resulting from the COVID-19 pandemic, partially offset by both our decision to remove tobacco from certain club locations and by lower fuel sales. Sam'</w:t>
      </w:r>
      <w:r>
        <w:rPr>
          <w:rFonts w:ascii="Times New Roman" w:eastAsia="宋体" w:hAnsi="Times New Roman"/>
          <w:color w:val="000000"/>
          <w:sz w:val="20"/>
          <w:szCs w:val="20"/>
        </w:rPr>
        <w:t xml:space="preserve">s Club eCommerce sales positively contributed approximately 1.3% and 2.2% to comparable sales for fiscal 2022 and 2021, respectively. </w:t>
      </w:r>
    </w:p>
    <w:p w14:paraId="35D09924" w14:textId="77777777" w:rsidR="00D42204" w:rsidRDefault="004E439D">
      <w:pPr>
        <w:jc w:val="center"/>
      </w:pPr>
      <w:r>
        <w:rPr>
          <w:rFonts w:ascii="Times New Roman" w:eastAsia="宋体" w:hAnsi="Times New Roman"/>
          <w:color w:val="000000"/>
          <w:sz w:val="20"/>
          <w:szCs w:val="20"/>
        </w:rPr>
        <w:t>35</w:t>
      </w:r>
    </w:p>
    <w:p w14:paraId="35D09925" w14:textId="77777777" w:rsidR="00D42204" w:rsidRDefault="004E439D">
      <w:r>
        <w:pict w14:anchorId="35D0C37E">
          <v:rect id="_x0000_i1059" style="width:415.3pt;height:1.5pt" o:hralign="center" o:hrstd="t" o:hr="t" fillcolor="#a0a0a0" stroked="f"/>
        </w:pict>
      </w:r>
    </w:p>
    <w:p w14:paraId="35D09926" w14:textId="77777777" w:rsidR="00D42204" w:rsidRDefault="00D42204"/>
    <w:p w14:paraId="35D09927" w14:textId="77777777" w:rsidR="00D42204" w:rsidRDefault="004E439D">
      <w:pPr>
        <w:spacing w:before="180"/>
      </w:pPr>
      <w:r>
        <w:rPr>
          <w:rFonts w:ascii="Times New Roman" w:eastAsia="宋体" w:hAnsi="Times New Roman"/>
          <w:b/>
          <w:bCs/>
          <w:color w:val="000000"/>
          <w:sz w:val="20"/>
          <w:szCs w:val="20"/>
          <w:u w:val="single"/>
        </w:rPr>
        <w:t>Consistent Operating Discipline</w:t>
      </w:r>
    </w:p>
    <w:p w14:paraId="35D09928" w14:textId="77777777" w:rsidR="00D42204" w:rsidRDefault="004E439D">
      <w:pPr>
        <w:spacing w:before="100"/>
      </w:pPr>
      <w:r>
        <w:rPr>
          <w:rFonts w:ascii="Times New Roman" w:eastAsia="宋体" w:hAnsi="Times New Roman"/>
          <w:color w:val="000000"/>
          <w:sz w:val="20"/>
          <w:szCs w:val="20"/>
        </w:rPr>
        <w:t>We operate with discipline by managing expenses, optimizing the efficiency of how w</w:t>
      </w:r>
      <w:r>
        <w:rPr>
          <w:rFonts w:ascii="Times New Roman" w:eastAsia="宋体" w:hAnsi="Times New Roman"/>
          <w:color w:val="000000"/>
          <w:sz w:val="20"/>
          <w:szCs w:val="20"/>
        </w:rPr>
        <w:t>e work and creating an environment in which we have sustainable lowest cost to serve. We invest in technology and process improvements to increase productivity, manage inventory and reduce costs. We measure operating discipline through expense leverage, wh</w:t>
      </w:r>
      <w:r>
        <w:rPr>
          <w:rFonts w:ascii="Times New Roman" w:eastAsia="宋体" w:hAnsi="Times New Roman"/>
          <w:color w:val="000000"/>
          <w:sz w:val="20"/>
          <w:szCs w:val="20"/>
        </w:rPr>
        <w:t xml:space="preserve">ich we define as net sales growing at a faster rate than operating, selling, general and administrative ("operating") expenses. </w:t>
      </w:r>
    </w:p>
    <w:tbl>
      <w:tblPr>
        <w:tblW w:w="4993" w:type="pct"/>
        <w:jc w:val="center"/>
        <w:tblCellMar>
          <w:top w:w="15" w:type="dxa"/>
          <w:left w:w="15" w:type="dxa"/>
          <w:bottom w:w="15" w:type="dxa"/>
          <w:right w:w="15" w:type="dxa"/>
        </w:tblCellMar>
        <w:tblLook w:val="04A0" w:firstRow="1" w:lastRow="0" w:firstColumn="1" w:lastColumn="0" w:noHBand="0" w:noVBand="1"/>
      </w:tblPr>
      <w:tblGrid>
        <w:gridCol w:w="39"/>
        <w:gridCol w:w="5855"/>
        <w:gridCol w:w="38"/>
        <w:gridCol w:w="36"/>
        <w:gridCol w:w="36"/>
        <w:gridCol w:w="36"/>
        <w:gridCol w:w="100"/>
        <w:gridCol w:w="834"/>
        <w:gridCol w:w="154"/>
        <w:gridCol w:w="36"/>
        <w:gridCol w:w="36"/>
        <w:gridCol w:w="36"/>
        <w:gridCol w:w="100"/>
        <w:gridCol w:w="834"/>
        <w:gridCol w:w="154"/>
      </w:tblGrid>
      <w:tr w:rsidR="00D42204" w14:paraId="35D09938" w14:textId="77777777">
        <w:trPr>
          <w:jc w:val="center"/>
        </w:trPr>
        <w:tc>
          <w:tcPr>
            <w:tcW w:w="50" w:type="pct"/>
            <w:shd w:val="clear" w:color="auto" w:fill="auto"/>
            <w:vAlign w:val="bottom"/>
          </w:tcPr>
          <w:p w14:paraId="35D09929" w14:textId="77777777" w:rsidR="00D42204" w:rsidRDefault="00D42204">
            <w:pPr>
              <w:rPr>
                <w:rFonts w:ascii="宋体"/>
              </w:rPr>
            </w:pPr>
          </w:p>
        </w:tc>
        <w:tc>
          <w:tcPr>
            <w:tcW w:w="3583" w:type="pct"/>
            <w:shd w:val="clear" w:color="auto" w:fill="auto"/>
            <w:vAlign w:val="bottom"/>
          </w:tcPr>
          <w:p w14:paraId="35D0992A" w14:textId="77777777" w:rsidR="00D42204" w:rsidRDefault="00D42204">
            <w:pPr>
              <w:rPr>
                <w:rFonts w:ascii="宋体"/>
              </w:rPr>
            </w:pPr>
          </w:p>
        </w:tc>
        <w:tc>
          <w:tcPr>
            <w:tcW w:w="5" w:type="pct"/>
            <w:shd w:val="clear" w:color="auto" w:fill="auto"/>
            <w:vAlign w:val="bottom"/>
          </w:tcPr>
          <w:p w14:paraId="35D0992B" w14:textId="77777777" w:rsidR="00D42204" w:rsidRDefault="00D42204">
            <w:pPr>
              <w:rPr>
                <w:rFonts w:ascii="宋体"/>
              </w:rPr>
            </w:pPr>
          </w:p>
        </w:tc>
        <w:tc>
          <w:tcPr>
            <w:tcW w:w="5" w:type="pct"/>
            <w:shd w:val="clear" w:color="auto" w:fill="auto"/>
            <w:vAlign w:val="bottom"/>
          </w:tcPr>
          <w:p w14:paraId="35D0992C" w14:textId="77777777" w:rsidR="00D42204" w:rsidRDefault="00D42204">
            <w:pPr>
              <w:rPr>
                <w:rFonts w:ascii="宋体"/>
              </w:rPr>
            </w:pPr>
          </w:p>
        </w:tc>
        <w:tc>
          <w:tcPr>
            <w:tcW w:w="26" w:type="pct"/>
            <w:shd w:val="clear" w:color="auto" w:fill="auto"/>
            <w:vAlign w:val="bottom"/>
          </w:tcPr>
          <w:p w14:paraId="35D0992D" w14:textId="77777777" w:rsidR="00D42204" w:rsidRDefault="00D42204">
            <w:pPr>
              <w:rPr>
                <w:rFonts w:ascii="宋体"/>
              </w:rPr>
            </w:pPr>
          </w:p>
        </w:tc>
        <w:tc>
          <w:tcPr>
            <w:tcW w:w="5" w:type="pct"/>
            <w:shd w:val="clear" w:color="auto" w:fill="auto"/>
            <w:vAlign w:val="bottom"/>
          </w:tcPr>
          <w:p w14:paraId="35D0992E" w14:textId="77777777" w:rsidR="00D42204" w:rsidRDefault="00D42204">
            <w:pPr>
              <w:rPr>
                <w:rFonts w:ascii="宋体"/>
              </w:rPr>
            </w:pPr>
          </w:p>
        </w:tc>
        <w:tc>
          <w:tcPr>
            <w:tcW w:w="50" w:type="pct"/>
            <w:shd w:val="clear" w:color="auto" w:fill="auto"/>
            <w:vAlign w:val="bottom"/>
          </w:tcPr>
          <w:p w14:paraId="35D0992F" w14:textId="77777777" w:rsidR="00D42204" w:rsidRDefault="00D42204">
            <w:pPr>
              <w:rPr>
                <w:rFonts w:ascii="宋体"/>
              </w:rPr>
            </w:pPr>
          </w:p>
        </w:tc>
        <w:tc>
          <w:tcPr>
            <w:tcW w:w="589" w:type="pct"/>
            <w:shd w:val="clear" w:color="auto" w:fill="auto"/>
            <w:vAlign w:val="bottom"/>
          </w:tcPr>
          <w:p w14:paraId="35D09930" w14:textId="77777777" w:rsidR="00D42204" w:rsidRDefault="00D42204">
            <w:pPr>
              <w:rPr>
                <w:rFonts w:ascii="宋体"/>
              </w:rPr>
            </w:pPr>
          </w:p>
        </w:tc>
        <w:tc>
          <w:tcPr>
            <w:tcW w:w="5" w:type="pct"/>
            <w:shd w:val="clear" w:color="auto" w:fill="auto"/>
            <w:vAlign w:val="bottom"/>
          </w:tcPr>
          <w:p w14:paraId="35D09931" w14:textId="77777777" w:rsidR="00D42204" w:rsidRDefault="00D42204">
            <w:pPr>
              <w:rPr>
                <w:rFonts w:ascii="宋体"/>
              </w:rPr>
            </w:pPr>
          </w:p>
        </w:tc>
        <w:tc>
          <w:tcPr>
            <w:tcW w:w="5" w:type="pct"/>
            <w:shd w:val="clear" w:color="auto" w:fill="auto"/>
            <w:vAlign w:val="bottom"/>
          </w:tcPr>
          <w:p w14:paraId="35D09932" w14:textId="77777777" w:rsidR="00D42204" w:rsidRDefault="00D42204">
            <w:pPr>
              <w:rPr>
                <w:rFonts w:ascii="宋体"/>
              </w:rPr>
            </w:pPr>
          </w:p>
        </w:tc>
        <w:tc>
          <w:tcPr>
            <w:tcW w:w="26" w:type="pct"/>
            <w:shd w:val="clear" w:color="auto" w:fill="auto"/>
            <w:vAlign w:val="bottom"/>
          </w:tcPr>
          <w:p w14:paraId="35D09933" w14:textId="77777777" w:rsidR="00D42204" w:rsidRDefault="00D42204">
            <w:pPr>
              <w:rPr>
                <w:rFonts w:ascii="宋体"/>
              </w:rPr>
            </w:pPr>
          </w:p>
        </w:tc>
        <w:tc>
          <w:tcPr>
            <w:tcW w:w="5" w:type="pct"/>
            <w:shd w:val="clear" w:color="auto" w:fill="auto"/>
            <w:vAlign w:val="bottom"/>
          </w:tcPr>
          <w:p w14:paraId="35D09934" w14:textId="77777777" w:rsidR="00D42204" w:rsidRDefault="00D42204">
            <w:pPr>
              <w:rPr>
                <w:rFonts w:ascii="宋体"/>
              </w:rPr>
            </w:pPr>
          </w:p>
        </w:tc>
        <w:tc>
          <w:tcPr>
            <w:tcW w:w="50" w:type="pct"/>
            <w:shd w:val="clear" w:color="auto" w:fill="auto"/>
            <w:vAlign w:val="bottom"/>
          </w:tcPr>
          <w:p w14:paraId="35D09935" w14:textId="77777777" w:rsidR="00D42204" w:rsidRDefault="00D42204">
            <w:pPr>
              <w:rPr>
                <w:rFonts w:ascii="宋体"/>
              </w:rPr>
            </w:pPr>
          </w:p>
        </w:tc>
        <w:tc>
          <w:tcPr>
            <w:tcW w:w="589" w:type="pct"/>
            <w:shd w:val="clear" w:color="auto" w:fill="auto"/>
            <w:vAlign w:val="bottom"/>
          </w:tcPr>
          <w:p w14:paraId="35D09936" w14:textId="77777777" w:rsidR="00D42204" w:rsidRDefault="00D42204">
            <w:pPr>
              <w:rPr>
                <w:rFonts w:ascii="宋体"/>
              </w:rPr>
            </w:pPr>
          </w:p>
        </w:tc>
        <w:tc>
          <w:tcPr>
            <w:tcW w:w="5" w:type="pct"/>
            <w:shd w:val="clear" w:color="auto" w:fill="auto"/>
            <w:vAlign w:val="bottom"/>
          </w:tcPr>
          <w:p w14:paraId="35D09937" w14:textId="77777777" w:rsidR="00D42204" w:rsidRDefault="00D42204">
            <w:pPr>
              <w:rPr>
                <w:rFonts w:ascii="宋体"/>
              </w:rPr>
            </w:pPr>
          </w:p>
        </w:tc>
      </w:tr>
      <w:tr w:rsidR="00D42204" w14:paraId="35D0993C" w14:textId="77777777">
        <w:trPr>
          <w:jc w:val="center"/>
        </w:trPr>
        <w:tc>
          <w:tcPr>
            <w:tcW w:w="0" w:type="auto"/>
            <w:gridSpan w:val="3"/>
            <w:shd w:val="clear" w:color="auto" w:fill="auto"/>
            <w:tcMar>
              <w:top w:w="0" w:type="dxa"/>
              <w:left w:w="20" w:type="dxa"/>
              <w:bottom w:w="0" w:type="dxa"/>
              <w:right w:w="20" w:type="dxa"/>
            </w:tcMar>
            <w:vAlign w:val="bottom"/>
          </w:tcPr>
          <w:p w14:paraId="35D09939"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93A" w14:textId="77777777" w:rsidR="00D42204" w:rsidRDefault="00D42204">
            <w:pPr>
              <w:rPr>
                <w:rFonts w:ascii="宋体"/>
              </w:rPr>
            </w:pPr>
          </w:p>
        </w:tc>
        <w:tc>
          <w:tcPr>
            <w:tcW w:w="0" w:type="auto"/>
            <w:gridSpan w:val="9"/>
            <w:shd w:val="clear" w:color="auto" w:fill="auto"/>
            <w:tcMar>
              <w:top w:w="40" w:type="dxa"/>
              <w:left w:w="20" w:type="dxa"/>
              <w:bottom w:w="40" w:type="dxa"/>
              <w:right w:w="20" w:type="dxa"/>
            </w:tcMar>
            <w:vAlign w:val="center"/>
          </w:tcPr>
          <w:p w14:paraId="35D0993B" w14:textId="77777777" w:rsidR="00D42204" w:rsidRDefault="004E439D">
            <w:pPr>
              <w:jc w:val="center"/>
              <w:textAlignment w:val="center"/>
            </w:pPr>
            <w:r>
              <w:rPr>
                <w:rFonts w:ascii="Times New Roman" w:eastAsia="宋体" w:hAnsi="Times New Roman"/>
                <w:b/>
                <w:bCs/>
                <w:color w:val="000000"/>
                <w:sz w:val="16"/>
                <w:szCs w:val="16"/>
              </w:rPr>
              <w:t>Fiscal Years Ended January 31,</w:t>
            </w:r>
          </w:p>
        </w:tc>
      </w:tr>
      <w:tr w:rsidR="00D42204" w14:paraId="35D09942" w14:textId="77777777">
        <w:trPr>
          <w:jc w:val="center"/>
        </w:trPr>
        <w:tc>
          <w:tcPr>
            <w:tcW w:w="0" w:type="auto"/>
            <w:gridSpan w:val="3"/>
            <w:shd w:val="clear" w:color="auto" w:fill="auto"/>
            <w:tcMar>
              <w:top w:w="40" w:type="dxa"/>
              <w:left w:w="20" w:type="dxa"/>
              <w:bottom w:w="40" w:type="dxa"/>
              <w:right w:w="20" w:type="dxa"/>
            </w:tcMar>
            <w:vAlign w:val="bottom"/>
          </w:tcPr>
          <w:p w14:paraId="35D0993D" w14:textId="77777777" w:rsidR="00D42204" w:rsidRDefault="004E439D">
            <w:pPr>
              <w:textAlignment w:val="bottom"/>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35D0993E"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93F"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940"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941" w14:textId="77777777" w:rsidR="00D42204" w:rsidRDefault="004E439D">
            <w:pPr>
              <w:jc w:val="center"/>
              <w:textAlignment w:val="bottom"/>
            </w:pPr>
            <w:r>
              <w:rPr>
                <w:rFonts w:ascii="Times New Roman" w:eastAsia="宋体" w:hAnsi="Times New Roman"/>
                <w:b/>
                <w:bCs/>
                <w:color w:val="000000"/>
                <w:sz w:val="16"/>
                <w:szCs w:val="16"/>
              </w:rPr>
              <w:t>2021</w:t>
            </w:r>
          </w:p>
        </w:tc>
      </w:tr>
      <w:tr w:rsidR="00D42204" w14:paraId="35D0994C" w14:textId="77777777">
        <w:trPr>
          <w:jc w:val="center"/>
        </w:trPr>
        <w:tc>
          <w:tcPr>
            <w:tcW w:w="0" w:type="auto"/>
            <w:gridSpan w:val="3"/>
            <w:shd w:val="clear" w:color="auto" w:fill="CCEEFF"/>
            <w:tcMar>
              <w:top w:w="40" w:type="dxa"/>
              <w:left w:w="20" w:type="dxa"/>
              <w:bottom w:w="40" w:type="dxa"/>
              <w:right w:w="20" w:type="dxa"/>
            </w:tcMar>
            <w:vAlign w:val="center"/>
          </w:tcPr>
          <w:p w14:paraId="35D09943" w14:textId="77777777" w:rsidR="00D42204" w:rsidRDefault="004E439D">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35D09944"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945"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946" w14:textId="77777777" w:rsidR="00D42204" w:rsidRDefault="004E439D">
            <w:pPr>
              <w:jc w:val="right"/>
              <w:textAlignment w:val="center"/>
            </w:pPr>
            <w:r>
              <w:rPr>
                <w:rFonts w:ascii="Times New Roman" w:eastAsia="宋体" w:hAnsi="Times New Roman"/>
                <w:color w:val="000000"/>
                <w:sz w:val="16"/>
                <w:szCs w:val="16"/>
              </w:rPr>
              <w:t>567,762 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94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948"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949"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94A" w14:textId="77777777" w:rsidR="00D42204" w:rsidRDefault="004E439D">
            <w:pPr>
              <w:jc w:val="right"/>
              <w:textAlignment w:val="center"/>
            </w:pPr>
            <w:r>
              <w:rPr>
                <w:rFonts w:ascii="Times New Roman" w:eastAsia="宋体" w:hAnsi="Times New Roman"/>
                <w:color w:val="000000"/>
                <w:sz w:val="16"/>
                <w:szCs w:val="16"/>
              </w:rPr>
              <w:t>555,233 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94B" w14:textId="77777777" w:rsidR="00D42204" w:rsidRDefault="00D42204">
            <w:pPr>
              <w:jc w:val="right"/>
              <w:rPr>
                <w:rFonts w:ascii="宋体"/>
              </w:rPr>
            </w:pPr>
          </w:p>
        </w:tc>
      </w:tr>
      <w:tr w:rsidR="00D42204" w14:paraId="35D09954" w14:textId="77777777">
        <w:trPr>
          <w:jc w:val="center"/>
        </w:trPr>
        <w:tc>
          <w:tcPr>
            <w:tcW w:w="0" w:type="auto"/>
            <w:gridSpan w:val="3"/>
            <w:shd w:val="clear" w:color="auto" w:fill="FFFFFF"/>
            <w:tcMar>
              <w:top w:w="40" w:type="dxa"/>
              <w:left w:w="20" w:type="dxa"/>
              <w:bottom w:w="40" w:type="dxa"/>
              <w:right w:w="20" w:type="dxa"/>
            </w:tcMar>
            <w:vAlign w:val="center"/>
          </w:tcPr>
          <w:p w14:paraId="35D0994D" w14:textId="77777777" w:rsidR="00D42204" w:rsidRDefault="004E439D">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35D0994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94F" w14:textId="77777777" w:rsidR="00D42204" w:rsidRDefault="004E439D">
            <w:pPr>
              <w:jc w:val="right"/>
              <w:textAlignment w:val="center"/>
            </w:pPr>
            <w:r>
              <w:rPr>
                <w:rFonts w:ascii="Times New Roman" w:eastAsia="宋体" w:hAnsi="Times New Roman"/>
                <w:color w:val="000000"/>
                <w:sz w:val="16"/>
                <w:szCs w:val="16"/>
              </w:rPr>
              <w:t>2.3 </w:t>
            </w:r>
          </w:p>
        </w:tc>
        <w:tc>
          <w:tcPr>
            <w:tcW w:w="0" w:type="auto"/>
            <w:shd w:val="clear" w:color="auto" w:fill="FFFFFF"/>
            <w:tcMar>
              <w:top w:w="40" w:type="dxa"/>
              <w:left w:w="0" w:type="dxa"/>
              <w:bottom w:w="40" w:type="dxa"/>
              <w:right w:w="20" w:type="dxa"/>
            </w:tcMar>
            <w:vAlign w:val="center"/>
          </w:tcPr>
          <w:p w14:paraId="35D09950"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95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952" w14:textId="77777777" w:rsidR="00D42204" w:rsidRDefault="004E439D">
            <w:pPr>
              <w:jc w:val="right"/>
              <w:textAlignment w:val="center"/>
            </w:pPr>
            <w:r>
              <w:rPr>
                <w:rFonts w:ascii="Times New Roman" w:eastAsia="宋体" w:hAnsi="Times New Roman"/>
                <w:color w:val="000000"/>
                <w:sz w:val="16"/>
                <w:szCs w:val="16"/>
              </w:rPr>
              <w:t>6.8 </w:t>
            </w:r>
          </w:p>
        </w:tc>
        <w:tc>
          <w:tcPr>
            <w:tcW w:w="0" w:type="auto"/>
            <w:shd w:val="clear" w:color="auto" w:fill="FFFFFF"/>
            <w:tcMar>
              <w:top w:w="40" w:type="dxa"/>
              <w:left w:w="0" w:type="dxa"/>
              <w:bottom w:w="40" w:type="dxa"/>
              <w:right w:w="20" w:type="dxa"/>
            </w:tcMar>
            <w:vAlign w:val="center"/>
          </w:tcPr>
          <w:p w14:paraId="35D09953"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995E" w14:textId="77777777">
        <w:trPr>
          <w:jc w:val="center"/>
        </w:trPr>
        <w:tc>
          <w:tcPr>
            <w:tcW w:w="0" w:type="auto"/>
            <w:gridSpan w:val="3"/>
            <w:shd w:val="clear" w:color="auto" w:fill="CCEEFF"/>
            <w:tcMar>
              <w:top w:w="40" w:type="dxa"/>
              <w:left w:w="20" w:type="dxa"/>
              <w:bottom w:w="40" w:type="dxa"/>
              <w:right w:w="20" w:type="dxa"/>
            </w:tcMar>
            <w:vAlign w:val="center"/>
          </w:tcPr>
          <w:p w14:paraId="35D09955" w14:textId="77777777" w:rsidR="00D42204" w:rsidRDefault="004E439D">
            <w:pPr>
              <w:textAlignment w:val="center"/>
            </w:pPr>
            <w:r>
              <w:rPr>
                <w:rFonts w:ascii="Times New Roman" w:eastAsia="宋体" w:hAnsi="Times New Roman"/>
                <w:color w:val="000000"/>
                <w:sz w:val="16"/>
                <w:szCs w:val="16"/>
              </w:rPr>
              <w:t>Operating, selling, general and administrative expenses</w:t>
            </w:r>
          </w:p>
        </w:tc>
        <w:tc>
          <w:tcPr>
            <w:tcW w:w="0" w:type="auto"/>
            <w:gridSpan w:val="3"/>
            <w:shd w:val="clear" w:color="auto" w:fill="CCEEFF"/>
            <w:tcMar>
              <w:top w:w="0" w:type="dxa"/>
              <w:left w:w="20" w:type="dxa"/>
              <w:bottom w:w="0" w:type="dxa"/>
              <w:right w:w="20" w:type="dxa"/>
            </w:tcMar>
            <w:vAlign w:val="bottom"/>
          </w:tcPr>
          <w:p w14:paraId="35D09956"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957"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958" w14:textId="77777777" w:rsidR="00D42204" w:rsidRDefault="004E439D">
            <w:pPr>
              <w:jc w:val="right"/>
              <w:textAlignment w:val="center"/>
            </w:pPr>
            <w:r>
              <w:rPr>
                <w:rFonts w:ascii="Times New Roman" w:eastAsia="宋体" w:hAnsi="Times New Roman"/>
                <w:color w:val="000000"/>
                <w:sz w:val="16"/>
                <w:szCs w:val="16"/>
              </w:rPr>
              <w:t>117,812 </w:t>
            </w:r>
          </w:p>
        </w:tc>
        <w:tc>
          <w:tcPr>
            <w:tcW w:w="0" w:type="auto"/>
            <w:shd w:val="clear" w:color="auto" w:fill="CCEEFF"/>
            <w:tcMar>
              <w:top w:w="40" w:type="dxa"/>
              <w:left w:w="0" w:type="dxa"/>
              <w:bottom w:w="40" w:type="dxa"/>
              <w:right w:w="20" w:type="dxa"/>
            </w:tcMar>
            <w:vAlign w:val="center"/>
          </w:tcPr>
          <w:p w14:paraId="35D0995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95A"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95B"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95C" w14:textId="77777777" w:rsidR="00D42204" w:rsidRDefault="004E439D">
            <w:pPr>
              <w:jc w:val="right"/>
              <w:textAlignment w:val="center"/>
            </w:pPr>
            <w:r>
              <w:rPr>
                <w:rFonts w:ascii="Times New Roman" w:eastAsia="宋体" w:hAnsi="Times New Roman"/>
                <w:color w:val="000000"/>
                <w:sz w:val="16"/>
                <w:szCs w:val="16"/>
              </w:rPr>
              <w:t>116,288 </w:t>
            </w:r>
          </w:p>
        </w:tc>
        <w:tc>
          <w:tcPr>
            <w:tcW w:w="0" w:type="auto"/>
            <w:shd w:val="clear" w:color="auto" w:fill="CCEEFF"/>
            <w:tcMar>
              <w:top w:w="40" w:type="dxa"/>
              <w:left w:w="0" w:type="dxa"/>
              <w:bottom w:w="40" w:type="dxa"/>
              <w:right w:w="20" w:type="dxa"/>
            </w:tcMar>
            <w:vAlign w:val="center"/>
          </w:tcPr>
          <w:p w14:paraId="35D0995D" w14:textId="77777777" w:rsidR="00D42204" w:rsidRDefault="00D42204">
            <w:pPr>
              <w:jc w:val="right"/>
              <w:rPr>
                <w:rFonts w:ascii="宋体"/>
              </w:rPr>
            </w:pPr>
          </w:p>
        </w:tc>
      </w:tr>
      <w:tr w:rsidR="00D42204" w14:paraId="35D09966" w14:textId="77777777">
        <w:trPr>
          <w:jc w:val="center"/>
        </w:trPr>
        <w:tc>
          <w:tcPr>
            <w:tcW w:w="0" w:type="auto"/>
            <w:gridSpan w:val="3"/>
            <w:shd w:val="clear" w:color="auto" w:fill="FFFFFF"/>
            <w:tcMar>
              <w:top w:w="40" w:type="dxa"/>
              <w:left w:w="20" w:type="dxa"/>
              <w:bottom w:w="40" w:type="dxa"/>
              <w:right w:w="20" w:type="dxa"/>
            </w:tcMar>
            <w:vAlign w:val="center"/>
          </w:tcPr>
          <w:p w14:paraId="35D0995F" w14:textId="77777777" w:rsidR="00D42204" w:rsidRDefault="004E439D">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35D0996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961" w14:textId="77777777" w:rsidR="00D42204" w:rsidRDefault="004E439D">
            <w:pPr>
              <w:jc w:val="right"/>
              <w:textAlignment w:val="center"/>
            </w:pPr>
            <w:r>
              <w:rPr>
                <w:rFonts w:ascii="Times New Roman" w:eastAsia="宋体" w:hAnsi="Times New Roman"/>
                <w:color w:val="000000"/>
                <w:sz w:val="16"/>
                <w:szCs w:val="16"/>
              </w:rPr>
              <w:t>1.3 </w:t>
            </w:r>
          </w:p>
        </w:tc>
        <w:tc>
          <w:tcPr>
            <w:tcW w:w="0" w:type="auto"/>
            <w:shd w:val="clear" w:color="auto" w:fill="FFFFFF"/>
            <w:tcMar>
              <w:top w:w="40" w:type="dxa"/>
              <w:left w:w="0" w:type="dxa"/>
              <w:bottom w:w="40" w:type="dxa"/>
              <w:right w:w="20" w:type="dxa"/>
            </w:tcMar>
            <w:vAlign w:val="center"/>
          </w:tcPr>
          <w:p w14:paraId="35D09962"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96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964" w14:textId="77777777" w:rsidR="00D42204" w:rsidRDefault="004E439D">
            <w:pPr>
              <w:jc w:val="right"/>
              <w:textAlignment w:val="center"/>
            </w:pPr>
            <w:r>
              <w:rPr>
                <w:rFonts w:ascii="Times New Roman" w:eastAsia="宋体" w:hAnsi="Times New Roman"/>
                <w:color w:val="000000"/>
                <w:sz w:val="16"/>
                <w:szCs w:val="16"/>
              </w:rPr>
              <w:t>6.9 </w:t>
            </w:r>
          </w:p>
        </w:tc>
        <w:tc>
          <w:tcPr>
            <w:tcW w:w="0" w:type="auto"/>
            <w:shd w:val="clear" w:color="auto" w:fill="FFFFFF"/>
            <w:tcMar>
              <w:top w:w="40" w:type="dxa"/>
              <w:left w:w="0" w:type="dxa"/>
              <w:bottom w:w="40" w:type="dxa"/>
              <w:right w:w="20" w:type="dxa"/>
            </w:tcMar>
            <w:vAlign w:val="center"/>
          </w:tcPr>
          <w:p w14:paraId="35D09965"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996E" w14:textId="77777777">
        <w:trPr>
          <w:jc w:val="center"/>
        </w:trPr>
        <w:tc>
          <w:tcPr>
            <w:tcW w:w="0" w:type="auto"/>
            <w:gridSpan w:val="3"/>
            <w:shd w:val="clear" w:color="auto" w:fill="CCEEFF"/>
            <w:tcMar>
              <w:top w:w="40" w:type="dxa"/>
              <w:left w:w="20" w:type="dxa"/>
              <w:bottom w:w="40" w:type="dxa"/>
              <w:right w:w="20" w:type="dxa"/>
            </w:tcMar>
            <w:vAlign w:val="center"/>
          </w:tcPr>
          <w:p w14:paraId="35D09967" w14:textId="77777777" w:rsidR="00D42204" w:rsidRDefault="004E439D">
            <w:pPr>
              <w:textAlignment w:val="center"/>
            </w:pPr>
            <w:r>
              <w:rPr>
                <w:rFonts w:ascii="Times New Roman" w:eastAsia="宋体" w:hAnsi="Times New Roman"/>
                <w:color w:val="000000"/>
                <w:sz w:val="16"/>
                <w:szCs w:val="16"/>
              </w:rPr>
              <w:t xml:space="preserve">Operating, selling, </w:t>
            </w:r>
            <w:r>
              <w:rPr>
                <w:rFonts w:ascii="Times New Roman" w:eastAsia="宋体" w:hAnsi="Times New Roman"/>
                <w:color w:val="000000"/>
                <w:sz w:val="16"/>
                <w:szCs w:val="16"/>
              </w:rPr>
              <w:t>general and administrative expenses as a percentage of net sales</w:t>
            </w:r>
          </w:p>
        </w:tc>
        <w:tc>
          <w:tcPr>
            <w:tcW w:w="0" w:type="auto"/>
            <w:gridSpan w:val="3"/>
            <w:shd w:val="clear" w:color="auto" w:fill="CCEEFF"/>
            <w:tcMar>
              <w:top w:w="0" w:type="dxa"/>
              <w:left w:w="20" w:type="dxa"/>
              <w:bottom w:w="0" w:type="dxa"/>
              <w:right w:w="20" w:type="dxa"/>
            </w:tcMar>
            <w:vAlign w:val="bottom"/>
          </w:tcPr>
          <w:p w14:paraId="35D0996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969" w14:textId="77777777" w:rsidR="00D42204" w:rsidRDefault="004E439D">
            <w:pPr>
              <w:jc w:val="right"/>
              <w:textAlignment w:val="center"/>
            </w:pPr>
            <w:r>
              <w:rPr>
                <w:rFonts w:ascii="Times New Roman" w:eastAsia="宋体" w:hAnsi="Times New Roman"/>
                <w:color w:val="000000"/>
                <w:sz w:val="16"/>
                <w:szCs w:val="16"/>
              </w:rPr>
              <w:t>20.8 </w:t>
            </w:r>
          </w:p>
        </w:tc>
        <w:tc>
          <w:tcPr>
            <w:tcW w:w="0" w:type="auto"/>
            <w:shd w:val="clear" w:color="auto" w:fill="CCEEFF"/>
            <w:tcMar>
              <w:top w:w="40" w:type="dxa"/>
              <w:left w:w="0" w:type="dxa"/>
              <w:bottom w:w="40" w:type="dxa"/>
              <w:right w:w="20" w:type="dxa"/>
            </w:tcMar>
            <w:vAlign w:val="center"/>
          </w:tcPr>
          <w:p w14:paraId="35D0996A"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996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96C" w14:textId="77777777" w:rsidR="00D42204" w:rsidRDefault="004E439D">
            <w:pPr>
              <w:jc w:val="right"/>
              <w:textAlignment w:val="center"/>
            </w:pPr>
            <w:r>
              <w:rPr>
                <w:rFonts w:ascii="Times New Roman" w:eastAsia="宋体" w:hAnsi="Times New Roman"/>
                <w:color w:val="000000"/>
                <w:sz w:val="16"/>
                <w:szCs w:val="16"/>
              </w:rPr>
              <w:t>20.9 </w:t>
            </w:r>
          </w:p>
        </w:tc>
        <w:tc>
          <w:tcPr>
            <w:tcW w:w="0" w:type="auto"/>
            <w:shd w:val="clear" w:color="auto" w:fill="CCEEFF"/>
            <w:tcMar>
              <w:top w:w="40" w:type="dxa"/>
              <w:left w:w="0" w:type="dxa"/>
              <w:bottom w:w="40" w:type="dxa"/>
              <w:right w:w="20" w:type="dxa"/>
            </w:tcMar>
            <w:vAlign w:val="center"/>
          </w:tcPr>
          <w:p w14:paraId="35D0996D" w14:textId="77777777" w:rsidR="00D42204" w:rsidRDefault="004E439D">
            <w:pPr>
              <w:jc w:val="right"/>
              <w:textAlignment w:val="center"/>
            </w:pPr>
            <w:r>
              <w:rPr>
                <w:rFonts w:ascii="Times New Roman" w:eastAsia="宋体" w:hAnsi="Times New Roman"/>
                <w:color w:val="000000"/>
                <w:sz w:val="16"/>
                <w:szCs w:val="16"/>
              </w:rPr>
              <w:t>%</w:t>
            </w:r>
          </w:p>
        </w:tc>
      </w:tr>
    </w:tbl>
    <w:p w14:paraId="35D0996F" w14:textId="77777777" w:rsidR="00D42204" w:rsidRDefault="004E439D">
      <w:pPr>
        <w:spacing w:before="80"/>
      </w:pPr>
      <w:r>
        <w:rPr>
          <w:rFonts w:ascii="Times New Roman" w:eastAsia="宋体" w:hAnsi="Times New Roman"/>
          <w:color w:val="000000"/>
          <w:sz w:val="20"/>
          <w:szCs w:val="20"/>
        </w:rPr>
        <w:t xml:space="preserve">For fiscal 2022, operating expenses as a percentage of net sales decreased 19 basis points when compared to the previous fiscal year. Operating expenses as a </w:t>
      </w:r>
      <w:r>
        <w:rPr>
          <w:rFonts w:ascii="Times New Roman" w:eastAsia="宋体" w:hAnsi="Times New Roman"/>
          <w:color w:val="000000"/>
          <w:sz w:val="20"/>
          <w:szCs w:val="20"/>
        </w:rPr>
        <w:t>percentage of net sales benefited from growth in comparable sales and lower incremental COVID-19 related costs of $2.5 billion as compared to the previous year, partially offset by increased wage investments primarily in the Walmart U.S. segment.</w:t>
      </w:r>
    </w:p>
    <w:p w14:paraId="35D09970" w14:textId="77777777" w:rsidR="00D42204" w:rsidRDefault="004E439D">
      <w:pPr>
        <w:spacing w:before="100"/>
      </w:pPr>
      <w:r>
        <w:rPr>
          <w:rFonts w:ascii="Times New Roman" w:eastAsia="宋体" w:hAnsi="Times New Roman"/>
          <w:color w:val="000000"/>
          <w:sz w:val="20"/>
          <w:szCs w:val="20"/>
        </w:rPr>
        <w:t>For fisca</w:t>
      </w:r>
      <w:r>
        <w:rPr>
          <w:rFonts w:ascii="Times New Roman" w:eastAsia="宋体" w:hAnsi="Times New Roman"/>
          <w:color w:val="000000"/>
          <w:sz w:val="20"/>
          <w:szCs w:val="20"/>
        </w:rPr>
        <w:t>l 2021, operating expenses as a percentage of net sales was flat when compared to the previous fiscal year. Operating expenses as a percentage of net sales benefited from strong growth in comparable sales, offset by $4.0 billion of incremental costs relate</w:t>
      </w:r>
      <w:r>
        <w:rPr>
          <w:rFonts w:ascii="Times New Roman" w:eastAsia="宋体" w:hAnsi="Times New Roman"/>
          <w:color w:val="000000"/>
          <w:sz w:val="20"/>
          <w:szCs w:val="20"/>
        </w:rPr>
        <w:t>d to the COVID-19 pandemic.</w:t>
      </w:r>
    </w:p>
    <w:p w14:paraId="35D09971" w14:textId="77777777" w:rsidR="00D42204" w:rsidRDefault="004E439D">
      <w:pPr>
        <w:spacing w:before="180"/>
      </w:pPr>
      <w:r>
        <w:rPr>
          <w:rFonts w:ascii="Times New Roman" w:eastAsia="宋体" w:hAnsi="Times New Roman"/>
          <w:b/>
          <w:bCs/>
          <w:color w:val="000000"/>
          <w:sz w:val="20"/>
          <w:szCs w:val="20"/>
          <w:u w:val="single"/>
        </w:rPr>
        <w:t>Strategic Capital Allocation</w:t>
      </w:r>
    </w:p>
    <w:p w14:paraId="35D09972" w14:textId="77777777" w:rsidR="00D42204" w:rsidRDefault="004E439D">
      <w:pPr>
        <w:spacing w:before="100"/>
      </w:pPr>
      <w:r>
        <w:rPr>
          <w:rFonts w:ascii="Times New Roman" w:eastAsia="宋体" w:hAnsi="Times New Roman"/>
          <w:color w:val="000000"/>
          <w:sz w:val="20"/>
          <w:szCs w:val="20"/>
        </w:rPr>
        <w:t>Our strategy includes improving our customer-facing initiatives in stores and clubs and creating a seamless omni-channel experience for our customers. As such, we continue to allocate more capital to</w:t>
      </w:r>
      <w:r>
        <w:rPr>
          <w:rFonts w:ascii="Times New Roman" w:eastAsia="宋体" w:hAnsi="Times New Roman"/>
          <w:color w:val="000000"/>
          <w:sz w:val="20"/>
          <w:szCs w:val="20"/>
        </w:rPr>
        <w:t xml:space="preserve"> supply chain, omni-channel initiatives, technology and store remodels and less to new store and club openings. The following table provides additional detail:</w:t>
      </w:r>
    </w:p>
    <w:tbl>
      <w:tblPr>
        <w:tblW w:w="4993" w:type="pct"/>
        <w:tblCellMar>
          <w:top w:w="15" w:type="dxa"/>
          <w:left w:w="15" w:type="dxa"/>
          <w:bottom w:w="15" w:type="dxa"/>
          <w:right w:w="15" w:type="dxa"/>
        </w:tblCellMar>
        <w:tblLook w:val="04A0" w:firstRow="1" w:lastRow="0" w:firstColumn="1" w:lastColumn="0" w:noHBand="0" w:noVBand="1"/>
      </w:tblPr>
      <w:tblGrid>
        <w:gridCol w:w="45"/>
        <w:gridCol w:w="5929"/>
        <w:gridCol w:w="37"/>
        <w:gridCol w:w="36"/>
        <w:gridCol w:w="36"/>
        <w:gridCol w:w="36"/>
        <w:gridCol w:w="100"/>
        <w:gridCol w:w="912"/>
        <w:gridCol w:w="36"/>
        <w:gridCol w:w="36"/>
        <w:gridCol w:w="36"/>
        <w:gridCol w:w="36"/>
        <w:gridCol w:w="100"/>
        <w:gridCol w:w="913"/>
        <w:gridCol w:w="36"/>
      </w:tblGrid>
      <w:tr w:rsidR="00D42204" w14:paraId="35D09982" w14:textId="77777777">
        <w:tc>
          <w:tcPr>
            <w:tcW w:w="50" w:type="pct"/>
            <w:shd w:val="clear" w:color="auto" w:fill="auto"/>
            <w:vAlign w:val="bottom"/>
          </w:tcPr>
          <w:p w14:paraId="35D09973" w14:textId="77777777" w:rsidR="00D42204" w:rsidRDefault="00D42204">
            <w:pPr>
              <w:rPr>
                <w:rFonts w:ascii="宋体"/>
              </w:rPr>
            </w:pPr>
          </w:p>
        </w:tc>
        <w:tc>
          <w:tcPr>
            <w:tcW w:w="3583" w:type="pct"/>
            <w:shd w:val="clear" w:color="auto" w:fill="auto"/>
            <w:vAlign w:val="bottom"/>
          </w:tcPr>
          <w:p w14:paraId="35D09974" w14:textId="77777777" w:rsidR="00D42204" w:rsidRDefault="00D42204">
            <w:pPr>
              <w:rPr>
                <w:rFonts w:ascii="宋体"/>
              </w:rPr>
            </w:pPr>
          </w:p>
        </w:tc>
        <w:tc>
          <w:tcPr>
            <w:tcW w:w="5" w:type="pct"/>
            <w:shd w:val="clear" w:color="auto" w:fill="auto"/>
            <w:vAlign w:val="bottom"/>
          </w:tcPr>
          <w:p w14:paraId="35D09975" w14:textId="77777777" w:rsidR="00D42204" w:rsidRDefault="00D42204">
            <w:pPr>
              <w:rPr>
                <w:rFonts w:ascii="宋体"/>
              </w:rPr>
            </w:pPr>
          </w:p>
        </w:tc>
        <w:tc>
          <w:tcPr>
            <w:tcW w:w="5" w:type="pct"/>
            <w:shd w:val="clear" w:color="auto" w:fill="auto"/>
            <w:vAlign w:val="bottom"/>
          </w:tcPr>
          <w:p w14:paraId="35D09976" w14:textId="77777777" w:rsidR="00D42204" w:rsidRDefault="00D42204">
            <w:pPr>
              <w:rPr>
                <w:rFonts w:ascii="宋体"/>
              </w:rPr>
            </w:pPr>
          </w:p>
        </w:tc>
        <w:tc>
          <w:tcPr>
            <w:tcW w:w="26" w:type="pct"/>
            <w:shd w:val="clear" w:color="auto" w:fill="auto"/>
            <w:vAlign w:val="bottom"/>
          </w:tcPr>
          <w:p w14:paraId="35D09977" w14:textId="77777777" w:rsidR="00D42204" w:rsidRDefault="00D42204">
            <w:pPr>
              <w:rPr>
                <w:rFonts w:ascii="宋体"/>
              </w:rPr>
            </w:pPr>
          </w:p>
        </w:tc>
        <w:tc>
          <w:tcPr>
            <w:tcW w:w="5" w:type="pct"/>
            <w:shd w:val="clear" w:color="auto" w:fill="auto"/>
            <w:vAlign w:val="bottom"/>
          </w:tcPr>
          <w:p w14:paraId="35D09978" w14:textId="77777777" w:rsidR="00D42204" w:rsidRDefault="00D42204">
            <w:pPr>
              <w:rPr>
                <w:rFonts w:ascii="宋体"/>
              </w:rPr>
            </w:pPr>
          </w:p>
        </w:tc>
        <w:tc>
          <w:tcPr>
            <w:tcW w:w="50" w:type="pct"/>
            <w:shd w:val="clear" w:color="auto" w:fill="auto"/>
            <w:vAlign w:val="bottom"/>
          </w:tcPr>
          <w:p w14:paraId="35D09979" w14:textId="77777777" w:rsidR="00D42204" w:rsidRDefault="00D42204">
            <w:pPr>
              <w:rPr>
                <w:rFonts w:ascii="宋体"/>
              </w:rPr>
            </w:pPr>
          </w:p>
        </w:tc>
        <w:tc>
          <w:tcPr>
            <w:tcW w:w="589" w:type="pct"/>
            <w:shd w:val="clear" w:color="auto" w:fill="auto"/>
            <w:vAlign w:val="bottom"/>
          </w:tcPr>
          <w:p w14:paraId="35D0997A" w14:textId="77777777" w:rsidR="00D42204" w:rsidRDefault="00D42204">
            <w:pPr>
              <w:rPr>
                <w:rFonts w:ascii="宋体"/>
              </w:rPr>
            </w:pPr>
          </w:p>
        </w:tc>
        <w:tc>
          <w:tcPr>
            <w:tcW w:w="5" w:type="pct"/>
            <w:shd w:val="clear" w:color="auto" w:fill="auto"/>
            <w:vAlign w:val="bottom"/>
          </w:tcPr>
          <w:p w14:paraId="35D0997B" w14:textId="77777777" w:rsidR="00D42204" w:rsidRDefault="00D42204">
            <w:pPr>
              <w:rPr>
                <w:rFonts w:ascii="宋体"/>
              </w:rPr>
            </w:pPr>
          </w:p>
        </w:tc>
        <w:tc>
          <w:tcPr>
            <w:tcW w:w="5" w:type="pct"/>
            <w:shd w:val="clear" w:color="auto" w:fill="auto"/>
            <w:vAlign w:val="bottom"/>
          </w:tcPr>
          <w:p w14:paraId="35D0997C" w14:textId="77777777" w:rsidR="00D42204" w:rsidRDefault="00D42204">
            <w:pPr>
              <w:rPr>
                <w:rFonts w:ascii="宋体"/>
              </w:rPr>
            </w:pPr>
          </w:p>
        </w:tc>
        <w:tc>
          <w:tcPr>
            <w:tcW w:w="26" w:type="pct"/>
            <w:shd w:val="clear" w:color="auto" w:fill="auto"/>
            <w:vAlign w:val="bottom"/>
          </w:tcPr>
          <w:p w14:paraId="35D0997D" w14:textId="77777777" w:rsidR="00D42204" w:rsidRDefault="00D42204">
            <w:pPr>
              <w:rPr>
                <w:rFonts w:ascii="宋体"/>
              </w:rPr>
            </w:pPr>
          </w:p>
        </w:tc>
        <w:tc>
          <w:tcPr>
            <w:tcW w:w="5" w:type="pct"/>
            <w:shd w:val="clear" w:color="auto" w:fill="auto"/>
            <w:vAlign w:val="bottom"/>
          </w:tcPr>
          <w:p w14:paraId="35D0997E" w14:textId="77777777" w:rsidR="00D42204" w:rsidRDefault="00D42204">
            <w:pPr>
              <w:rPr>
                <w:rFonts w:ascii="宋体"/>
              </w:rPr>
            </w:pPr>
          </w:p>
        </w:tc>
        <w:tc>
          <w:tcPr>
            <w:tcW w:w="50" w:type="pct"/>
            <w:shd w:val="clear" w:color="auto" w:fill="auto"/>
            <w:vAlign w:val="bottom"/>
          </w:tcPr>
          <w:p w14:paraId="35D0997F" w14:textId="77777777" w:rsidR="00D42204" w:rsidRDefault="00D42204">
            <w:pPr>
              <w:rPr>
                <w:rFonts w:ascii="宋体"/>
              </w:rPr>
            </w:pPr>
          </w:p>
        </w:tc>
        <w:tc>
          <w:tcPr>
            <w:tcW w:w="589" w:type="pct"/>
            <w:shd w:val="clear" w:color="auto" w:fill="auto"/>
            <w:vAlign w:val="bottom"/>
          </w:tcPr>
          <w:p w14:paraId="35D09980" w14:textId="77777777" w:rsidR="00D42204" w:rsidRDefault="00D42204">
            <w:pPr>
              <w:rPr>
                <w:rFonts w:ascii="宋体"/>
              </w:rPr>
            </w:pPr>
          </w:p>
        </w:tc>
        <w:tc>
          <w:tcPr>
            <w:tcW w:w="5" w:type="pct"/>
            <w:shd w:val="clear" w:color="auto" w:fill="auto"/>
            <w:vAlign w:val="bottom"/>
          </w:tcPr>
          <w:p w14:paraId="35D09981" w14:textId="77777777" w:rsidR="00D42204" w:rsidRDefault="00D42204">
            <w:pPr>
              <w:rPr>
                <w:rFonts w:ascii="宋体"/>
              </w:rPr>
            </w:pPr>
          </w:p>
        </w:tc>
      </w:tr>
      <w:tr w:rsidR="00D42204" w14:paraId="35D09986" w14:textId="77777777">
        <w:tc>
          <w:tcPr>
            <w:tcW w:w="0" w:type="auto"/>
            <w:gridSpan w:val="3"/>
            <w:shd w:val="clear" w:color="auto" w:fill="auto"/>
            <w:tcMar>
              <w:top w:w="40" w:type="dxa"/>
              <w:left w:w="20" w:type="dxa"/>
              <w:bottom w:w="40" w:type="dxa"/>
              <w:right w:w="20" w:type="dxa"/>
            </w:tcMar>
            <w:vAlign w:val="bottom"/>
          </w:tcPr>
          <w:p w14:paraId="35D09983"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9984" w14:textId="77777777" w:rsidR="00D42204" w:rsidRDefault="00D42204">
            <w:pPr>
              <w:rPr>
                <w:rFonts w:ascii="宋体"/>
              </w:rPr>
            </w:pPr>
          </w:p>
        </w:tc>
        <w:tc>
          <w:tcPr>
            <w:tcW w:w="0" w:type="auto"/>
            <w:gridSpan w:val="9"/>
            <w:shd w:val="clear" w:color="auto" w:fill="auto"/>
            <w:tcMar>
              <w:top w:w="40" w:type="dxa"/>
              <w:left w:w="20" w:type="dxa"/>
              <w:bottom w:w="40" w:type="dxa"/>
              <w:right w:w="20" w:type="dxa"/>
            </w:tcMar>
            <w:vAlign w:val="center"/>
          </w:tcPr>
          <w:p w14:paraId="35D09985" w14:textId="77777777" w:rsidR="00D42204" w:rsidRDefault="004E439D">
            <w:pPr>
              <w:jc w:val="center"/>
              <w:textAlignment w:val="center"/>
            </w:pPr>
            <w:r>
              <w:rPr>
                <w:rFonts w:ascii="Times New Roman" w:eastAsia="宋体" w:hAnsi="Times New Roman"/>
                <w:b/>
                <w:bCs/>
                <w:color w:val="000000"/>
                <w:sz w:val="16"/>
                <w:szCs w:val="16"/>
              </w:rPr>
              <w:t>Fiscal Years Ended January 31,</w:t>
            </w:r>
          </w:p>
        </w:tc>
      </w:tr>
      <w:tr w:rsidR="00D42204" w14:paraId="35D0998C" w14:textId="77777777">
        <w:tc>
          <w:tcPr>
            <w:tcW w:w="0" w:type="auto"/>
            <w:gridSpan w:val="3"/>
            <w:shd w:val="clear" w:color="auto" w:fill="auto"/>
            <w:tcMar>
              <w:top w:w="40" w:type="dxa"/>
              <w:left w:w="20" w:type="dxa"/>
              <w:bottom w:w="40" w:type="dxa"/>
              <w:right w:w="20" w:type="dxa"/>
            </w:tcMar>
            <w:vAlign w:val="bottom"/>
          </w:tcPr>
          <w:p w14:paraId="35D09987" w14:textId="77777777" w:rsidR="00D42204" w:rsidRDefault="004E439D">
            <w:pPr>
              <w:textAlignment w:val="bottom"/>
            </w:pPr>
            <w:r>
              <w:rPr>
                <w:rFonts w:ascii="Times New Roman" w:eastAsia="宋体" w:hAnsi="Times New Roman"/>
                <w:b/>
                <w:bCs/>
                <w:color w:val="000000"/>
                <w:sz w:val="16"/>
                <w:szCs w:val="16"/>
              </w:rPr>
              <w:t xml:space="preserve">Allocation of </w:t>
            </w:r>
            <w:r>
              <w:rPr>
                <w:rFonts w:ascii="Times New Roman" w:eastAsia="宋体" w:hAnsi="Times New Roman"/>
                <w:b/>
                <w:bCs/>
                <w:color w:val="000000"/>
                <w:sz w:val="16"/>
                <w:szCs w:val="16"/>
              </w:rPr>
              <w:t>Capital Expenditures</w:t>
            </w:r>
          </w:p>
        </w:tc>
        <w:tc>
          <w:tcPr>
            <w:tcW w:w="0" w:type="auto"/>
            <w:gridSpan w:val="3"/>
            <w:shd w:val="clear" w:color="auto" w:fill="auto"/>
            <w:tcMar>
              <w:top w:w="0" w:type="dxa"/>
              <w:left w:w="20" w:type="dxa"/>
              <w:bottom w:w="0" w:type="dxa"/>
              <w:right w:w="20" w:type="dxa"/>
            </w:tcMar>
            <w:vAlign w:val="bottom"/>
          </w:tcPr>
          <w:p w14:paraId="35D09988"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989"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98A"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98B" w14:textId="77777777" w:rsidR="00D42204" w:rsidRDefault="004E439D">
            <w:pPr>
              <w:jc w:val="center"/>
              <w:textAlignment w:val="bottom"/>
            </w:pPr>
            <w:r>
              <w:rPr>
                <w:rFonts w:ascii="Times New Roman" w:eastAsia="宋体" w:hAnsi="Times New Roman"/>
                <w:b/>
                <w:bCs/>
                <w:color w:val="000000"/>
                <w:sz w:val="16"/>
                <w:szCs w:val="16"/>
              </w:rPr>
              <w:t>2021</w:t>
            </w:r>
          </w:p>
        </w:tc>
      </w:tr>
      <w:tr w:rsidR="00D42204" w14:paraId="35D09996" w14:textId="77777777">
        <w:tc>
          <w:tcPr>
            <w:tcW w:w="0" w:type="auto"/>
            <w:gridSpan w:val="3"/>
            <w:shd w:val="clear" w:color="auto" w:fill="CCEEFF"/>
            <w:tcMar>
              <w:top w:w="40" w:type="dxa"/>
              <w:left w:w="20" w:type="dxa"/>
              <w:bottom w:w="40" w:type="dxa"/>
              <w:right w:w="20" w:type="dxa"/>
            </w:tcMar>
            <w:vAlign w:val="center"/>
          </w:tcPr>
          <w:p w14:paraId="35D0998D" w14:textId="77777777" w:rsidR="00D42204" w:rsidRDefault="004E439D">
            <w:pPr>
              <w:textAlignment w:val="center"/>
            </w:pPr>
            <w:r>
              <w:rPr>
                <w:rFonts w:ascii="Times New Roman" w:eastAsia="宋体" w:hAnsi="Times New Roman"/>
                <w:color w:val="000000"/>
                <w:sz w:val="16"/>
                <w:szCs w:val="16"/>
              </w:rPr>
              <w:t>Supply chain, omni-channel, technology and other</w:t>
            </w:r>
          </w:p>
        </w:tc>
        <w:tc>
          <w:tcPr>
            <w:tcW w:w="0" w:type="auto"/>
            <w:gridSpan w:val="3"/>
            <w:shd w:val="clear" w:color="auto" w:fill="CCEEFF"/>
            <w:tcMar>
              <w:top w:w="0" w:type="dxa"/>
              <w:left w:w="20" w:type="dxa"/>
              <w:bottom w:w="0" w:type="dxa"/>
              <w:right w:w="20" w:type="dxa"/>
            </w:tcMar>
            <w:vAlign w:val="bottom"/>
          </w:tcPr>
          <w:p w14:paraId="35D0998E"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98F"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990" w14:textId="77777777" w:rsidR="00D42204" w:rsidRDefault="004E439D">
            <w:pPr>
              <w:jc w:val="right"/>
              <w:textAlignment w:val="center"/>
            </w:pPr>
            <w:r>
              <w:rPr>
                <w:rFonts w:ascii="Times New Roman" w:eastAsia="宋体" w:hAnsi="Times New Roman"/>
                <w:color w:val="000000"/>
                <w:sz w:val="16"/>
                <w:szCs w:val="16"/>
              </w:rPr>
              <w:t>7,197 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99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992"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993"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994" w14:textId="77777777" w:rsidR="00D42204" w:rsidRDefault="004E439D">
            <w:pPr>
              <w:jc w:val="right"/>
              <w:textAlignment w:val="center"/>
            </w:pPr>
            <w:r>
              <w:rPr>
                <w:rFonts w:ascii="Times New Roman" w:eastAsia="宋体" w:hAnsi="Times New Roman"/>
                <w:color w:val="000000"/>
                <w:sz w:val="16"/>
                <w:szCs w:val="16"/>
              </w:rPr>
              <w:t>5,681 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995" w14:textId="77777777" w:rsidR="00D42204" w:rsidRDefault="00D42204">
            <w:pPr>
              <w:jc w:val="right"/>
              <w:rPr>
                <w:rFonts w:ascii="宋体"/>
              </w:rPr>
            </w:pPr>
          </w:p>
        </w:tc>
      </w:tr>
      <w:tr w:rsidR="00D42204" w14:paraId="35D0999E" w14:textId="77777777">
        <w:tc>
          <w:tcPr>
            <w:tcW w:w="0" w:type="auto"/>
            <w:gridSpan w:val="3"/>
            <w:shd w:val="clear" w:color="auto" w:fill="FFFFFF"/>
            <w:tcMar>
              <w:top w:w="40" w:type="dxa"/>
              <w:left w:w="20" w:type="dxa"/>
              <w:bottom w:w="40" w:type="dxa"/>
              <w:right w:w="20" w:type="dxa"/>
            </w:tcMar>
            <w:vAlign w:val="center"/>
          </w:tcPr>
          <w:p w14:paraId="35D09997" w14:textId="77777777" w:rsidR="00D42204" w:rsidRDefault="004E439D">
            <w:pPr>
              <w:textAlignment w:val="center"/>
            </w:pPr>
            <w:r>
              <w:rPr>
                <w:rFonts w:ascii="Times New Roman" w:eastAsia="宋体" w:hAnsi="Times New Roman"/>
                <w:color w:val="000000"/>
                <w:sz w:val="16"/>
                <w:szCs w:val="16"/>
              </w:rPr>
              <w:t>Remodels</w:t>
            </w:r>
          </w:p>
        </w:tc>
        <w:tc>
          <w:tcPr>
            <w:tcW w:w="0" w:type="auto"/>
            <w:gridSpan w:val="3"/>
            <w:shd w:val="clear" w:color="auto" w:fill="FFFFFF"/>
            <w:tcMar>
              <w:top w:w="0" w:type="dxa"/>
              <w:left w:w="20" w:type="dxa"/>
              <w:bottom w:w="0" w:type="dxa"/>
              <w:right w:w="20" w:type="dxa"/>
            </w:tcMar>
            <w:vAlign w:val="bottom"/>
          </w:tcPr>
          <w:p w14:paraId="35D0999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999" w14:textId="77777777" w:rsidR="00D42204" w:rsidRDefault="004E439D">
            <w:pPr>
              <w:jc w:val="right"/>
              <w:textAlignment w:val="center"/>
            </w:pPr>
            <w:r>
              <w:rPr>
                <w:rFonts w:ascii="Times New Roman" w:eastAsia="宋体" w:hAnsi="Times New Roman"/>
                <w:color w:val="000000"/>
                <w:sz w:val="16"/>
                <w:szCs w:val="16"/>
              </w:rPr>
              <w:t>3,278 </w:t>
            </w:r>
          </w:p>
        </w:tc>
        <w:tc>
          <w:tcPr>
            <w:tcW w:w="0" w:type="auto"/>
            <w:shd w:val="clear" w:color="auto" w:fill="FFFFFF"/>
            <w:tcMar>
              <w:top w:w="40" w:type="dxa"/>
              <w:left w:w="0" w:type="dxa"/>
              <w:bottom w:w="40" w:type="dxa"/>
              <w:right w:w="20" w:type="dxa"/>
            </w:tcMar>
            <w:vAlign w:val="center"/>
          </w:tcPr>
          <w:p w14:paraId="35D0999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99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99C" w14:textId="77777777" w:rsidR="00D42204" w:rsidRDefault="004E439D">
            <w:pPr>
              <w:jc w:val="right"/>
              <w:textAlignment w:val="center"/>
            </w:pPr>
            <w:r>
              <w:rPr>
                <w:rFonts w:ascii="Times New Roman" w:eastAsia="宋体" w:hAnsi="Times New Roman"/>
                <w:color w:val="000000"/>
                <w:sz w:val="16"/>
                <w:szCs w:val="16"/>
              </w:rPr>
              <w:t>2,013 </w:t>
            </w:r>
          </w:p>
        </w:tc>
        <w:tc>
          <w:tcPr>
            <w:tcW w:w="0" w:type="auto"/>
            <w:shd w:val="clear" w:color="auto" w:fill="FFFFFF"/>
            <w:tcMar>
              <w:top w:w="40" w:type="dxa"/>
              <w:left w:w="0" w:type="dxa"/>
              <w:bottom w:w="40" w:type="dxa"/>
              <w:right w:w="20" w:type="dxa"/>
            </w:tcMar>
            <w:vAlign w:val="center"/>
          </w:tcPr>
          <w:p w14:paraId="35D0999D" w14:textId="77777777" w:rsidR="00D42204" w:rsidRDefault="00D42204">
            <w:pPr>
              <w:jc w:val="right"/>
              <w:rPr>
                <w:rFonts w:ascii="宋体"/>
              </w:rPr>
            </w:pPr>
          </w:p>
        </w:tc>
      </w:tr>
      <w:tr w:rsidR="00D42204" w14:paraId="35D099A6" w14:textId="77777777">
        <w:tc>
          <w:tcPr>
            <w:tcW w:w="0" w:type="auto"/>
            <w:gridSpan w:val="3"/>
            <w:shd w:val="clear" w:color="auto" w:fill="CCEEFF"/>
            <w:tcMar>
              <w:top w:w="40" w:type="dxa"/>
              <w:left w:w="20" w:type="dxa"/>
              <w:bottom w:w="40" w:type="dxa"/>
              <w:right w:w="20" w:type="dxa"/>
            </w:tcMar>
            <w:vAlign w:val="center"/>
          </w:tcPr>
          <w:p w14:paraId="35D0999F" w14:textId="77777777" w:rsidR="00D42204" w:rsidRDefault="004E439D">
            <w:pPr>
              <w:textAlignment w:val="center"/>
            </w:pPr>
            <w:r>
              <w:rPr>
                <w:rFonts w:ascii="Times New Roman" w:eastAsia="宋体" w:hAnsi="Times New Roman"/>
                <w:color w:val="000000"/>
                <w:sz w:val="16"/>
                <w:szCs w:val="16"/>
              </w:rPr>
              <w:t>New stores and clubs, including expansions and relocations</w:t>
            </w:r>
          </w:p>
        </w:tc>
        <w:tc>
          <w:tcPr>
            <w:tcW w:w="0" w:type="auto"/>
            <w:gridSpan w:val="3"/>
            <w:shd w:val="clear" w:color="auto" w:fill="CCEEFF"/>
            <w:tcMar>
              <w:top w:w="0" w:type="dxa"/>
              <w:left w:w="20" w:type="dxa"/>
              <w:bottom w:w="0" w:type="dxa"/>
              <w:right w:w="20" w:type="dxa"/>
            </w:tcMar>
            <w:vAlign w:val="bottom"/>
          </w:tcPr>
          <w:p w14:paraId="35D099A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9A1" w14:textId="77777777" w:rsidR="00D42204" w:rsidRDefault="004E439D">
            <w:pPr>
              <w:jc w:val="right"/>
              <w:textAlignment w:val="center"/>
            </w:pPr>
            <w:r>
              <w:rPr>
                <w:rFonts w:ascii="Times New Roman" w:eastAsia="宋体" w:hAnsi="Times New Roman"/>
                <w:color w:val="000000"/>
                <w:sz w:val="16"/>
                <w:szCs w:val="16"/>
              </w:rPr>
              <w:t>134 </w:t>
            </w:r>
          </w:p>
        </w:tc>
        <w:tc>
          <w:tcPr>
            <w:tcW w:w="0" w:type="auto"/>
            <w:shd w:val="clear" w:color="auto" w:fill="CCEEFF"/>
            <w:tcMar>
              <w:top w:w="40" w:type="dxa"/>
              <w:left w:w="0" w:type="dxa"/>
              <w:bottom w:w="40" w:type="dxa"/>
              <w:right w:w="20" w:type="dxa"/>
            </w:tcMar>
            <w:vAlign w:val="center"/>
          </w:tcPr>
          <w:p w14:paraId="35D099A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9A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9A4" w14:textId="77777777" w:rsidR="00D42204" w:rsidRDefault="004E439D">
            <w:pPr>
              <w:jc w:val="right"/>
              <w:textAlignment w:val="center"/>
            </w:pPr>
            <w:r>
              <w:rPr>
                <w:rFonts w:ascii="Times New Roman" w:eastAsia="宋体" w:hAnsi="Times New Roman"/>
                <w:color w:val="000000"/>
                <w:sz w:val="16"/>
                <w:szCs w:val="16"/>
              </w:rPr>
              <w:t>134 </w:t>
            </w:r>
          </w:p>
        </w:tc>
        <w:tc>
          <w:tcPr>
            <w:tcW w:w="0" w:type="auto"/>
            <w:shd w:val="clear" w:color="auto" w:fill="CCEEFF"/>
            <w:tcMar>
              <w:top w:w="40" w:type="dxa"/>
              <w:left w:w="0" w:type="dxa"/>
              <w:bottom w:w="40" w:type="dxa"/>
              <w:right w:w="20" w:type="dxa"/>
            </w:tcMar>
            <w:vAlign w:val="center"/>
          </w:tcPr>
          <w:p w14:paraId="35D099A5" w14:textId="77777777" w:rsidR="00D42204" w:rsidRDefault="00D42204">
            <w:pPr>
              <w:jc w:val="right"/>
              <w:rPr>
                <w:rFonts w:ascii="宋体"/>
              </w:rPr>
            </w:pPr>
          </w:p>
        </w:tc>
      </w:tr>
      <w:tr w:rsidR="00D42204" w14:paraId="35D099B0" w14:textId="77777777">
        <w:tc>
          <w:tcPr>
            <w:tcW w:w="0" w:type="auto"/>
            <w:gridSpan w:val="3"/>
            <w:shd w:val="clear" w:color="auto" w:fill="FFFFFF"/>
            <w:tcMar>
              <w:top w:w="40" w:type="dxa"/>
              <w:left w:w="20" w:type="dxa"/>
              <w:bottom w:w="40" w:type="dxa"/>
              <w:right w:w="20" w:type="dxa"/>
            </w:tcMar>
            <w:vAlign w:val="center"/>
          </w:tcPr>
          <w:p w14:paraId="35D099A7" w14:textId="77777777" w:rsidR="00D42204" w:rsidRDefault="004E439D">
            <w:pPr>
              <w:textAlignment w:val="center"/>
            </w:pPr>
            <w:r>
              <w:rPr>
                <w:rFonts w:ascii="Times New Roman" w:eastAsia="宋体" w:hAnsi="Times New Roman"/>
                <w:b/>
                <w:bCs/>
                <w:color w:val="000000"/>
                <w:sz w:val="16"/>
                <w:szCs w:val="16"/>
              </w:rPr>
              <w:t>Total U.S.</w:t>
            </w:r>
          </w:p>
        </w:tc>
        <w:tc>
          <w:tcPr>
            <w:tcW w:w="0" w:type="auto"/>
            <w:gridSpan w:val="3"/>
            <w:shd w:val="clear" w:color="auto" w:fill="FFFFFF"/>
            <w:tcMar>
              <w:top w:w="0" w:type="dxa"/>
              <w:left w:w="20" w:type="dxa"/>
              <w:bottom w:w="0" w:type="dxa"/>
              <w:right w:w="20" w:type="dxa"/>
            </w:tcMar>
            <w:vAlign w:val="bottom"/>
          </w:tcPr>
          <w:p w14:paraId="35D099A8" w14:textId="77777777" w:rsidR="00D42204" w:rsidRDefault="00D4220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35D099A9"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35D099AA" w14:textId="77777777" w:rsidR="00D42204" w:rsidRDefault="004E439D">
            <w:pPr>
              <w:jc w:val="right"/>
              <w:textAlignment w:val="center"/>
            </w:pPr>
            <w:r>
              <w:rPr>
                <w:rFonts w:ascii="Times New Roman" w:eastAsia="宋体" w:hAnsi="Times New Roman"/>
                <w:color w:val="000000"/>
                <w:sz w:val="16"/>
                <w:szCs w:val="16"/>
              </w:rPr>
              <w:t>10,609 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99A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9AC" w14:textId="77777777" w:rsidR="00D42204" w:rsidRDefault="00D4220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35D099AD"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35D099AE" w14:textId="77777777" w:rsidR="00D42204" w:rsidRDefault="004E439D">
            <w:pPr>
              <w:jc w:val="right"/>
              <w:textAlignment w:val="center"/>
            </w:pPr>
            <w:r>
              <w:rPr>
                <w:rFonts w:ascii="Times New Roman" w:eastAsia="宋体" w:hAnsi="Times New Roman"/>
                <w:color w:val="000000"/>
                <w:sz w:val="16"/>
                <w:szCs w:val="16"/>
              </w:rPr>
              <w:t>7,828 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99AF" w14:textId="77777777" w:rsidR="00D42204" w:rsidRDefault="00D42204">
            <w:pPr>
              <w:jc w:val="right"/>
              <w:rPr>
                <w:rFonts w:ascii="宋体"/>
              </w:rPr>
            </w:pPr>
          </w:p>
        </w:tc>
      </w:tr>
      <w:tr w:rsidR="00D42204" w14:paraId="35D099B8" w14:textId="77777777">
        <w:tc>
          <w:tcPr>
            <w:tcW w:w="0" w:type="auto"/>
            <w:gridSpan w:val="3"/>
            <w:shd w:val="clear" w:color="auto" w:fill="CCEEFF"/>
            <w:tcMar>
              <w:top w:w="40" w:type="dxa"/>
              <w:left w:w="20" w:type="dxa"/>
              <w:bottom w:w="40" w:type="dxa"/>
              <w:right w:w="20" w:type="dxa"/>
            </w:tcMar>
            <w:vAlign w:val="center"/>
          </w:tcPr>
          <w:p w14:paraId="35D099B1" w14:textId="77777777" w:rsidR="00D42204" w:rsidRDefault="004E439D">
            <w:pPr>
              <w:textAlignment w:val="center"/>
            </w:pPr>
            <w:r>
              <w:rPr>
                <w:rFonts w:ascii="Times New Roman" w:eastAsia="宋体" w:hAnsi="Times New Roman"/>
                <w:color w:val="000000"/>
                <w:sz w:val="16"/>
                <w:szCs w:val="16"/>
              </w:rPr>
              <w:t>Walmart International</w:t>
            </w:r>
          </w:p>
        </w:tc>
        <w:tc>
          <w:tcPr>
            <w:tcW w:w="0" w:type="auto"/>
            <w:gridSpan w:val="3"/>
            <w:shd w:val="clear" w:color="auto" w:fill="CCEEFF"/>
            <w:tcMar>
              <w:top w:w="0" w:type="dxa"/>
              <w:left w:w="20" w:type="dxa"/>
              <w:bottom w:w="0" w:type="dxa"/>
              <w:right w:w="20" w:type="dxa"/>
            </w:tcMar>
            <w:vAlign w:val="bottom"/>
          </w:tcPr>
          <w:p w14:paraId="35D099B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9B3" w14:textId="77777777" w:rsidR="00D42204" w:rsidRDefault="004E439D">
            <w:pPr>
              <w:jc w:val="right"/>
              <w:textAlignment w:val="center"/>
            </w:pPr>
            <w:r>
              <w:rPr>
                <w:rFonts w:ascii="Times New Roman" w:eastAsia="宋体" w:hAnsi="Times New Roman"/>
                <w:color w:val="000000"/>
                <w:sz w:val="16"/>
                <w:szCs w:val="16"/>
              </w:rPr>
              <w:t>2,497 </w:t>
            </w:r>
          </w:p>
        </w:tc>
        <w:tc>
          <w:tcPr>
            <w:tcW w:w="0" w:type="auto"/>
            <w:shd w:val="clear" w:color="auto" w:fill="CCEEFF"/>
            <w:tcMar>
              <w:top w:w="40" w:type="dxa"/>
              <w:left w:w="0" w:type="dxa"/>
              <w:bottom w:w="40" w:type="dxa"/>
              <w:right w:w="20" w:type="dxa"/>
            </w:tcMar>
            <w:vAlign w:val="center"/>
          </w:tcPr>
          <w:p w14:paraId="35D099B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9B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9B6" w14:textId="77777777" w:rsidR="00D42204" w:rsidRDefault="004E439D">
            <w:pPr>
              <w:jc w:val="right"/>
              <w:textAlignment w:val="center"/>
            </w:pPr>
            <w:r>
              <w:rPr>
                <w:rFonts w:ascii="Times New Roman" w:eastAsia="宋体" w:hAnsi="Times New Roman"/>
                <w:color w:val="000000"/>
                <w:sz w:val="16"/>
                <w:szCs w:val="16"/>
              </w:rPr>
              <w:t>2,436 </w:t>
            </w:r>
          </w:p>
        </w:tc>
        <w:tc>
          <w:tcPr>
            <w:tcW w:w="0" w:type="auto"/>
            <w:shd w:val="clear" w:color="auto" w:fill="CCEEFF"/>
            <w:tcMar>
              <w:top w:w="40" w:type="dxa"/>
              <w:left w:w="0" w:type="dxa"/>
              <w:bottom w:w="40" w:type="dxa"/>
              <w:right w:w="20" w:type="dxa"/>
            </w:tcMar>
            <w:vAlign w:val="center"/>
          </w:tcPr>
          <w:p w14:paraId="35D099B7" w14:textId="77777777" w:rsidR="00D42204" w:rsidRDefault="00D42204">
            <w:pPr>
              <w:jc w:val="right"/>
              <w:rPr>
                <w:rFonts w:ascii="宋体"/>
              </w:rPr>
            </w:pPr>
          </w:p>
        </w:tc>
      </w:tr>
      <w:tr w:rsidR="00D42204" w14:paraId="35D099C2" w14:textId="77777777">
        <w:tc>
          <w:tcPr>
            <w:tcW w:w="0" w:type="auto"/>
            <w:gridSpan w:val="3"/>
            <w:shd w:val="clear" w:color="auto" w:fill="FFFFFF"/>
            <w:tcMar>
              <w:top w:w="40" w:type="dxa"/>
              <w:left w:w="20" w:type="dxa"/>
              <w:bottom w:w="40" w:type="dxa"/>
              <w:right w:w="20" w:type="dxa"/>
            </w:tcMar>
            <w:vAlign w:val="center"/>
          </w:tcPr>
          <w:p w14:paraId="35D099B9" w14:textId="77777777" w:rsidR="00D42204" w:rsidRDefault="004E439D">
            <w:pPr>
              <w:textAlignment w:val="center"/>
            </w:pPr>
            <w:r>
              <w:rPr>
                <w:rFonts w:ascii="Times New Roman" w:eastAsia="宋体" w:hAnsi="Times New Roman"/>
                <w:b/>
                <w:bCs/>
                <w:color w:val="000000"/>
                <w:sz w:val="16"/>
                <w:szCs w:val="16"/>
              </w:rPr>
              <w:t>Total capital expenditures</w:t>
            </w:r>
          </w:p>
        </w:tc>
        <w:tc>
          <w:tcPr>
            <w:tcW w:w="0" w:type="auto"/>
            <w:gridSpan w:val="3"/>
            <w:shd w:val="clear" w:color="auto" w:fill="FFFFFF"/>
            <w:tcMar>
              <w:top w:w="0" w:type="dxa"/>
              <w:left w:w="20" w:type="dxa"/>
              <w:bottom w:w="0" w:type="dxa"/>
              <w:right w:w="20" w:type="dxa"/>
            </w:tcMar>
            <w:vAlign w:val="bottom"/>
          </w:tcPr>
          <w:p w14:paraId="35D099BA"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99B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99BC" w14:textId="77777777" w:rsidR="00D42204" w:rsidRDefault="004E439D">
            <w:pPr>
              <w:jc w:val="right"/>
              <w:textAlignment w:val="center"/>
            </w:pPr>
            <w:r>
              <w:rPr>
                <w:rFonts w:ascii="Times New Roman" w:eastAsia="宋体" w:hAnsi="Times New Roman"/>
                <w:color w:val="000000"/>
                <w:sz w:val="16"/>
                <w:szCs w:val="16"/>
              </w:rPr>
              <w:t>13,106 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99B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9BE"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99BF"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99C0" w14:textId="77777777" w:rsidR="00D42204" w:rsidRDefault="004E439D">
            <w:pPr>
              <w:jc w:val="right"/>
              <w:textAlignment w:val="center"/>
            </w:pPr>
            <w:r>
              <w:rPr>
                <w:rFonts w:ascii="Times New Roman" w:eastAsia="宋体" w:hAnsi="Times New Roman"/>
                <w:color w:val="000000"/>
                <w:sz w:val="16"/>
                <w:szCs w:val="16"/>
              </w:rPr>
              <w:t>10,264 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99C1" w14:textId="77777777" w:rsidR="00D42204" w:rsidRDefault="00D42204">
            <w:pPr>
              <w:jc w:val="right"/>
              <w:rPr>
                <w:rFonts w:ascii="宋体"/>
              </w:rPr>
            </w:pPr>
          </w:p>
        </w:tc>
      </w:tr>
    </w:tbl>
    <w:p w14:paraId="35D099C3" w14:textId="77777777" w:rsidR="00D42204" w:rsidRDefault="004E439D">
      <w:pPr>
        <w:spacing w:before="180"/>
      </w:pPr>
      <w:r>
        <w:rPr>
          <w:rFonts w:ascii="Times New Roman" w:eastAsia="宋体" w:hAnsi="Times New Roman"/>
          <w:b/>
          <w:bCs/>
          <w:color w:val="000000"/>
          <w:sz w:val="20"/>
          <w:szCs w:val="20"/>
          <w:u w:val="single"/>
        </w:rPr>
        <w:t>Returns</w:t>
      </w:r>
    </w:p>
    <w:p w14:paraId="35D099C4" w14:textId="77777777" w:rsidR="00D42204" w:rsidRDefault="004E439D">
      <w:pPr>
        <w:spacing w:before="100"/>
      </w:pPr>
      <w:r>
        <w:rPr>
          <w:rFonts w:ascii="Times New Roman" w:eastAsia="宋体" w:hAnsi="Times New Roman"/>
          <w:color w:val="000000"/>
          <w:sz w:val="20"/>
          <w:szCs w:val="20"/>
        </w:rPr>
        <w:t>As we execute our financial framework, we believe our return on capital will improve over time. We measure return on capital with our return on assets, return on investment and free cash flow metrics. We also provide returns in the form of share repurchase</w:t>
      </w:r>
      <w:r>
        <w:rPr>
          <w:rFonts w:ascii="Times New Roman" w:eastAsia="宋体" w:hAnsi="Times New Roman"/>
          <w:color w:val="000000"/>
          <w:sz w:val="20"/>
          <w:szCs w:val="20"/>
        </w:rPr>
        <w:t xml:space="preserve">s and dividends, which are discussed in the </w:t>
      </w:r>
      <w:hyperlink r:id="rId100" w:anchor="i1ba69ebb72ec48f9b754a5e96c4cdf3f_103" w:history="1">
        <w:r>
          <w:rPr>
            <w:rStyle w:val="a5"/>
            <w:rFonts w:ascii="Times New Roman" w:eastAsia="宋体" w:hAnsi="Times New Roman"/>
            <w:sz w:val="20"/>
            <w:szCs w:val="20"/>
          </w:rPr>
          <w:t>Liquidity and Capital Resources</w:t>
        </w:r>
      </w:hyperlink>
      <w:r>
        <w:rPr>
          <w:rFonts w:ascii="Times New Roman" w:eastAsia="宋体" w:hAnsi="Times New Roman"/>
          <w:color w:val="000000"/>
          <w:sz w:val="20"/>
          <w:szCs w:val="20"/>
        </w:rPr>
        <w:t xml:space="preserve"> section.</w:t>
      </w:r>
    </w:p>
    <w:p w14:paraId="35D099C5" w14:textId="77777777" w:rsidR="00D42204" w:rsidRDefault="004E439D">
      <w:pPr>
        <w:spacing w:before="100"/>
      </w:pPr>
      <w:r>
        <w:rPr>
          <w:rFonts w:ascii="Times New Roman" w:eastAsia="宋体" w:hAnsi="Times New Roman"/>
          <w:i/>
          <w:iCs/>
          <w:color w:val="000000"/>
          <w:sz w:val="20"/>
          <w:szCs w:val="20"/>
        </w:rPr>
        <w:t xml:space="preserve">Return on Assets </w:t>
      </w:r>
      <w:r>
        <w:rPr>
          <w:rFonts w:ascii="Times New Roman" w:eastAsia="宋体" w:hAnsi="Times New Roman"/>
          <w:i/>
          <w:iCs/>
          <w:color w:val="000000"/>
          <w:sz w:val="20"/>
          <w:szCs w:val="20"/>
        </w:rPr>
        <w:t xml:space="preserve">and Return on Investment </w:t>
      </w:r>
    </w:p>
    <w:p w14:paraId="35D099C6" w14:textId="77777777" w:rsidR="00D42204" w:rsidRDefault="004E439D">
      <w:pPr>
        <w:spacing w:before="100"/>
      </w:pPr>
      <w:r>
        <w:rPr>
          <w:rFonts w:ascii="Times New Roman" w:eastAsia="宋体" w:hAnsi="Times New Roman"/>
          <w:color w:val="000000"/>
          <w:sz w:val="20"/>
          <w:szCs w:val="20"/>
        </w:rPr>
        <w:t>We include Return on Assets ("ROA"), the most directly comparable measure based on our financial statements presented in accordance with generally accepted accounting principles in the U.S. ("GAAP"), and Return on Investment ("ROI</w:t>
      </w:r>
      <w:r>
        <w:rPr>
          <w:rFonts w:ascii="Times New Roman" w:eastAsia="宋体" w:hAnsi="Times New Roman"/>
          <w:color w:val="000000"/>
          <w:sz w:val="20"/>
          <w:szCs w:val="20"/>
        </w:rPr>
        <w:t>") as metrics to assess returns on assets. While ROI is considered a non-GAAP financial measure, management believes ROI is a meaningful metric to share with investors because it helps investors assess how effectively Walmart is deploying its assets. Trend</w:t>
      </w:r>
      <w:r>
        <w:rPr>
          <w:rFonts w:ascii="Times New Roman" w:eastAsia="宋体" w:hAnsi="Times New Roman"/>
          <w:color w:val="000000"/>
          <w:sz w:val="20"/>
          <w:szCs w:val="20"/>
        </w:rPr>
        <w:t>s in ROI can fluctuate over time as management balances long-term strategic initiatives with possible short-term impacts. ROA was 5.6% for both fiscal 2022 and 2021, respectively. ROI was 14.9% and 14.0% for fiscal 2022 and 2021, respectively, which increa</w:t>
      </w:r>
      <w:r>
        <w:rPr>
          <w:rFonts w:ascii="Times New Roman" w:eastAsia="宋体" w:hAnsi="Times New Roman"/>
          <w:color w:val="000000"/>
          <w:sz w:val="20"/>
          <w:szCs w:val="20"/>
        </w:rPr>
        <w:t xml:space="preserve">sed primarily due to the increase in operating income. </w:t>
      </w:r>
    </w:p>
    <w:p w14:paraId="35D099C7" w14:textId="77777777" w:rsidR="00D42204" w:rsidRDefault="004E439D">
      <w:pPr>
        <w:spacing w:before="100"/>
      </w:pPr>
      <w:r>
        <w:rPr>
          <w:rFonts w:ascii="Times New Roman" w:eastAsia="宋体" w:hAnsi="Times New Roman"/>
          <w:color w:val="000000"/>
          <w:sz w:val="20"/>
          <w:szCs w:val="20"/>
        </w:rPr>
        <w:t>We define ROI as adjusted operating income (operating income plus interest income, depreciation and amortization, and rent expense) for the trailing twelve months divided by average invested capital d</w:t>
      </w:r>
      <w:r>
        <w:rPr>
          <w:rFonts w:ascii="Times New Roman" w:eastAsia="宋体" w:hAnsi="Times New Roman"/>
          <w:color w:val="000000"/>
          <w:sz w:val="20"/>
          <w:szCs w:val="20"/>
        </w:rPr>
        <w:t>uring that period. We consider average invested capital to be the average of our beginning and ending total assets, plus average accumulated depreciation and average amortization, less average accounts payable and average accrued liabilities for that perio</w:t>
      </w:r>
      <w:r>
        <w:rPr>
          <w:rFonts w:ascii="Times New Roman" w:eastAsia="宋体" w:hAnsi="Times New Roman"/>
          <w:color w:val="000000"/>
          <w:sz w:val="20"/>
          <w:szCs w:val="20"/>
        </w:rPr>
        <w:t>d.</w:t>
      </w:r>
    </w:p>
    <w:p w14:paraId="35D099C8" w14:textId="77777777" w:rsidR="00D42204" w:rsidRDefault="004E439D">
      <w:pPr>
        <w:spacing w:before="100"/>
      </w:pPr>
      <w:r>
        <w:rPr>
          <w:rFonts w:ascii="Times New Roman" w:eastAsia="宋体" w:hAnsi="Times New Roman"/>
          <w:color w:val="000000"/>
          <w:sz w:val="20"/>
          <w:szCs w:val="20"/>
        </w:rPr>
        <w:t>Our calculation of ROI is considered a non-GAAP financial measure because we calculate ROI using financial measures that exclude and include amounts that are included and excluded in the most directly comparable GAAP financial measure. For example, we e</w:t>
      </w:r>
      <w:r>
        <w:rPr>
          <w:rFonts w:ascii="Times New Roman" w:eastAsia="宋体" w:hAnsi="Times New Roman"/>
          <w:color w:val="000000"/>
          <w:sz w:val="20"/>
          <w:szCs w:val="20"/>
        </w:rPr>
        <w:t>xclude the impact of depreciation and amortization from our reported operating income in calculating the numerator of our calculation of ROI. As mentioned above, we consider ROA to be the financial measure computed in accordance with GAAP most directly com</w:t>
      </w:r>
      <w:r>
        <w:rPr>
          <w:rFonts w:ascii="Times New Roman" w:eastAsia="宋体" w:hAnsi="Times New Roman"/>
          <w:color w:val="000000"/>
          <w:sz w:val="20"/>
          <w:szCs w:val="20"/>
        </w:rPr>
        <w:t xml:space="preserve">parable to our calculation of ROI. ROI differs from ROA (which is consolidated net income for the period divided by average total assets for the period) because ROI: adjusts operating income to exclude certain </w:t>
      </w:r>
    </w:p>
    <w:p w14:paraId="35D099C9" w14:textId="77777777" w:rsidR="00D42204" w:rsidRDefault="004E439D">
      <w:pPr>
        <w:jc w:val="center"/>
      </w:pPr>
      <w:r>
        <w:rPr>
          <w:rFonts w:ascii="Times New Roman" w:eastAsia="宋体" w:hAnsi="Times New Roman"/>
          <w:color w:val="000000"/>
          <w:sz w:val="20"/>
          <w:szCs w:val="20"/>
        </w:rPr>
        <w:t>36</w:t>
      </w:r>
    </w:p>
    <w:p w14:paraId="35D099CA" w14:textId="77777777" w:rsidR="00D42204" w:rsidRDefault="004E439D">
      <w:r>
        <w:pict w14:anchorId="35D0C37F">
          <v:rect id="_x0000_i1060" style="width:415.3pt;height:1.5pt" o:hralign="center" o:hrstd="t" o:hr="t" fillcolor="#a0a0a0" stroked="f"/>
        </w:pict>
      </w:r>
    </w:p>
    <w:p w14:paraId="35D099CB" w14:textId="77777777" w:rsidR="00D42204" w:rsidRDefault="00D42204"/>
    <w:p w14:paraId="35D099CC" w14:textId="77777777" w:rsidR="00D42204" w:rsidRDefault="004E439D">
      <w:pPr>
        <w:spacing w:before="100"/>
      </w:pPr>
      <w:r>
        <w:rPr>
          <w:rFonts w:ascii="Times New Roman" w:eastAsia="宋体" w:hAnsi="Times New Roman"/>
          <w:color w:val="000000"/>
          <w:sz w:val="20"/>
          <w:szCs w:val="20"/>
        </w:rPr>
        <w:t>expense items and adds interest income;</w:t>
      </w:r>
      <w:r>
        <w:rPr>
          <w:rFonts w:ascii="Times New Roman" w:eastAsia="宋体" w:hAnsi="Times New Roman"/>
          <w:color w:val="000000"/>
          <w:sz w:val="20"/>
          <w:szCs w:val="20"/>
        </w:rPr>
        <w:t xml:space="preserve"> and adjusts total assets for the impact of accumulated depreciation and amortization, accounts payable and accrued liabilities to arrive at total invested capital. Because of the adjustments mentioned above, we believe ROI more accurately measures how we </w:t>
      </w:r>
      <w:r>
        <w:rPr>
          <w:rFonts w:ascii="Times New Roman" w:eastAsia="宋体" w:hAnsi="Times New Roman"/>
          <w:color w:val="000000"/>
          <w:sz w:val="20"/>
          <w:szCs w:val="20"/>
        </w:rPr>
        <w:t>are deploying our key assets and is more meaningful to investors than ROA. Although ROI is a standard financial measure, numerous methods exist for calculating a company's ROI. As a result, the method used by management to calculate our ROI may differ from</w:t>
      </w:r>
      <w:r>
        <w:rPr>
          <w:rFonts w:ascii="Times New Roman" w:eastAsia="宋体" w:hAnsi="Times New Roman"/>
          <w:color w:val="000000"/>
          <w:sz w:val="20"/>
          <w:szCs w:val="20"/>
        </w:rPr>
        <w:t xml:space="preserve"> the methods used by other companies to calculate their ROI.</w:t>
      </w:r>
    </w:p>
    <w:p w14:paraId="35D099CD" w14:textId="77777777" w:rsidR="00D42204" w:rsidRDefault="004E439D">
      <w:pPr>
        <w:spacing w:before="100"/>
      </w:pPr>
      <w:r>
        <w:rPr>
          <w:rFonts w:ascii="Times New Roman" w:eastAsia="宋体" w:hAnsi="Times New Roman"/>
          <w:color w:val="000000"/>
          <w:sz w:val="20"/>
          <w:szCs w:val="20"/>
        </w:rPr>
        <w:t xml:space="preserve">The calculation of ROA and ROI, along with a reconciliation of ROI to the calculation of ROA, the most comparable GAAP financial measure, is as follows: </w:t>
      </w:r>
    </w:p>
    <w:tbl>
      <w:tblPr>
        <w:tblW w:w="4993" w:type="pct"/>
        <w:tblCellMar>
          <w:top w:w="15" w:type="dxa"/>
          <w:left w:w="15" w:type="dxa"/>
          <w:bottom w:w="15" w:type="dxa"/>
          <w:right w:w="15" w:type="dxa"/>
        </w:tblCellMar>
        <w:tblLook w:val="04A0" w:firstRow="1" w:lastRow="0" w:firstColumn="1" w:lastColumn="0" w:noHBand="0" w:noVBand="1"/>
      </w:tblPr>
      <w:tblGrid>
        <w:gridCol w:w="39"/>
        <w:gridCol w:w="5855"/>
        <w:gridCol w:w="38"/>
        <w:gridCol w:w="36"/>
        <w:gridCol w:w="36"/>
        <w:gridCol w:w="36"/>
        <w:gridCol w:w="100"/>
        <w:gridCol w:w="834"/>
        <w:gridCol w:w="154"/>
        <w:gridCol w:w="36"/>
        <w:gridCol w:w="36"/>
        <w:gridCol w:w="36"/>
        <w:gridCol w:w="100"/>
        <w:gridCol w:w="834"/>
        <w:gridCol w:w="154"/>
      </w:tblGrid>
      <w:tr w:rsidR="00D42204" w14:paraId="35D099DD" w14:textId="77777777">
        <w:tc>
          <w:tcPr>
            <w:tcW w:w="50" w:type="pct"/>
            <w:shd w:val="clear" w:color="auto" w:fill="auto"/>
            <w:vAlign w:val="bottom"/>
          </w:tcPr>
          <w:p w14:paraId="35D099CE" w14:textId="77777777" w:rsidR="00D42204" w:rsidRDefault="00D42204">
            <w:pPr>
              <w:rPr>
                <w:rFonts w:ascii="宋体"/>
              </w:rPr>
            </w:pPr>
          </w:p>
        </w:tc>
        <w:tc>
          <w:tcPr>
            <w:tcW w:w="3583" w:type="pct"/>
            <w:shd w:val="clear" w:color="auto" w:fill="auto"/>
            <w:vAlign w:val="bottom"/>
          </w:tcPr>
          <w:p w14:paraId="35D099CF" w14:textId="77777777" w:rsidR="00D42204" w:rsidRDefault="00D42204">
            <w:pPr>
              <w:rPr>
                <w:rFonts w:ascii="宋体"/>
              </w:rPr>
            </w:pPr>
          </w:p>
        </w:tc>
        <w:tc>
          <w:tcPr>
            <w:tcW w:w="5" w:type="pct"/>
            <w:shd w:val="clear" w:color="auto" w:fill="auto"/>
            <w:vAlign w:val="bottom"/>
          </w:tcPr>
          <w:p w14:paraId="35D099D0" w14:textId="77777777" w:rsidR="00D42204" w:rsidRDefault="00D42204">
            <w:pPr>
              <w:rPr>
                <w:rFonts w:ascii="宋体"/>
              </w:rPr>
            </w:pPr>
          </w:p>
        </w:tc>
        <w:tc>
          <w:tcPr>
            <w:tcW w:w="5" w:type="pct"/>
            <w:shd w:val="clear" w:color="auto" w:fill="auto"/>
            <w:vAlign w:val="bottom"/>
          </w:tcPr>
          <w:p w14:paraId="35D099D1" w14:textId="77777777" w:rsidR="00D42204" w:rsidRDefault="00D42204">
            <w:pPr>
              <w:rPr>
                <w:rFonts w:ascii="宋体"/>
              </w:rPr>
            </w:pPr>
          </w:p>
        </w:tc>
        <w:tc>
          <w:tcPr>
            <w:tcW w:w="26" w:type="pct"/>
            <w:shd w:val="clear" w:color="auto" w:fill="auto"/>
            <w:vAlign w:val="bottom"/>
          </w:tcPr>
          <w:p w14:paraId="35D099D2" w14:textId="77777777" w:rsidR="00D42204" w:rsidRDefault="00D42204">
            <w:pPr>
              <w:rPr>
                <w:rFonts w:ascii="宋体"/>
              </w:rPr>
            </w:pPr>
          </w:p>
        </w:tc>
        <w:tc>
          <w:tcPr>
            <w:tcW w:w="5" w:type="pct"/>
            <w:shd w:val="clear" w:color="auto" w:fill="auto"/>
            <w:vAlign w:val="bottom"/>
          </w:tcPr>
          <w:p w14:paraId="35D099D3" w14:textId="77777777" w:rsidR="00D42204" w:rsidRDefault="00D42204">
            <w:pPr>
              <w:rPr>
                <w:rFonts w:ascii="宋体"/>
              </w:rPr>
            </w:pPr>
          </w:p>
        </w:tc>
        <w:tc>
          <w:tcPr>
            <w:tcW w:w="50" w:type="pct"/>
            <w:shd w:val="clear" w:color="auto" w:fill="auto"/>
            <w:vAlign w:val="bottom"/>
          </w:tcPr>
          <w:p w14:paraId="35D099D4" w14:textId="77777777" w:rsidR="00D42204" w:rsidRDefault="00D42204">
            <w:pPr>
              <w:rPr>
                <w:rFonts w:ascii="宋体"/>
              </w:rPr>
            </w:pPr>
          </w:p>
        </w:tc>
        <w:tc>
          <w:tcPr>
            <w:tcW w:w="589" w:type="pct"/>
            <w:shd w:val="clear" w:color="auto" w:fill="auto"/>
            <w:vAlign w:val="bottom"/>
          </w:tcPr>
          <w:p w14:paraId="35D099D5" w14:textId="77777777" w:rsidR="00D42204" w:rsidRDefault="00D42204">
            <w:pPr>
              <w:rPr>
                <w:rFonts w:ascii="宋体"/>
              </w:rPr>
            </w:pPr>
          </w:p>
        </w:tc>
        <w:tc>
          <w:tcPr>
            <w:tcW w:w="5" w:type="pct"/>
            <w:shd w:val="clear" w:color="auto" w:fill="auto"/>
            <w:vAlign w:val="bottom"/>
          </w:tcPr>
          <w:p w14:paraId="35D099D6" w14:textId="77777777" w:rsidR="00D42204" w:rsidRDefault="00D42204">
            <w:pPr>
              <w:rPr>
                <w:rFonts w:ascii="宋体"/>
              </w:rPr>
            </w:pPr>
          </w:p>
        </w:tc>
        <w:tc>
          <w:tcPr>
            <w:tcW w:w="5" w:type="pct"/>
            <w:shd w:val="clear" w:color="auto" w:fill="auto"/>
            <w:vAlign w:val="bottom"/>
          </w:tcPr>
          <w:p w14:paraId="35D099D7" w14:textId="77777777" w:rsidR="00D42204" w:rsidRDefault="00D42204">
            <w:pPr>
              <w:rPr>
                <w:rFonts w:ascii="宋体"/>
              </w:rPr>
            </w:pPr>
          </w:p>
        </w:tc>
        <w:tc>
          <w:tcPr>
            <w:tcW w:w="26" w:type="pct"/>
            <w:shd w:val="clear" w:color="auto" w:fill="auto"/>
            <w:vAlign w:val="bottom"/>
          </w:tcPr>
          <w:p w14:paraId="35D099D8" w14:textId="77777777" w:rsidR="00D42204" w:rsidRDefault="00D42204">
            <w:pPr>
              <w:rPr>
                <w:rFonts w:ascii="宋体"/>
              </w:rPr>
            </w:pPr>
          </w:p>
        </w:tc>
        <w:tc>
          <w:tcPr>
            <w:tcW w:w="5" w:type="pct"/>
            <w:shd w:val="clear" w:color="auto" w:fill="auto"/>
            <w:vAlign w:val="bottom"/>
          </w:tcPr>
          <w:p w14:paraId="35D099D9" w14:textId="77777777" w:rsidR="00D42204" w:rsidRDefault="00D42204">
            <w:pPr>
              <w:rPr>
                <w:rFonts w:ascii="宋体"/>
              </w:rPr>
            </w:pPr>
          </w:p>
        </w:tc>
        <w:tc>
          <w:tcPr>
            <w:tcW w:w="50" w:type="pct"/>
            <w:shd w:val="clear" w:color="auto" w:fill="auto"/>
            <w:vAlign w:val="bottom"/>
          </w:tcPr>
          <w:p w14:paraId="35D099DA" w14:textId="77777777" w:rsidR="00D42204" w:rsidRDefault="00D42204">
            <w:pPr>
              <w:rPr>
                <w:rFonts w:ascii="宋体"/>
              </w:rPr>
            </w:pPr>
          </w:p>
        </w:tc>
        <w:tc>
          <w:tcPr>
            <w:tcW w:w="589" w:type="pct"/>
            <w:shd w:val="clear" w:color="auto" w:fill="auto"/>
            <w:vAlign w:val="bottom"/>
          </w:tcPr>
          <w:p w14:paraId="35D099DB" w14:textId="77777777" w:rsidR="00D42204" w:rsidRDefault="00D42204">
            <w:pPr>
              <w:rPr>
                <w:rFonts w:ascii="宋体"/>
              </w:rPr>
            </w:pPr>
          </w:p>
        </w:tc>
        <w:tc>
          <w:tcPr>
            <w:tcW w:w="5" w:type="pct"/>
            <w:shd w:val="clear" w:color="auto" w:fill="auto"/>
            <w:vAlign w:val="bottom"/>
          </w:tcPr>
          <w:p w14:paraId="35D099DC" w14:textId="77777777" w:rsidR="00D42204" w:rsidRDefault="00D42204">
            <w:pPr>
              <w:rPr>
                <w:rFonts w:ascii="宋体"/>
              </w:rPr>
            </w:pPr>
          </w:p>
        </w:tc>
      </w:tr>
      <w:tr w:rsidR="00D42204" w14:paraId="35D099E1" w14:textId="77777777">
        <w:tc>
          <w:tcPr>
            <w:tcW w:w="0" w:type="auto"/>
            <w:gridSpan w:val="3"/>
            <w:shd w:val="clear" w:color="auto" w:fill="auto"/>
            <w:tcMar>
              <w:top w:w="40" w:type="dxa"/>
              <w:left w:w="20" w:type="dxa"/>
              <w:bottom w:w="40" w:type="dxa"/>
              <w:right w:w="20" w:type="dxa"/>
            </w:tcMar>
            <w:vAlign w:val="bottom"/>
          </w:tcPr>
          <w:p w14:paraId="35D099DE"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99DF" w14:textId="77777777" w:rsidR="00D42204" w:rsidRDefault="00D42204">
            <w:pPr>
              <w:rPr>
                <w:rFonts w:ascii="宋体"/>
              </w:rPr>
            </w:pPr>
          </w:p>
        </w:tc>
        <w:tc>
          <w:tcPr>
            <w:tcW w:w="0" w:type="auto"/>
            <w:gridSpan w:val="9"/>
            <w:shd w:val="clear" w:color="auto" w:fill="auto"/>
            <w:tcMar>
              <w:top w:w="40" w:type="dxa"/>
              <w:left w:w="20" w:type="dxa"/>
              <w:bottom w:w="40" w:type="dxa"/>
              <w:right w:w="20" w:type="dxa"/>
            </w:tcMar>
            <w:vAlign w:val="bottom"/>
          </w:tcPr>
          <w:p w14:paraId="35D099E0" w14:textId="77777777" w:rsidR="00D42204" w:rsidRDefault="004E439D">
            <w:pPr>
              <w:jc w:val="center"/>
              <w:textAlignment w:val="bottom"/>
            </w:pPr>
            <w:r>
              <w:rPr>
                <w:rFonts w:ascii="Times New Roman" w:eastAsia="宋体" w:hAnsi="Times New Roman"/>
                <w:b/>
                <w:bCs/>
                <w:color w:val="000000"/>
                <w:sz w:val="16"/>
                <w:szCs w:val="16"/>
              </w:rPr>
              <w:t xml:space="preserve">Fiscal Years </w:t>
            </w:r>
            <w:r>
              <w:rPr>
                <w:rFonts w:ascii="Times New Roman" w:eastAsia="宋体" w:hAnsi="Times New Roman"/>
                <w:b/>
                <w:bCs/>
                <w:color w:val="000000"/>
                <w:sz w:val="16"/>
                <w:szCs w:val="16"/>
              </w:rPr>
              <w:t>Ended January 31,</w:t>
            </w:r>
          </w:p>
        </w:tc>
      </w:tr>
      <w:tr w:rsidR="00D42204" w14:paraId="35D099E7" w14:textId="77777777">
        <w:tc>
          <w:tcPr>
            <w:tcW w:w="0" w:type="auto"/>
            <w:gridSpan w:val="3"/>
            <w:shd w:val="clear" w:color="auto" w:fill="auto"/>
            <w:tcMar>
              <w:top w:w="40" w:type="dxa"/>
              <w:left w:w="20" w:type="dxa"/>
              <w:bottom w:w="40" w:type="dxa"/>
              <w:right w:w="20" w:type="dxa"/>
            </w:tcMar>
            <w:vAlign w:val="bottom"/>
          </w:tcPr>
          <w:p w14:paraId="35D099E2"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99E3" w14:textId="77777777" w:rsidR="00D42204" w:rsidRDefault="00D4220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5D099E4"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9E5" w14:textId="77777777" w:rsidR="00D42204" w:rsidRDefault="00D42204">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35D099E6" w14:textId="77777777" w:rsidR="00D42204" w:rsidRDefault="004E439D">
            <w:pPr>
              <w:jc w:val="center"/>
              <w:textAlignment w:val="bottom"/>
            </w:pPr>
            <w:r>
              <w:rPr>
                <w:rFonts w:ascii="Times New Roman" w:eastAsia="宋体" w:hAnsi="Times New Roman"/>
                <w:b/>
                <w:bCs/>
                <w:color w:val="000000"/>
                <w:sz w:val="16"/>
                <w:szCs w:val="16"/>
              </w:rPr>
              <w:t>2021</w:t>
            </w:r>
          </w:p>
        </w:tc>
      </w:tr>
      <w:tr w:rsidR="00D42204" w14:paraId="35D099E9" w14:textId="77777777">
        <w:tc>
          <w:tcPr>
            <w:tcW w:w="0" w:type="auto"/>
            <w:gridSpan w:val="15"/>
            <w:shd w:val="clear" w:color="auto" w:fill="CCEEFF"/>
            <w:tcMar>
              <w:top w:w="40" w:type="dxa"/>
              <w:left w:w="20" w:type="dxa"/>
              <w:bottom w:w="40" w:type="dxa"/>
              <w:right w:w="20" w:type="dxa"/>
            </w:tcMar>
            <w:vAlign w:val="center"/>
          </w:tcPr>
          <w:p w14:paraId="35D099E8" w14:textId="77777777" w:rsidR="00D42204" w:rsidRDefault="004E439D">
            <w:pPr>
              <w:textAlignment w:val="center"/>
            </w:pPr>
            <w:r>
              <w:rPr>
                <w:rFonts w:ascii="Times New Roman" w:eastAsia="宋体" w:hAnsi="Times New Roman"/>
                <w:b/>
                <w:bCs/>
                <w:color w:val="000000"/>
                <w:sz w:val="16"/>
                <w:szCs w:val="16"/>
              </w:rPr>
              <w:t>CALCULATION OF RETURN ON ASSETS</w:t>
            </w:r>
          </w:p>
        </w:tc>
      </w:tr>
      <w:tr w:rsidR="00D42204" w14:paraId="35D099EF" w14:textId="77777777">
        <w:tc>
          <w:tcPr>
            <w:tcW w:w="0" w:type="auto"/>
            <w:gridSpan w:val="3"/>
            <w:shd w:val="clear" w:color="auto" w:fill="auto"/>
            <w:tcMar>
              <w:top w:w="40" w:type="dxa"/>
              <w:left w:w="20" w:type="dxa"/>
              <w:bottom w:w="40" w:type="dxa"/>
              <w:right w:w="20" w:type="dxa"/>
            </w:tcMar>
            <w:vAlign w:val="center"/>
          </w:tcPr>
          <w:p w14:paraId="35D099EA" w14:textId="77777777" w:rsidR="00D42204" w:rsidRDefault="004E439D">
            <w:pPr>
              <w:textAlignment w:val="center"/>
            </w:pPr>
            <w:r>
              <w:rPr>
                <w:rFonts w:ascii="Times New Roman" w:eastAsia="宋体" w:hAnsi="Times New Roman"/>
                <w:b/>
                <w:bCs/>
                <w:color w:val="000000"/>
                <w:sz w:val="16"/>
                <w:szCs w:val="16"/>
              </w:rPr>
              <w:t>Numerator</w:t>
            </w:r>
          </w:p>
        </w:tc>
        <w:tc>
          <w:tcPr>
            <w:tcW w:w="0" w:type="auto"/>
            <w:gridSpan w:val="3"/>
            <w:shd w:val="clear" w:color="auto" w:fill="auto"/>
            <w:tcMar>
              <w:top w:w="0" w:type="dxa"/>
              <w:left w:w="20" w:type="dxa"/>
              <w:bottom w:w="0" w:type="dxa"/>
              <w:right w:w="20" w:type="dxa"/>
            </w:tcMar>
            <w:vAlign w:val="bottom"/>
          </w:tcPr>
          <w:p w14:paraId="35D099E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9E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9E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9EE" w14:textId="77777777" w:rsidR="00D42204" w:rsidRDefault="00D42204">
            <w:pPr>
              <w:rPr>
                <w:rFonts w:ascii="宋体"/>
              </w:rPr>
            </w:pPr>
          </w:p>
        </w:tc>
      </w:tr>
      <w:tr w:rsidR="00D42204" w14:paraId="35D099F9" w14:textId="77777777">
        <w:tc>
          <w:tcPr>
            <w:tcW w:w="0" w:type="auto"/>
            <w:gridSpan w:val="3"/>
            <w:shd w:val="clear" w:color="auto" w:fill="CCEEFF"/>
            <w:tcMar>
              <w:top w:w="40" w:type="dxa"/>
              <w:left w:w="380" w:type="dxa"/>
              <w:bottom w:w="40" w:type="dxa"/>
              <w:right w:w="20" w:type="dxa"/>
            </w:tcMar>
            <w:vAlign w:val="center"/>
          </w:tcPr>
          <w:p w14:paraId="35D099F0" w14:textId="77777777" w:rsidR="00D42204" w:rsidRDefault="004E439D">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35D099F1"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9F2"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9F3" w14:textId="77777777" w:rsidR="00D42204" w:rsidRDefault="004E439D">
            <w:pPr>
              <w:jc w:val="right"/>
              <w:textAlignment w:val="center"/>
            </w:pPr>
            <w:r>
              <w:rPr>
                <w:rFonts w:ascii="Times New Roman" w:eastAsia="宋体" w:hAnsi="Times New Roman"/>
                <w:color w:val="000000"/>
                <w:sz w:val="16"/>
                <w:szCs w:val="16"/>
              </w:rPr>
              <w:t>13,940 </w:t>
            </w:r>
          </w:p>
        </w:tc>
        <w:tc>
          <w:tcPr>
            <w:tcW w:w="0" w:type="auto"/>
            <w:shd w:val="clear" w:color="auto" w:fill="CCEEFF"/>
            <w:tcMar>
              <w:top w:w="40" w:type="dxa"/>
              <w:left w:w="0" w:type="dxa"/>
              <w:bottom w:w="40" w:type="dxa"/>
              <w:right w:w="20" w:type="dxa"/>
            </w:tcMar>
            <w:vAlign w:val="center"/>
          </w:tcPr>
          <w:p w14:paraId="35D099F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9F5"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9F6"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9F7" w14:textId="77777777" w:rsidR="00D42204" w:rsidRDefault="004E439D">
            <w:pPr>
              <w:jc w:val="right"/>
              <w:textAlignment w:val="center"/>
            </w:pPr>
            <w:r>
              <w:rPr>
                <w:rFonts w:ascii="Times New Roman" w:eastAsia="宋体" w:hAnsi="Times New Roman"/>
                <w:color w:val="000000"/>
                <w:sz w:val="16"/>
                <w:szCs w:val="16"/>
              </w:rPr>
              <w:t>13,706 </w:t>
            </w:r>
          </w:p>
        </w:tc>
        <w:tc>
          <w:tcPr>
            <w:tcW w:w="0" w:type="auto"/>
            <w:shd w:val="clear" w:color="auto" w:fill="CCEEFF"/>
            <w:tcMar>
              <w:top w:w="40" w:type="dxa"/>
              <w:left w:w="0" w:type="dxa"/>
              <w:bottom w:w="40" w:type="dxa"/>
              <w:right w:w="20" w:type="dxa"/>
            </w:tcMar>
            <w:vAlign w:val="center"/>
          </w:tcPr>
          <w:p w14:paraId="35D099F8" w14:textId="77777777" w:rsidR="00D42204" w:rsidRDefault="00D42204">
            <w:pPr>
              <w:jc w:val="right"/>
              <w:rPr>
                <w:rFonts w:ascii="宋体"/>
              </w:rPr>
            </w:pPr>
          </w:p>
        </w:tc>
      </w:tr>
      <w:tr w:rsidR="00D42204" w14:paraId="35D099FF" w14:textId="77777777">
        <w:tc>
          <w:tcPr>
            <w:tcW w:w="0" w:type="auto"/>
            <w:gridSpan w:val="3"/>
            <w:shd w:val="clear" w:color="auto" w:fill="FFFFFF"/>
            <w:tcMar>
              <w:top w:w="40" w:type="dxa"/>
              <w:left w:w="20" w:type="dxa"/>
              <w:bottom w:w="40" w:type="dxa"/>
              <w:right w:w="20" w:type="dxa"/>
            </w:tcMar>
            <w:vAlign w:val="center"/>
          </w:tcPr>
          <w:p w14:paraId="35D099FA" w14:textId="77777777" w:rsidR="00D42204" w:rsidRDefault="004E439D">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vAlign w:val="bottom"/>
          </w:tcPr>
          <w:p w14:paraId="35D099FB" w14:textId="77777777" w:rsidR="00D42204" w:rsidRDefault="00D4220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D099FC"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9FD" w14:textId="77777777" w:rsidR="00D42204" w:rsidRDefault="00D4220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D099FE" w14:textId="77777777" w:rsidR="00D42204" w:rsidRDefault="00D42204">
            <w:pPr>
              <w:rPr>
                <w:rFonts w:ascii="宋体"/>
              </w:rPr>
            </w:pPr>
          </w:p>
        </w:tc>
      </w:tr>
      <w:tr w:rsidR="00D42204" w14:paraId="35D09A09" w14:textId="77777777">
        <w:tc>
          <w:tcPr>
            <w:tcW w:w="0" w:type="auto"/>
            <w:gridSpan w:val="3"/>
            <w:shd w:val="clear" w:color="auto" w:fill="CCEEFF"/>
            <w:tcMar>
              <w:top w:w="40" w:type="dxa"/>
              <w:left w:w="20" w:type="dxa"/>
              <w:bottom w:w="40" w:type="dxa"/>
              <w:right w:w="20" w:type="dxa"/>
            </w:tcMar>
            <w:vAlign w:val="center"/>
          </w:tcPr>
          <w:p w14:paraId="35D09A00" w14:textId="77777777" w:rsidR="00D42204" w:rsidRDefault="004E439D">
            <w:pPr>
              <w:textAlignment w:val="center"/>
            </w:pPr>
            <w:r>
              <w:rPr>
                <w:rFonts w:ascii="Times New Roman" w:eastAsia="宋体" w:hAnsi="Times New Roman"/>
                <w:color w:val="000000"/>
                <w:sz w:val="16"/>
                <w:szCs w:val="16"/>
              </w:rPr>
              <w:t>Average total assets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35D09A01"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A02"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A03" w14:textId="77777777" w:rsidR="00D42204" w:rsidRDefault="004E439D">
            <w:pPr>
              <w:jc w:val="right"/>
              <w:textAlignment w:val="center"/>
            </w:pPr>
            <w:r>
              <w:rPr>
                <w:rFonts w:ascii="Times New Roman" w:eastAsia="宋体" w:hAnsi="Times New Roman"/>
                <w:color w:val="000000"/>
                <w:sz w:val="16"/>
                <w:szCs w:val="16"/>
              </w:rPr>
              <w:t>248,678 </w:t>
            </w:r>
          </w:p>
        </w:tc>
        <w:tc>
          <w:tcPr>
            <w:tcW w:w="0" w:type="auto"/>
            <w:shd w:val="clear" w:color="auto" w:fill="CCEEFF"/>
            <w:tcMar>
              <w:top w:w="40" w:type="dxa"/>
              <w:left w:w="0" w:type="dxa"/>
              <w:bottom w:w="40" w:type="dxa"/>
              <w:right w:w="20" w:type="dxa"/>
            </w:tcMar>
            <w:vAlign w:val="center"/>
          </w:tcPr>
          <w:p w14:paraId="35D09A0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A05"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A06"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A07" w14:textId="77777777" w:rsidR="00D42204" w:rsidRDefault="004E439D">
            <w:pPr>
              <w:jc w:val="right"/>
              <w:textAlignment w:val="center"/>
            </w:pPr>
            <w:r>
              <w:rPr>
                <w:rFonts w:ascii="Times New Roman" w:eastAsia="宋体" w:hAnsi="Times New Roman"/>
                <w:color w:val="000000"/>
                <w:sz w:val="16"/>
                <w:szCs w:val="16"/>
              </w:rPr>
              <w:t>244,496 </w:t>
            </w:r>
          </w:p>
        </w:tc>
        <w:tc>
          <w:tcPr>
            <w:tcW w:w="0" w:type="auto"/>
            <w:shd w:val="clear" w:color="auto" w:fill="CCEEFF"/>
            <w:tcMar>
              <w:top w:w="40" w:type="dxa"/>
              <w:left w:w="0" w:type="dxa"/>
              <w:bottom w:w="40" w:type="dxa"/>
              <w:right w:w="20" w:type="dxa"/>
            </w:tcMar>
            <w:vAlign w:val="center"/>
          </w:tcPr>
          <w:p w14:paraId="35D09A08" w14:textId="77777777" w:rsidR="00D42204" w:rsidRDefault="00D42204">
            <w:pPr>
              <w:jc w:val="right"/>
              <w:rPr>
                <w:rFonts w:ascii="宋体"/>
              </w:rPr>
            </w:pPr>
          </w:p>
        </w:tc>
      </w:tr>
      <w:tr w:rsidR="00D42204" w14:paraId="35D09A11" w14:textId="77777777">
        <w:tc>
          <w:tcPr>
            <w:tcW w:w="0" w:type="auto"/>
            <w:gridSpan w:val="3"/>
            <w:shd w:val="clear" w:color="auto" w:fill="FFFFFF"/>
            <w:tcMar>
              <w:top w:w="40" w:type="dxa"/>
              <w:left w:w="20" w:type="dxa"/>
              <w:bottom w:w="40" w:type="dxa"/>
              <w:right w:w="20" w:type="dxa"/>
            </w:tcMar>
            <w:vAlign w:val="center"/>
          </w:tcPr>
          <w:p w14:paraId="35D09A0A" w14:textId="77777777" w:rsidR="00D42204" w:rsidRDefault="004E439D">
            <w:pPr>
              <w:textAlignment w:val="center"/>
            </w:pPr>
            <w:r>
              <w:rPr>
                <w:rFonts w:ascii="Times New Roman" w:eastAsia="宋体" w:hAnsi="Times New Roman"/>
                <w:b/>
                <w:bCs/>
                <w:color w:val="000000"/>
                <w:sz w:val="16"/>
                <w:szCs w:val="16"/>
              </w:rPr>
              <w:t>Return on assets (ROA)</w:t>
            </w:r>
          </w:p>
        </w:tc>
        <w:tc>
          <w:tcPr>
            <w:tcW w:w="0" w:type="auto"/>
            <w:gridSpan w:val="3"/>
            <w:shd w:val="clear" w:color="auto" w:fill="FFFFFF"/>
            <w:tcMar>
              <w:top w:w="0" w:type="dxa"/>
              <w:left w:w="20" w:type="dxa"/>
              <w:bottom w:w="0" w:type="dxa"/>
              <w:right w:w="20" w:type="dxa"/>
            </w:tcMar>
            <w:vAlign w:val="bottom"/>
          </w:tcPr>
          <w:p w14:paraId="35D09A0B" w14:textId="77777777" w:rsidR="00D42204" w:rsidRDefault="00D42204">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center"/>
          </w:tcPr>
          <w:p w14:paraId="35D09A0C" w14:textId="77777777" w:rsidR="00D42204" w:rsidRDefault="004E439D">
            <w:pPr>
              <w:jc w:val="right"/>
              <w:textAlignment w:val="center"/>
            </w:pPr>
            <w:r>
              <w:rPr>
                <w:rFonts w:ascii="Times New Roman" w:eastAsia="宋体" w:hAnsi="Times New Roman"/>
                <w:color w:val="000000"/>
                <w:sz w:val="16"/>
                <w:szCs w:val="16"/>
              </w:rPr>
              <w:t>5.6 </w:t>
            </w:r>
          </w:p>
        </w:tc>
        <w:tc>
          <w:tcPr>
            <w:tcW w:w="0" w:type="auto"/>
            <w:tcBorders>
              <w:top w:val="double" w:sz="6" w:space="0" w:color="000000"/>
            </w:tcBorders>
            <w:shd w:val="clear" w:color="auto" w:fill="FFFFFF"/>
            <w:tcMar>
              <w:top w:w="40" w:type="dxa"/>
              <w:left w:w="0" w:type="dxa"/>
              <w:bottom w:w="40" w:type="dxa"/>
              <w:right w:w="20" w:type="dxa"/>
            </w:tcMar>
            <w:vAlign w:val="center"/>
          </w:tcPr>
          <w:p w14:paraId="35D09A0D"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A0E" w14:textId="77777777" w:rsidR="00D42204" w:rsidRDefault="00D42204">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center"/>
          </w:tcPr>
          <w:p w14:paraId="35D09A0F" w14:textId="77777777" w:rsidR="00D42204" w:rsidRDefault="004E439D">
            <w:pPr>
              <w:jc w:val="right"/>
              <w:textAlignment w:val="center"/>
            </w:pPr>
            <w:r>
              <w:rPr>
                <w:rFonts w:ascii="Times New Roman" w:eastAsia="宋体" w:hAnsi="Times New Roman"/>
                <w:color w:val="000000"/>
                <w:sz w:val="16"/>
                <w:szCs w:val="16"/>
              </w:rPr>
              <w:t>5.6 </w:t>
            </w:r>
          </w:p>
        </w:tc>
        <w:tc>
          <w:tcPr>
            <w:tcW w:w="0" w:type="auto"/>
            <w:tcBorders>
              <w:top w:val="double" w:sz="6" w:space="0" w:color="000000"/>
            </w:tcBorders>
            <w:shd w:val="clear" w:color="auto" w:fill="FFFFFF"/>
            <w:tcMar>
              <w:top w:w="40" w:type="dxa"/>
              <w:left w:w="0" w:type="dxa"/>
              <w:bottom w:w="40" w:type="dxa"/>
              <w:right w:w="20" w:type="dxa"/>
            </w:tcMar>
            <w:vAlign w:val="center"/>
          </w:tcPr>
          <w:p w14:paraId="35D09A10"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9A17" w14:textId="77777777">
        <w:trPr>
          <w:trHeight w:val="220"/>
        </w:trPr>
        <w:tc>
          <w:tcPr>
            <w:tcW w:w="0" w:type="auto"/>
            <w:gridSpan w:val="3"/>
            <w:shd w:val="clear" w:color="auto" w:fill="CCEEFF"/>
            <w:tcMar>
              <w:top w:w="0" w:type="dxa"/>
              <w:left w:w="20" w:type="dxa"/>
              <w:bottom w:w="0" w:type="dxa"/>
              <w:right w:w="20" w:type="dxa"/>
            </w:tcMar>
            <w:vAlign w:val="bottom"/>
          </w:tcPr>
          <w:p w14:paraId="35D09A1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A13" w14:textId="77777777" w:rsidR="00D42204" w:rsidRDefault="00D4220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5D09A14"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A15" w14:textId="77777777" w:rsidR="00D42204" w:rsidRDefault="00D4220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5D09A16" w14:textId="77777777" w:rsidR="00D42204" w:rsidRDefault="00D42204">
            <w:pPr>
              <w:rPr>
                <w:rFonts w:ascii="宋体"/>
              </w:rPr>
            </w:pPr>
          </w:p>
        </w:tc>
      </w:tr>
      <w:tr w:rsidR="00D42204" w14:paraId="35D09A19" w14:textId="77777777">
        <w:tc>
          <w:tcPr>
            <w:tcW w:w="0" w:type="auto"/>
            <w:gridSpan w:val="15"/>
            <w:shd w:val="clear" w:color="auto" w:fill="FFFFFF"/>
            <w:tcMar>
              <w:top w:w="40" w:type="dxa"/>
              <w:left w:w="20" w:type="dxa"/>
              <w:bottom w:w="40" w:type="dxa"/>
              <w:right w:w="20" w:type="dxa"/>
            </w:tcMar>
            <w:vAlign w:val="center"/>
          </w:tcPr>
          <w:p w14:paraId="35D09A18" w14:textId="77777777" w:rsidR="00D42204" w:rsidRDefault="004E439D">
            <w:pPr>
              <w:textAlignment w:val="center"/>
            </w:pPr>
            <w:r>
              <w:rPr>
                <w:rFonts w:ascii="Times New Roman" w:eastAsia="宋体" w:hAnsi="Times New Roman"/>
                <w:b/>
                <w:bCs/>
                <w:color w:val="000000"/>
                <w:sz w:val="16"/>
                <w:szCs w:val="16"/>
              </w:rPr>
              <w:t>CALCULATION OF RETURN ON INVESTMENT</w:t>
            </w:r>
          </w:p>
        </w:tc>
      </w:tr>
      <w:tr w:rsidR="00D42204" w14:paraId="35D09A1F" w14:textId="77777777">
        <w:tc>
          <w:tcPr>
            <w:tcW w:w="0" w:type="auto"/>
            <w:gridSpan w:val="3"/>
            <w:shd w:val="clear" w:color="auto" w:fill="CCEEFF"/>
            <w:tcMar>
              <w:top w:w="40" w:type="dxa"/>
              <w:left w:w="20" w:type="dxa"/>
              <w:bottom w:w="40" w:type="dxa"/>
              <w:right w:w="20" w:type="dxa"/>
            </w:tcMar>
            <w:vAlign w:val="center"/>
          </w:tcPr>
          <w:p w14:paraId="35D09A1A" w14:textId="77777777" w:rsidR="00D42204" w:rsidRDefault="004E439D">
            <w:pPr>
              <w:textAlignment w:val="center"/>
            </w:pPr>
            <w:r>
              <w:rPr>
                <w:rFonts w:ascii="Times New Roman" w:eastAsia="宋体" w:hAnsi="Times New Roman"/>
                <w:b/>
                <w:bCs/>
                <w:color w:val="000000"/>
                <w:sz w:val="16"/>
                <w:szCs w:val="16"/>
              </w:rPr>
              <w:t>Numerator</w:t>
            </w:r>
          </w:p>
        </w:tc>
        <w:tc>
          <w:tcPr>
            <w:tcW w:w="0" w:type="auto"/>
            <w:gridSpan w:val="3"/>
            <w:shd w:val="clear" w:color="auto" w:fill="CCEEFF"/>
            <w:tcMar>
              <w:top w:w="0" w:type="dxa"/>
              <w:left w:w="20" w:type="dxa"/>
              <w:bottom w:w="0" w:type="dxa"/>
              <w:right w:w="20" w:type="dxa"/>
            </w:tcMar>
            <w:vAlign w:val="bottom"/>
          </w:tcPr>
          <w:p w14:paraId="35D09A1B"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A1C"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A1D"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A1E" w14:textId="77777777" w:rsidR="00D42204" w:rsidRDefault="00D42204">
            <w:pPr>
              <w:rPr>
                <w:rFonts w:ascii="宋体"/>
              </w:rPr>
            </w:pPr>
          </w:p>
        </w:tc>
      </w:tr>
      <w:tr w:rsidR="00D42204" w14:paraId="35D09A29" w14:textId="77777777">
        <w:tc>
          <w:tcPr>
            <w:tcW w:w="0" w:type="auto"/>
            <w:gridSpan w:val="3"/>
            <w:shd w:val="clear" w:color="auto" w:fill="FFFFFF"/>
            <w:tcMar>
              <w:top w:w="40" w:type="dxa"/>
              <w:left w:w="380" w:type="dxa"/>
              <w:bottom w:w="40" w:type="dxa"/>
              <w:right w:w="20" w:type="dxa"/>
            </w:tcMar>
            <w:vAlign w:val="center"/>
          </w:tcPr>
          <w:p w14:paraId="35D09A20" w14:textId="77777777" w:rsidR="00D42204" w:rsidRDefault="004E439D">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35D09A21"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9A22"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9A23" w14:textId="77777777" w:rsidR="00D42204" w:rsidRDefault="004E439D">
            <w:pPr>
              <w:jc w:val="right"/>
              <w:textAlignment w:val="center"/>
            </w:pPr>
            <w:r>
              <w:rPr>
                <w:rFonts w:ascii="Times New Roman" w:eastAsia="宋体" w:hAnsi="Times New Roman"/>
                <w:color w:val="000000"/>
                <w:sz w:val="16"/>
                <w:szCs w:val="16"/>
              </w:rPr>
              <w:t>25,942 </w:t>
            </w:r>
          </w:p>
        </w:tc>
        <w:tc>
          <w:tcPr>
            <w:tcW w:w="0" w:type="auto"/>
            <w:shd w:val="clear" w:color="auto" w:fill="FFFFFF"/>
            <w:tcMar>
              <w:top w:w="40" w:type="dxa"/>
              <w:left w:w="0" w:type="dxa"/>
              <w:bottom w:w="40" w:type="dxa"/>
              <w:right w:w="20" w:type="dxa"/>
            </w:tcMar>
            <w:vAlign w:val="center"/>
          </w:tcPr>
          <w:p w14:paraId="35D09A2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A25"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9A26"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9A27" w14:textId="77777777" w:rsidR="00D42204" w:rsidRDefault="004E439D">
            <w:pPr>
              <w:jc w:val="right"/>
              <w:textAlignment w:val="center"/>
            </w:pPr>
            <w:r>
              <w:rPr>
                <w:rFonts w:ascii="Times New Roman" w:eastAsia="宋体" w:hAnsi="Times New Roman"/>
                <w:color w:val="000000"/>
                <w:sz w:val="16"/>
                <w:szCs w:val="16"/>
              </w:rPr>
              <w:t>22,548 </w:t>
            </w:r>
          </w:p>
        </w:tc>
        <w:tc>
          <w:tcPr>
            <w:tcW w:w="0" w:type="auto"/>
            <w:shd w:val="clear" w:color="auto" w:fill="FFFFFF"/>
            <w:tcMar>
              <w:top w:w="40" w:type="dxa"/>
              <w:left w:w="0" w:type="dxa"/>
              <w:bottom w:w="40" w:type="dxa"/>
              <w:right w:w="20" w:type="dxa"/>
            </w:tcMar>
            <w:vAlign w:val="center"/>
          </w:tcPr>
          <w:p w14:paraId="35D09A28" w14:textId="77777777" w:rsidR="00D42204" w:rsidRDefault="00D42204">
            <w:pPr>
              <w:jc w:val="right"/>
              <w:rPr>
                <w:rFonts w:ascii="宋体"/>
              </w:rPr>
            </w:pPr>
          </w:p>
        </w:tc>
      </w:tr>
      <w:tr w:rsidR="00D42204" w14:paraId="35D09A31" w14:textId="77777777">
        <w:tc>
          <w:tcPr>
            <w:tcW w:w="0" w:type="auto"/>
            <w:gridSpan w:val="3"/>
            <w:shd w:val="clear" w:color="auto" w:fill="CCEEFF"/>
            <w:tcMar>
              <w:top w:w="40" w:type="dxa"/>
              <w:left w:w="380" w:type="dxa"/>
              <w:bottom w:w="40" w:type="dxa"/>
              <w:right w:w="20" w:type="dxa"/>
            </w:tcMar>
            <w:vAlign w:val="center"/>
          </w:tcPr>
          <w:p w14:paraId="35D09A2A" w14:textId="77777777" w:rsidR="00D42204" w:rsidRDefault="004E439D">
            <w:pPr>
              <w:textAlignment w:val="center"/>
            </w:pPr>
            <w:r>
              <w:rPr>
                <w:rFonts w:ascii="Times New Roman" w:eastAsia="宋体" w:hAnsi="Times New Roman"/>
                <w:color w:val="000000"/>
                <w:sz w:val="16"/>
                <w:szCs w:val="16"/>
              </w:rPr>
              <w:t>+ Interest income</w:t>
            </w:r>
          </w:p>
        </w:tc>
        <w:tc>
          <w:tcPr>
            <w:tcW w:w="0" w:type="auto"/>
            <w:gridSpan w:val="3"/>
            <w:shd w:val="clear" w:color="auto" w:fill="CCEEFF"/>
            <w:tcMar>
              <w:top w:w="0" w:type="dxa"/>
              <w:left w:w="20" w:type="dxa"/>
              <w:bottom w:w="0" w:type="dxa"/>
              <w:right w:w="20" w:type="dxa"/>
            </w:tcMar>
            <w:vAlign w:val="bottom"/>
          </w:tcPr>
          <w:p w14:paraId="35D09A2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A2C" w14:textId="77777777" w:rsidR="00D42204" w:rsidRDefault="004E439D">
            <w:pPr>
              <w:jc w:val="right"/>
              <w:textAlignment w:val="center"/>
            </w:pPr>
            <w:r>
              <w:rPr>
                <w:rFonts w:ascii="Times New Roman" w:eastAsia="宋体" w:hAnsi="Times New Roman"/>
                <w:color w:val="000000"/>
                <w:sz w:val="16"/>
                <w:szCs w:val="16"/>
              </w:rPr>
              <w:t>158 </w:t>
            </w:r>
          </w:p>
        </w:tc>
        <w:tc>
          <w:tcPr>
            <w:tcW w:w="0" w:type="auto"/>
            <w:shd w:val="clear" w:color="auto" w:fill="CCEEFF"/>
            <w:tcMar>
              <w:top w:w="40" w:type="dxa"/>
              <w:left w:w="0" w:type="dxa"/>
              <w:bottom w:w="40" w:type="dxa"/>
              <w:right w:w="20" w:type="dxa"/>
            </w:tcMar>
            <w:vAlign w:val="center"/>
          </w:tcPr>
          <w:p w14:paraId="35D09A2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A2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A2F" w14:textId="77777777" w:rsidR="00D42204" w:rsidRDefault="004E439D">
            <w:pPr>
              <w:jc w:val="right"/>
              <w:textAlignment w:val="center"/>
            </w:pPr>
            <w:r>
              <w:rPr>
                <w:rFonts w:ascii="Times New Roman" w:eastAsia="宋体" w:hAnsi="Times New Roman"/>
                <w:color w:val="000000"/>
                <w:sz w:val="16"/>
                <w:szCs w:val="16"/>
              </w:rPr>
              <w:t>121 </w:t>
            </w:r>
          </w:p>
        </w:tc>
        <w:tc>
          <w:tcPr>
            <w:tcW w:w="0" w:type="auto"/>
            <w:shd w:val="clear" w:color="auto" w:fill="CCEEFF"/>
            <w:tcMar>
              <w:top w:w="40" w:type="dxa"/>
              <w:left w:w="0" w:type="dxa"/>
              <w:bottom w:w="40" w:type="dxa"/>
              <w:right w:w="20" w:type="dxa"/>
            </w:tcMar>
            <w:vAlign w:val="center"/>
          </w:tcPr>
          <w:p w14:paraId="35D09A30" w14:textId="77777777" w:rsidR="00D42204" w:rsidRDefault="00D42204">
            <w:pPr>
              <w:jc w:val="right"/>
              <w:rPr>
                <w:rFonts w:ascii="宋体"/>
              </w:rPr>
            </w:pPr>
          </w:p>
        </w:tc>
      </w:tr>
      <w:tr w:rsidR="00D42204" w14:paraId="35D09A39" w14:textId="77777777">
        <w:tc>
          <w:tcPr>
            <w:tcW w:w="0" w:type="auto"/>
            <w:gridSpan w:val="3"/>
            <w:shd w:val="clear" w:color="auto" w:fill="FFFFFF"/>
            <w:tcMar>
              <w:top w:w="40" w:type="dxa"/>
              <w:left w:w="380" w:type="dxa"/>
              <w:bottom w:w="40" w:type="dxa"/>
              <w:right w:w="20" w:type="dxa"/>
            </w:tcMar>
            <w:vAlign w:val="center"/>
          </w:tcPr>
          <w:p w14:paraId="35D09A32" w14:textId="77777777" w:rsidR="00D42204" w:rsidRDefault="004E439D">
            <w:pPr>
              <w:textAlignment w:val="center"/>
            </w:pPr>
            <w:r>
              <w:rPr>
                <w:rFonts w:ascii="Times New Roman" w:eastAsia="宋体" w:hAnsi="Times New Roman"/>
                <w:color w:val="000000"/>
                <w:sz w:val="16"/>
                <w:szCs w:val="16"/>
              </w:rPr>
              <w:t>+ Depreciation and amortization</w:t>
            </w:r>
          </w:p>
        </w:tc>
        <w:tc>
          <w:tcPr>
            <w:tcW w:w="0" w:type="auto"/>
            <w:gridSpan w:val="3"/>
            <w:shd w:val="clear" w:color="auto" w:fill="FFFFFF"/>
            <w:tcMar>
              <w:top w:w="0" w:type="dxa"/>
              <w:left w:w="20" w:type="dxa"/>
              <w:bottom w:w="0" w:type="dxa"/>
              <w:right w:w="20" w:type="dxa"/>
            </w:tcMar>
            <w:vAlign w:val="bottom"/>
          </w:tcPr>
          <w:p w14:paraId="35D09A3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A34" w14:textId="77777777" w:rsidR="00D42204" w:rsidRDefault="004E439D">
            <w:pPr>
              <w:jc w:val="right"/>
              <w:textAlignment w:val="center"/>
            </w:pPr>
            <w:r>
              <w:rPr>
                <w:rFonts w:ascii="Times New Roman" w:eastAsia="宋体" w:hAnsi="Times New Roman"/>
                <w:color w:val="000000"/>
                <w:sz w:val="16"/>
                <w:szCs w:val="16"/>
              </w:rPr>
              <w:t>10,658 </w:t>
            </w:r>
          </w:p>
        </w:tc>
        <w:tc>
          <w:tcPr>
            <w:tcW w:w="0" w:type="auto"/>
            <w:shd w:val="clear" w:color="auto" w:fill="FFFFFF"/>
            <w:tcMar>
              <w:top w:w="40" w:type="dxa"/>
              <w:left w:w="0" w:type="dxa"/>
              <w:bottom w:w="40" w:type="dxa"/>
              <w:right w:w="20" w:type="dxa"/>
            </w:tcMar>
            <w:vAlign w:val="center"/>
          </w:tcPr>
          <w:p w14:paraId="35D09A3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A3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A37" w14:textId="77777777" w:rsidR="00D42204" w:rsidRDefault="004E439D">
            <w:pPr>
              <w:jc w:val="right"/>
              <w:textAlignment w:val="center"/>
            </w:pPr>
            <w:r>
              <w:rPr>
                <w:rFonts w:ascii="Times New Roman" w:eastAsia="宋体" w:hAnsi="Times New Roman"/>
                <w:color w:val="000000"/>
                <w:sz w:val="16"/>
                <w:szCs w:val="16"/>
              </w:rPr>
              <w:t>11,152 </w:t>
            </w:r>
          </w:p>
        </w:tc>
        <w:tc>
          <w:tcPr>
            <w:tcW w:w="0" w:type="auto"/>
            <w:shd w:val="clear" w:color="auto" w:fill="FFFFFF"/>
            <w:tcMar>
              <w:top w:w="40" w:type="dxa"/>
              <w:left w:w="0" w:type="dxa"/>
              <w:bottom w:w="40" w:type="dxa"/>
              <w:right w:w="20" w:type="dxa"/>
            </w:tcMar>
            <w:vAlign w:val="center"/>
          </w:tcPr>
          <w:p w14:paraId="35D09A38" w14:textId="77777777" w:rsidR="00D42204" w:rsidRDefault="00D42204">
            <w:pPr>
              <w:jc w:val="right"/>
              <w:rPr>
                <w:rFonts w:ascii="宋体"/>
              </w:rPr>
            </w:pPr>
          </w:p>
        </w:tc>
      </w:tr>
      <w:tr w:rsidR="00D42204" w14:paraId="35D09A41" w14:textId="77777777">
        <w:tc>
          <w:tcPr>
            <w:tcW w:w="0" w:type="auto"/>
            <w:gridSpan w:val="3"/>
            <w:shd w:val="clear" w:color="auto" w:fill="CCEEFF"/>
            <w:tcMar>
              <w:top w:w="40" w:type="dxa"/>
              <w:left w:w="380" w:type="dxa"/>
              <w:bottom w:w="40" w:type="dxa"/>
              <w:right w:w="20" w:type="dxa"/>
            </w:tcMar>
            <w:vAlign w:val="center"/>
          </w:tcPr>
          <w:p w14:paraId="35D09A3A" w14:textId="77777777" w:rsidR="00D42204" w:rsidRDefault="004E439D">
            <w:pPr>
              <w:textAlignment w:val="center"/>
            </w:pPr>
            <w:r>
              <w:rPr>
                <w:rFonts w:ascii="Times New Roman" w:eastAsia="宋体" w:hAnsi="Times New Roman"/>
                <w:color w:val="000000"/>
                <w:sz w:val="16"/>
                <w:szCs w:val="16"/>
              </w:rPr>
              <w:t>+ Rent</w:t>
            </w:r>
          </w:p>
        </w:tc>
        <w:tc>
          <w:tcPr>
            <w:tcW w:w="0" w:type="auto"/>
            <w:gridSpan w:val="3"/>
            <w:shd w:val="clear" w:color="auto" w:fill="CCEEFF"/>
            <w:tcMar>
              <w:top w:w="0" w:type="dxa"/>
              <w:left w:w="20" w:type="dxa"/>
              <w:bottom w:w="0" w:type="dxa"/>
              <w:right w:w="20" w:type="dxa"/>
            </w:tcMar>
            <w:vAlign w:val="bottom"/>
          </w:tcPr>
          <w:p w14:paraId="35D09A3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A3C" w14:textId="77777777" w:rsidR="00D42204" w:rsidRDefault="004E439D">
            <w:pPr>
              <w:jc w:val="right"/>
              <w:textAlignment w:val="center"/>
            </w:pPr>
            <w:r>
              <w:rPr>
                <w:rFonts w:ascii="Times New Roman" w:eastAsia="宋体" w:hAnsi="Times New Roman"/>
                <w:color w:val="000000"/>
                <w:sz w:val="16"/>
                <w:szCs w:val="16"/>
              </w:rPr>
              <w:t>2,274 </w:t>
            </w:r>
          </w:p>
        </w:tc>
        <w:tc>
          <w:tcPr>
            <w:tcW w:w="0" w:type="auto"/>
            <w:shd w:val="clear" w:color="auto" w:fill="CCEEFF"/>
            <w:tcMar>
              <w:top w:w="40" w:type="dxa"/>
              <w:left w:w="0" w:type="dxa"/>
              <w:bottom w:w="40" w:type="dxa"/>
              <w:right w:w="20" w:type="dxa"/>
            </w:tcMar>
            <w:vAlign w:val="center"/>
          </w:tcPr>
          <w:p w14:paraId="35D09A3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A3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A3F" w14:textId="77777777" w:rsidR="00D42204" w:rsidRDefault="004E439D">
            <w:pPr>
              <w:jc w:val="right"/>
              <w:textAlignment w:val="center"/>
            </w:pPr>
            <w:r>
              <w:rPr>
                <w:rFonts w:ascii="Times New Roman" w:eastAsia="宋体" w:hAnsi="Times New Roman"/>
                <w:color w:val="000000"/>
                <w:sz w:val="16"/>
                <w:szCs w:val="16"/>
              </w:rPr>
              <w:t>2,626 </w:t>
            </w:r>
          </w:p>
        </w:tc>
        <w:tc>
          <w:tcPr>
            <w:tcW w:w="0" w:type="auto"/>
            <w:shd w:val="clear" w:color="auto" w:fill="CCEEFF"/>
            <w:tcMar>
              <w:top w:w="40" w:type="dxa"/>
              <w:left w:w="0" w:type="dxa"/>
              <w:bottom w:w="40" w:type="dxa"/>
              <w:right w:w="20" w:type="dxa"/>
            </w:tcMar>
            <w:vAlign w:val="center"/>
          </w:tcPr>
          <w:p w14:paraId="35D09A40" w14:textId="77777777" w:rsidR="00D42204" w:rsidRDefault="00D42204">
            <w:pPr>
              <w:jc w:val="right"/>
              <w:rPr>
                <w:rFonts w:ascii="宋体"/>
              </w:rPr>
            </w:pPr>
          </w:p>
        </w:tc>
      </w:tr>
      <w:tr w:rsidR="00D42204" w14:paraId="35D09A4B" w14:textId="77777777">
        <w:tc>
          <w:tcPr>
            <w:tcW w:w="0" w:type="auto"/>
            <w:gridSpan w:val="3"/>
            <w:shd w:val="clear" w:color="auto" w:fill="FFFFFF"/>
            <w:tcMar>
              <w:top w:w="40" w:type="dxa"/>
              <w:left w:w="380" w:type="dxa"/>
              <w:bottom w:w="40" w:type="dxa"/>
              <w:right w:w="20" w:type="dxa"/>
            </w:tcMar>
            <w:vAlign w:val="center"/>
          </w:tcPr>
          <w:p w14:paraId="35D09A42" w14:textId="77777777" w:rsidR="00D42204" w:rsidRDefault="004E439D">
            <w:pPr>
              <w:textAlignment w:val="center"/>
            </w:pPr>
            <w:r>
              <w:rPr>
                <w:rFonts w:ascii="Times New Roman" w:eastAsia="宋体" w:hAnsi="Times New Roman"/>
                <w:color w:val="000000"/>
                <w:sz w:val="16"/>
                <w:szCs w:val="16"/>
              </w:rPr>
              <w:t>ROI operating income</w:t>
            </w:r>
          </w:p>
        </w:tc>
        <w:tc>
          <w:tcPr>
            <w:tcW w:w="0" w:type="auto"/>
            <w:gridSpan w:val="3"/>
            <w:shd w:val="clear" w:color="auto" w:fill="FFFFFF"/>
            <w:tcMar>
              <w:top w:w="0" w:type="dxa"/>
              <w:left w:w="20" w:type="dxa"/>
              <w:bottom w:w="0" w:type="dxa"/>
              <w:right w:w="20" w:type="dxa"/>
            </w:tcMar>
            <w:vAlign w:val="bottom"/>
          </w:tcPr>
          <w:p w14:paraId="35D09A43" w14:textId="77777777" w:rsidR="00D42204" w:rsidRDefault="00D4220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35D09A44"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35D09A45" w14:textId="77777777" w:rsidR="00D42204" w:rsidRDefault="004E439D">
            <w:pPr>
              <w:jc w:val="right"/>
              <w:textAlignment w:val="center"/>
            </w:pPr>
            <w:r>
              <w:rPr>
                <w:rFonts w:ascii="Times New Roman" w:eastAsia="宋体" w:hAnsi="Times New Roman"/>
                <w:color w:val="000000"/>
                <w:sz w:val="16"/>
                <w:szCs w:val="16"/>
              </w:rPr>
              <w:t>39,032 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9A4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A47" w14:textId="77777777" w:rsidR="00D42204" w:rsidRDefault="00D4220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35D09A48"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35D09A49" w14:textId="77777777" w:rsidR="00D42204" w:rsidRDefault="004E439D">
            <w:pPr>
              <w:jc w:val="right"/>
              <w:textAlignment w:val="center"/>
            </w:pPr>
            <w:r>
              <w:rPr>
                <w:rFonts w:ascii="Times New Roman" w:eastAsia="宋体" w:hAnsi="Times New Roman"/>
                <w:color w:val="000000"/>
                <w:sz w:val="16"/>
                <w:szCs w:val="16"/>
              </w:rPr>
              <w:t>36,447 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9A4A" w14:textId="77777777" w:rsidR="00D42204" w:rsidRDefault="00D42204">
            <w:pPr>
              <w:jc w:val="right"/>
              <w:rPr>
                <w:rFonts w:ascii="宋体"/>
              </w:rPr>
            </w:pPr>
          </w:p>
        </w:tc>
      </w:tr>
      <w:tr w:rsidR="00D42204" w14:paraId="35D09A51" w14:textId="77777777">
        <w:trPr>
          <w:trHeight w:val="220"/>
        </w:trPr>
        <w:tc>
          <w:tcPr>
            <w:tcW w:w="0" w:type="auto"/>
            <w:gridSpan w:val="3"/>
            <w:shd w:val="clear" w:color="auto" w:fill="CCEEFF"/>
            <w:tcMar>
              <w:top w:w="0" w:type="dxa"/>
              <w:left w:w="20" w:type="dxa"/>
              <w:bottom w:w="0" w:type="dxa"/>
              <w:right w:w="20" w:type="dxa"/>
            </w:tcMar>
            <w:vAlign w:val="bottom"/>
          </w:tcPr>
          <w:p w14:paraId="35D09A4C"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A4D" w14:textId="77777777" w:rsidR="00D42204" w:rsidRDefault="00D4220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5D09A4E"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A4F" w14:textId="77777777" w:rsidR="00D42204" w:rsidRDefault="00D4220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5D09A50" w14:textId="77777777" w:rsidR="00D42204" w:rsidRDefault="00D42204">
            <w:pPr>
              <w:rPr>
                <w:rFonts w:ascii="宋体"/>
              </w:rPr>
            </w:pPr>
          </w:p>
        </w:tc>
      </w:tr>
      <w:tr w:rsidR="00D42204" w14:paraId="35D09A57" w14:textId="77777777">
        <w:tc>
          <w:tcPr>
            <w:tcW w:w="0" w:type="auto"/>
            <w:gridSpan w:val="3"/>
            <w:shd w:val="clear" w:color="auto" w:fill="FFFFFF"/>
            <w:tcMar>
              <w:top w:w="40" w:type="dxa"/>
              <w:left w:w="20" w:type="dxa"/>
              <w:bottom w:w="40" w:type="dxa"/>
              <w:right w:w="20" w:type="dxa"/>
            </w:tcMar>
            <w:vAlign w:val="center"/>
          </w:tcPr>
          <w:p w14:paraId="35D09A52" w14:textId="77777777" w:rsidR="00D42204" w:rsidRDefault="004E439D">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vAlign w:val="bottom"/>
          </w:tcPr>
          <w:p w14:paraId="35D09A53"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A54"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A55"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A56" w14:textId="77777777" w:rsidR="00D42204" w:rsidRDefault="00D42204">
            <w:pPr>
              <w:rPr>
                <w:rFonts w:ascii="宋体"/>
              </w:rPr>
            </w:pPr>
          </w:p>
        </w:tc>
      </w:tr>
      <w:tr w:rsidR="00D42204" w14:paraId="35D09A61" w14:textId="77777777">
        <w:tc>
          <w:tcPr>
            <w:tcW w:w="0" w:type="auto"/>
            <w:gridSpan w:val="3"/>
            <w:shd w:val="clear" w:color="auto" w:fill="CCEEFF"/>
            <w:tcMar>
              <w:top w:w="40" w:type="dxa"/>
              <w:left w:w="20" w:type="dxa"/>
              <w:bottom w:w="40" w:type="dxa"/>
              <w:right w:w="20" w:type="dxa"/>
            </w:tcMar>
            <w:vAlign w:val="center"/>
          </w:tcPr>
          <w:p w14:paraId="35D09A58" w14:textId="77777777" w:rsidR="00D42204" w:rsidRDefault="004E439D">
            <w:pPr>
              <w:textAlignment w:val="center"/>
            </w:pPr>
            <w:r>
              <w:rPr>
                <w:rFonts w:ascii="Times New Roman" w:eastAsia="宋体" w:hAnsi="Times New Roman"/>
                <w:color w:val="000000"/>
                <w:sz w:val="16"/>
                <w:szCs w:val="16"/>
              </w:rPr>
              <w:t>Average total assets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35D09A59"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A5A"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A5B" w14:textId="77777777" w:rsidR="00D42204" w:rsidRDefault="004E439D">
            <w:pPr>
              <w:jc w:val="right"/>
              <w:textAlignment w:val="center"/>
            </w:pPr>
            <w:r>
              <w:rPr>
                <w:rFonts w:ascii="Times New Roman" w:eastAsia="宋体" w:hAnsi="Times New Roman"/>
                <w:color w:val="000000"/>
                <w:sz w:val="16"/>
                <w:szCs w:val="16"/>
              </w:rPr>
              <w:t>248,678 </w:t>
            </w:r>
          </w:p>
        </w:tc>
        <w:tc>
          <w:tcPr>
            <w:tcW w:w="0" w:type="auto"/>
            <w:shd w:val="clear" w:color="auto" w:fill="CCEEFF"/>
            <w:tcMar>
              <w:top w:w="40" w:type="dxa"/>
              <w:left w:w="0" w:type="dxa"/>
              <w:bottom w:w="40" w:type="dxa"/>
              <w:right w:w="20" w:type="dxa"/>
            </w:tcMar>
            <w:vAlign w:val="center"/>
          </w:tcPr>
          <w:p w14:paraId="35D09A5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A5D"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A5E"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A5F" w14:textId="77777777" w:rsidR="00D42204" w:rsidRDefault="004E439D">
            <w:pPr>
              <w:jc w:val="right"/>
              <w:textAlignment w:val="center"/>
            </w:pPr>
            <w:r>
              <w:rPr>
                <w:rFonts w:ascii="Times New Roman" w:eastAsia="宋体" w:hAnsi="Times New Roman"/>
                <w:color w:val="000000"/>
                <w:sz w:val="16"/>
                <w:szCs w:val="16"/>
              </w:rPr>
              <w:t>244,496 </w:t>
            </w:r>
          </w:p>
        </w:tc>
        <w:tc>
          <w:tcPr>
            <w:tcW w:w="0" w:type="auto"/>
            <w:shd w:val="clear" w:color="auto" w:fill="CCEEFF"/>
            <w:tcMar>
              <w:top w:w="40" w:type="dxa"/>
              <w:left w:w="0" w:type="dxa"/>
              <w:bottom w:w="40" w:type="dxa"/>
              <w:right w:w="20" w:type="dxa"/>
            </w:tcMar>
            <w:vAlign w:val="center"/>
          </w:tcPr>
          <w:p w14:paraId="35D09A60" w14:textId="77777777" w:rsidR="00D42204" w:rsidRDefault="00D42204">
            <w:pPr>
              <w:jc w:val="right"/>
              <w:rPr>
                <w:rFonts w:ascii="宋体"/>
              </w:rPr>
            </w:pPr>
          </w:p>
        </w:tc>
      </w:tr>
      <w:tr w:rsidR="00D42204" w14:paraId="35D09A69" w14:textId="77777777">
        <w:tc>
          <w:tcPr>
            <w:tcW w:w="0" w:type="auto"/>
            <w:gridSpan w:val="3"/>
            <w:shd w:val="clear" w:color="auto" w:fill="FFFFFF"/>
            <w:tcMar>
              <w:top w:w="40" w:type="dxa"/>
              <w:left w:w="20" w:type="dxa"/>
              <w:bottom w:w="40" w:type="dxa"/>
              <w:right w:w="20" w:type="dxa"/>
            </w:tcMar>
            <w:vAlign w:val="center"/>
          </w:tcPr>
          <w:p w14:paraId="35D09A62" w14:textId="77777777" w:rsidR="00D42204" w:rsidRDefault="004E439D">
            <w:pPr>
              <w:ind w:hanging="90"/>
              <w:textAlignment w:val="center"/>
            </w:pPr>
            <w:r>
              <w:rPr>
                <w:rFonts w:ascii="Times New Roman" w:eastAsia="宋体" w:hAnsi="Times New Roman"/>
                <w:color w:val="000000"/>
                <w:sz w:val="16"/>
                <w:szCs w:val="16"/>
              </w:rPr>
              <w:t>  + Average accumulated depreciation and amortization</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vAlign w:val="bottom"/>
          </w:tcPr>
          <w:p w14:paraId="35D09A6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A64" w14:textId="77777777" w:rsidR="00D42204" w:rsidRDefault="004E439D">
            <w:pPr>
              <w:jc w:val="right"/>
              <w:textAlignment w:val="center"/>
            </w:pPr>
            <w:r>
              <w:rPr>
                <w:rFonts w:ascii="Times New Roman" w:eastAsia="宋体" w:hAnsi="Times New Roman"/>
                <w:color w:val="000000"/>
                <w:sz w:val="16"/>
                <w:szCs w:val="16"/>
              </w:rPr>
              <w:t>98,199 </w:t>
            </w:r>
          </w:p>
        </w:tc>
        <w:tc>
          <w:tcPr>
            <w:tcW w:w="0" w:type="auto"/>
            <w:shd w:val="clear" w:color="auto" w:fill="FFFFFF"/>
            <w:tcMar>
              <w:top w:w="40" w:type="dxa"/>
              <w:left w:w="0" w:type="dxa"/>
              <w:bottom w:w="40" w:type="dxa"/>
              <w:right w:w="20" w:type="dxa"/>
            </w:tcMar>
            <w:vAlign w:val="center"/>
          </w:tcPr>
          <w:p w14:paraId="35D09A6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A6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A67" w14:textId="77777777" w:rsidR="00D42204" w:rsidRDefault="004E439D">
            <w:pPr>
              <w:jc w:val="right"/>
              <w:textAlignment w:val="center"/>
            </w:pPr>
            <w:r>
              <w:rPr>
                <w:rFonts w:ascii="Times New Roman" w:eastAsia="宋体" w:hAnsi="Times New Roman"/>
                <w:color w:val="000000"/>
                <w:sz w:val="16"/>
                <w:szCs w:val="16"/>
              </w:rPr>
              <w:t>94,351 </w:t>
            </w:r>
          </w:p>
        </w:tc>
        <w:tc>
          <w:tcPr>
            <w:tcW w:w="0" w:type="auto"/>
            <w:shd w:val="clear" w:color="auto" w:fill="FFFFFF"/>
            <w:tcMar>
              <w:top w:w="40" w:type="dxa"/>
              <w:left w:w="0" w:type="dxa"/>
              <w:bottom w:w="40" w:type="dxa"/>
              <w:right w:w="20" w:type="dxa"/>
            </w:tcMar>
            <w:vAlign w:val="center"/>
          </w:tcPr>
          <w:p w14:paraId="35D09A68" w14:textId="77777777" w:rsidR="00D42204" w:rsidRDefault="00D42204">
            <w:pPr>
              <w:jc w:val="right"/>
              <w:rPr>
                <w:rFonts w:ascii="宋体"/>
              </w:rPr>
            </w:pPr>
          </w:p>
        </w:tc>
      </w:tr>
      <w:tr w:rsidR="00D42204" w14:paraId="35D09A71" w14:textId="77777777">
        <w:tc>
          <w:tcPr>
            <w:tcW w:w="0" w:type="auto"/>
            <w:gridSpan w:val="3"/>
            <w:shd w:val="clear" w:color="auto" w:fill="CCEEFF"/>
            <w:tcMar>
              <w:top w:w="40" w:type="dxa"/>
              <w:left w:w="20" w:type="dxa"/>
              <w:bottom w:w="40" w:type="dxa"/>
              <w:right w:w="20" w:type="dxa"/>
            </w:tcMar>
            <w:vAlign w:val="center"/>
          </w:tcPr>
          <w:p w14:paraId="35D09A6A" w14:textId="77777777" w:rsidR="00D42204" w:rsidRDefault="004E439D">
            <w:pPr>
              <w:textAlignment w:val="center"/>
            </w:pPr>
            <w:r>
              <w:rPr>
                <w:rFonts w:ascii="Times New Roman" w:eastAsia="宋体" w:hAnsi="Times New Roman"/>
                <w:color w:val="000000"/>
                <w:sz w:val="16"/>
                <w:szCs w:val="16"/>
              </w:rPr>
              <w:t>- Average accounts payable</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35D09A6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A6C" w14:textId="77777777" w:rsidR="00D42204" w:rsidRDefault="004E439D">
            <w:pPr>
              <w:jc w:val="right"/>
              <w:textAlignment w:val="center"/>
            </w:pPr>
            <w:r>
              <w:rPr>
                <w:rFonts w:ascii="Times New Roman" w:eastAsia="宋体" w:hAnsi="Times New Roman"/>
                <w:color w:val="000000"/>
                <w:sz w:val="16"/>
                <w:szCs w:val="16"/>
              </w:rPr>
              <w:t>52,201 </w:t>
            </w:r>
          </w:p>
        </w:tc>
        <w:tc>
          <w:tcPr>
            <w:tcW w:w="0" w:type="auto"/>
            <w:shd w:val="clear" w:color="auto" w:fill="CCEEFF"/>
            <w:tcMar>
              <w:top w:w="40" w:type="dxa"/>
              <w:left w:w="0" w:type="dxa"/>
              <w:bottom w:w="40" w:type="dxa"/>
              <w:right w:w="20" w:type="dxa"/>
            </w:tcMar>
            <w:vAlign w:val="center"/>
          </w:tcPr>
          <w:p w14:paraId="35D09A6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A6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A6F" w14:textId="77777777" w:rsidR="00D42204" w:rsidRDefault="004E439D">
            <w:pPr>
              <w:jc w:val="right"/>
              <w:textAlignment w:val="center"/>
            </w:pPr>
            <w:r>
              <w:rPr>
                <w:rFonts w:ascii="Times New Roman" w:eastAsia="宋体" w:hAnsi="Times New Roman"/>
                <w:color w:val="000000"/>
                <w:sz w:val="16"/>
                <w:szCs w:val="16"/>
              </w:rPr>
              <w:t>48,057 </w:t>
            </w:r>
          </w:p>
        </w:tc>
        <w:tc>
          <w:tcPr>
            <w:tcW w:w="0" w:type="auto"/>
            <w:shd w:val="clear" w:color="auto" w:fill="CCEEFF"/>
            <w:tcMar>
              <w:top w:w="40" w:type="dxa"/>
              <w:left w:w="0" w:type="dxa"/>
              <w:bottom w:w="40" w:type="dxa"/>
              <w:right w:w="20" w:type="dxa"/>
            </w:tcMar>
            <w:vAlign w:val="center"/>
          </w:tcPr>
          <w:p w14:paraId="35D09A70" w14:textId="77777777" w:rsidR="00D42204" w:rsidRDefault="00D42204">
            <w:pPr>
              <w:jc w:val="right"/>
              <w:rPr>
                <w:rFonts w:ascii="宋体"/>
              </w:rPr>
            </w:pPr>
          </w:p>
        </w:tc>
      </w:tr>
      <w:tr w:rsidR="00D42204" w14:paraId="35D09A79" w14:textId="77777777">
        <w:tc>
          <w:tcPr>
            <w:tcW w:w="0" w:type="auto"/>
            <w:gridSpan w:val="3"/>
            <w:shd w:val="clear" w:color="auto" w:fill="FFFFFF"/>
            <w:tcMar>
              <w:top w:w="40" w:type="dxa"/>
              <w:left w:w="20" w:type="dxa"/>
              <w:bottom w:w="40" w:type="dxa"/>
              <w:right w:w="20" w:type="dxa"/>
            </w:tcMar>
            <w:vAlign w:val="center"/>
          </w:tcPr>
          <w:p w14:paraId="35D09A72" w14:textId="77777777" w:rsidR="00D42204" w:rsidRDefault="004E439D">
            <w:pPr>
              <w:textAlignment w:val="center"/>
            </w:pPr>
            <w:r>
              <w:rPr>
                <w:rFonts w:ascii="Times New Roman" w:eastAsia="宋体" w:hAnsi="Times New Roman"/>
                <w:color w:val="000000"/>
                <w:sz w:val="16"/>
                <w:szCs w:val="16"/>
              </w:rPr>
              <w:t xml:space="preserve">- Average accrued </w:t>
            </w:r>
            <w:r>
              <w:rPr>
                <w:rFonts w:ascii="Times New Roman" w:eastAsia="宋体" w:hAnsi="Times New Roman"/>
                <w:color w:val="000000"/>
                <w:sz w:val="16"/>
                <w:szCs w:val="16"/>
              </w:rPr>
              <w:t>liabilities</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vAlign w:val="bottom"/>
          </w:tcPr>
          <w:p w14:paraId="35D09A7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A74" w14:textId="77777777" w:rsidR="00D42204" w:rsidRDefault="004E439D">
            <w:pPr>
              <w:jc w:val="right"/>
              <w:textAlignment w:val="center"/>
            </w:pPr>
            <w:r>
              <w:rPr>
                <w:rFonts w:ascii="Times New Roman" w:eastAsia="宋体" w:hAnsi="Times New Roman"/>
                <w:color w:val="000000"/>
                <w:sz w:val="16"/>
                <w:szCs w:val="16"/>
              </w:rPr>
              <w:t>32,013 </w:t>
            </w:r>
          </w:p>
        </w:tc>
        <w:tc>
          <w:tcPr>
            <w:tcW w:w="0" w:type="auto"/>
            <w:shd w:val="clear" w:color="auto" w:fill="FFFFFF"/>
            <w:tcMar>
              <w:top w:w="40" w:type="dxa"/>
              <w:left w:w="0" w:type="dxa"/>
              <w:bottom w:w="40" w:type="dxa"/>
              <w:right w:w="20" w:type="dxa"/>
            </w:tcMar>
            <w:vAlign w:val="center"/>
          </w:tcPr>
          <w:p w14:paraId="35D09A7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A7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A77" w14:textId="77777777" w:rsidR="00D42204" w:rsidRDefault="004E439D">
            <w:pPr>
              <w:jc w:val="right"/>
              <w:textAlignment w:val="center"/>
            </w:pPr>
            <w:r>
              <w:rPr>
                <w:rFonts w:ascii="Times New Roman" w:eastAsia="宋体" w:hAnsi="Times New Roman"/>
                <w:color w:val="000000"/>
                <w:sz w:val="16"/>
                <w:szCs w:val="16"/>
              </w:rPr>
              <w:t>30,131 </w:t>
            </w:r>
          </w:p>
        </w:tc>
        <w:tc>
          <w:tcPr>
            <w:tcW w:w="0" w:type="auto"/>
            <w:shd w:val="clear" w:color="auto" w:fill="FFFFFF"/>
            <w:tcMar>
              <w:top w:w="40" w:type="dxa"/>
              <w:left w:w="0" w:type="dxa"/>
              <w:bottom w:w="40" w:type="dxa"/>
              <w:right w:w="20" w:type="dxa"/>
            </w:tcMar>
            <w:vAlign w:val="center"/>
          </w:tcPr>
          <w:p w14:paraId="35D09A78" w14:textId="77777777" w:rsidR="00D42204" w:rsidRDefault="00D42204">
            <w:pPr>
              <w:jc w:val="right"/>
              <w:rPr>
                <w:rFonts w:ascii="宋体"/>
              </w:rPr>
            </w:pPr>
          </w:p>
        </w:tc>
      </w:tr>
      <w:tr w:rsidR="00D42204" w14:paraId="35D09A7F" w14:textId="77777777">
        <w:trPr>
          <w:hidden/>
        </w:trPr>
        <w:tc>
          <w:tcPr>
            <w:tcW w:w="0" w:type="auto"/>
            <w:gridSpan w:val="3"/>
            <w:shd w:val="clear" w:color="auto" w:fill="auto"/>
            <w:vAlign w:val="bottom"/>
          </w:tcPr>
          <w:p w14:paraId="35D09A7A" w14:textId="77777777" w:rsidR="00D42204" w:rsidRDefault="00D42204">
            <w:pPr>
              <w:rPr>
                <w:rFonts w:ascii="宋体"/>
                <w:vanish/>
              </w:rPr>
            </w:pPr>
          </w:p>
        </w:tc>
        <w:tc>
          <w:tcPr>
            <w:tcW w:w="0" w:type="auto"/>
            <w:gridSpan w:val="3"/>
            <w:shd w:val="clear" w:color="auto" w:fill="auto"/>
            <w:vAlign w:val="bottom"/>
          </w:tcPr>
          <w:p w14:paraId="35D09A7B" w14:textId="77777777" w:rsidR="00D42204" w:rsidRDefault="00D42204">
            <w:pPr>
              <w:rPr>
                <w:rFonts w:ascii="宋体"/>
                <w:vanish/>
              </w:rPr>
            </w:pPr>
          </w:p>
        </w:tc>
        <w:tc>
          <w:tcPr>
            <w:tcW w:w="0" w:type="auto"/>
            <w:gridSpan w:val="3"/>
            <w:shd w:val="clear" w:color="auto" w:fill="auto"/>
            <w:vAlign w:val="bottom"/>
          </w:tcPr>
          <w:p w14:paraId="35D09A7C" w14:textId="77777777" w:rsidR="00D42204" w:rsidRDefault="00D42204">
            <w:pPr>
              <w:rPr>
                <w:rFonts w:ascii="宋体"/>
                <w:vanish/>
              </w:rPr>
            </w:pPr>
          </w:p>
        </w:tc>
        <w:tc>
          <w:tcPr>
            <w:tcW w:w="0" w:type="auto"/>
            <w:gridSpan w:val="3"/>
            <w:shd w:val="clear" w:color="auto" w:fill="auto"/>
            <w:vAlign w:val="bottom"/>
          </w:tcPr>
          <w:p w14:paraId="35D09A7D" w14:textId="77777777" w:rsidR="00D42204" w:rsidRDefault="00D42204">
            <w:pPr>
              <w:rPr>
                <w:rFonts w:ascii="宋体"/>
                <w:vanish/>
              </w:rPr>
            </w:pPr>
          </w:p>
        </w:tc>
        <w:tc>
          <w:tcPr>
            <w:tcW w:w="0" w:type="auto"/>
            <w:gridSpan w:val="3"/>
            <w:shd w:val="clear" w:color="auto" w:fill="auto"/>
            <w:vAlign w:val="bottom"/>
          </w:tcPr>
          <w:p w14:paraId="35D09A7E" w14:textId="77777777" w:rsidR="00D42204" w:rsidRDefault="00D42204">
            <w:pPr>
              <w:rPr>
                <w:rFonts w:ascii="宋体"/>
                <w:vanish/>
              </w:rPr>
            </w:pPr>
          </w:p>
        </w:tc>
      </w:tr>
      <w:tr w:rsidR="00D42204" w14:paraId="35D09A89" w14:textId="77777777">
        <w:tc>
          <w:tcPr>
            <w:tcW w:w="0" w:type="auto"/>
            <w:gridSpan w:val="3"/>
            <w:shd w:val="clear" w:color="auto" w:fill="CCEEFF"/>
            <w:tcMar>
              <w:top w:w="40" w:type="dxa"/>
              <w:left w:w="380" w:type="dxa"/>
              <w:bottom w:w="40" w:type="dxa"/>
              <w:right w:w="20" w:type="dxa"/>
            </w:tcMar>
            <w:vAlign w:val="center"/>
          </w:tcPr>
          <w:p w14:paraId="35D09A80" w14:textId="77777777" w:rsidR="00D42204" w:rsidRDefault="004E439D">
            <w:pPr>
              <w:textAlignment w:val="center"/>
            </w:pPr>
            <w:r>
              <w:rPr>
                <w:rFonts w:ascii="Times New Roman" w:eastAsia="宋体" w:hAnsi="Times New Roman"/>
                <w:color w:val="000000"/>
                <w:sz w:val="16"/>
                <w:szCs w:val="16"/>
              </w:rPr>
              <w:t>Average invested capital</w:t>
            </w:r>
          </w:p>
        </w:tc>
        <w:tc>
          <w:tcPr>
            <w:tcW w:w="0" w:type="auto"/>
            <w:gridSpan w:val="3"/>
            <w:shd w:val="clear" w:color="auto" w:fill="CCEEFF"/>
            <w:tcMar>
              <w:top w:w="0" w:type="dxa"/>
              <w:left w:w="20" w:type="dxa"/>
              <w:bottom w:w="0" w:type="dxa"/>
              <w:right w:w="20" w:type="dxa"/>
            </w:tcMar>
            <w:vAlign w:val="bottom"/>
          </w:tcPr>
          <w:p w14:paraId="35D09A81"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A82"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A83" w14:textId="77777777" w:rsidR="00D42204" w:rsidRDefault="004E439D">
            <w:pPr>
              <w:jc w:val="right"/>
              <w:textAlignment w:val="center"/>
            </w:pPr>
            <w:r>
              <w:rPr>
                <w:rFonts w:ascii="Times New Roman" w:eastAsia="宋体" w:hAnsi="Times New Roman"/>
                <w:color w:val="000000"/>
                <w:sz w:val="16"/>
                <w:szCs w:val="16"/>
              </w:rPr>
              <w:t>262,663 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A8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A85"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A86"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A87" w14:textId="77777777" w:rsidR="00D42204" w:rsidRDefault="004E439D">
            <w:pPr>
              <w:jc w:val="right"/>
              <w:textAlignment w:val="center"/>
            </w:pPr>
            <w:r>
              <w:rPr>
                <w:rFonts w:ascii="Times New Roman" w:eastAsia="宋体" w:hAnsi="Times New Roman"/>
                <w:color w:val="000000"/>
                <w:sz w:val="16"/>
                <w:szCs w:val="16"/>
              </w:rPr>
              <w:t>260,659 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A88" w14:textId="77777777" w:rsidR="00D42204" w:rsidRDefault="00D42204">
            <w:pPr>
              <w:jc w:val="right"/>
              <w:rPr>
                <w:rFonts w:ascii="宋体"/>
              </w:rPr>
            </w:pPr>
          </w:p>
        </w:tc>
      </w:tr>
      <w:tr w:rsidR="00D42204" w14:paraId="35D09A91" w14:textId="77777777">
        <w:tc>
          <w:tcPr>
            <w:tcW w:w="0" w:type="auto"/>
            <w:gridSpan w:val="3"/>
            <w:shd w:val="clear" w:color="auto" w:fill="FFFFFF"/>
            <w:tcMar>
              <w:top w:w="40" w:type="dxa"/>
              <w:left w:w="20" w:type="dxa"/>
              <w:bottom w:w="40" w:type="dxa"/>
              <w:right w:w="20" w:type="dxa"/>
            </w:tcMar>
            <w:vAlign w:val="center"/>
          </w:tcPr>
          <w:p w14:paraId="35D09A8A" w14:textId="77777777" w:rsidR="00D42204" w:rsidRDefault="004E439D">
            <w:pPr>
              <w:textAlignment w:val="center"/>
            </w:pPr>
            <w:r>
              <w:rPr>
                <w:rFonts w:ascii="Times New Roman" w:eastAsia="宋体" w:hAnsi="Times New Roman"/>
                <w:b/>
                <w:bCs/>
                <w:color w:val="000000"/>
                <w:sz w:val="16"/>
                <w:szCs w:val="16"/>
              </w:rPr>
              <w:t>Return on investment (ROI)</w:t>
            </w:r>
          </w:p>
        </w:tc>
        <w:tc>
          <w:tcPr>
            <w:tcW w:w="0" w:type="auto"/>
            <w:gridSpan w:val="3"/>
            <w:shd w:val="clear" w:color="auto" w:fill="FFFFFF"/>
            <w:tcMar>
              <w:top w:w="0" w:type="dxa"/>
              <w:left w:w="20" w:type="dxa"/>
              <w:bottom w:w="0" w:type="dxa"/>
              <w:right w:w="20" w:type="dxa"/>
            </w:tcMar>
            <w:vAlign w:val="bottom"/>
          </w:tcPr>
          <w:p w14:paraId="35D09A8B" w14:textId="77777777" w:rsidR="00D42204" w:rsidRDefault="00D4220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9A8C" w14:textId="77777777" w:rsidR="00D42204" w:rsidRDefault="004E439D">
            <w:pPr>
              <w:jc w:val="right"/>
              <w:textAlignment w:val="center"/>
            </w:pPr>
            <w:r>
              <w:rPr>
                <w:rFonts w:ascii="Times New Roman" w:eastAsia="宋体" w:hAnsi="Times New Roman"/>
                <w:color w:val="000000"/>
                <w:sz w:val="16"/>
                <w:szCs w:val="16"/>
              </w:rPr>
              <w:t>14.9 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9A8D"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A8E" w14:textId="77777777" w:rsidR="00D42204" w:rsidRDefault="00D4220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9A8F" w14:textId="77777777" w:rsidR="00D42204" w:rsidRDefault="004E439D">
            <w:pPr>
              <w:jc w:val="right"/>
              <w:textAlignment w:val="center"/>
            </w:pPr>
            <w:r>
              <w:rPr>
                <w:rFonts w:ascii="Times New Roman" w:eastAsia="宋体" w:hAnsi="Times New Roman"/>
                <w:color w:val="000000"/>
                <w:sz w:val="16"/>
                <w:szCs w:val="16"/>
              </w:rPr>
              <w:t>14.0 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9A90" w14:textId="77777777" w:rsidR="00D42204" w:rsidRDefault="004E439D">
            <w:pPr>
              <w:jc w:val="right"/>
              <w:textAlignment w:val="center"/>
            </w:pPr>
            <w:r>
              <w:rPr>
                <w:rFonts w:ascii="Times New Roman" w:eastAsia="宋体" w:hAnsi="Times New Roman"/>
                <w:color w:val="000000"/>
                <w:sz w:val="16"/>
                <w:szCs w:val="16"/>
              </w:rPr>
              <w:t>%</w:t>
            </w:r>
          </w:p>
        </w:tc>
      </w:tr>
    </w:tbl>
    <w:p w14:paraId="35D09A92" w14:textId="77777777" w:rsidR="00D42204" w:rsidRDefault="004E439D">
      <w:pPr>
        <w:ind w:hanging="36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The average is based on the addition of the account balance at the end of the current period to the account balance at the end of the prior period and dividing by 2.</w:t>
      </w:r>
    </w:p>
    <w:tbl>
      <w:tblPr>
        <w:tblW w:w="4993" w:type="pct"/>
        <w:tblCellMar>
          <w:top w:w="15" w:type="dxa"/>
          <w:left w:w="15" w:type="dxa"/>
          <w:bottom w:w="15" w:type="dxa"/>
          <w:right w:w="15" w:type="dxa"/>
        </w:tblCellMar>
        <w:tblLook w:val="04A0" w:firstRow="1" w:lastRow="0" w:firstColumn="1" w:lastColumn="0" w:noHBand="0" w:noVBand="1"/>
      </w:tblPr>
      <w:tblGrid>
        <w:gridCol w:w="42"/>
        <w:gridCol w:w="4794"/>
        <w:gridCol w:w="37"/>
        <w:gridCol w:w="36"/>
        <w:gridCol w:w="36"/>
        <w:gridCol w:w="36"/>
        <w:gridCol w:w="100"/>
        <w:gridCol w:w="906"/>
        <w:gridCol w:w="36"/>
        <w:gridCol w:w="36"/>
        <w:gridCol w:w="36"/>
        <w:gridCol w:w="36"/>
        <w:gridCol w:w="100"/>
        <w:gridCol w:w="906"/>
        <w:gridCol w:w="36"/>
        <w:gridCol w:w="36"/>
        <w:gridCol w:w="36"/>
        <w:gridCol w:w="36"/>
        <w:gridCol w:w="100"/>
        <w:gridCol w:w="907"/>
        <w:gridCol w:w="36"/>
      </w:tblGrid>
      <w:tr w:rsidR="00D42204" w14:paraId="35D09AA8" w14:textId="77777777">
        <w:tc>
          <w:tcPr>
            <w:tcW w:w="50" w:type="pct"/>
            <w:shd w:val="clear" w:color="auto" w:fill="auto"/>
            <w:vAlign w:val="bottom"/>
          </w:tcPr>
          <w:p w14:paraId="35D09A93" w14:textId="77777777" w:rsidR="00D42204" w:rsidRDefault="00D42204">
            <w:pPr>
              <w:rPr>
                <w:rFonts w:ascii="宋体"/>
              </w:rPr>
            </w:pPr>
          </w:p>
        </w:tc>
        <w:tc>
          <w:tcPr>
            <w:tcW w:w="2902" w:type="pct"/>
            <w:shd w:val="clear" w:color="auto" w:fill="auto"/>
            <w:vAlign w:val="bottom"/>
          </w:tcPr>
          <w:p w14:paraId="35D09A94" w14:textId="77777777" w:rsidR="00D42204" w:rsidRDefault="00D42204">
            <w:pPr>
              <w:rPr>
                <w:rFonts w:ascii="宋体"/>
              </w:rPr>
            </w:pPr>
          </w:p>
        </w:tc>
        <w:tc>
          <w:tcPr>
            <w:tcW w:w="5" w:type="pct"/>
            <w:shd w:val="clear" w:color="auto" w:fill="auto"/>
            <w:vAlign w:val="bottom"/>
          </w:tcPr>
          <w:p w14:paraId="35D09A95" w14:textId="77777777" w:rsidR="00D42204" w:rsidRDefault="00D42204">
            <w:pPr>
              <w:rPr>
                <w:rFonts w:ascii="宋体"/>
              </w:rPr>
            </w:pPr>
          </w:p>
        </w:tc>
        <w:tc>
          <w:tcPr>
            <w:tcW w:w="5" w:type="pct"/>
            <w:shd w:val="clear" w:color="auto" w:fill="auto"/>
            <w:vAlign w:val="bottom"/>
          </w:tcPr>
          <w:p w14:paraId="35D09A96" w14:textId="77777777" w:rsidR="00D42204" w:rsidRDefault="00D42204">
            <w:pPr>
              <w:rPr>
                <w:rFonts w:ascii="宋体"/>
              </w:rPr>
            </w:pPr>
          </w:p>
        </w:tc>
        <w:tc>
          <w:tcPr>
            <w:tcW w:w="26" w:type="pct"/>
            <w:shd w:val="clear" w:color="auto" w:fill="auto"/>
            <w:vAlign w:val="bottom"/>
          </w:tcPr>
          <w:p w14:paraId="35D09A97" w14:textId="77777777" w:rsidR="00D42204" w:rsidRDefault="00D42204">
            <w:pPr>
              <w:rPr>
                <w:rFonts w:ascii="宋体"/>
              </w:rPr>
            </w:pPr>
          </w:p>
        </w:tc>
        <w:tc>
          <w:tcPr>
            <w:tcW w:w="5" w:type="pct"/>
            <w:shd w:val="clear" w:color="auto" w:fill="auto"/>
            <w:vAlign w:val="bottom"/>
          </w:tcPr>
          <w:p w14:paraId="35D09A98" w14:textId="77777777" w:rsidR="00D42204" w:rsidRDefault="00D42204">
            <w:pPr>
              <w:rPr>
                <w:rFonts w:ascii="宋体"/>
              </w:rPr>
            </w:pPr>
          </w:p>
        </w:tc>
        <w:tc>
          <w:tcPr>
            <w:tcW w:w="50" w:type="pct"/>
            <w:shd w:val="clear" w:color="auto" w:fill="auto"/>
            <w:vAlign w:val="bottom"/>
          </w:tcPr>
          <w:p w14:paraId="35D09A99" w14:textId="77777777" w:rsidR="00D42204" w:rsidRDefault="00D42204">
            <w:pPr>
              <w:rPr>
                <w:rFonts w:ascii="宋体"/>
              </w:rPr>
            </w:pPr>
          </w:p>
        </w:tc>
        <w:tc>
          <w:tcPr>
            <w:tcW w:w="589" w:type="pct"/>
            <w:shd w:val="clear" w:color="auto" w:fill="auto"/>
            <w:vAlign w:val="bottom"/>
          </w:tcPr>
          <w:p w14:paraId="35D09A9A" w14:textId="77777777" w:rsidR="00D42204" w:rsidRDefault="00D42204">
            <w:pPr>
              <w:rPr>
                <w:rFonts w:ascii="宋体"/>
              </w:rPr>
            </w:pPr>
          </w:p>
        </w:tc>
        <w:tc>
          <w:tcPr>
            <w:tcW w:w="5" w:type="pct"/>
            <w:shd w:val="clear" w:color="auto" w:fill="auto"/>
            <w:vAlign w:val="bottom"/>
          </w:tcPr>
          <w:p w14:paraId="35D09A9B" w14:textId="77777777" w:rsidR="00D42204" w:rsidRDefault="00D42204">
            <w:pPr>
              <w:rPr>
                <w:rFonts w:ascii="宋体"/>
              </w:rPr>
            </w:pPr>
          </w:p>
        </w:tc>
        <w:tc>
          <w:tcPr>
            <w:tcW w:w="5" w:type="pct"/>
            <w:shd w:val="clear" w:color="auto" w:fill="auto"/>
            <w:vAlign w:val="bottom"/>
          </w:tcPr>
          <w:p w14:paraId="35D09A9C" w14:textId="77777777" w:rsidR="00D42204" w:rsidRDefault="00D42204">
            <w:pPr>
              <w:rPr>
                <w:rFonts w:ascii="宋体"/>
              </w:rPr>
            </w:pPr>
          </w:p>
        </w:tc>
        <w:tc>
          <w:tcPr>
            <w:tcW w:w="26" w:type="pct"/>
            <w:shd w:val="clear" w:color="auto" w:fill="auto"/>
            <w:vAlign w:val="bottom"/>
          </w:tcPr>
          <w:p w14:paraId="35D09A9D" w14:textId="77777777" w:rsidR="00D42204" w:rsidRDefault="00D42204">
            <w:pPr>
              <w:rPr>
                <w:rFonts w:ascii="宋体"/>
              </w:rPr>
            </w:pPr>
          </w:p>
        </w:tc>
        <w:tc>
          <w:tcPr>
            <w:tcW w:w="5" w:type="pct"/>
            <w:shd w:val="clear" w:color="auto" w:fill="auto"/>
            <w:vAlign w:val="bottom"/>
          </w:tcPr>
          <w:p w14:paraId="35D09A9E" w14:textId="77777777" w:rsidR="00D42204" w:rsidRDefault="00D42204">
            <w:pPr>
              <w:rPr>
                <w:rFonts w:ascii="宋体"/>
              </w:rPr>
            </w:pPr>
          </w:p>
        </w:tc>
        <w:tc>
          <w:tcPr>
            <w:tcW w:w="50" w:type="pct"/>
            <w:shd w:val="clear" w:color="auto" w:fill="auto"/>
            <w:vAlign w:val="bottom"/>
          </w:tcPr>
          <w:p w14:paraId="35D09A9F" w14:textId="77777777" w:rsidR="00D42204" w:rsidRDefault="00D42204">
            <w:pPr>
              <w:rPr>
                <w:rFonts w:ascii="宋体"/>
              </w:rPr>
            </w:pPr>
          </w:p>
        </w:tc>
        <w:tc>
          <w:tcPr>
            <w:tcW w:w="589" w:type="pct"/>
            <w:shd w:val="clear" w:color="auto" w:fill="auto"/>
            <w:vAlign w:val="bottom"/>
          </w:tcPr>
          <w:p w14:paraId="35D09AA0" w14:textId="77777777" w:rsidR="00D42204" w:rsidRDefault="00D42204">
            <w:pPr>
              <w:rPr>
                <w:rFonts w:ascii="宋体"/>
              </w:rPr>
            </w:pPr>
          </w:p>
        </w:tc>
        <w:tc>
          <w:tcPr>
            <w:tcW w:w="5" w:type="pct"/>
            <w:shd w:val="clear" w:color="auto" w:fill="auto"/>
            <w:vAlign w:val="bottom"/>
          </w:tcPr>
          <w:p w14:paraId="35D09AA1" w14:textId="77777777" w:rsidR="00D42204" w:rsidRDefault="00D42204">
            <w:pPr>
              <w:rPr>
                <w:rFonts w:ascii="宋体"/>
              </w:rPr>
            </w:pPr>
          </w:p>
        </w:tc>
        <w:tc>
          <w:tcPr>
            <w:tcW w:w="5" w:type="pct"/>
            <w:shd w:val="clear" w:color="auto" w:fill="auto"/>
            <w:vAlign w:val="bottom"/>
          </w:tcPr>
          <w:p w14:paraId="35D09AA2" w14:textId="77777777" w:rsidR="00D42204" w:rsidRDefault="00D42204">
            <w:pPr>
              <w:rPr>
                <w:rFonts w:ascii="宋体"/>
              </w:rPr>
            </w:pPr>
          </w:p>
        </w:tc>
        <w:tc>
          <w:tcPr>
            <w:tcW w:w="26" w:type="pct"/>
            <w:shd w:val="clear" w:color="auto" w:fill="auto"/>
            <w:vAlign w:val="bottom"/>
          </w:tcPr>
          <w:p w14:paraId="35D09AA3" w14:textId="77777777" w:rsidR="00D42204" w:rsidRDefault="00D42204">
            <w:pPr>
              <w:rPr>
                <w:rFonts w:ascii="宋体"/>
              </w:rPr>
            </w:pPr>
          </w:p>
        </w:tc>
        <w:tc>
          <w:tcPr>
            <w:tcW w:w="5" w:type="pct"/>
            <w:shd w:val="clear" w:color="auto" w:fill="auto"/>
            <w:vAlign w:val="bottom"/>
          </w:tcPr>
          <w:p w14:paraId="35D09AA4" w14:textId="77777777" w:rsidR="00D42204" w:rsidRDefault="00D42204">
            <w:pPr>
              <w:rPr>
                <w:rFonts w:ascii="宋体"/>
              </w:rPr>
            </w:pPr>
          </w:p>
        </w:tc>
        <w:tc>
          <w:tcPr>
            <w:tcW w:w="50" w:type="pct"/>
            <w:shd w:val="clear" w:color="auto" w:fill="auto"/>
            <w:vAlign w:val="bottom"/>
          </w:tcPr>
          <w:p w14:paraId="35D09AA5" w14:textId="77777777" w:rsidR="00D42204" w:rsidRDefault="00D42204">
            <w:pPr>
              <w:rPr>
                <w:rFonts w:ascii="宋体"/>
              </w:rPr>
            </w:pPr>
          </w:p>
        </w:tc>
        <w:tc>
          <w:tcPr>
            <w:tcW w:w="589" w:type="pct"/>
            <w:shd w:val="clear" w:color="auto" w:fill="auto"/>
            <w:vAlign w:val="bottom"/>
          </w:tcPr>
          <w:p w14:paraId="35D09AA6" w14:textId="77777777" w:rsidR="00D42204" w:rsidRDefault="00D42204">
            <w:pPr>
              <w:rPr>
                <w:rFonts w:ascii="宋体"/>
              </w:rPr>
            </w:pPr>
          </w:p>
        </w:tc>
        <w:tc>
          <w:tcPr>
            <w:tcW w:w="5" w:type="pct"/>
            <w:shd w:val="clear" w:color="auto" w:fill="auto"/>
            <w:vAlign w:val="bottom"/>
          </w:tcPr>
          <w:p w14:paraId="35D09AA7" w14:textId="77777777" w:rsidR="00D42204" w:rsidRDefault="00D42204">
            <w:pPr>
              <w:rPr>
                <w:rFonts w:ascii="宋体"/>
              </w:rPr>
            </w:pPr>
          </w:p>
        </w:tc>
      </w:tr>
      <w:tr w:rsidR="00D42204" w14:paraId="35D09AAC" w14:textId="77777777">
        <w:tc>
          <w:tcPr>
            <w:tcW w:w="0" w:type="auto"/>
            <w:gridSpan w:val="3"/>
            <w:shd w:val="clear" w:color="auto" w:fill="auto"/>
            <w:tcMar>
              <w:top w:w="40" w:type="dxa"/>
              <w:left w:w="20" w:type="dxa"/>
              <w:bottom w:w="40" w:type="dxa"/>
              <w:right w:w="20" w:type="dxa"/>
            </w:tcMar>
            <w:vAlign w:val="bottom"/>
          </w:tcPr>
          <w:p w14:paraId="35D09AA9"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9AAA"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9AAB" w14:textId="77777777" w:rsidR="00D42204" w:rsidRDefault="004E439D">
            <w:pPr>
              <w:jc w:val="center"/>
              <w:textAlignment w:val="bottom"/>
            </w:pPr>
            <w:r>
              <w:rPr>
                <w:rFonts w:ascii="Times New Roman" w:eastAsia="宋体" w:hAnsi="Times New Roman"/>
                <w:b/>
                <w:bCs/>
                <w:color w:val="000000"/>
                <w:sz w:val="16"/>
                <w:szCs w:val="16"/>
              </w:rPr>
              <w:t xml:space="preserve">As of </w:t>
            </w:r>
            <w:r>
              <w:rPr>
                <w:rFonts w:ascii="Times New Roman" w:eastAsia="宋体" w:hAnsi="Times New Roman"/>
                <w:b/>
                <w:bCs/>
                <w:color w:val="000000"/>
                <w:sz w:val="16"/>
                <w:szCs w:val="16"/>
              </w:rPr>
              <w:t>January 31,</w:t>
            </w:r>
          </w:p>
        </w:tc>
      </w:tr>
      <w:tr w:rsidR="00D42204" w14:paraId="35D09AB4" w14:textId="77777777">
        <w:tc>
          <w:tcPr>
            <w:tcW w:w="0" w:type="auto"/>
            <w:gridSpan w:val="3"/>
            <w:shd w:val="clear" w:color="auto" w:fill="auto"/>
            <w:tcMar>
              <w:top w:w="40" w:type="dxa"/>
              <w:left w:w="20" w:type="dxa"/>
              <w:bottom w:w="40" w:type="dxa"/>
              <w:right w:w="20" w:type="dxa"/>
            </w:tcMar>
            <w:vAlign w:val="bottom"/>
          </w:tcPr>
          <w:p w14:paraId="35D09AAD"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9AAE"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AAF"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AB0"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AB1"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AB2"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AB3"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9ABC" w14:textId="77777777">
        <w:tc>
          <w:tcPr>
            <w:tcW w:w="0" w:type="auto"/>
            <w:gridSpan w:val="3"/>
            <w:shd w:val="clear" w:color="auto" w:fill="auto"/>
            <w:tcMar>
              <w:top w:w="40" w:type="dxa"/>
              <w:left w:w="20" w:type="dxa"/>
              <w:bottom w:w="40" w:type="dxa"/>
              <w:right w:w="20" w:type="dxa"/>
            </w:tcMar>
            <w:vAlign w:val="bottom"/>
          </w:tcPr>
          <w:p w14:paraId="35D09AB5" w14:textId="77777777" w:rsidR="00D42204" w:rsidRDefault="004E439D">
            <w:pPr>
              <w:textAlignment w:val="bottom"/>
            </w:pPr>
            <w:r>
              <w:rPr>
                <w:rFonts w:ascii="Times New Roman" w:eastAsia="宋体" w:hAnsi="Times New Roman"/>
                <w:b/>
                <w:bCs/>
                <w:color w:val="000000"/>
                <w:sz w:val="16"/>
                <w:szCs w:val="16"/>
              </w:rPr>
              <w:t xml:space="preserve">Certain Balance Sheet Data </w:t>
            </w:r>
          </w:p>
        </w:tc>
        <w:tc>
          <w:tcPr>
            <w:tcW w:w="0" w:type="auto"/>
            <w:gridSpan w:val="3"/>
            <w:shd w:val="clear" w:color="auto" w:fill="auto"/>
            <w:tcMar>
              <w:top w:w="0" w:type="dxa"/>
              <w:left w:w="20" w:type="dxa"/>
              <w:bottom w:w="0" w:type="dxa"/>
              <w:right w:w="20" w:type="dxa"/>
            </w:tcMar>
            <w:vAlign w:val="bottom"/>
          </w:tcPr>
          <w:p w14:paraId="35D09AB6" w14:textId="77777777" w:rsidR="00D42204" w:rsidRDefault="00D4220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AB7"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AB8" w14:textId="77777777" w:rsidR="00D42204" w:rsidRDefault="00D4220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AB9"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ABA" w14:textId="77777777" w:rsidR="00D42204" w:rsidRDefault="00D4220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ABB" w14:textId="77777777" w:rsidR="00D42204" w:rsidRDefault="00D42204">
            <w:pPr>
              <w:rPr>
                <w:rFonts w:ascii="宋体"/>
              </w:rPr>
            </w:pPr>
          </w:p>
        </w:tc>
      </w:tr>
      <w:tr w:rsidR="00D42204" w14:paraId="35D09ACA" w14:textId="77777777">
        <w:tc>
          <w:tcPr>
            <w:tcW w:w="0" w:type="auto"/>
            <w:gridSpan w:val="3"/>
            <w:shd w:val="clear" w:color="auto" w:fill="CCEEFF"/>
            <w:tcMar>
              <w:top w:w="40" w:type="dxa"/>
              <w:left w:w="20" w:type="dxa"/>
              <w:bottom w:w="40" w:type="dxa"/>
              <w:right w:w="20" w:type="dxa"/>
            </w:tcMar>
            <w:vAlign w:val="center"/>
          </w:tcPr>
          <w:p w14:paraId="35D09ABD" w14:textId="77777777" w:rsidR="00D42204" w:rsidRDefault="004E439D">
            <w:pPr>
              <w:textAlignment w:val="center"/>
            </w:pPr>
            <w:r>
              <w:rPr>
                <w:rFonts w:ascii="Times New Roman" w:eastAsia="宋体" w:hAnsi="Times New Roman"/>
                <w:color w:val="000000"/>
                <w:sz w:val="16"/>
                <w:szCs w:val="16"/>
              </w:rPr>
              <w:t>Total assets</w:t>
            </w:r>
          </w:p>
        </w:tc>
        <w:tc>
          <w:tcPr>
            <w:tcW w:w="0" w:type="auto"/>
            <w:gridSpan w:val="3"/>
            <w:shd w:val="clear" w:color="auto" w:fill="CCEEFF"/>
            <w:tcMar>
              <w:top w:w="0" w:type="dxa"/>
              <w:left w:w="20" w:type="dxa"/>
              <w:bottom w:w="0" w:type="dxa"/>
              <w:right w:w="20" w:type="dxa"/>
            </w:tcMar>
            <w:vAlign w:val="bottom"/>
          </w:tcPr>
          <w:p w14:paraId="35D09ABE"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ABF"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AC0" w14:textId="77777777" w:rsidR="00D42204" w:rsidRDefault="004E439D">
            <w:pPr>
              <w:jc w:val="right"/>
              <w:textAlignment w:val="center"/>
            </w:pPr>
            <w:r>
              <w:rPr>
                <w:rFonts w:ascii="Times New Roman" w:eastAsia="宋体" w:hAnsi="Times New Roman"/>
                <w:color w:val="000000"/>
                <w:sz w:val="16"/>
                <w:szCs w:val="16"/>
              </w:rPr>
              <w:t>244,860 </w:t>
            </w:r>
          </w:p>
        </w:tc>
        <w:tc>
          <w:tcPr>
            <w:tcW w:w="0" w:type="auto"/>
            <w:shd w:val="clear" w:color="auto" w:fill="CCEEFF"/>
            <w:tcMar>
              <w:top w:w="40" w:type="dxa"/>
              <w:left w:w="0" w:type="dxa"/>
              <w:bottom w:w="40" w:type="dxa"/>
              <w:right w:w="20" w:type="dxa"/>
            </w:tcMar>
            <w:vAlign w:val="center"/>
          </w:tcPr>
          <w:p w14:paraId="35D09AC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AC2"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AC3"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AC4" w14:textId="77777777" w:rsidR="00D42204" w:rsidRDefault="004E439D">
            <w:pPr>
              <w:jc w:val="right"/>
              <w:textAlignment w:val="center"/>
            </w:pPr>
            <w:r>
              <w:rPr>
                <w:rFonts w:ascii="Times New Roman" w:eastAsia="宋体" w:hAnsi="Times New Roman"/>
                <w:color w:val="000000"/>
                <w:sz w:val="16"/>
                <w:szCs w:val="16"/>
              </w:rPr>
              <w:t>252,496 </w:t>
            </w:r>
          </w:p>
        </w:tc>
        <w:tc>
          <w:tcPr>
            <w:tcW w:w="0" w:type="auto"/>
            <w:shd w:val="clear" w:color="auto" w:fill="CCEEFF"/>
            <w:tcMar>
              <w:top w:w="40" w:type="dxa"/>
              <w:left w:w="0" w:type="dxa"/>
              <w:bottom w:w="40" w:type="dxa"/>
              <w:right w:w="20" w:type="dxa"/>
            </w:tcMar>
            <w:vAlign w:val="center"/>
          </w:tcPr>
          <w:p w14:paraId="35D09AC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AC6"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AC7"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AC8" w14:textId="77777777" w:rsidR="00D42204" w:rsidRDefault="004E439D">
            <w:pPr>
              <w:jc w:val="right"/>
              <w:textAlignment w:val="center"/>
            </w:pPr>
            <w:r>
              <w:rPr>
                <w:rFonts w:ascii="Times New Roman" w:eastAsia="宋体" w:hAnsi="Times New Roman"/>
                <w:color w:val="000000"/>
                <w:sz w:val="16"/>
                <w:szCs w:val="16"/>
              </w:rPr>
              <w:t>236,495 </w:t>
            </w:r>
          </w:p>
        </w:tc>
        <w:tc>
          <w:tcPr>
            <w:tcW w:w="0" w:type="auto"/>
            <w:shd w:val="clear" w:color="auto" w:fill="CCEEFF"/>
            <w:tcMar>
              <w:top w:w="40" w:type="dxa"/>
              <w:left w:w="0" w:type="dxa"/>
              <w:bottom w:w="40" w:type="dxa"/>
              <w:right w:w="20" w:type="dxa"/>
            </w:tcMar>
            <w:vAlign w:val="center"/>
          </w:tcPr>
          <w:p w14:paraId="35D09AC9" w14:textId="77777777" w:rsidR="00D42204" w:rsidRDefault="00D42204">
            <w:pPr>
              <w:jc w:val="right"/>
              <w:rPr>
                <w:rFonts w:ascii="宋体"/>
              </w:rPr>
            </w:pPr>
          </w:p>
        </w:tc>
      </w:tr>
      <w:tr w:rsidR="00D42204" w14:paraId="35D09AD5" w14:textId="77777777">
        <w:tc>
          <w:tcPr>
            <w:tcW w:w="0" w:type="auto"/>
            <w:gridSpan w:val="3"/>
            <w:shd w:val="clear" w:color="auto" w:fill="FFFFFF"/>
            <w:tcMar>
              <w:top w:w="40" w:type="dxa"/>
              <w:left w:w="20" w:type="dxa"/>
              <w:bottom w:w="40" w:type="dxa"/>
              <w:right w:w="20" w:type="dxa"/>
            </w:tcMar>
            <w:vAlign w:val="center"/>
          </w:tcPr>
          <w:p w14:paraId="35D09ACB" w14:textId="77777777" w:rsidR="00D42204" w:rsidRDefault="004E439D">
            <w:pPr>
              <w:textAlignment w:val="center"/>
            </w:pPr>
            <w:r>
              <w:rPr>
                <w:rFonts w:ascii="Times New Roman" w:eastAsia="宋体" w:hAnsi="Times New Roman"/>
                <w:color w:val="000000"/>
                <w:sz w:val="16"/>
                <w:szCs w:val="16"/>
              </w:rPr>
              <w:t>Accumulated depreciation and amortization</w:t>
            </w:r>
          </w:p>
        </w:tc>
        <w:tc>
          <w:tcPr>
            <w:tcW w:w="0" w:type="auto"/>
            <w:gridSpan w:val="3"/>
            <w:shd w:val="clear" w:color="auto" w:fill="FFFFFF"/>
            <w:tcMar>
              <w:top w:w="0" w:type="dxa"/>
              <w:left w:w="20" w:type="dxa"/>
              <w:bottom w:w="0" w:type="dxa"/>
              <w:right w:w="20" w:type="dxa"/>
            </w:tcMar>
            <w:vAlign w:val="bottom"/>
          </w:tcPr>
          <w:p w14:paraId="35D09AC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ACD" w14:textId="77777777" w:rsidR="00D42204" w:rsidRDefault="004E439D">
            <w:pPr>
              <w:jc w:val="right"/>
              <w:textAlignment w:val="center"/>
            </w:pPr>
            <w:r>
              <w:rPr>
                <w:rFonts w:ascii="Times New Roman" w:eastAsia="宋体" w:hAnsi="Times New Roman"/>
                <w:color w:val="000000"/>
                <w:sz w:val="16"/>
                <w:szCs w:val="16"/>
              </w:rPr>
              <w:t>102,211 </w:t>
            </w:r>
          </w:p>
        </w:tc>
        <w:tc>
          <w:tcPr>
            <w:tcW w:w="0" w:type="auto"/>
            <w:shd w:val="clear" w:color="auto" w:fill="FFFFFF"/>
            <w:tcMar>
              <w:top w:w="40" w:type="dxa"/>
              <w:left w:w="0" w:type="dxa"/>
              <w:bottom w:w="40" w:type="dxa"/>
              <w:right w:w="20" w:type="dxa"/>
            </w:tcMar>
            <w:vAlign w:val="center"/>
          </w:tcPr>
          <w:p w14:paraId="35D09AC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AC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AD0" w14:textId="77777777" w:rsidR="00D42204" w:rsidRDefault="004E439D">
            <w:pPr>
              <w:jc w:val="right"/>
              <w:textAlignment w:val="center"/>
            </w:pPr>
            <w:r>
              <w:rPr>
                <w:rFonts w:ascii="Times New Roman" w:eastAsia="宋体" w:hAnsi="Times New Roman"/>
                <w:color w:val="000000"/>
                <w:sz w:val="16"/>
                <w:szCs w:val="16"/>
              </w:rPr>
              <w:t>94,187 </w:t>
            </w:r>
          </w:p>
        </w:tc>
        <w:tc>
          <w:tcPr>
            <w:tcW w:w="0" w:type="auto"/>
            <w:shd w:val="clear" w:color="auto" w:fill="FFFFFF"/>
            <w:tcMar>
              <w:top w:w="40" w:type="dxa"/>
              <w:left w:w="0" w:type="dxa"/>
              <w:bottom w:w="40" w:type="dxa"/>
              <w:right w:w="20" w:type="dxa"/>
            </w:tcMar>
            <w:vAlign w:val="center"/>
          </w:tcPr>
          <w:p w14:paraId="35D09AD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AD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AD3" w14:textId="77777777" w:rsidR="00D42204" w:rsidRDefault="004E439D">
            <w:pPr>
              <w:jc w:val="right"/>
              <w:textAlignment w:val="center"/>
            </w:pPr>
            <w:r>
              <w:rPr>
                <w:rFonts w:ascii="Times New Roman" w:eastAsia="宋体" w:hAnsi="Times New Roman"/>
                <w:color w:val="000000"/>
                <w:sz w:val="16"/>
                <w:szCs w:val="16"/>
              </w:rPr>
              <w:t>94,514 </w:t>
            </w:r>
          </w:p>
        </w:tc>
        <w:tc>
          <w:tcPr>
            <w:tcW w:w="0" w:type="auto"/>
            <w:shd w:val="clear" w:color="auto" w:fill="FFFFFF"/>
            <w:tcMar>
              <w:top w:w="40" w:type="dxa"/>
              <w:left w:w="0" w:type="dxa"/>
              <w:bottom w:w="40" w:type="dxa"/>
              <w:right w:w="20" w:type="dxa"/>
            </w:tcMar>
            <w:vAlign w:val="center"/>
          </w:tcPr>
          <w:p w14:paraId="35D09AD4" w14:textId="77777777" w:rsidR="00D42204" w:rsidRDefault="00D42204">
            <w:pPr>
              <w:jc w:val="right"/>
              <w:rPr>
                <w:rFonts w:ascii="宋体"/>
              </w:rPr>
            </w:pPr>
          </w:p>
        </w:tc>
      </w:tr>
      <w:tr w:rsidR="00D42204" w14:paraId="35D09AE0" w14:textId="77777777">
        <w:tc>
          <w:tcPr>
            <w:tcW w:w="0" w:type="auto"/>
            <w:gridSpan w:val="3"/>
            <w:shd w:val="clear" w:color="auto" w:fill="CCEEFF"/>
            <w:tcMar>
              <w:top w:w="40" w:type="dxa"/>
              <w:left w:w="20" w:type="dxa"/>
              <w:bottom w:w="40" w:type="dxa"/>
              <w:right w:w="20" w:type="dxa"/>
            </w:tcMar>
            <w:vAlign w:val="center"/>
          </w:tcPr>
          <w:p w14:paraId="35D09AD6" w14:textId="77777777" w:rsidR="00D42204" w:rsidRDefault="004E439D">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vAlign w:val="bottom"/>
          </w:tcPr>
          <w:p w14:paraId="35D09AD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AD8" w14:textId="77777777" w:rsidR="00D42204" w:rsidRDefault="004E439D">
            <w:pPr>
              <w:jc w:val="right"/>
              <w:textAlignment w:val="center"/>
            </w:pPr>
            <w:r>
              <w:rPr>
                <w:rFonts w:ascii="Times New Roman" w:eastAsia="宋体" w:hAnsi="Times New Roman"/>
                <w:color w:val="000000"/>
                <w:sz w:val="16"/>
                <w:szCs w:val="16"/>
              </w:rPr>
              <w:t>55,261 </w:t>
            </w:r>
          </w:p>
        </w:tc>
        <w:tc>
          <w:tcPr>
            <w:tcW w:w="0" w:type="auto"/>
            <w:shd w:val="clear" w:color="auto" w:fill="CCEEFF"/>
            <w:tcMar>
              <w:top w:w="40" w:type="dxa"/>
              <w:left w:w="0" w:type="dxa"/>
              <w:bottom w:w="40" w:type="dxa"/>
              <w:right w:w="20" w:type="dxa"/>
            </w:tcMar>
            <w:vAlign w:val="center"/>
          </w:tcPr>
          <w:p w14:paraId="35D09AD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AD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ADB" w14:textId="77777777" w:rsidR="00D42204" w:rsidRDefault="004E439D">
            <w:pPr>
              <w:jc w:val="right"/>
              <w:textAlignment w:val="center"/>
            </w:pPr>
            <w:r>
              <w:rPr>
                <w:rFonts w:ascii="Times New Roman" w:eastAsia="宋体" w:hAnsi="Times New Roman"/>
                <w:color w:val="000000"/>
                <w:sz w:val="16"/>
                <w:szCs w:val="16"/>
              </w:rPr>
              <w:t>49,141 </w:t>
            </w:r>
          </w:p>
        </w:tc>
        <w:tc>
          <w:tcPr>
            <w:tcW w:w="0" w:type="auto"/>
            <w:shd w:val="clear" w:color="auto" w:fill="CCEEFF"/>
            <w:tcMar>
              <w:top w:w="40" w:type="dxa"/>
              <w:left w:w="0" w:type="dxa"/>
              <w:bottom w:w="40" w:type="dxa"/>
              <w:right w:w="20" w:type="dxa"/>
            </w:tcMar>
            <w:vAlign w:val="center"/>
          </w:tcPr>
          <w:p w14:paraId="35D09AD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AD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ADE" w14:textId="77777777" w:rsidR="00D42204" w:rsidRDefault="004E439D">
            <w:pPr>
              <w:jc w:val="right"/>
              <w:textAlignment w:val="center"/>
            </w:pPr>
            <w:r>
              <w:rPr>
                <w:rFonts w:ascii="Times New Roman" w:eastAsia="宋体" w:hAnsi="Times New Roman"/>
                <w:color w:val="000000"/>
                <w:sz w:val="16"/>
                <w:szCs w:val="16"/>
              </w:rPr>
              <w:t>46,973 </w:t>
            </w:r>
          </w:p>
        </w:tc>
        <w:tc>
          <w:tcPr>
            <w:tcW w:w="0" w:type="auto"/>
            <w:shd w:val="clear" w:color="auto" w:fill="CCEEFF"/>
            <w:tcMar>
              <w:top w:w="40" w:type="dxa"/>
              <w:left w:w="0" w:type="dxa"/>
              <w:bottom w:w="40" w:type="dxa"/>
              <w:right w:w="20" w:type="dxa"/>
            </w:tcMar>
            <w:vAlign w:val="center"/>
          </w:tcPr>
          <w:p w14:paraId="35D09ADF" w14:textId="77777777" w:rsidR="00D42204" w:rsidRDefault="00D42204">
            <w:pPr>
              <w:jc w:val="right"/>
              <w:rPr>
                <w:rFonts w:ascii="宋体"/>
              </w:rPr>
            </w:pPr>
          </w:p>
        </w:tc>
      </w:tr>
      <w:tr w:rsidR="00D42204" w14:paraId="35D09AEB" w14:textId="77777777">
        <w:tc>
          <w:tcPr>
            <w:tcW w:w="0" w:type="auto"/>
            <w:gridSpan w:val="3"/>
            <w:shd w:val="clear" w:color="auto" w:fill="FFFFFF"/>
            <w:tcMar>
              <w:top w:w="40" w:type="dxa"/>
              <w:left w:w="20" w:type="dxa"/>
              <w:bottom w:w="40" w:type="dxa"/>
              <w:right w:w="20" w:type="dxa"/>
            </w:tcMar>
            <w:vAlign w:val="center"/>
          </w:tcPr>
          <w:p w14:paraId="35D09AE1" w14:textId="77777777" w:rsidR="00D42204" w:rsidRDefault="004E439D">
            <w:pPr>
              <w:textAlignment w:val="center"/>
            </w:pPr>
            <w:r>
              <w:rPr>
                <w:rFonts w:ascii="Times New Roman" w:eastAsia="宋体" w:hAnsi="Times New Roman"/>
                <w:color w:val="000000"/>
                <w:sz w:val="16"/>
                <w:szCs w:val="16"/>
              </w:rPr>
              <w:t>Accr</w:t>
            </w:r>
            <w:r>
              <w:rPr>
                <w:rFonts w:ascii="Times New Roman" w:eastAsia="宋体" w:hAnsi="Times New Roman"/>
                <w:color w:val="000000"/>
                <w:sz w:val="16"/>
                <w:szCs w:val="16"/>
              </w:rPr>
              <w:t>ued liabilities</w:t>
            </w:r>
          </w:p>
        </w:tc>
        <w:tc>
          <w:tcPr>
            <w:tcW w:w="0" w:type="auto"/>
            <w:gridSpan w:val="3"/>
            <w:shd w:val="clear" w:color="auto" w:fill="FFFFFF"/>
            <w:tcMar>
              <w:top w:w="0" w:type="dxa"/>
              <w:left w:w="20" w:type="dxa"/>
              <w:bottom w:w="0" w:type="dxa"/>
              <w:right w:w="20" w:type="dxa"/>
            </w:tcMar>
            <w:vAlign w:val="bottom"/>
          </w:tcPr>
          <w:p w14:paraId="35D09AE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AE3" w14:textId="77777777" w:rsidR="00D42204" w:rsidRDefault="004E439D">
            <w:pPr>
              <w:jc w:val="right"/>
              <w:textAlignment w:val="center"/>
            </w:pPr>
            <w:r>
              <w:rPr>
                <w:rFonts w:ascii="Times New Roman" w:eastAsia="宋体" w:hAnsi="Times New Roman"/>
                <w:color w:val="000000"/>
                <w:sz w:val="16"/>
                <w:szCs w:val="16"/>
              </w:rPr>
              <w:t>26,060 </w:t>
            </w:r>
          </w:p>
        </w:tc>
        <w:tc>
          <w:tcPr>
            <w:tcW w:w="0" w:type="auto"/>
            <w:shd w:val="clear" w:color="auto" w:fill="FFFFFF"/>
            <w:tcMar>
              <w:top w:w="40" w:type="dxa"/>
              <w:left w:w="0" w:type="dxa"/>
              <w:bottom w:w="40" w:type="dxa"/>
              <w:right w:w="20" w:type="dxa"/>
            </w:tcMar>
            <w:vAlign w:val="center"/>
          </w:tcPr>
          <w:p w14:paraId="35D09AE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AE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AE6" w14:textId="77777777" w:rsidR="00D42204" w:rsidRDefault="004E439D">
            <w:pPr>
              <w:jc w:val="right"/>
              <w:textAlignment w:val="center"/>
            </w:pPr>
            <w:r>
              <w:rPr>
                <w:rFonts w:ascii="Times New Roman" w:eastAsia="宋体" w:hAnsi="Times New Roman"/>
                <w:color w:val="000000"/>
                <w:sz w:val="16"/>
                <w:szCs w:val="16"/>
              </w:rPr>
              <w:t>37,966 </w:t>
            </w:r>
          </w:p>
        </w:tc>
        <w:tc>
          <w:tcPr>
            <w:tcW w:w="0" w:type="auto"/>
            <w:shd w:val="clear" w:color="auto" w:fill="FFFFFF"/>
            <w:tcMar>
              <w:top w:w="40" w:type="dxa"/>
              <w:left w:w="0" w:type="dxa"/>
              <w:bottom w:w="40" w:type="dxa"/>
              <w:right w:w="20" w:type="dxa"/>
            </w:tcMar>
            <w:vAlign w:val="center"/>
          </w:tcPr>
          <w:p w14:paraId="35D09AE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AE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AE9" w14:textId="77777777" w:rsidR="00D42204" w:rsidRDefault="004E439D">
            <w:pPr>
              <w:jc w:val="right"/>
              <w:textAlignment w:val="center"/>
            </w:pPr>
            <w:r>
              <w:rPr>
                <w:rFonts w:ascii="Times New Roman" w:eastAsia="宋体" w:hAnsi="Times New Roman"/>
                <w:color w:val="000000"/>
                <w:sz w:val="16"/>
                <w:szCs w:val="16"/>
              </w:rPr>
              <w:t>22,296 </w:t>
            </w:r>
          </w:p>
        </w:tc>
        <w:tc>
          <w:tcPr>
            <w:tcW w:w="0" w:type="auto"/>
            <w:shd w:val="clear" w:color="auto" w:fill="FFFFFF"/>
            <w:tcMar>
              <w:top w:w="40" w:type="dxa"/>
              <w:left w:w="0" w:type="dxa"/>
              <w:bottom w:w="40" w:type="dxa"/>
              <w:right w:w="20" w:type="dxa"/>
            </w:tcMar>
            <w:vAlign w:val="center"/>
          </w:tcPr>
          <w:p w14:paraId="35D09AEA" w14:textId="77777777" w:rsidR="00D42204" w:rsidRDefault="00D42204">
            <w:pPr>
              <w:jc w:val="right"/>
              <w:rPr>
                <w:rFonts w:ascii="宋体"/>
              </w:rPr>
            </w:pPr>
          </w:p>
        </w:tc>
      </w:tr>
    </w:tbl>
    <w:p w14:paraId="35D09AEC" w14:textId="77777777" w:rsidR="00D42204" w:rsidRDefault="004E439D">
      <w:pPr>
        <w:spacing w:before="180"/>
      </w:pPr>
      <w:r>
        <w:rPr>
          <w:rFonts w:ascii="Times New Roman" w:eastAsia="宋体" w:hAnsi="Times New Roman"/>
          <w:i/>
          <w:iCs/>
          <w:color w:val="000000"/>
          <w:sz w:val="20"/>
          <w:szCs w:val="20"/>
        </w:rPr>
        <w:t>Free Cash Flow</w:t>
      </w:r>
    </w:p>
    <w:p w14:paraId="35D09AED" w14:textId="77777777" w:rsidR="00D42204" w:rsidRDefault="004E439D">
      <w:pPr>
        <w:spacing w:before="100"/>
      </w:pPr>
      <w:r>
        <w:rPr>
          <w:rFonts w:ascii="Times New Roman" w:eastAsia="宋体" w:hAnsi="Times New Roman"/>
          <w:color w:val="000000"/>
          <w:sz w:val="20"/>
          <w:szCs w:val="20"/>
        </w:rPr>
        <w:t xml:space="preserve">Free cash flow is considered a non-GAAP financial measure. Management believes, however, that free cash flow, which measures our ability to generate additional cash from our business </w:t>
      </w:r>
      <w:r>
        <w:rPr>
          <w:rFonts w:ascii="Times New Roman" w:eastAsia="宋体" w:hAnsi="Times New Roman"/>
          <w:color w:val="000000"/>
          <w:sz w:val="20"/>
          <w:szCs w:val="20"/>
        </w:rPr>
        <w:t>operations, is an important financial measure for use in evaluating the Company's financial performance. Free cash flow should be considered in addition to, rather than as a substitute for, consolidated net income as a measure of our performance and net ca</w:t>
      </w:r>
      <w:r>
        <w:rPr>
          <w:rFonts w:ascii="Times New Roman" w:eastAsia="宋体" w:hAnsi="Times New Roman"/>
          <w:color w:val="000000"/>
          <w:sz w:val="20"/>
          <w:szCs w:val="20"/>
        </w:rPr>
        <w:t>sh provided by operating activities as a measure of our liquidity. See "</w:t>
      </w:r>
      <w:hyperlink r:id="rId101" w:anchor="i1ba69ebb72ec48f9b754a5e96c4cdf3f_103" w:history="1">
        <w:r>
          <w:rPr>
            <w:rStyle w:val="a5"/>
            <w:rFonts w:ascii="Times New Roman" w:eastAsia="宋体" w:hAnsi="Times New Roman"/>
            <w:sz w:val="20"/>
            <w:szCs w:val="20"/>
          </w:rPr>
          <w:t xml:space="preserve">Liquidity and Capital </w:t>
        </w:r>
        <w:r>
          <w:rPr>
            <w:rStyle w:val="a5"/>
            <w:rFonts w:ascii="Times New Roman" w:eastAsia="宋体" w:hAnsi="Times New Roman"/>
            <w:sz w:val="20"/>
            <w:szCs w:val="20"/>
          </w:rPr>
          <w:t>Resources</w:t>
        </w:r>
      </w:hyperlink>
      <w:r>
        <w:rPr>
          <w:rFonts w:ascii="Times New Roman" w:eastAsia="宋体" w:hAnsi="Times New Roman"/>
          <w:color w:val="000000"/>
          <w:sz w:val="20"/>
          <w:szCs w:val="20"/>
        </w:rPr>
        <w:t>" for discussions of GAAP metrics including net cash provided by operating activities, net cash used in investing activities and net cash used in financing activities.</w:t>
      </w:r>
    </w:p>
    <w:p w14:paraId="35D09AEE" w14:textId="77777777" w:rsidR="00D42204" w:rsidRDefault="004E439D">
      <w:pPr>
        <w:spacing w:before="100"/>
      </w:pPr>
      <w:r>
        <w:rPr>
          <w:rFonts w:ascii="Times New Roman" w:eastAsia="宋体" w:hAnsi="Times New Roman"/>
          <w:color w:val="000000"/>
          <w:sz w:val="20"/>
          <w:szCs w:val="20"/>
        </w:rPr>
        <w:t>We define free cash flow as net cash provided by operating activities in a p</w:t>
      </w:r>
      <w:r>
        <w:rPr>
          <w:rFonts w:ascii="Times New Roman" w:eastAsia="宋体" w:hAnsi="Times New Roman"/>
          <w:color w:val="000000"/>
          <w:sz w:val="20"/>
          <w:szCs w:val="20"/>
        </w:rPr>
        <w:t>eriod minus payments for property and equipment made in that period. We had net cash provided by operating activities of $24.2 billion, $36.1 billion and $25.3 billion for fiscal 2022, 2021 and 2020, respectively. We generated free cash flow of $11.1 billi</w:t>
      </w:r>
      <w:r>
        <w:rPr>
          <w:rFonts w:ascii="Times New Roman" w:eastAsia="宋体" w:hAnsi="Times New Roman"/>
          <w:color w:val="000000"/>
          <w:sz w:val="20"/>
          <w:szCs w:val="20"/>
        </w:rPr>
        <w:t>on, $25.8 billion and $14.6 billion for fiscal 2022, 2021 and 2020, respectively. Net cash provided by operating activities for fiscal 2022 decreased when compared to fiscal 2021 primarily due to an increase in inventory costs and purchases to support stro</w:t>
      </w:r>
      <w:r>
        <w:rPr>
          <w:rFonts w:ascii="Times New Roman" w:eastAsia="宋体" w:hAnsi="Times New Roman"/>
          <w:color w:val="000000"/>
          <w:sz w:val="20"/>
          <w:szCs w:val="20"/>
        </w:rPr>
        <w:t>ng sales and lapping the impact of accelerated inventory sell-through in fiscal 2021, as well as timing and payment of wages. Free cash flow for fiscal 2022 decreased when compared to fiscal 2021 due to the same reasons as the decrease in net cash provided</w:t>
      </w:r>
      <w:r>
        <w:rPr>
          <w:rFonts w:ascii="Times New Roman" w:eastAsia="宋体" w:hAnsi="Times New Roman"/>
          <w:color w:val="000000"/>
          <w:sz w:val="20"/>
          <w:szCs w:val="20"/>
        </w:rPr>
        <w:t xml:space="preserve"> by operating activities, as well as $2.8 billion in increased capital expenditures. Net cash provided by operating activities for fiscal 2021 increased when compared to fiscal 2020 primarily due to the impact of the global health crisis which accelerated </w:t>
      </w:r>
      <w:r>
        <w:rPr>
          <w:rFonts w:ascii="Times New Roman" w:eastAsia="宋体" w:hAnsi="Times New Roman"/>
          <w:color w:val="000000"/>
          <w:sz w:val="20"/>
          <w:szCs w:val="20"/>
        </w:rPr>
        <w:t xml:space="preserve">inventory sell-through, as well as the timing and payment of inventory purchases, incremental COVID-19 related expenses and certain benefit payments. Free cash flow for </w:t>
      </w:r>
    </w:p>
    <w:p w14:paraId="35D09AEF" w14:textId="77777777" w:rsidR="00D42204" w:rsidRDefault="004E439D">
      <w:pPr>
        <w:jc w:val="center"/>
      </w:pPr>
      <w:r>
        <w:rPr>
          <w:rFonts w:ascii="Times New Roman" w:eastAsia="宋体" w:hAnsi="Times New Roman"/>
          <w:color w:val="000000"/>
          <w:sz w:val="20"/>
          <w:szCs w:val="20"/>
        </w:rPr>
        <w:t>37</w:t>
      </w:r>
    </w:p>
    <w:p w14:paraId="35D09AF0" w14:textId="77777777" w:rsidR="00D42204" w:rsidRDefault="004E439D">
      <w:r>
        <w:pict w14:anchorId="35D0C380">
          <v:rect id="_x0000_i1061" style="width:415.3pt;height:1.5pt" o:hralign="center" o:hrstd="t" o:hr="t" fillcolor="#a0a0a0" stroked="f"/>
        </w:pict>
      </w:r>
    </w:p>
    <w:p w14:paraId="35D09AF1" w14:textId="77777777" w:rsidR="00D42204" w:rsidRDefault="00D42204"/>
    <w:p w14:paraId="35D09AF2" w14:textId="77777777" w:rsidR="00D42204" w:rsidRDefault="004E439D">
      <w:pPr>
        <w:spacing w:before="100"/>
      </w:pPr>
      <w:r>
        <w:rPr>
          <w:rFonts w:ascii="Times New Roman" w:eastAsia="宋体" w:hAnsi="Times New Roman"/>
          <w:color w:val="000000"/>
          <w:sz w:val="20"/>
          <w:szCs w:val="20"/>
        </w:rPr>
        <w:t>fiscal 2021 increased when compared to fiscal 2020 due to the same reasons as th</w:t>
      </w:r>
      <w:r>
        <w:rPr>
          <w:rFonts w:ascii="Times New Roman" w:eastAsia="宋体" w:hAnsi="Times New Roman"/>
          <w:color w:val="000000"/>
          <w:sz w:val="20"/>
          <w:szCs w:val="20"/>
        </w:rPr>
        <w:t>e increase in net cash provided by operating activities, as well as $0.4 billion in decreased capital expenditures.</w:t>
      </w:r>
    </w:p>
    <w:p w14:paraId="35D09AF3" w14:textId="77777777" w:rsidR="00D42204" w:rsidRDefault="004E439D">
      <w:pPr>
        <w:spacing w:before="100"/>
      </w:pPr>
      <w:r>
        <w:rPr>
          <w:rFonts w:ascii="Times New Roman" w:eastAsia="宋体" w:hAnsi="Times New Roman"/>
          <w:color w:val="000000"/>
          <w:sz w:val="20"/>
          <w:szCs w:val="20"/>
        </w:rPr>
        <w:t>Walmart's definition of free cash flow is limited in that it does not represent residual cash flows available for discretionary expenditures</w:t>
      </w:r>
      <w:r>
        <w:rPr>
          <w:rFonts w:ascii="Times New Roman" w:eastAsia="宋体" w:hAnsi="Times New Roman"/>
          <w:color w:val="000000"/>
          <w:sz w:val="20"/>
          <w:szCs w:val="20"/>
        </w:rPr>
        <w:t xml:space="preserve"> due to the fact that the measure does not deduct the payments required for debt service and other contractual obligations or payments made for business acquisitions. Therefore, we believe it is important to view free cash flow as a measure that provides s</w:t>
      </w:r>
      <w:r>
        <w:rPr>
          <w:rFonts w:ascii="Times New Roman" w:eastAsia="宋体" w:hAnsi="Times New Roman"/>
          <w:color w:val="000000"/>
          <w:sz w:val="20"/>
          <w:szCs w:val="20"/>
        </w:rPr>
        <w:t xml:space="preserve">upplemental information to our </w:t>
      </w:r>
      <w:hyperlink r:id="rId102" w:anchor="i1ba69ebb72ec48f9b754a5e96c4cdf3f_145" w:history="1">
        <w:r>
          <w:rPr>
            <w:rStyle w:val="a5"/>
            <w:rFonts w:ascii="Times New Roman" w:eastAsia="宋体" w:hAnsi="Times New Roman"/>
            <w:sz w:val="20"/>
            <w:szCs w:val="20"/>
          </w:rPr>
          <w:t>Consolidated Statements of Cash Flows</w:t>
        </w:r>
      </w:hyperlink>
      <w:r>
        <w:rPr>
          <w:rFonts w:ascii="Times New Roman" w:eastAsia="宋体" w:hAnsi="Times New Roman"/>
          <w:color w:val="000000"/>
          <w:sz w:val="20"/>
          <w:szCs w:val="20"/>
        </w:rPr>
        <w:t>.</w:t>
      </w:r>
    </w:p>
    <w:p w14:paraId="35D09AF4" w14:textId="77777777" w:rsidR="00D42204" w:rsidRDefault="004E439D">
      <w:pPr>
        <w:spacing w:before="100"/>
      </w:pPr>
      <w:r>
        <w:rPr>
          <w:rFonts w:ascii="Times New Roman" w:eastAsia="宋体" w:hAnsi="Times New Roman"/>
          <w:color w:val="000000"/>
          <w:sz w:val="20"/>
          <w:szCs w:val="20"/>
        </w:rPr>
        <w:t xml:space="preserve">Although other companies report </w:t>
      </w:r>
      <w:r>
        <w:rPr>
          <w:rFonts w:ascii="Times New Roman" w:eastAsia="宋体" w:hAnsi="Times New Roman"/>
          <w:color w:val="000000"/>
          <w:sz w:val="20"/>
          <w:szCs w:val="20"/>
        </w:rPr>
        <w:t>their free cash flow, numerous methods may exist for calculating a company's free cash flow. As a result, the method used by management to calculate our free cash flow may differ from the methods used by other companies to calculate their free cash flow.</w:t>
      </w:r>
    </w:p>
    <w:p w14:paraId="35D09AF5" w14:textId="77777777" w:rsidR="00D42204" w:rsidRDefault="004E439D">
      <w:pPr>
        <w:spacing w:before="100"/>
      </w:pPr>
      <w:r>
        <w:rPr>
          <w:rFonts w:ascii="Times New Roman" w:eastAsia="宋体" w:hAnsi="Times New Roman"/>
          <w:color w:val="000000"/>
          <w:sz w:val="20"/>
          <w:szCs w:val="20"/>
        </w:rPr>
        <w:t>T</w:t>
      </w:r>
      <w:r>
        <w:rPr>
          <w:rFonts w:ascii="Times New Roman" w:eastAsia="宋体" w:hAnsi="Times New Roman"/>
          <w:color w:val="000000"/>
          <w:sz w:val="20"/>
          <w:szCs w:val="20"/>
        </w:rPr>
        <w:t>he following table sets forth a reconciliation of free cash flow, a non-GAAP financial measure, to net cash provided by operating activities, which we believe to be the GAAP financial measure most directly comparable to free cash flow, as well as informati</w:t>
      </w:r>
      <w:r>
        <w:rPr>
          <w:rFonts w:ascii="Times New Roman" w:eastAsia="宋体" w:hAnsi="Times New Roman"/>
          <w:color w:val="000000"/>
          <w:sz w:val="20"/>
          <w:szCs w:val="20"/>
        </w:rPr>
        <w:t>on regarding net cash used in investing activities and net cash used in financing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134"/>
        <w:gridCol w:w="37"/>
        <w:gridCol w:w="36"/>
        <w:gridCol w:w="36"/>
        <w:gridCol w:w="36"/>
        <w:gridCol w:w="100"/>
        <w:gridCol w:w="795"/>
        <w:gridCol w:w="36"/>
        <w:gridCol w:w="36"/>
        <w:gridCol w:w="36"/>
        <w:gridCol w:w="36"/>
        <w:gridCol w:w="100"/>
        <w:gridCol w:w="797"/>
        <w:gridCol w:w="36"/>
        <w:gridCol w:w="36"/>
        <w:gridCol w:w="36"/>
        <w:gridCol w:w="36"/>
        <w:gridCol w:w="100"/>
        <w:gridCol w:w="799"/>
        <w:gridCol w:w="36"/>
      </w:tblGrid>
      <w:tr w:rsidR="00D42204" w14:paraId="35D09B0B" w14:textId="77777777">
        <w:trPr>
          <w:jc w:val="center"/>
        </w:trPr>
        <w:tc>
          <w:tcPr>
            <w:tcW w:w="50" w:type="pct"/>
            <w:shd w:val="clear" w:color="auto" w:fill="auto"/>
            <w:vAlign w:val="bottom"/>
          </w:tcPr>
          <w:p w14:paraId="35D09AF6" w14:textId="77777777" w:rsidR="00D42204" w:rsidRDefault="00D42204">
            <w:pPr>
              <w:rPr>
                <w:rFonts w:ascii="宋体"/>
              </w:rPr>
            </w:pPr>
          </w:p>
        </w:tc>
        <w:tc>
          <w:tcPr>
            <w:tcW w:w="3102" w:type="pct"/>
            <w:shd w:val="clear" w:color="auto" w:fill="auto"/>
            <w:vAlign w:val="bottom"/>
          </w:tcPr>
          <w:p w14:paraId="35D09AF7" w14:textId="77777777" w:rsidR="00D42204" w:rsidRDefault="00D42204">
            <w:pPr>
              <w:rPr>
                <w:rFonts w:ascii="宋体"/>
              </w:rPr>
            </w:pPr>
          </w:p>
        </w:tc>
        <w:tc>
          <w:tcPr>
            <w:tcW w:w="5" w:type="pct"/>
            <w:shd w:val="clear" w:color="auto" w:fill="auto"/>
            <w:vAlign w:val="bottom"/>
          </w:tcPr>
          <w:p w14:paraId="35D09AF8" w14:textId="77777777" w:rsidR="00D42204" w:rsidRDefault="00D42204">
            <w:pPr>
              <w:rPr>
                <w:rFonts w:ascii="宋体"/>
              </w:rPr>
            </w:pPr>
          </w:p>
        </w:tc>
        <w:tc>
          <w:tcPr>
            <w:tcW w:w="5" w:type="pct"/>
            <w:shd w:val="clear" w:color="auto" w:fill="auto"/>
            <w:vAlign w:val="bottom"/>
          </w:tcPr>
          <w:p w14:paraId="35D09AF9" w14:textId="77777777" w:rsidR="00D42204" w:rsidRDefault="00D42204">
            <w:pPr>
              <w:rPr>
                <w:rFonts w:ascii="宋体"/>
              </w:rPr>
            </w:pPr>
          </w:p>
        </w:tc>
        <w:tc>
          <w:tcPr>
            <w:tcW w:w="41" w:type="pct"/>
            <w:shd w:val="clear" w:color="auto" w:fill="auto"/>
            <w:vAlign w:val="bottom"/>
          </w:tcPr>
          <w:p w14:paraId="35D09AFA" w14:textId="77777777" w:rsidR="00D42204" w:rsidRDefault="00D42204">
            <w:pPr>
              <w:rPr>
                <w:rFonts w:ascii="宋体"/>
              </w:rPr>
            </w:pPr>
          </w:p>
        </w:tc>
        <w:tc>
          <w:tcPr>
            <w:tcW w:w="5" w:type="pct"/>
            <w:shd w:val="clear" w:color="auto" w:fill="auto"/>
            <w:vAlign w:val="bottom"/>
          </w:tcPr>
          <w:p w14:paraId="35D09AFB" w14:textId="77777777" w:rsidR="00D42204" w:rsidRDefault="00D42204">
            <w:pPr>
              <w:rPr>
                <w:rFonts w:ascii="宋体"/>
              </w:rPr>
            </w:pPr>
          </w:p>
        </w:tc>
        <w:tc>
          <w:tcPr>
            <w:tcW w:w="50" w:type="pct"/>
            <w:shd w:val="clear" w:color="auto" w:fill="auto"/>
            <w:vAlign w:val="bottom"/>
          </w:tcPr>
          <w:p w14:paraId="35D09AFC" w14:textId="77777777" w:rsidR="00D42204" w:rsidRDefault="00D42204">
            <w:pPr>
              <w:rPr>
                <w:rFonts w:ascii="宋体"/>
              </w:rPr>
            </w:pPr>
          </w:p>
        </w:tc>
        <w:tc>
          <w:tcPr>
            <w:tcW w:w="507" w:type="pct"/>
            <w:shd w:val="clear" w:color="auto" w:fill="auto"/>
            <w:vAlign w:val="bottom"/>
          </w:tcPr>
          <w:p w14:paraId="35D09AFD" w14:textId="77777777" w:rsidR="00D42204" w:rsidRDefault="00D42204">
            <w:pPr>
              <w:rPr>
                <w:rFonts w:ascii="宋体"/>
              </w:rPr>
            </w:pPr>
          </w:p>
        </w:tc>
        <w:tc>
          <w:tcPr>
            <w:tcW w:w="5" w:type="pct"/>
            <w:shd w:val="clear" w:color="auto" w:fill="auto"/>
            <w:vAlign w:val="bottom"/>
          </w:tcPr>
          <w:p w14:paraId="35D09AFE" w14:textId="77777777" w:rsidR="00D42204" w:rsidRDefault="00D42204">
            <w:pPr>
              <w:rPr>
                <w:rFonts w:ascii="宋体"/>
              </w:rPr>
            </w:pPr>
          </w:p>
        </w:tc>
        <w:tc>
          <w:tcPr>
            <w:tcW w:w="5" w:type="pct"/>
            <w:shd w:val="clear" w:color="auto" w:fill="auto"/>
            <w:vAlign w:val="bottom"/>
          </w:tcPr>
          <w:p w14:paraId="35D09AFF" w14:textId="77777777" w:rsidR="00D42204" w:rsidRDefault="00D42204">
            <w:pPr>
              <w:rPr>
                <w:rFonts w:ascii="宋体"/>
              </w:rPr>
            </w:pPr>
          </w:p>
        </w:tc>
        <w:tc>
          <w:tcPr>
            <w:tcW w:w="41" w:type="pct"/>
            <w:shd w:val="clear" w:color="auto" w:fill="auto"/>
            <w:vAlign w:val="bottom"/>
          </w:tcPr>
          <w:p w14:paraId="35D09B00" w14:textId="77777777" w:rsidR="00D42204" w:rsidRDefault="00D42204">
            <w:pPr>
              <w:rPr>
                <w:rFonts w:ascii="宋体"/>
              </w:rPr>
            </w:pPr>
          </w:p>
        </w:tc>
        <w:tc>
          <w:tcPr>
            <w:tcW w:w="5" w:type="pct"/>
            <w:shd w:val="clear" w:color="auto" w:fill="auto"/>
            <w:vAlign w:val="bottom"/>
          </w:tcPr>
          <w:p w14:paraId="35D09B01" w14:textId="77777777" w:rsidR="00D42204" w:rsidRDefault="00D42204">
            <w:pPr>
              <w:rPr>
                <w:rFonts w:ascii="宋体"/>
              </w:rPr>
            </w:pPr>
          </w:p>
        </w:tc>
        <w:tc>
          <w:tcPr>
            <w:tcW w:w="50" w:type="pct"/>
            <w:shd w:val="clear" w:color="auto" w:fill="auto"/>
            <w:vAlign w:val="bottom"/>
          </w:tcPr>
          <w:p w14:paraId="35D09B02" w14:textId="77777777" w:rsidR="00D42204" w:rsidRDefault="00D42204">
            <w:pPr>
              <w:rPr>
                <w:rFonts w:ascii="宋体"/>
              </w:rPr>
            </w:pPr>
          </w:p>
        </w:tc>
        <w:tc>
          <w:tcPr>
            <w:tcW w:w="507" w:type="pct"/>
            <w:shd w:val="clear" w:color="auto" w:fill="auto"/>
            <w:vAlign w:val="bottom"/>
          </w:tcPr>
          <w:p w14:paraId="35D09B03" w14:textId="77777777" w:rsidR="00D42204" w:rsidRDefault="00D42204">
            <w:pPr>
              <w:rPr>
                <w:rFonts w:ascii="宋体"/>
              </w:rPr>
            </w:pPr>
          </w:p>
        </w:tc>
        <w:tc>
          <w:tcPr>
            <w:tcW w:w="5" w:type="pct"/>
            <w:shd w:val="clear" w:color="auto" w:fill="auto"/>
            <w:vAlign w:val="bottom"/>
          </w:tcPr>
          <w:p w14:paraId="35D09B04" w14:textId="77777777" w:rsidR="00D42204" w:rsidRDefault="00D42204">
            <w:pPr>
              <w:rPr>
                <w:rFonts w:ascii="宋体"/>
              </w:rPr>
            </w:pPr>
          </w:p>
        </w:tc>
        <w:tc>
          <w:tcPr>
            <w:tcW w:w="5" w:type="pct"/>
            <w:shd w:val="clear" w:color="auto" w:fill="auto"/>
            <w:vAlign w:val="bottom"/>
          </w:tcPr>
          <w:p w14:paraId="35D09B05" w14:textId="77777777" w:rsidR="00D42204" w:rsidRDefault="00D42204">
            <w:pPr>
              <w:rPr>
                <w:rFonts w:ascii="宋体"/>
              </w:rPr>
            </w:pPr>
          </w:p>
        </w:tc>
        <w:tc>
          <w:tcPr>
            <w:tcW w:w="41" w:type="pct"/>
            <w:shd w:val="clear" w:color="auto" w:fill="auto"/>
            <w:vAlign w:val="bottom"/>
          </w:tcPr>
          <w:p w14:paraId="35D09B06" w14:textId="77777777" w:rsidR="00D42204" w:rsidRDefault="00D42204">
            <w:pPr>
              <w:rPr>
                <w:rFonts w:ascii="宋体"/>
              </w:rPr>
            </w:pPr>
          </w:p>
        </w:tc>
        <w:tc>
          <w:tcPr>
            <w:tcW w:w="5" w:type="pct"/>
            <w:shd w:val="clear" w:color="auto" w:fill="auto"/>
            <w:vAlign w:val="bottom"/>
          </w:tcPr>
          <w:p w14:paraId="35D09B07" w14:textId="77777777" w:rsidR="00D42204" w:rsidRDefault="00D42204">
            <w:pPr>
              <w:rPr>
                <w:rFonts w:ascii="宋体"/>
              </w:rPr>
            </w:pPr>
          </w:p>
        </w:tc>
        <w:tc>
          <w:tcPr>
            <w:tcW w:w="50" w:type="pct"/>
            <w:shd w:val="clear" w:color="auto" w:fill="auto"/>
            <w:vAlign w:val="bottom"/>
          </w:tcPr>
          <w:p w14:paraId="35D09B08" w14:textId="77777777" w:rsidR="00D42204" w:rsidRDefault="00D42204">
            <w:pPr>
              <w:rPr>
                <w:rFonts w:ascii="宋体"/>
              </w:rPr>
            </w:pPr>
          </w:p>
        </w:tc>
        <w:tc>
          <w:tcPr>
            <w:tcW w:w="508" w:type="pct"/>
            <w:shd w:val="clear" w:color="auto" w:fill="auto"/>
            <w:vAlign w:val="bottom"/>
          </w:tcPr>
          <w:p w14:paraId="35D09B09" w14:textId="77777777" w:rsidR="00D42204" w:rsidRDefault="00D42204">
            <w:pPr>
              <w:rPr>
                <w:rFonts w:ascii="宋体"/>
              </w:rPr>
            </w:pPr>
          </w:p>
        </w:tc>
        <w:tc>
          <w:tcPr>
            <w:tcW w:w="5" w:type="pct"/>
            <w:shd w:val="clear" w:color="auto" w:fill="auto"/>
            <w:vAlign w:val="bottom"/>
          </w:tcPr>
          <w:p w14:paraId="35D09B0A" w14:textId="77777777" w:rsidR="00D42204" w:rsidRDefault="00D42204">
            <w:pPr>
              <w:rPr>
                <w:rFonts w:ascii="宋体"/>
              </w:rPr>
            </w:pPr>
          </w:p>
        </w:tc>
      </w:tr>
      <w:tr w:rsidR="00D42204" w14:paraId="35D09B0F" w14:textId="77777777">
        <w:trPr>
          <w:jc w:val="center"/>
        </w:trPr>
        <w:tc>
          <w:tcPr>
            <w:tcW w:w="0" w:type="auto"/>
            <w:gridSpan w:val="3"/>
            <w:shd w:val="clear" w:color="auto" w:fill="auto"/>
            <w:tcMar>
              <w:top w:w="40" w:type="dxa"/>
              <w:left w:w="20" w:type="dxa"/>
              <w:bottom w:w="40" w:type="dxa"/>
              <w:right w:w="20" w:type="dxa"/>
            </w:tcMar>
            <w:vAlign w:val="bottom"/>
          </w:tcPr>
          <w:p w14:paraId="35D09B0C"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9B0D"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9B0E" w14:textId="77777777" w:rsidR="00D42204" w:rsidRDefault="004E439D">
            <w:pPr>
              <w:jc w:val="center"/>
              <w:textAlignment w:val="bottom"/>
            </w:pPr>
            <w:r>
              <w:rPr>
                <w:rFonts w:ascii="Times New Roman" w:eastAsia="宋体" w:hAnsi="Times New Roman"/>
                <w:b/>
                <w:bCs/>
                <w:color w:val="000000"/>
                <w:sz w:val="16"/>
                <w:szCs w:val="16"/>
              </w:rPr>
              <w:t>Fisca</w:t>
            </w:r>
            <w:r>
              <w:rPr>
                <w:rFonts w:ascii="Times New Roman" w:eastAsia="宋体" w:hAnsi="Times New Roman"/>
                <w:b/>
                <w:bCs/>
                <w:color w:val="000000"/>
                <w:sz w:val="16"/>
                <w:szCs w:val="16"/>
              </w:rPr>
              <w:t>l Years Ended January 31,</w:t>
            </w:r>
          </w:p>
        </w:tc>
      </w:tr>
      <w:tr w:rsidR="00D42204" w14:paraId="35D09B17" w14:textId="77777777">
        <w:trPr>
          <w:jc w:val="center"/>
        </w:trPr>
        <w:tc>
          <w:tcPr>
            <w:tcW w:w="0" w:type="auto"/>
            <w:gridSpan w:val="3"/>
            <w:shd w:val="clear" w:color="auto" w:fill="auto"/>
            <w:tcMar>
              <w:top w:w="40" w:type="dxa"/>
              <w:left w:w="20" w:type="dxa"/>
              <w:bottom w:w="40" w:type="dxa"/>
              <w:right w:w="20" w:type="dxa"/>
            </w:tcMar>
            <w:vAlign w:val="bottom"/>
          </w:tcPr>
          <w:p w14:paraId="35D09B10"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9B11"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B12"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B13"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B14"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B15"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B16"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9B25" w14:textId="77777777">
        <w:trPr>
          <w:jc w:val="center"/>
        </w:trPr>
        <w:tc>
          <w:tcPr>
            <w:tcW w:w="0" w:type="auto"/>
            <w:gridSpan w:val="3"/>
            <w:shd w:val="clear" w:color="auto" w:fill="CCEEFF"/>
            <w:tcMar>
              <w:top w:w="40" w:type="dxa"/>
              <w:left w:w="20" w:type="dxa"/>
              <w:bottom w:w="40" w:type="dxa"/>
              <w:right w:w="20" w:type="dxa"/>
            </w:tcMar>
            <w:vAlign w:val="center"/>
          </w:tcPr>
          <w:p w14:paraId="35D09B18" w14:textId="77777777" w:rsidR="00D42204" w:rsidRDefault="004E439D">
            <w:pPr>
              <w:textAlignment w:val="center"/>
            </w:pPr>
            <w:r>
              <w:rPr>
                <w:rFonts w:ascii="Times New Roman" w:eastAsia="宋体" w:hAnsi="Times New Roman"/>
                <w:color w:val="000000"/>
                <w:sz w:val="16"/>
                <w:szCs w:val="16"/>
              </w:rPr>
              <w:t>Net cash provided by operating activities</w:t>
            </w:r>
          </w:p>
        </w:tc>
        <w:tc>
          <w:tcPr>
            <w:tcW w:w="0" w:type="auto"/>
            <w:gridSpan w:val="3"/>
            <w:shd w:val="clear" w:color="auto" w:fill="CCEEFF"/>
            <w:tcMar>
              <w:top w:w="0" w:type="dxa"/>
              <w:left w:w="20" w:type="dxa"/>
              <w:bottom w:w="0" w:type="dxa"/>
              <w:right w:w="20" w:type="dxa"/>
            </w:tcMar>
            <w:vAlign w:val="bottom"/>
          </w:tcPr>
          <w:p w14:paraId="35D09B19"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B1A"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B1B" w14:textId="77777777" w:rsidR="00D42204" w:rsidRDefault="004E439D">
            <w:pPr>
              <w:jc w:val="right"/>
              <w:textAlignment w:val="center"/>
            </w:pPr>
            <w:r>
              <w:rPr>
                <w:rFonts w:ascii="Times New Roman" w:eastAsia="宋体" w:hAnsi="Times New Roman"/>
                <w:color w:val="000000"/>
                <w:sz w:val="16"/>
                <w:szCs w:val="16"/>
              </w:rPr>
              <w:t>24,181 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B1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B1D"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B1E"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B1F" w14:textId="77777777" w:rsidR="00D42204" w:rsidRDefault="004E439D">
            <w:pPr>
              <w:jc w:val="right"/>
              <w:textAlignment w:val="center"/>
            </w:pPr>
            <w:r>
              <w:rPr>
                <w:rFonts w:ascii="Times New Roman" w:eastAsia="宋体" w:hAnsi="Times New Roman"/>
                <w:color w:val="000000"/>
                <w:sz w:val="16"/>
                <w:szCs w:val="16"/>
              </w:rPr>
              <w:t>36,074 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B2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B21"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B22"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B23" w14:textId="77777777" w:rsidR="00D42204" w:rsidRDefault="004E439D">
            <w:pPr>
              <w:jc w:val="right"/>
              <w:textAlignment w:val="center"/>
            </w:pPr>
            <w:r>
              <w:rPr>
                <w:rFonts w:ascii="Times New Roman" w:eastAsia="宋体" w:hAnsi="Times New Roman"/>
                <w:color w:val="000000"/>
                <w:sz w:val="16"/>
                <w:szCs w:val="16"/>
              </w:rPr>
              <w:t>25,255 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B24" w14:textId="77777777" w:rsidR="00D42204" w:rsidRDefault="00D42204">
            <w:pPr>
              <w:jc w:val="right"/>
              <w:rPr>
                <w:rFonts w:ascii="宋体"/>
              </w:rPr>
            </w:pPr>
          </w:p>
        </w:tc>
      </w:tr>
      <w:tr w:rsidR="00D42204" w14:paraId="35D09B30" w14:textId="77777777">
        <w:trPr>
          <w:jc w:val="center"/>
        </w:trPr>
        <w:tc>
          <w:tcPr>
            <w:tcW w:w="0" w:type="auto"/>
            <w:gridSpan w:val="3"/>
            <w:shd w:val="clear" w:color="auto" w:fill="FFFFFF"/>
            <w:tcMar>
              <w:top w:w="40" w:type="dxa"/>
              <w:left w:w="20" w:type="dxa"/>
              <w:bottom w:w="40" w:type="dxa"/>
              <w:right w:w="20" w:type="dxa"/>
            </w:tcMar>
            <w:vAlign w:val="center"/>
          </w:tcPr>
          <w:p w14:paraId="35D09B26" w14:textId="77777777" w:rsidR="00D42204" w:rsidRDefault="004E439D">
            <w:pPr>
              <w:textAlignment w:val="center"/>
            </w:pPr>
            <w:r>
              <w:rPr>
                <w:rFonts w:ascii="Times New Roman" w:eastAsia="宋体" w:hAnsi="Times New Roman"/>
                <w:color w:val="000000"/>
                <w:sz w:val="16"/>
                <w:szCs w:val="16"/>
              </w:rPr>
              <w:t>Payments for property and equipment</w:t>
            </w:r>
          </w:p>
        </w:tc>
        <w:tc>
          <w:tcPr>
            <w:tcW w:w="0" w:type="auto"/>
            <w:gridSpan w:val="3"/>
            <w:shd w:val="clear" w:color="auto" w:fill="FFFFFF"/>
            <w:tcMar>
              <w:top w:w="0" w:type="dxa"/>
              <w:left w:w="20" w:type="dxa"/>
              <w:bottom w:w="0" w:type="dxa"/>
              <w:right w:w="20" w:type="dxa"/>
            </w:tcMar>
            <w:vAlign w:val="bottom"/>
          </w:tcPr>
          <w:p w14:paraId="35D09B2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B28" w14:textId="77777777" w:rsidR="00D42204" w:rsidRDefault="004E439D">
            <w:pPr>
              <w:jc w:val="right"/>
              <w:textAlignment w:val="center"/>
            </w:pPr>
            <w:r>
              <w:rPr>
                <w:rFonts w:ascii="Times New Roman" w:eastAsia="宋体" w:hAnsi="Times New Roman"/>
                <w:color w:val="000000"/>
                <w:sz w:val="16"/>
                <w:szCs w:val="16"/>
              </w:rPr>
              <w:t>(13,106)</w:t>
            </w:r>
          </w:p>
        </w:tc>
        <w:tc>
          <w:tcPr>
            <w:tcW w:w="0" w:type="auto"/>
            <w:shd w:val="clear" w:color="auto" w:fill="FFFFFF"/>
            <w:tcMar>
              <w:top w:w="40" w:type="dxa"/>
              <w:left w:w="0" w:type="dxa"/>
              <w:bottom w:w="40" w:type="dxa"/>
              <w:right w:w="20" w:type="dxa"/>
            </w:tcMar>
            <w:vAlign w:val="center"/>
          </w:tcPr>
          <w:p w14:paraId="35D09B2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B2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B2B" w14:textId="77777777" w:rsidR="00D42204" w:rsidRDefault="004E439D">
            <w:pPr>
              <w:jc w:val="right"/>
              <w:textAlignment w:val="center"/>
            </w:pPr>
            <w:r>
              <w:rPr>
                <w:rFonts w:ascii="Times New Roman" w:eastAsia="宋体" w:hAnsi="Times New Roman"/>
                <w:color w:val="000000"/>
                <w:sz w:val="16"/>
                <w:szCs w:val="16"/>
              </w:rPr>
              <w:t>(10,264)</w:t>
            </w:r>
          </w:p>
        </w:tc>
        <w:tc>
          <w:tcPr>
            <w:tcW w:w="0" w:type="auto"/>
            <w:shd w:val="clear" w:color="auto" w:fill="FFFFFF"/>
            <w:tcMar>
              <w:top w:w="40" w:type="dxa"/>
              <w:left w:w="0" w:type="dxa"/>
              <w:bottom w:w="40" w:type="dxa"/>
              <w:right w:w="20" w:type="dxa"/>
            </w:tcMar>
            <w:vAlign w:val="center"/>
          </w:tcPr>
          <w:p w14:paraId="35D09B2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B2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B2E" w14:textId="77777777" w:rsidR="00D42204" w:rsidRDefault="004E439D">
            <w:pPr>
              <w:jc w:val="right"/>
              <w:textAlignment w:val="center"/>
            </w:pPr>
            <w:r>
              <w:rPr>
                <w:rFonts w:ascii="Times New Roman" w:eastAsia="宋体" w:hAnsi="Times New Roman"/>
                <w:color w:val="000000"/>
                <w:sz w:val="16"/>
                <w:szCs w:val="16"/>
              </w:rPr>
              <w:t>(10,705)</w:t>
            </w:r>
          </w:p>
        </w:tc>
        <w:tc>
          <w:tcPr>
            <w:tcW w:w="0" w:type="auto"/>
            <w:shd w:val="clear" w:color="auto" w:fill="FFFFFF"/>
            <w:tcMar>
              <w:top w:w="40" w:type="dxa"/>
              <w:left w:w="0" w:type="dxa"/>
              <w:bottom w:w="40" w:type="dxa"/>
              <w:right w:w="20" w:type="dxa"/>
            </w:tcMar>
            <w:vAlign w:val="center"/>
          </w:tcPr>
          <w:p w14:paraId="35D09B2F" w14:textId="77777777" w:rsidR="00D42204" w:rsidRDefault="00D42204">
            <w:pPr>
              <w:jc w:val="right"/>
              <w:rPr>
                <w:rFonts w:ascii="宋体"/>
              </w:rPr>
            </w:pPr>
          </w:p>
        </w:tc>
      </w:tr>
      <w:tr w:rsidR="00D42204" w14:paraId="35D09B3E" w14:textId="77777777">
        <w:trPr>
          <w:jc w:val="center"/>
        </w:trPr>
        <w:tc>
          <w:tcPr>
            <w:tcW w:w="0" w:type="auto"/>
            <w:gridSpan w:val="3"/>
            <w:shd w:val="clear" w:color="auto" w:fill="CCEEFF"/>
            <w:tcMar>
              <w:top w:w="40" w:type="dxa"/>
              <w:left w:w="20" w:type="dxa"/>
              <w:bottom w:w="40" w:type="dxa"/>
              <w:right w:w="20" w:type="dxa"/>
            </w:tcMar>
            <w:vAlign w:val="center"/>
          </w:tcPr>
          <w:p w14:paraId="35D09B31" w14:textId="77777777" w:rsidR="00D42204" w:rsidRDefault="004E439D">
            <w:pPr>
              <w:textAlignment w:val="center"/>
            </w:pPr>
            <w:r>
              <w:rPr>
                <w:rFonts w:ascii="Times New Roman" w:eastAsia="宋体" w:hAnsi="Times New Roman"/>
                <w:b/>
                <w:bCs/>
                <w:color w:val="000000"/>
                <w:sz w:val="16"/>
                <w:szCs w:val="16"/>
              </w:rPr>
              <w:t>Free cash flow</w:t>
            </w:r>
          </w:p>
        </w:tc>
        <w:tc>
          <w:tcPr>
            <w:tcW w:w="0" w:type="auto"/>
            <w:gridSpan w:val="3"/>
            <w:shd w:val="clear" w:color="auto" w:fill="CCEEFF"/>
            <w:tcMar>
              <w:top w:w="0" w:type="dxa"/>
              <w:left w:w="20" w:type="dxa"/>
              <w:bottom w:w="0" w:type="dxa"/>
              <w:right w:w="20" w:type="dxa"/>
            </w:tcMar>
            <w:vAlign w:val="bottom"/>
          </w:tcPr>
          <w:p w14:paraId="35D09B32"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B33"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B34" w14:textId="77777777" w:rsidR="00D42204" w:rsidRDefault="004E439D">
            <w:pPr>
              <w:jc w:val="right"/>
              <w:textAlignment w:val="center"/>
            </w:pPr>
            <w:r>
              <w:rPr>
                <w:rFonts w:ascii="Times New Roman" w:eastAsia="宋体" w:hAnsi="Times New Roman"/>
                <w:color w:val="000000"/>
                <w:sz w:val="16"/>
                <w:szCs w:val="16"/>
              </w:rPr>
              <w:t>11,075 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B3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B36"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B37"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B38" w14:textId="77777777" w:rsidR="00D42204" w:rsidRDefault="004E439D">
            <w:pPr>
              <w:jc w:val="right"/>
              <w:textAlignment w:val="center"/>
            </w:pPr>
            <w:r>
              <w:rPr>
                <w:rFonts w:ascii="Times New Roman" w:eastAsia="宋体" w:hAnsi="Times New Roman"/>
                <w:color w:val="000000"/>
                <w:sz w:val="16"/>
                <w:szCs w:val="16"/>
              </w:rPr>
              <w:t>25,810 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B3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B3A"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B3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B3C" w14:textId="77777777" w:rsidR="00D42204" w:rsidRDefault="004E439D">
            <w:pPr>
              <w:jc w:val="right"/>
              <w:textAlignment w:val="center"/>
            </w:pPr>
            <w:r>
              <w:rPr>
                <w:rFonts w:ascii="Times New Roman" w:eastAsia="宋体" w:hAnsi="Times New Roman"/>
                <w:color w:val="000000"/>
                <w:sz w:val="16"/>
                <w:szCs w:val="16"/>
              </w:rPr>
              <w:t>14,550 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B3D" w14:textId="77777777" w:rsidR="00D42204" w:rsidRDefault="00D42204">
            <w:pPr>
              <w:jc w:val="right"/>
              <w:rPr>
                <w:rFonts w:ascii="宋体"/>
              </w:rPr>
            </w:pPr>
          </w:p>
        </w:tc>
      </w:tr>
      <w:tr w:rsidR="00D42204" w14:paraId="35D09B46" w14:textId="77777777">
        <w:trPr>
          <w:trHeight w:val="220"/>
          <w:jc w:val="center"/>
        </w:trPr>
        <w:tc>
          <w:tcPr>
            <w:tcW w:w="0" w:type="auto"/>
            <w:gridSpan w:val="3"/>
            <w:shd w:val="clear" w:color="auto" w:fill="FFFFFF"/>
            <w:tcMar>
              <w:top w:w="0" w:type="dxa"/>
              <w:left w:w="20" w:type="dxa"/>
              <w:bottom w:w="0" w:type="dxa"/>
              <w:right w:w="20" w:type="dxa"/>
            </w:tcMar>
            <w:vAlign w:val="bottom"/>
          </w:tcPr>
          <w:p w14:paraId="35D09B3F"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B40" w14:textId="77777777" w:rsidR="00D42204" w:rsidRDefault="00D4220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D09B41"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B42" w14:textId="77777777" w:rsidR="00D42204" w:rsidRDefault="00D4220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D09B43"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B44" w14:textId="77777777" w:rsidR="00D42204" w:rsidRDefault="00D4220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D09B45" w14:textId="77777777" w:rsidR="00D42204" w:rsidRDefault="00D42204">
            <w:pPr>
              <w:rPr>
                <w:rFonts w:ascii="宋体"/>
              </w:rPr>
            </w:pPr>
          </w:p>
        </w:tc>
      </w:tr>
      <w:tr w:rsidR="00D42204" w14:paraId="35D09B54" w14:textId="77777777">
        <w:trPr>
          <w:jc w:val="center"/>
        </w:trPr>
        <w:tc>
          <w:tcPr>
            <w:tcW w:w="0" w:type="auto"/>
            <w:gridSpan w:val="3"/>
            <w:shd w:val="clear" w:color="auto" w:fill="CCEEFF"/>
            <w:tcMar>
              <w:top w:w="40" w:type="dxa"/>
              <w:left w:w="20" w:type="dxa"/>
              <w:bottom w:w="40" w:type="dxa"/>
              <w:right w:w="20" w:type="dxa"/>
            </w:tcMar>
            <w:vAlign w:val="center"/>
          </w:tcPr>
          <w:p w14:paraId="35D09B47" w14:textId="77777777" w:rsidR="00D42204" w:rsidRDefault="004E439D">
            <w:pPr>
              <w:textAlignment w:val="center"/>
            </w:pPr>
            <w:r>
              <w:rPr>
                <w:rFonts w:ascii="Times New Roman" w:eastAsia="宋体" w:hAnsi="Times New Roman"/>
                <w:color w:val="000000"/>
                <w:sz w:val="16"/>
                <w:szCs w:val="16"/>
              </w:rPr>
              <w:t>Net cash used in investing activities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35D09B48"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B49"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B4A" w14:textId="77777777" w:rsidR="00D42204" w:rsidRDefault="004E439D">
            <w:pPr>
              <w:jc w:val="right"/>
              <w:textAlignment w:val="center"/>
            </w:pPr>
            <w:r>
              <w:rPr>
                <w:rFonts w:ascii="Times New Roman" w:eastAsia="宋体" w:hAnsi="Times New Roman"/>
                <w:color w:val="000000"/>
                <w:sz w:val="16"/>
                <w:szCs w:val="16"/>
              </w:rPr>
              <w:t>(6,015)</w:t>
            </w:r>
          </w:p>
        </w:tc>
        <w:tc>
          <w:tcPr>
            <w:tcW w:w="0" w:type="auto"/>
            <w:shd w:val="clear" w:color="auto" w:fill="CCEEFF"/>
            <w:tcMar>
              <w:top w:w="40" w:type="dxa"/>
              <w:left w:w="0" w:type="dxa"/>
              <w:bottom w:w="40" w:type="dxa"/>
              <w:right w:w="20" w:type="dxa"/>
            </w:tcMar>
            <w:vAlign w:val="center"/>
          </w:tcPr>
          <w:p w14:paraId="35D09B4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B4C"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B4D"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B4E" w14:textId="77777777" w:rsidR="00D42204" w:rsidRDefault="004E439D">
            <w:pPr>
              <w:jc w:val="right"/>
              <w:textAlignment w:val="center"/>
            </w:pPr>
            <w:r>
              <w:rPr>
                <w:rFonts w:ascii="Times New Roman" w:eastAsia="宋体" w:hAnsi="Times New Roman"/>
                <w:color w:val="000000"/>
                <w:sz w:val="16"/>
                <w:szCs w:val="16"/>
              </w:rPr>
              <w:t>(10,071)</w:t>
            </w:r>
          </w:p>
        </w:tc>
        <w:tc>
          <w:tcPr>
            <w:tcW w:w="0" w:type="auto"/>
            <w:shd w:val="clear" w:color="auto" w:fill="CCEEFF"/>
            <w:tcMar>
              <w:top w:w="40" w:type="dxa"/>
              <w:left w:w="0" w:type="dxa"/>
              <w:bottom w:w="40" w:type="dxa"/>
              <w:right w:w="20" w:type="dxa"/>
            </w:tcMar>
            <w:vAlign w:val="center"/>
          </w:tcPr>
          <w:p w14:paraId="35D09B4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B50"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B51"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B52" w14:textId="77777777" w:rsidR="00D42204" w:rsidRDefault="004E439D">
            <w:pPr>
              <w:jc w:val="right"/>
              <w:textAlignment w:val="center"/>
            </w:pPr>
            <w:r>
              <w:rPr>
                <w:rFonts w:ascii="Times New Roman" w:eastAsia="宋体" w:hAnsi="Times New Roman"/>
                <w:color w:val="000000"/>
                <w:sz w:val="16"/>
                <w:szCs w:val="16"/>
              </w:rPr>
              <w:t>(9,128)</w:t>
            </w:r>
          </w:p>
        </w:tc>
        <w:tc>
          <w:tcPr>
            <w:tcW w:w="0" w:type="auto"/>
            <w:shd w:val="clear" w:color="auto" w:fill="CCEEFF"/>
            <w:tcMar>
              <w:top w:w="40" w:type="dxa"/>
              <w:left w:w="0" w:type="dxa"/>
              <w:bottom w:w="40" w:type="dxa"/>
              <w:right w:w="20" w:type="dxa"/>
            </w:tcMar>
            <w:vAlign w:val="center"/>
          </w:tcPr>
          <w:p w14:paraId="35D09B53" w14:textId="77777777" w:rsidR="00D42204" w:rsidRDefault="00D42204">
            <w:pPr>
              <w:jc w:val="right"/>
              <w:rPr>
                <w:rFonts w:ascii="宋体"/>
              </w:rPr>
            </w:pPr>
          </w:p>
        </w:tc>
      </w:tr>
      <w:tr w:rsidR="00D42204" w14:paraId="35D09B5F" w14:textId="77777777">
        <w:trPr>
          <w:jc w:val="center"/>
        </w:trPr>
        <w:tc>
          <w:tcPr>
            <w:tcW w:w="0" w:type="auto"/>
            <w:gridSpan w:val="3"/>
            <w:shd w:val="clear" w:color="auto" w:fill="FFFFFF"/>
            <w:tcMar>
              <w:top w:w="40" w:type="dxa"/>
              <w:left w:w="20" w:type="dxa"/>
              <w:bottom w:w="40" w:type="dxa"/>
              <w:right w:w="20" w:type="dxa"/>
            </w:tcMar>
            <w:vAlign w:val="center"/>
          </w:tcPr>
          <w:p w14:paraId="35D09B55" w14:textId="77777777" w:rsidR="00D42204" w:rsidRDefault="004E439D">
            <w:pPr>
              <w:textAlignment w:val="center"/>
            </w:pPr>
            <w:r>
              <w:rPr>
                <w:rFonts w:ascii="Times New Roman" w:eastAsia="宋体" w:hAnsi="Times New Roman"/>
                <w:color w:val="000000"/>
                <w:sz w:val="16"/>
                <w:szCs w:val="16"/>
              </w:rPr>
              <w:t>Net cash used in financing activities</w:t>
            </w:r>
          </w:p>
        </w:tc>
        <w:tc>
          <w:tcPr>
            <w:tcW w:w="0" w:type="auto"/>
            <w:gridSpan w:val="3"/>
            <w:shd w:val="clear" w:color="auto" w:fill="FFFFFF"/>
            <w:tcMar>
              <w:top w:w="0" w:type="dxa"/>
              <w:left w:w="20" w:type="dxa"/>
              <w:bottom w:w="0" w:type="dxa"/>
              <w:right w:w="20" w:type="dxa"/>
            </w:tcMar>
            <w:vAlign w:val="bottom"/>
          </w:tcPr>
          <w:p w14:paraId="35D09B5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B57" w14:textId="77777777" w:rsidR="00D42204" w:rsidRDefault="004E439D">
            <w:pPr>
              <w:jc w:val="right"/>
              <w:textAlignment w:val="center"/>
            </w:pPr>
            <w:r>
              <w:rPr>
                <w:rFonts w:ascii="Times New Roman" w:eastAsia="宋体" w:hAnsi="Times New Roman"/>
                <w:color w:val="000000"/>
                <w:sz w:val="16"/>
                <w:szCs w:val="16"/>
              </w:rPr>
              <w:t>(22,828)</w:t>
            </w:r>
          </w:p>
        </w:tc>
        <w:tc>
          <w:tcPr>
            <w:tcW w:w="0" w:type="auto"/>
            <w:shd w:val="clear" w:color="auto" w:fill="FFFFFF"/>
            <w:tcMar>
              <w:top w:w="40" w:type="dxa"/>
              <w:left w:w="0" w:type="dxa"/>
              <w:bottom w:w="40" w:type="dxa"/>
              <w:right w:w="20" w:type="dxa"/>
            </w:tcMar>
            <w:vAlign w:val="center"/>
          </w:tcPr>
          <w:p w14:paraId="35D09B5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B5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B5A" w14:textId="77777777" w:rsidR="00D42204" w:rsidRDefault="004E439D">
            <w:pPr>
              <w:jc w:val="right"/>
              <w:textAlignment w:val="center"/>
            </w:pPr>
            <w:r>
              <w:rPr>
                <w:rFonts w:ascii="Times New Roman" w:eastAsia="宋体" w:hAnsi="Times New Roman"/>
                <w:color w:val="000000"/>
                <w:sz w:val="16"/>
                <w:szCs w:val="16"/>
              </w:rPr>
              <w:t>(16,117)</w:t>
            </w:r>
          </w:p>
        </w:tc>
        <w:tc>
          <w:tcPr>
            <w:tcW w:w="0" w:type="auto"/>
            <w:shd w:val="clear" w:color="auto" w:fill="FFFFFF"/>
            <w:tcMar>
              <w:top w:w="40" w:type="dxa"/>
              <w:left w:w="0" w:type="dxa"/>
              <w:bottom w:w="40" w:type="dxa"/>
              <w:right w:w="20" w:type="dxa"/>
            </w:tcMar>
            <w:vAlign w:val="center"/>
          </w:tcPr>
          <w:p w14:paraId="35D09B5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B5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B5D" w14:textId="77777777" w:rsidR="00D42204" w:rsidRDefault="004E439D">
            <w:pPr>
              <w:jc w:val="right"/>
              <w:textAlignment w:val="center"/>
            </w:pPr>
            <w:r>
              <w:rPr>
                <w:rFonts w:ascii="Times New Roman" w:eastAsia="宋体" w:hAnsi="Times New Roman"/>
                <w:color w:val="000000"/>
                <w:sz w:val="16"/>
                <w:szCs w:val="16"/>
              </w:rPr>
              <w:t>(14,299)</w:t>
            </w:r>
          </w:p>
        </w:tc>
        <w:tc>
          <w:tcPr>
            <w:tcW w:w="0" w:type="auto"/>
            <w:shd w:val="clear" w:color="auto" w:fill="FFFFFF"/>
            <w:tcMar>
              <w:top w:w="40" w:type="dxa"/>
              <w:left w:w="0" w:type="dxa"/>
              <w:bottom w:w="40" w:type="dxa"/>
              <w:right w:w="20" w:type="dxa"/>
            </w:tcMar>
            <w:vAlign w:val="center"/>
          </w:tcPr>
          <w:p w14:paraId="35D09B5E" w14:textId="77777777" w:rsidR="00D42204" w:rsidRDefault="00D42204">
            <w:pPr>
              <w:jc w:val="right"/>
              <w:rPr>
                <w:rFonts w:ascii="宋体"/>
              </w:rPr>
            </w:pPr>
          </w:p>
        </w:tc>
      </w:tr>
    </w:tbl>
    <w:p w14:paraId="35D09B60" w14:textId="77777777" w:rsidR="00D42204" w:rsidRDefault="004E439D">
      <w:pPr>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"Net cash used in investing activities" includes payments for property and equipment, which is also included in our computation of fre</w:t>
      </w:r>
      <w:r>
        <w:rPr>
          <w:rFonts w:ascii="Times New Roman" w:eastAsia="宋体" w:hAnsi="Times New Roman"/>
          <w:color w:val="000000"/>
          <w:sz w:val="16"/>
          <w:szCs w:val="16"/>
        </w:rPr>
        <w:t>e cash flow.</w:t>
      </w:r>
    </w:p>
    <w:p w14:paraId="35D09B61" w14:textId="77777777" w:rsidR="00D42204" w:rsidRDefault="004E439D">
      <w:pPr>
        <w:spacing w:before="180"/>
      </w:pPr>
      <w:r>
        <w:rPr>
          <w:rFonts w:ascii="Times New Roman" w:eastAsia="宋体" w:hAnsi="Times New Roman"/>
          <w:b/>
          <w:bCs/>
          <w:color w:val="000000"/>
          <w:sz w:val="20"/>
          <w:szCs w:val="20"/>
        </w:rPr>
        <w:t>Results of Operations</w:t>
      </w:r>
    </w:p>
    <w:p w14:paraId="35D09B62" w14:textId="77777777" w:rsidR="00D42204" w:rsidRDefault="004E439D">
      <w:pPr>
        <w:spacing w:before="100"/>
      </w:pPr>
      <w:r>
        <w:rPr>
          <w:rFonts w:ascii="Times New Roman" w:eastAsia="宋体" w:hAnsi="Times New Roman"/>
          <w:b/>
          <w:bCs/>
          <w:i/>
          <w:iCs/>
          <w:color w:val="000000"/>
          <w:sz w:val="20"/>
          <w:szCs w:val="20"/>
        </w:rPr>
        <w:t>Consolidated Results of Operations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049"/>
        <w:gridCol w:w="38"/>
        <w:gridCol w:w="36"/>
        <w:gridCol w:w="36"/>
        <w:gridCol w:w="36"/>
        <w:gridCol w:w="100"/>
        <w:gridCol w:w="707"/>
        <w:gridCol w:w="154"/>
        <w:gridCol w:w="36"/>
        <w:gridCol w:w="36"/>
        <w:gridCol w:w="36"/>
        <w:gridCol w:w="100"/>
        <w:gridCol w:w="707"/>
        <w:gridCol w:w="154"/>
        <w:gridCol w:w="36"/>
        <w:gridCol w:w="36"/>
        <w:gridCol w:w="36"/>
        <w:gridCol w:w="100"/>
        <w:gridCol w:w="710"/>
        <w:gridCol w:w="154"/>
      </w:tblGrid>
      <w:tr w:rsidR="00D42204" w14:paraId="35D09B78" w14:textId="77777777">
        <w:trPr>
          <w:jc w:val="center"/>
        </w:trPr>
        <w:tc>
          <w:tcPr>
            <w:tcW w:w="50" w:type="pct"/>
            <w:shd w:val="clear" w:color="auto" w:fill="auto"/>
            <w:vAlign w:val="bottom"/>
          </w:tcPr>
          <w:p w14:paraId="35D09B63" w14:textId="77777777" w:rsidR="00D42204" w:rsidRDefault="00D42204">
            <w:pPr>
              <w:rPr>
                <w:rFonts w:ascii="宋体"/>
              </w:rPr>
            </w:pPr>
          </w:p>
        </w:tc>
        <w:tc>
          <w:tcPr>
            <w:tcW w:w="3102" w:type="pct"/>
            <w:shd w:val="clear" w:color="auto" w:fill="auto"/>
            <w:vAlign w:val="bottom"/>
          </w:tcPr>
          <w:p w14:paraId="35D09B64" w14:textId="77777777" w:rsidR="00D42204" w:rsidRDefault="00D42204">
            <w:pPr>
              <w:rPr>
                <w:rFonts w:ascii="宋体"/>
              </w:rPr>
            </w:pPr>
          </w:p>
        </w:tc>
        <w:tc>
          <w:tcPr>
            <w:tcW w:w="5" w:type="pct"/>
            <w:shd w:val="clear" w:color="auto" w:fill="auto"/>
            <w:vAlign w:val="bottom"/>
          </w:tcPr>
          <w:p w14:paraId="35D09B65" w14:textId="77777777" w:rsidR="00D42204" w:rsidRDefault="00D42204">
            <w:pPr>
              <w:rPr>
                <w:rFonts w:ascii="宋体"/>
              </w:rPr>
            </w:pPr>
          </w:p>
        </w:tc>
        <w:tc>
          <w:tcPr>
            <w:tcW w:w="5" w:type="pct"/>
            <w:shd w:val="clear" w:color="auto" w:fill="auto"/>
            <w:vAlign w:val="bottom"/>
          </w:tcPr>
          <w:p w14:paraId="35D09B66" w14:textId="77777777" w:rsidR="00D42204" w:rsidRDefault="00D42204">
            <w:pPr>
              <w:rPr>
                <w:rFonts w:ascii="宋体"/>
              </w:rPr>
            </w:pPr>
          </w:p>
        </w:tc>
        <w:tc>
          <w:tcPr>
            <w:tcW w:w="41" w:type="pct"/>
            <w:shd w:val="clear" w:color="auto" w:fill="auto"/>
            <w:vAlign w:val="bottom"/>
          </w:tcPr>
          <w:p w14:paraId="35D09B67" w14:textId="77777777" w:rsidR="00D42204" w:rsidRDefault="00D42204">
            <w:pPr>
              <w:rPr>
                <w:rFonts w:ascii="宋体"/>
              </w:rPr>
            </w:pPr>
          </w:p>
        </w:tc>
        <w:tc>
          <w:tcPr>
            <w:tcW w:w="5" w:type="pct"/>
            <w:shd w:val="clear" w:color="auto" w:fill="auto"/>
            <w:vAlign w:val="bottom"/>
          </w:tcPr>
          <w:p w14:paraId="35D09B68" w14:textId="77777777" w:rsidR="00D42204" w:rsidRDefault="00D42204">
            <w:pPr>
              <w:rPr>
                <w:rFonts w:ascii="宋体"/>
              </w:rPr>
            </w:pPr>
          </w:p>
        </w:tc>
        <w:tc>
          <w:tcPr>
            <w:tcW w:w="50" w:type="pct"/>
            <w:shd w:val="clear" w:color="auto" w:fill="auto"/>
            <w:vAlign w:val="bottom"/>
          </w:tcPr>
          <w:p w14:paraId="35D09B69" w14:textId="77777777" w:rsidR="00D42204" w:rsidRDefault="00D42204">
            <w:pPr>
              <w:rPr>
                <w:rFonts w:ascii="宋体"/>
              </w:rPr>
            </w:pPr>
          </w:p>
        </w:tc>
        <w:tc>
          <w:tcPr>
            <w:tcW w:w="507" w:type="pct"/>
            <w:shd w:val="clear" w:color="auto" w:fill="auto"/>
            <w:vAlign w:val="bottom"/>
          </w:tcPr>
          <w:p w14:paraId="35D09B6A" w14:textId="77777777" w:rsidR="00D42204" w:rsidRDefault="00D42204">
            <w:pPr>
              <w:rPr>
                <w:rFonts w:ascii="宋体"/>
              </w:rPr>
            </w:pPr>
          </w:p>
        </w:tc>
        <w:tc>
          <w:tcPr>
            <w:tcW w:w="5" w:type="pct"/>
            <w:shd w:val="clear" w:color="auto" w:fill="auto"/>
            <w:vAlign w:val="bottom"/>
          </w:tcPr>
          <w:p w14:paraId="35D09B6B" w14:textId="77777777" w:rsidR="00D42204" w:rsidRDefault="00D42204">
            <w:pPr>
              <w:rPr>
                <w:rFonts w:ascii="宋体"/>
              </w:rPr>
            </w:pPr>
          </w:p>
        </w:tc>
        <w:tc>
          <w:tcPr>
            <w:tcW w:w="5" w:type="pct"/>
            <w:shd w:val="clear" w:color="auto" w:fill="auto"/>
            <w:vAlign w:val="bottom"/>
          </w:tcPr>
          <w:p w14:paraId="35D09B6C" w14:textId="77777777" w:rsidR="00D42204" w:rsidRDefault="00D42204">
            <w:pPr>
              <w:rPr>
                <w:rFonts w:ascii="宋体"/>
              </w:rPr>
            </w:pPr>
          </w:p>
        </w:tc>
        <w:tc>
          <w:tcPr>
            <w:tcW w:w="41" w:type="pct"/>
            <w:shd w:val="clear" w:color="auto" w:fill="auto"/>
            <w:vAlign w:val="bottom"/>
          </w:tcPr>
          <w:p w14:paraId="35D09B6D" w14:textId="77777777" w:rsidR="00D42204" w:rsidRDefault="00D42204">
            <w:pPr>
              <w:rPr>
                <w:rFonts w:ascii="宋体"/>
              </w:rPr>
            </w:pPr>
          </w:p>
        </w:tc>
        <w:tc>
          <w:tcPr>
            <w:tcW w:w="5" w:type="pct"/>
            <w:shd w:val="clear" w:color="auto" w:fill="auto"/>
            <w:vAlign w:val="bottom"/>
          </w:tcPr>
          <w:p w14:paraId="35D09B6E" w14:textId="77777777" w:rsidR="00D42204" w:rsidRDefault="00D42204">
            <w:pPr>
              <w:rPr>
                <w:rFonts w:ascii="宋体"/>
              </w:rPr>
            </w:pPr>
          </w:p>
        </w:tc>
        <w:tc>
          <w:tcPr>
            <w:tcW w:w="50" w:type="pct"/>
            <w:shd w:val="clear" w:color="auto" w:fill="auto"/>
            <w:vAlign w:val="bottom"/>
          </w:tcPr>
          <w:p w14:paraId="35D09B6F" w14:textId="77777777" w:rsidR="00D42204" w:rsidRDefault="00D42204">
            <w:pPr>
              <w:rPr>
                <w:rFonts w:ascii="宋体"/>
              </w:rPr>
            </w:pPr>
          </w:p>
        </w:tc>
        <w:tc>
          <w:tcPr>
            <w:tcW w:w="507" w:type="pct"/>
            <w:shd w:val="clear" w:color="auto" w:fill="auto"/>
            <w:vAlign w:val="bottom"/>
          </w:tcPr>
          <w:p w14:paraId="35D09B70" w14:textId="77777777" w:rsidR="00D42204" w:rsidRDefault="00D42204">
            <w:pPr>
              <w:rPr>
                <w:rFonts w:ascii="宋体"/>
              </w:rPr>
            </w:pPr>
          </w:p>
        </w:tc>
        <w:tc>
          <w:tcPr>
            <w:tcW w:w="5" w:type="pct"/>
            <w:shd w:val="clear" w:color="auto" w:fill="auto"/>
            <w:vAlign w:val="bottom"/>
          </w:tcPr>
          <w:p w14:paraId="35D09B71" w14:textId="77777777" w:rsidR="00D42204" w:rsidRDefault="00D42204">
            <w:pPr>
              <w:rPr>
                <w:rFonts w:ascii="宋体"/>
              </w:rPr>
            </w:pPr>
          </w:p>
        </w:tc>
        <w:tc>
          <w:tcPr>
            <w:tcW w:w="5" w:type="pct"/>
            <w:shd w:val="clear" w:color="auto" w:fill="auto"/>
            <w:vAlign w:val="bottom"/>
          </w:tcPr>
          <w:p w14:paraId="35D09B72" w14:textId="77777777" w:rsidR="00D42204" w:rsidRDefault="00D42204">
            <w:pPr>
              <w:rPr>
                <w:rFonts w:ascii="宋体"/>
              </w:rPr>
            </w:pPr>
          </w:p>
        </w:tc>
        <w:tc>
          <w:tcPr>
            <w:tcW w:w="41" w:type="pct"/>
            <w:shd w:val="clear" w:color="auto" w:fill="auto"/>
            <w:vAlign w:val="bottom"/>
          </w:tcPr>
          <w:p w14:paraId="35D09B73" w14:textId="77777777" w:rsidR="00D42204" w:rsidRDefault="00D42204">
            <w:pPr>
              <w:rPr>
                <w:rFonts w:ascii="宋体"/>
              </w:rPr>
            </w:pPr>
          </w:p>
        </w:tc>
        <w:tc>
          <w:tcPr>
            <w:tcW w:w="5" w:type="pct"/>
            <w:shd w:val="clear" w:color="auto" w:fill="auto"/>
            <w:vAlign w:val="bottom"/>
          </w:tcPr>
          <w:p w14:paraId="35D09B74" w14:textId="77777777" w:rsidR="00D42204" w:rsidRDefault="00D42204">
            <w:pPr>
              <w:rPr>
                <w:rFonts w:ascii="宋体"/>
              </w:rPr>
            </w:pPr>
          </w:p>
        </w:tc>
        <w:tc>
          <w:tcPr>
            <w:tcW w:w="50" w:type="pct"/>
            <w:shd w:val="clear" w:color="auto" w:fill="auto"/>
            <w:vAlign w:val="bottom"/>
          </w:tcPr>
          <w:p w14:paraId="35D09B75" w14:textId="77777777" w:rsidR="00D42204" w:rsidRDefault="00D42204">
            <w:pPr>
              <w:rPr>
                <w:rFonts w:ascii="宋体"/>
              </w:rPr>
            </w:pPr>
          </w:p>
        </w:tc>
        <w:tc>
          <w:tcPr>
            <w:tcW w:w="508" w:type="pct"/>
            <w:shd w:val="clear" w:color="auto" w:fill="auto"/>
            <w:vAlign w:val="bottom"/>
          </w:tcPr>
          <w:p w14:paraId="35D09B76" w14:textId="77777777" w:rsidR="00D42204" w:rsidRDefault="00D42204">
            <w:pPr>
              <w:rPr>
                <w:rFonts w:ascii="宋体"/>
              </w:rPr>
            </w:pPr>
          </w:p>
        </w:tc>
        <w:tc>
          <w:tcPr>
            <w:tcW w:w="5" w:type="pct"/>
            <w:shd w:val="clear" w:color="auto" w:fill="auto"/>
            <w:vAlign w:val="bottom"/>
          </w:tcPr>
          <w:p w14:paraId="35D09B77" w14:textId="77777777" w:rsidR="00D42204" w:rsidRDefault="00D42204">
            <w:pPr>
              <w:rPr>
                <w:rFonts w:ascii="宋体"/>
              </w:rPr>
            </w:pPr>
          </w:p>
        </w:tc>
      </w:tr>
      <w:tr w:rsidR="00D42204" w14:paraId="35D09B7C" w14:textId="77777777">
        <w:trPr>
          <w:jc w:val="center"/>
        </w:trPr>
        <w:tc>
          <w:tcPr>
            <w:tcW w:w="0" w:type="auto"/>
            <w:gridSpan w:val="3"/>
            <w:shd w:val="clear" w:color="auto" w:fill="auto"/>
            <w:tcMar>
              <w:top w:w="0" w:type="dxa"/>
              <w:left w:w="20" w:type="dxa"/>
              <w:bottom w:w="0" w:type="dxa"/>
              <w:right w:w="20" w:type="dxa"/>
            </w:tcMar>
            <w:vAlign w:val="bottom"/>
          </w:tcPr>
          <w:p w14:paraId="35D09B79"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B7A"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9B7B" w14:textId="77777777" w:rsidR="00D42204" w:rsidRDefault="004E439D">
            <w:pPr>
              <w:jc w:val="center"/>
              <w:textAlignment w:val="bottom"/>
            </w:pPr>
            <w:r>
              <w:rPr>
                <w:rFonts w:ascii="Times New Roman" w:eastAsia="宋体" w:hAnsi="Times New Roman"/>
                <w:b/>
                <w:bCs/>
                <w:color w:val="000000"/>
                <w:sz w:val="16"/>
                <w:szCs w:val="16"/>
              </w:rPr>
              <w:t>Fiscal Years Ended January 31,</w:t>
            </w:r>
          </w:p>
        </w:tc>
      </w:tr>
      <w:tr w:rsidR="00D42204" w14:paraId="35D09B84" w14:textId="77777777">
        <w:trPr>
          <w:jc w:val="center"/>
        </w:trPr>
        <w:tc>
          <w:tcPr>
            <w:tcW w:w="0" w:type="auto"/>
            <w:gridSpan w:val="3"/>
            <w:shd w:val="clear" w:color="auto" w:fill="auto"/>
            <w:tcMar>
              <w:top w:w="40" w:type="dxa"/>
              <w:left w:w="20" w:type="dxa"/>
              <w:bottom w:w="40" w:type="dxa"/>
              <w:right w:w="20" w:type="dxa"/>
            </w:tcMar>
            <w:vAlign w:val="bottom"/>
          </w:tcPr>
          <w:p w14:paraId="35D09B7D" w14:textId="77777777" w:rsidR="00D42204" w:rsidRDefault="004E439D">
            <w:pPr>
              <w:textAlignment w:val="bottom"/>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35D09B7E"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B7F"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B80"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B81"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B82"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B83"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9B92" w14:textId="77777777">
        <w:trPr>
          <w:jc w:val="center"/>
        </w:trPr>
        <w:tc>
          <w:tcPr>
            <w:tcW w:w="0" w:type="auto"/>
            <w:gridSpan w:val="3"/>
            <w:shd w:val="clear" w:color="auto" w:fill="CCEEFF"/>
            <w:tcMar>
              <w:top w:w="40" w:type="dxa"/>
              <w:left w:w="20" w:type="dxa"/>
              <w:bottom w:w="40" w:type="dxa"/>
              <w:right w:w="20" w:type="dxa"/>
            </w:tcMar>
            <w:vAlign w:val="center"/>
          </w:tcPr>
          <w:p w14:paraId="35D09B85" w14:textId="77777777" w:rsidR="00D42204" w:rsidRDefault="004E439D">
            <w:pPr>
              <w:textAlignment w:val="center"/>
            </w:pPr>
            <w:r>
              <w:rPr>
                <w:rFonts w:ascii="Times New Roman" w:eastAsia="宋体" w:hAnsi="Times New Roman"/>
                <w:color w:val="000000"/>
                <w:sz w:val="16"/>
                <w:szCs w:val="16"/>
              </w:rPr>
              <w:t>Total revenues</w:t>
            </w:r>
          </w:p>
        </w:tc>
        <w:tc>
          <w:tcPr>
            <w:tcW w:w="0" w:type="auto"/>
            <w:gridSpan w:val="3"/>
            <w:shd w:val="clear" w:color="auto" w:fill="CCEEFF"/>
            <w:tcMar>
              <w:top w:w="0" w:type="dxa"/>
              <w:left w:w="20" w:type="dxa"/>
              <w:bottom w:w="0" w:type="dxa"/>
              <w:right w:w="20" w:type="dxa"/>
            </w:tcMar>
            <w:vAlign w:val="bottom"/>
          </w:tcPr>
          <w:p w14:paraId="35D09B86"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B87"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B88" w14:textId="77777777" w:rsidR="00D42204" w:rsidRDefault="004E439D">
            <w:pPr>
              <w:jc w:val="right"/>
              <w:textAlignment w:val="center"/>
            </w:pPr>
            <w:r>
              <w:rPr>
                <w:rFonts w:ascii="Times New Roman" w:eastAsia="宋体" w:hAnsi="Times New Roman"/>
                <w:color w:val="000000"/>
                <w:sz w:val="16"/>
                <w:szCs w:val="16"/>
              </w:rPr>
              <w:t>572,754 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B8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B8A"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B8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B8C" w14:textId="77777777" w:rsidR="00D42204" w:rsidRDefault="004E439D">
            <w:pPr>
              <w:jc w:val="right"/>
              <w:textAlignment w:val="center"/>
            </w:pPr>
            <w:r>
              <w:rPr>
                <w:rFonts w:ascii="Times New Roman" w:eastAsia="宋体" w:hAnsi="Times New Roman"/>
                <w:color w:val="000000"/>
                <w:sz w:val="16"/>
                <w:szCs w:val="16"/>
              </w:rPr>
              <w:t>559,151 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B8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B8E"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B8F"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B90" w14:textId="77777777" w:rsidR="00D42204" w:rsidRDefault="004E439D">
            <w:pPr>
              <w:jc w:val="right"/>
              <w:textAlignment w:val="center"/>
            </w:pPr>
            <w:r>
              <w:rPr>
                <w:rFonts w:ascii="Times New Roman" w:eastAsia="宋体" w:hAnsi="Times New Roman"/>
                <w:color w:val="000000"/>
                <w:sz w:val="16"/>
                <w:szCs w:val="16"/>
              </w:rPr>
              <w:t>523,964 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B91" w14:textId="77777777" w:rsidR="00D42204" w:rsidRDefault="00D42204">
            <w:pPr>
              <w:jc w:val="right"/>
              <w:rPr>
                <w:rFonts w:ascii="宋体"/>
              </w:rPr>
            </w:pPr>
          </w:p>
        </w:tc>
      </w:tr>
      <w:tr w:rsidR="00D42204" w14:paraId="35D09B9D" w14:textId="77777777">
        <w:trPr>
          <w:jc w:val="center"/>
        </w:trPr>
        <w:tc>
          <w:tcPr>
            <w:tcW w:w="0" w:type="auto"/>
            <w:gridSpan w:val="3"/>
            <w:shd w:val="clear" w:color="auto" w:fill="FFFFFF"/>
            <w:tcMar>
              <w:top w:w="40" w:type="dxa"/>
              <w:left w:w="20" w:type="dxa"/>
              <w:bottom w:w="40" w:type="dxa"/>
              <w:right w:w="20" w:type="dxa"/>
            </w:tcMar>
            <w:vAlign w:val="center"/>
          </w:tcPr>
          <w:p w14:paraId="35D09B93" w14:textId="77777777" w:rsidR="00D42204" w:rsidRDefault="004E439D">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35D09B9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B95" w14:textId="77777777" w:rsidR="00D42204" w:rsidRDefault="004E439D">
            <w:pPr>
              <w:jc w:val="right"/>
              <w:textAlignment w:val="center"/>
            </w:pPr>
            <w:r>
              <w:rPr>
                <w:rFonts w:ascii="Times New Roman" w:eastAsia="宋体" w:hAnsi="Times New Roman"/>
                <w:color w:val="000000"/>
                <w:sz w:val="16"/>
                <w:szCs w:val="16"/>
              </w:rPr>
              <w:t>2.4 </w:t>
            </w:r>
          </w:p>
        </w:tc>
        <w:tc>
          <w:tcPr>
            <w:tcW w:w="0" w:type="auto"/>
            <w:shd w:val="clear" w:color="auto" w:fill="FFFFFF"/>
            <w:tcMar>
              <w:top w:w="40" w:type="dxa"/>
              <w:left w:w="0" w:type="dxa"/>
              <w:bottom w:w="40" w:type="dxa"/>
              <w:right w:w="20" w:type="dxa"/>
            </w:tcMar>
            <w:vAlign w:val="center"/>
          </w:tcPr>
          <w:p w14:paraId="35D09B96"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B9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B98" w14:textId="77777777" w:rsidR="00D42204" w:rsidRDefault="004E439D">
            <w:pPr>
              <w:jc w:val="right"/>
              <w:textAlignment w:val="center"/>
            </w:pPr>
            <w:r>
              <w:rPr>
                <w:rFonts w:ascii="Times New Roman" w:eastAsia="宋体" w:hAnsi="Times New Roman"/>
                <w:color w:val="000000"/>
                <w:sz w:val="16"/>
                <w:szCs w:val="16"/>
              </w:rPr>
              <w:t>6.7 </w:t>
            </w:r>
          </w:p>
        </w:tc>
        <w:tc>
          <w:tcPr>
            <w:tcW w:w="0" w:type="auto"/>
            <w:shd w:val="clear" w:color="auto" w:fill="FFFFFF"/>
            <w:tcMar>
              <w:top w:w="40" w:type="dxa"/>
              <w:left w:w="0" w:type="dxa"/>
              <w:bottom w:w="40" w:type="dxa"/>
              <w:right w:w="20" w:type="dxa"/>
            </w:tcMar>
            <w:vAlign w:val="center"/>
          </w:tcPr>
          <w:p w14:paraId="35D09B99"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B9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B9B" w14:textId="77777777" w:rsidR="00D42204" w:rsidRDefault="004E439D">
            <w:pPr>
              <w:jc w:val="right"/>
              <w:textAlignment w:val="center"/>
            </w:pPr>
            <w:r>
              <w:rPr>
                <w:rFonts w:ascii="Times New Roman" w:eastAsia="宋体" w:hAnsi="Times New Roman"/>
                <w:color w:val="000000"/>
                <w:sz w:val="16"/>
                <w:szCs w:val="16"/>
              </w:rPr>
              <w:t>1.9 </w:t>
            </w:r>
          </w:p>
        </w:tc>
        <w:tc>
          <w:tcPr>
            <w:tcW w:w="0" w:type="auto"/>
            <w:shd w:val="clear" w:color="auto" w:fill="FFFFFF"/>
            <w:tcMar>
              <w:top w:w="40" w:type="dxa"/>
              <w:left w:w="0" w:type="dxa"/>
              <w:bottom w:w="40" w:type="dxa"/>
              <w:right w:w="20" w:type="dxa"/>
            </w:tcMar>
            <w:vAlign w:val="center"/>
          </w:tcPr>
          <w:p w14:paraId="35D09B9C"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9BAB" w14:textId="77777777">
        <w:trPr>
          <w:jc w:val="center"/>
        </w:trPr>
        <w:tc>
          <w:tcPr>
            <w:tcW w:w="0" w:type="auto"/>
            <w:gridSpan w:val="3"/>
            <w:shd w:val="clear" w:color="auto" w:fill="CCEEFF"/>
            <w:tcMar>
              <w:top w:w="40" w:type="dxa"/>
              <w:left w:w="20" w:type="dxa"/>
              <w:bottom w:w="40" w:type="dxa"/>
              <w:right w:w="20" w:type="dxa"/>
            </w:tcMar>
            <w:vAlign w:val="center"/>
          </w:tcPr>
          <w:p w14:paraId="35D09B9E" w14:textId="77777777" w:rsidR="00D42204" w:rsidRDefault="004E439D">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35D09B9F"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BA0"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BA1" w14:textId="77777777" w:rsidR="00D42204" w:rsidRDefault="004E439D">
            <w:pPr>
              <w:jc w:val="right"/>
              <w:textAlignment w:val="center"/>
            </w:pPr>
            <w:r>
              <w:rPr>
                <w:rFonts w:ascii="Times New Roman" w:eastAsia="宋体" w:hAnsi="Times New Roman"/>
                <w:color w:val="000000"/>
                <w:sz w:val="16"/>
                <w:szCs w:val="16"/>
              </w:rPr>
              <w:t>567,762 </w:t>
            </w:r>
          </w:p>
        </w:tc>
        <w:tc>
          <w:tcPr>
            <w:tcW w:w="0" w:type="auto"/>
            <w:shd w:val="clear" w:color="auto" w:fill="CCEEFF"/>
            <w:tcMar>
              <w:top w:w="40" w:type="dxa"/>
              <w:left w:w="0" w:type="dxa"/>
              <w:bottom w:w="40" w:type="dxa"/>
              <w:right w:w="20" w:type="dxa"/>
            </w:tcMar>
            <w:vAlign w:val="center"/>
          </w:tcPr>
          <w:p w14:paraId="35D09BA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BA3"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BA4"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BA5" w14:textId="77777777" w:rsidR="00D42204" w:rsidRDefault="004E439D">
            <w:pPr>
              <w:jc w:val="right"/>
              <w:textAlignment w:val="center"/>
            </w:pPr>
            <w:r>
              <w:rPr>
                <w:rFonts w:ascii="Times New Roman" w:eastAsia="宋体" w:hAnsi="Times New Roman"/>
                <w:color w:val="000000"/>
                <w:sz w:val="16"/>
                <w:szCs w:val="16"/>
              </w:rPr>
              <w:t>555,233 </w:t>
            </w:r>
          </w:p>
        </w:tc>
        <w:tc>
          <w:tcPr>
            <w:tcW w:w="0" w:type="auto"/>
            <w:shd w:val="clear" w:color="auto" w:fill="CCEEFF"/>
            <w:tcMar>
              <w:top w:w="40" w:type="dxa"/>
              <w:left w:w="0" w:type="dxa"/>
              <w:bottom w:w="40" w:type="dxa"/>
              <w:right w:w="20" w:type="dxa"/>
            </w:tcMar>
            <w:vAlign w:val="center"/>
          </w:tcPr>
          <w:p w14:paraId="35D09BA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BA7"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BA8"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BA9" w14:textId="77777777" w:rsidR="00D42204" w:rsidRDefault="004E439D">
            <w:pPr>
              <w:jc w:val="right"/>
              <w:textAlignment w:val="center"/>
            </w:pPr>
            <w:r>
              <w:rPr>
                <w:rFonts w:ascii="Times New Roman" w:eastAsia="宋体" w:hAnsi="Times New Roman"/>
                <w:color w:val="000000"/>
                <w:sz w:val="16"/>
                <w:szCs w:val="16"/>
              </w:rPr>
              <w:t>519,926 </w:t>
            </w:r>
          </w:p>
        </w:tc>
        <w:tc>
          <w:tcPr>
            <w:tcW w:w="0" w:type="auto"/>
            <w:shd w:val="clear" w:color="auto" w:fill="CCEEFF"/>
            <w:tcMar>
              <w:top w:w="40" w:type="dxa"/>
              <w:left w:w="0" w:type="dxa"/>
              <w:bottom w:w="40" w:type="dxa"/>
              <w:right w:w="20" w:type="dxa"/>
            </w:tcMar>
            <w:vAlign w:val="center"/>
          </w:tcPr>
          <w:p w14:paraId="35D09BAA" w14:textId="77777777" w:rsidR="00D42204" w:rsidRDefault="00D42204">
            <w:pPr>
              <w:jc w:val="right"/>
              <w:rPr>
                <w:rFonts w:ascii="宋体"/>
              </w:rPr>
            </w:pPr>
          </w:p>
        </w:tc>
      </w:tr>
      <w:tr w:rsidR="00D42204" w14:paraId="35D09BB6" w14:textId="77777777">
        <w:trPr>
          <w:jc w:val="center"/>
        </w:trPr>
        <w:tc>
          <w:tcPr>
            <w:tcW w:w="0" w:type="auto"/>
            <w:gridSpan w:val="3"/>
            <w:shd w:val="clear" w:color="auto" w:fill="FFFFFF"/>
            <w:tcMar>
              <w:top w:w="40" w:type="dxa"/>
              <w:left w:w="20" w:type="dxa"/>
              <w:bottom w:w="40" w:type="dxa"/>
              <w:right w:w="20" w:type="dxa"/>
            </w:tcMar>
            <w:vAlign w:val="center"/>
          </w:tcPr>
          <w:p w14:paraId="35D09BAC" w14:textId="77777777" w:rsidR="00D42204" w:rsidRDefault="004E439D">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35D09BA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BAE" w14:textId="77777777" w:rsidR="00D42204" w:rsidRDefault="004E439D">
            <w:pPr>
              <w:jc w:val="right"/>
              <w:textAlignment w:val="center"/>
            </w:pPr>
            <w:r>
              <w:rPr>
                <w:rFonts w:ascii="Times New Roman" w:eastAsia="宋体" w:hAnsi="Times New Roman"/>
                <w:color w:val="000000"/>
                <w:sz w:val="16"/>
                <w:szCs w:val="16"/>
              </w:rPr>
              <w:t>2.3 </w:t>
            </w:r>
          </w:p>
        </w:tc>
        <w:tc>
          <w:tcPr>
            <w:tcW w:w="0" w:type="auto"/>
            <w:shd w:val="clear" w:color="auto" w:fill="FFFFFF"/>
            <w:tcMar>
              <w:top w:w="40" w:type="dxa"/>
              <w:left w:w="0" w:type="dxa"/>
              <w:bottom w:w="40" w:type="dxa"/>
              <w:right w:w="20" w:type="dxa"/>
            </w:tcMar>
            <w:vAlign w:val="center"/>
          </w:tcPr>
          <w:p w14:paraId="35D09BAF"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BB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BB1" w14:textId="77777777" w:rsidR="00D42204" w:rsidRDefault="004E439D">
            <w:pPr>
              <w:jc w:val="right"/>
              <w:textAlignment w:val="center"/>
            </w:pPr>
            <w:r>
              <w:rPr>
                <w:rFonts w:ascii="Times New Roman" w:eastAsia="宋体" w:hAnsi="Times New Roman"/>
                <w:color w:val="000000"/>
                <w:sz w:val="16"/>
                <w:szCs w:val="16"/>
              </w:rPr>
              <w:t>6.8 </w:t>
            </w:r>
          </w:p>
        </w:tc>
        <w:tc>
          <w:tcPr>
            <w:tcW w:w="0" w:type="auto"/>
            <w:shd w:val="clear" w:color="auto" w:fill="FFFFFF"/>
            <w:tcMar>
              <w:top w:w="40" w:type="dxa"/>
              <w:left w:w="0" w:type="dxa"/>
              <w:bottom w:w="40" w:type="dxa"/>
              <w:right w:w="20" w:type="dxa"/>
            </w:tcMar>
            <w:vAlign w:val="center"/>
          </w:tcPr>
          <w:p w14:paraId="35D09BB2"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BB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BB4" w14:textId="77777777" w:rsidR="00D42204" w:rsidRDefault="004E439D">
            <w:pPr>
              <w:jc w:val="right"/>
              <w:textAlignment w:val="center"/>
            </w:pPr>
            <w:r>
              <w:rPr>
                <w:rFonts w:ascii="Times New Roman" w:eastAsia="宋体" w:hAnsi="Times New Roman"/>
                <w:color w:val="000000"/>
                <w:sz w:val="16"/>
                <w:szCs w:val="16"/>
              </w:rPr>
              <w:t>1.9 </w:t>
            </w:r>
          </w:p>
        </w:tc>
        <w:tc>
          <w:tcPr>
            <w:tcW w:w="0" w:type="auto"/>
            <w:shd w:val="clear" w:color="auto" w:fill="FFFFFF"/>
            <w:tcMar>
              <w:top w:w="40" w:type="dxa"/>
              <w:left w:w="0" w:type="dxa"/>
              <w:bottom w:w="40" w:type="dxa"/>
              <w:right w:w="20" w:type="dxa"/>
            </w:tcMar>
            <w:vAlign w:val="center"/>
          </w:tcPr>
          <w:p w14:paraId="35D09BB5"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9BC1" w14:textId="77777777">
        <w:trPr>
          <w:jc w:val="center"/>
        </w:trPr>
        <w:tc>
          <w:tcPr>
            <w:tcW w:w="0" w:type="auto"/>
            <w:gridSpan w:val="3"/>
            <w:shd w:val="clear" w:color="auto" w:fill="CCEEFF"/>
            <w:tcMar>
              <w:top w:w="40" w:type="dxa"/>
              <w:left w:w="20" w:type="dxa"/>
              <w:bottom w:w="40" w:type="dxa"/>
              <w:right w:w="20" w:type="dxa"/>
            </w:tcMar>
            <w:vAlign w:val="center"/>
          </w:tcPr>
          <w:p w14:paraId="35D09BB7" w14:textId="77777777" w:rsidR="00D42204" w:rsidRDefault="004E439D">
            <w:pPr>
              <w:textAlignment w:val="center"/>
            </w:pPr>
            <w:r>
              <w:rPr>
                <w:rFonts w:ascii="Times New Roman" w:eastAsia="宋体" w:hAnsi="Times New Roman"/>
                <w:color w:val="000000"/>
                <w:sz w:val="16"/>
                <w:szCs w:val="16"/>
              </w:rPr>
              <w:t>To</w:t>
            </w:r>
            <w:r>
              <w:rPr>
                <w:rFonts w:ascii="Times New Roman" w:eastAsia="宋体" w:hAnsi="Times New Roman"/>
                <w:color w:val="000000"/>
                <w:sz w:val="16"/>
                <w:szCs w:val="16"/>
              </w:rPr>
              <w:t>tal U.S. calendar comparable sales increase</w:t>
            </w:r>
          </w:p>
        </w:tc>
        <w:tc>
          <w:tcPr>
            <w:tcW w:w="0" w:type="auto"/>
            <w:gridSpan w:val="3"/>
            <w:shd w:val="clear" w:color="auto" w:fill="CCEEFF"/>
            <w:tcMar>
              <w:top w:w="0" w:type="dxa"/>
              <w:left w:w="20" w:type="dxa"/>
              <w:bottom w:w="0" w:type="dxa"/>
              <w:right w:w="20" w:type="dxa"/>
            </w:tcMar>
            <w:vAlign w:val="bottom"/>
          </w:tcPr>
          <w:p w14:paraId="35D09BB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BB9" w14:textId="77777777" w:rsidR="00D42204" w:rsidRDefault="004E439D">
            <w:pPr>
              <w:jc w:val="right"/>
              <w:textAlignment w:val="center"/>
            </w:pPr>
            <w:r>
              <w:rPr>
                <w:rFonts w:ascii="Times New Roman" w:eastAsia="宋体" w:hAnsi="Times New Roman"/>
                <w:color w:val="000000"/>
                <w:sz w:val="16"/>
                <w:szCs w:val="16"/>
              </w:rPr>
              <w:t>7.7 </w:t>
            </w:r>
          </w:p>
        </w:tc>
        <w:tc>
          <w:tcPr>
            <w:tcW w:w="0" w:type="auto"/>
            <w:shd w:val="clear" w:color="auto" w:fill="CCEEFF"/>
            <w:tcMar>
              <w:top w:w="40" w:type="dxa"/>
              <w:left w:w="0" w:type="dxa"/>
              <w:bottom w:w="40" w:type="dxa"/>
              <w:right w:w="20" w:type="dxa"/>
            </w:tcMar>
            <w:vAlign w:val="center"/>
          </w:tcPr>
          <w:p w14:paraId="35D09BBA"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9BB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BBC" w14:textId="77777777" w:rsidR="00D42204" w:rsidRDefault="004E439D">
            <w:pPr>
              <w:jc w:val="right"/>
              <w:textAlignment w:val="center"/>
            </w:pPr>
            <w:r>
              <w:rPr>
                <w:rFonts w:ascii="Times New Roman" w:eastAsia="宋体" w:hAnsi="Times New Roman"/>
                <w:color w:val="000000"/>
                <w:sz w:val="16"/>
                <w:szCs w:val="16"/>
              </w:rPr>
              <w:t>8.7 </w:t>
            </w:r>
          </w:p>
        </w:tc>
        <w:tc>
          <w:tcPr>
            <w:tcW w:w="0" w:type="auto"/>
            <w:shd w:val="clear" w:color="auto" w:fill="CCEEFF"/>
            <w:tcMar>
              <w:top w:w="40" w:type="dxa"/>
              <w:left w:w="0" w:type="dxa"/>
              <w:bottom w:w="40" w:type="dxa"/>
              <w:right w:w="20" w:type="dxa"/>
            </w:tcMar>
            <w:vAlign w:val="center"/>
          </w:tcPr>
          <w:p w14:paraId="35D09BBD"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9BB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BBF" w14:textId="77777777" w:rsidR="00D42204" w:rsidRDefault="004E439D">
            <w:pPr>
              <w:jc w:val="right"/>
              <w:textAlignment w:val="center"/>
            </w:pPr>
            <w:r>
              <w:rPr>
                <w:rFonts w:ascii="Times New Roman" w:eastAsia="宋体" w:hAnsi="Times New Roman"/>
                <w:color w:val="000000"/>
                <w:sz w:val="16"/>
                <w:szCs w:val="16"/>
              </w:rPr>
              <w:t>2.7 </w:t>
            </w:r>
          </w:p>
        </w:tc>
        <w:tc>
          <w:tcPr>
            <w:tcW w:w="0" w:type="auto"/>
            <w:shd w:val="clear" w:color="auto" w:fill="CCEEFF"/>
            <w:tcMar>
              <w:top w:w="40" w:type="dxa"/>
              <w:left w:w="0" w:type="dxa"/>
              <w:bottom w:w="40" w:type="dxa"/>
              <w:right w:w="20" w:type="dxa"/>
            </w:tcMar>
            <w:vAlign w:val="center"/>
          </w:tcPr>
          <w:p w14:paraId="35D09BC0"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9BCC" w14:textId="77777777">
        <w:trPr>
          <w:jc w:val="center"/>
        </w:trPr>
        <w:tc>
          <w:tcPr>
            <w:tcW w:w="0" w:type="auto"/>
            <w:gridSpan w:val="3"/>
            <w:shd w:val="clear" w:color="auto" w:fill="FFFFFF"/>
            <w:tcMar>
              <w:top w:w="40" w:type="dxa"/>
              <w:left w:w="20" w:type="dxa"/>
              <w:bottom w:w="40" w:type="dxa"/>
              <w:right w:w="20" w:type="dxa"/>
            </w:tcMar>
            <w:vAlign w:val="center"/>
          </w:tcPr>
          <w:p w14:paraId="35D09BC2" w14:textId="77777777" w:rsidR="00D42204" w:rsidRDefault="004E439D">
            <w:pPr>
              <w:textAlignment w:val="center"/>
            </w:pPr>
            <w:r>
              <w:rPr>
                <w:rFonts w:ascii="Times New Roman" w:eastAsia="宋体" w:hAnsi="Times New Roman"/>
                <w:color w:val="000000"/>
                <w:sz w:val="16"/>
                <w:szCs w:val="16"/>
              </w:rPr>
              <w:t>Gross profit rate</w:t>
            </w:r>
          </w:p>
        </w:tc>
        <w:tc>
          <w:tcPr>
            <w:tcW w:w="0" w:type="auto"/>
            <w:gridSpan w:val="3"/>
            <w:shd w:val="clear" w:color="auto" w:fill="FFFFFF"/>
            <w:tcMar>
              <w:top w:w="0" w:type="dxa"/>
              <w:left w:w="20" w:type="dxa"/>
              <w:bottom w:w="0" w:type="dxa"/>
              <w:right w:w="20" w:type="dxa"/>
            </w:tcMar>
            <w:vAlign w:val="bottom"/>
          </w:tcPr>
          <w:p w14:paraId="35D09BC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BC4" w14:textId="77777777" w:rsidR="00D42204" w:rsidRDefault="004E439D">
            <w:pPr>
              <w:jc w:val="right"/>
              <w:textAlignment w:val="center"/>
            </w:pPr>
            <w:r>
              <w:rPr>
                <w:rFonts w:ascii="Times New Roman" w:eastAsia="宋体" w:hAnsi="Times New Roman"/>
                <w:color w:val="000000"/>
                <w:sz w:val="16"/>
                <w:szCs w:val="16"/>
              </w:rPr>
              <w:t>24.4 </w:t>
            </w:r>
          </w:p>
        </w:tc>
        <w:tc>
          <w:tcPr>
            <w:tcW w:w="0" w:type="auto"/>
            <w:shd w:val="clear" w:color="auto" w:fill="FFFFFF"/>
            <w:tcMar>
              <w:top w:w="40" w:type="dxa"/>
              <w:left w:w="0" w:type="dxa"/>
              <w:bottom w:w="40" w:type="dxa"/>
              <w:right w:w="20" w:type="dxa"/>
            </w:tcMar>
            <w:vAlign w:val="center"/>
          </w:tcPr>
          <w:p w14:paraId="35D09BC5"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BC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BC7" w14:textId="77777777" w:rsidR="00D42204" w:rsidRDefault="004E439D">
            <w:pPr>
              <w:jc w:val="right"/>
              <w:textAlignment w:val="center"/>
            </w:pPr>
            <w:r>
              <w:rPr>
                <w:rFonts w:ascii="Times New Roman" w:eastAsia="宋体" w:hAnsi="Times New Roman"/>
                <w:color w:val="000000"/>
                <w:sz w:val="16"/>
                <w:szCs w:val="16"/>
              </w:rPr>
              <w:t>24.3 </w:t>
            </w:r>
          </w:p>
        </w:tc>
        <w:tc>
          <w:tcPr>
            <w:tcW w:w="0" w:type="auto"/>
            <w:shd w:val="clear" w:color="auto" w:fill="FFFFFF"/>
            <w:tcMar>
              <w:top w:w="40" w:type="dxa"/>
              <w:left w:w="0" w:type="dxa"/>
              <w:bottom w:w="40" w:type="dxa"/>
              <w:right w:w="20" w:type="dxa"/>
            </w:tcMar>
            <w:vAlign w:val="center"/>
          </w:tcPr>
          <w:p w14:paraId="35D09BC8"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BC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BCA" w14:textId="77777777" w:rsidR="00D42204" w:rsidRDefault="004E439D">
            <w:pPr>
              <w:jc w:val="right"/>
              <w:textAlignment w:val="center"/>
            </w:pPr>
            <w:r>
              <w:rPr>
                <w:rFonts w:ascii="Times New Roman" w:eastAsia="宋体" w:hAnsi="Times New Roman"/>
                <w:color w:val="000000"/>
                <w:sz w:val="16"/>
                <w:szCs w:val="16"/>
              </w:rPr>
              <w:t>24.1 </w:t>
            </w:r>
          </w:p>
        </w:tc>
        <w:tc>
          <w:tcPr>
            <w:tcW w:w="0" w:type="auto"/>
            <w:shd w:val="clear" w:color="auto" w:fill="FFFFFF"/>
            <w:tcMar>
              <w:top w:w="40" w:type="dxa"/>
              <w:left w:w="0" w:type="dxa"/>
              <w:bottom w:w="40" w:type="dxa"/>
              <w:right w:w="20" w:type="dxa"/>
            </w:tcMar>
            <w:vAlign w:val="center"/>
          </w:tcPr>
          <w:p w14:paraId="35D09BCB"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9BDA" w14:textId="77777777">
        <w:trPr>
          <w:jc w:val="center"/>
        </w:trPr>
        <w:tc>
          <w:tcPr>
            <w:tcW w:w="0" w:type="auto"/>
            <w:gridSpan w:val="3"/>
            <w:shd w:val="clear" w:color="auto" w:fill="CCEEFF"/>
            <w:tcMar>
              <w:top w:w="40" w:type="dxa"/>
              <w:left w:w="20" w:type="dxa"/>
              <w:bottom w:w="40" w:type="dxa"/>
              <w:right w:w="20" w:type="dxa"/>
            </w:tcMar>
            <w:vAlign w:val="center"/>
          </w:tcPr>
          <w:p w14:paraId="35D09BCD" w14:textId="77777777" w:rsidR="00D42204" w:rsidRDefault="004E439D">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35D09BCE"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BCF"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BD0" w14:textId="77777777" w:rsidR="00D42204" w:rsidRDefault="004E439D">
            <w:pPr>
              <w:jc w:val="right"/>
              <w:textAlignment w:val="center"/>
            </w:pPr>
            <w:r>
              <w:rPr>
                <w:rFonts w:ascii="Times New Roman" w:eastAsia="宋体" w:hAnsi="Times New Roman"/>
                <w:color w:val="000000"/>
                <w:sz w:val="16"/>
                <w:szCs w:val="16"/>
              </w:rPr>
              <w:t>25,942 </w:t>
            </w:r>
          </w:p>
        </w:tc>
        <w:tc>
          <w:tcPr>
            <w:tcW w:w="0" w:type="auto"/>
            <w:shd w:val="clear" w:color="auto" w:fill="CCEEFF"/>
            <w:tcMar>
              <w:top w:w="40" w:type="dxa"/>
              <w:left w:w="0" w:type="dxa"/>
              <w:bottom w:w="40" w:type="dxa"/>
              <w:right w:w="20" w:type="dxa"/>
            </w:tcMar>
            <w:vAlign w:val="center"/>
          </w:tcPr>
          <w:p w14:paraId="35D09BD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BD2"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BD3"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BD4" w14:textId="77777777" w:rsidR="00D42204" w:rsidRDefault="004E439D">
            <w:pPr>
              <w:jc w:val="right"/>
              <w:textAlignment w:val="center"/>
            </w:pPr>
            <w:r>
              <w:rPr>
                <w:rFonts w:ascii="Times New Roman" w:eastAsia="宋体" w:hAnsi="Times New Roman"/>
                <w:color w:val="000000"/>
                <w:sz w:val="16"/>
                <w:szCs w:val="16"/>
              </w:rPr>
              <w:t>22,548 </w:t>
            </w:r>
          </w:p>
        </w:tc>
        <w:tc>
          <w:tcPr>
            <w:tcW w:w="0" w:type="auto"/>
            <w:shd w:val="clear" w:color="auto" w:fill="CCEEFF"/>
            <w:tcMar>
              <w:top w:w="40" w:type="dxa"/>
              <w:left w:w="0" w:type="dxa"/>
              <w:bottom w:w="40" w:type="dxa"/>
              <w:right w:w="20" w:type="dxa"/>
            </w:tcMar>
            <w:vAlign w:val="center"/>
          </w:tcPr>
          <w:p w14:paraId="35D09BD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BD6"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BD7"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BD8" w14:textId="77777777" w:rsidR="00D42204" w:rsidRDefault="004E439D">
            <w:pPr>
              <w:jc w:val="right"/>
              <w:textAlignment w:val="center"/>
            </w:pPr>
            <w:r>
              <w:rPr>
                <w:rFonts w:ascii="Times New Roman" w:eastAsia="宋体" w:hAnsi="Times New Roman"/>
                <w:color w:val="000000"/>
                <w:sz w:val="16"/>
                <w:szCs w:val="16"/>
              </w:rPr>
              <w:t>20,568 </w:t>
            </w:r>
          </w:p>
        </w:tc>
        <w:tc>
          <w:tcPr>
            <w:tcW w:w="0" w:type="auto"/>
            <w:shd w:val="clear" w:color="auto" w:fill="CCEEFF"/>
            <w:tcMar>
              <w:top w:w="40" w:type="dxa"/>
              <w:left w:w="0" w:type="dxa"/>
              <w:bottom w:w="40" w:type="dxa"/>
              <w:right w:w="20" w:type="dxa"/>
            </w:tcMar>
            <w:vAlign w:val="center"/>
          </w:tcPr>
          <w:p w14:paraId="35D09BD9" w14:textId="77777777" w:rsidR="00D42204" w:rsidRDefault="00D42204">
            <w:pPr>
              <w:jc w:val="right"/>
              <w:rPr>
                <w:rFonts w:ascii="宋体"/>
              </w:rPr>
            </w:pPr>
          </w:p>
        </w:tc>
      </w:tr>
      <w:tr w:rsidR="00D42204" w14:paraId="35D09BE5" w14:textId="77777777">
        <w:trPr>
          <w:jc w:val="center"/>
        </w:trPr>
        <w:tc>
          <w:tcPr>
            <w:tcW w:w="0" w:type="auto"/>
            <w:gridSpan w:val="3"/>
            <w:shd w:val="clear" w:color="auto" w:fill="FFFFFF"/>
            <w:tcMar>
              <w:top w:w="40" w:type="dxa"/>
              <w:left w:w="20" w:type="dxa"/>
              <w:bottom w:w="40" w:type="dxa"/>
              <w:right w:w="20" w:type="dxa"/>
            </w:tcMar>
            <w:vAlign w:val="center"/>
          </w:tcPr>
          <w:p w14:paraId="35D09BDB" w14:textId="77777777" w:rsidR="00D42204" w:rsidRDefault="004E439D">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FFFFFF"/>
            <w:tcMar>
              <w:top w:w="0" w:type="dxa"/>
              <w:left w:w="20" w:type="dxa"/>
              <w:bottom w:w="0" w:type="dxa"/>
              <w:right w:w="20" w:type="dxa"/>
            </w:tcMar>
            <w:vAlign w:val="bottom"/>
          </w:tcPr>
          <w:p w14:paraId="35D09BD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BDD" w14:textId="77777777" w:rsidR="00D42204" w:rsidRDefault="004E439D">
            <w:pPr>
              <w:jc w:val="right"/>
              <w:textAlignment w:val="center"/>
            </w:pPr>
            <w:r>
              <w:rPr>
                <w:rFonts w:ascii="Times New Roman" w:eastAsia="宋体" w:hAnsi="Times New Roman"/>
                <w:color w:val="000000"/>
                <w:sz w:val="16"/>
                <w:szCs w:val="16"/>
              </w:rPr>
              <w:t>4.6 </w:t>
            </w:r>
          </w:p>
        </w:tc>
        <w:tc>
          <w:tcPr>
            <w:tcW w:w="0" w:type="auto"/>
            <w:shd w:val="clear" w:color="auto" w:fill="FFFFFF"/>
            <w:tcMar>
              <w:top w:w="40" w:type="dxa"/>
              <w:left w:w="0" w:type="dxa"/>
              <w:bottom w:w="40" w:type="dxa"/>
              <w:right w:w="20" w:type="dxa"/>
            </w:tcMar>
            <w:vAlign w:val="center"/>
          </w:tcPr>
          <w:p w14:paraId="35D09BDE"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BD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BE0" w14:textId="77777777" w:rsidR="00D42204" w:rsidRDefault="004E439D">
            <w:pPr>
              <w:jc w:val="right"/>
              <w:textAlignment w:val="center"/>
            </w:pPr>
            <w:r>
              <w:rPr>
                <w:rFonts w:ascii="Times New Roman" w:eastAsia="宋体" w:hAnsi="Times New Roman"/>
                <w:color w:val="000000"/>
                <w:sz w:val="16"/>
                <w:szCs w:val="16"/>
              </w:rPr>
              <w:t>4.1 </w:t>
            </w:r>
          </w:p>
        </w:tc>
        <w:tc>
          <w:tcPr>
            <w:tcW w:w="0" w:type="auto"/>
            <w:shd w:val="clear" w:color="auto" w:fill="FFFFFF"/>
            <w:tcMar>
              <w:top w:w="40" w:type="dxa"/>
              <w:left w:w="0" w:type="dxa"/>
              <w:bottom w:w="40" w:type="dxa"/>
              <w:right w:w="20" w:type="dxa"/>
            </w:tcMar>
            <w:vAlign w:val="center"/>
          </w:tcPr>
          <w:p w14:paraId="35D09BE1"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BE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BE3" w14:textId="77777777" w:rsidR="00D42204" w:rsidRDefault="004E439D">
            <w:pPr>
              <w:jc w:val="right"/>
              <w:textAlignment w:val="center"/>
            </w:pPr>
            <w:r>
              <w:rPr>
                <w:rFonts w:ascii="Times New Roman" w:eastAsia="宋体" w:hAnsi="Times New Roman"/>
                <w:color w:val="000000"/>
                <w:sz w:val="16"/>
                <w:szCs w:val="16"/>
              </w:rPr>
              <w:t>4.0 </w:t>
            </w:r>
          </w:p>
        </w:tc>
        <w:tc>
          <w:tcPr>
            <w:tcW w:w="0" w:type="auto"/>
            <w:shd w:val="clear" w:color="auto" w:fill="FFFFFF"/>
            <w:tcMar>
              <w:top w:w="40" w:type="dxa"/>
              <w:left w:w="0" w:type="dxa"/>
              <w:bottom w:w="40" w:type="dxa"/>
              <w:right w:w="20" w:type="dxa"/>
            </w:tcMar>
            <w:vAlign w:val="center"/>
          </w:tcPr>
          <w:p w14:paraId="35D09BE4"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9BF3" w14:textId="77777777">
        <w:trPr>
          <w:jc w:val="center"/>
        </w:trPr>
        <w:tc>
          <w:tcPr>
            <w:tcW w:w="0" w:type="auto"/>
            <w:gridSpan w:val="3"/>
            <w:shd w:val="clear" w:color="auto" w:fill="CCEEFF"/>
            <w:tcMar>
              <w:top w:w="40" w:type="dxa"/>
              <w:left w:w="20" w:type="dxa"/>
              <w:bottom w:w="40" w:type="dxa"/>
              <w:right w:w="20" w:type="dxa"/>
            </w:tcMar>
            <w:vAlign w:val="center"/>
          </w:tcPr>
          <w:p w14:paraId="35D09BE6" w14:textId="77777777" w:rsidR="00D42204" w:rsidRDefault="004E439D">
            <w:pPr>
              <w:textAlignment w:val="center"/>
            </w:pPr>
            <w:r>
              <w:rPr>
                <w:rFonts w:ascii="Times New Roman" w:eastAsia="宋体" w:hAnsi="Times New Roman"/>
                <w:color w:val="000000"/>
                <w:sz w:val="16"/>
                <w:szCs w:val="16"/>
              </w:rPr>
              <w:t>Lo</w:t>
            </w:r>
            <w:r>
              <w:rPr>
                <w:rFonts w:ascii="Times New Roman" w:eastAsia="宋体" w:hAnsi="Times New Roman"/>
                <w:color w:val="000000"/>
                <w:sz w:val="16"/>
                <w:szCs w:val="16"/>
              </w:rPr>
              <w:t>ss on extinguishment of debt</w:t>
            </w:r>
          </w:p>
        </w:tc>
        <w:tc>
          <w:tcPr>
            <w:tcW w:w="0" w:type="auto"/>
            <w:gridSpan w:val="3"/>
            <w:shd w:val="clear" w:color="auto" w:fill="CCEEFF"/>
            <w:tcMar>
              <w:top w:w="0" w:type="dxa"/>
              <w:left w:w="20" w:type="dxa"/>
              <w:bottom w:w="0" w:type="dxa"/>
              <w:right w:w="20" w:type="dxa"/>
            </w:tcMar>
            <w:vAlign w:val="bottom"/>
          </w:tcPr>
          <w:p w14:paraId="35D09BE7"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BE8"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BE9" w14:textId="77777777" w:rsidR="00D42204" w:rsidRDefault="004E439D">
            <w:pPr>
              <w:jc w:val="right"/>
              <w:textAlignment w:val="center"/>
            </w:pPr>
            <w:r>
              <w:rPr>
                <w:rFonts w:ascii="Times New Roman" w:eastAsia="宋体" w:hAnsi="Times New Roman"/>
                <w:color w:val="000000"/>
                <w:sz w:val="16"/>
                <w:szCs w:val="16"/>
              </w:rPr>
              <w:t>2,410 </w:t>
            </w:r>
          </w:p>
        </w:tc>
        <w:tc>
          <w:tcPr>
            <w:tcW w:w="0" w:type="auto"/>
            <w:shd w:val="clear" w:color="auto" w:fill="CCEEFF"/>
            <w:tcMar>
              <w:top w:w="40" w:type="dxa"/>
              <w:left w:w="0" w:type="dxa"/>
              <w:bottom w:w="40" w:type="dxa"/>
              <w:right w:w="20" w:type="dxa"/>
            </w:tcMar>
            <w:vAlign w:val="center"/>
          </w:tcPr>
          <w:p w14:paraId="35D09BE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BEB"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BEC"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BED"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9BE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BEF"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BF0"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BF1"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9BF2" w14:textId="77777777" w:rsidR="00D42204" w:rsidRDefault="00D42204">
            <w:pPr>
              <w:jc w:val="right"/>
              <w:rPr>
                <w:rFonts w:ascii="宋体"/>
              </w:rPr>
            </w:pPr>
          </w:p>
        </w:tc>
      </w:tr>
      <w:tr w:rsidR="00D42204" w14:paraId="35D09C01" w14:textId="77777777">
        <w:trPr>
          <w:jc w:val="center"/>
        </w:trPr>
        <w:tc>
          <w:tcPr>
            <w:tcW w:w="0" w:type="auto"/>
            <w:gridSpan w:val="3"/>
            <w:shd w:val="clear" w:color="auto" w:fill="FFFFFF"/>
            <w:tcMar>
              <w:top w:w="40" w:type="dxa"/>
              <w:left w:w="20" w:type="dxa"/>
              <w:bottom w:w="40" w:type="dxa"/>
              <w:right w:w="20" w:type="dxa"/>
            </w:tcMar>
            <w:vAlign w:val="center"/>
          </w:tcPr>
          <w:p w14:paraId="35D09BF4" w14:textId="77777777" w:rsidR="00D42204" w:rsidRDefault="004E439D">
            <w:pPr>
              <w:textAlignment w:val="center"/>
            </w:pPr>
            <w:r>
              <w:rPr>
                <w:rFonts w:ascii="Times New Roman" w:eastAsia="宋体" w:hAnsi="Times New Roman"/>
                <w:color w:val="000000"/>
                <w:sz w:val="16"/>
                <w:szCs w:val="16"/>
              </w:rPr>
              <w:t>Other (gains) and losses</w:t>
            </w:r>
          </w:p>
        </w:tc>
        <w:tc>
          <w:tcPr>
            <w:tcW w:w="0" w:type="auto"/>
            <w:gridSpan w:val="3"/>
            <w:shd w:val="clear" w:color="auto" w:fill="FFFFFF"/>
            <w:tcMar>
              <w:top w:w="0" w:type="dxa"/>
              <w:left w:w="20" w:type="dxa"/>
              <w:bottom w:w="0" w:type="dxa"/>
              <w:right w:w="20" w:type="dxa"/>
            </w:tcMar>
            <w:vAlign w:val="bottom"/>
          </w:tcPr>
          <w:p w14:paraId="35D09BF5"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9BF6"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9BF7" w14:textId="77777777" w:rsidR="00D42204" w:rsidRDefault="004E439D">
            <w:pPr>
              <w:jc w:val="right"/>
              <w:textAlignment w:val="center"/>
            </w:pPr>
            <w:r>
              <w:rPr>
                <w:rFonts w:ascii="Times New Roman" w:eastAsia="宋体" w:hAnsi="Times New Roman"/>
                <w:color w:val="000000"/>
                <w:sz w:val="16"/>
                <w:szCs w:val="16"/>
              </w:rPr>
              <w:t>3,000 </w:t>
            </w:r>
          </w:p>
        </w:tc>
        <w:tc>
          <w:tcPr>
            <w:tcW w:w="0" w:type="auto"/>
            <w:shd w:val="clear" w:color="auto" w:fill="FFFFFF"/>
            <w:tcMar>
              <w:top w:w="40" w:type="dxa"/>
              <w:left w:w="0" w:type="dxa"/>
              <w:bottom w:w="40" w:type="dxa"/>
              <w:right w:w="20" w:type="dxa"/>
            </w:tcMar>
            <w:vAlign w:val="center"/>
          </w:tcPr>
          <w:p w14:paraId="35D09BF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BF9"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9BFA"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9BFB" w14:textId="77777777" w:rsidR="00D42204" w:rsidRDefault="004E439D">
            <w:pPr>
              <w:jc w:val="right"/>
              <w:textAlignment w:val="center"/>
            </w:pPr>
            <w:r>
              <w:rPr>
                <w:rFonts w:ascii="Times New Roman" w:eastAsia="宋体" w:hAnsi="Times New Roman"/>
                <w:color w:val="000000"/>
                <w:sz w:val="16"/>
                <w:szCs w:val="16"/>
              </w:rPr>
              <w:t>(210)</w:t>
            </w:r>
          </w:p>
        </w:tc>
        <w:tc>
          <w:tcPr>
            <w:tcW w:w="0" w:type="auto"/>
            <w:shd w:val="clear" w:color="auto" w:fill="FFFFFF"/>
            <w:tcMar>
              <w:top w:w="40" w:type="dxa"/>
              <w:left w:w="0" w:type="dxa"/>
              <w:bottom w:w="40" w:type="dxa"/>
              <w:right w:w="20" w:type="dxa"/>
            </w:tcMar>
            <w:vAlign w:val="center"/>
          </w:tcPr>
          <w:p w14:paraId="35D09BF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BFD"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9BFE"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9BFF" w14:textId="77777777" w:rsidR="00D42204" w:rsidRDefault="004E439D">
            <w:pPr>
              <w:jc w:val="right"/>
              <w:textAlignment w:val="center"/>
            </w:pPr>
            <w:r>
              <w:rPr>
                <w:rFonts w:ascii="Times New Roman" w:eastAsia="宋体" w:hAnsi="Times New Roman"/>
                <w:color w:val="000000"/>
                <w:sz w:val="16"/>
                <w:szCs w:val="16"/>
              </w:rPr>
              <w:t>(1,958)</w:t>
            </w:r>
          </w:p>
        </w:tc>
        <w:tc>
          <w:tcPr>
            <w:tcW w:w="0" w:type="auto"/>
            <w:shd w:val="clear" w:color="auto" w:fill="FFFFFF"/>
            <w:tcMar>
              <w:top w:w="40" w:type="dxa"/>
              <w:left w:w="0" w:type="dxa"/>
              <w:bottom w:w="40" w:type="dxa"/>
              <w:right w:w="20" w:type="dxa"/>
            </w:tcMar>
            <w:vAlign w:val="center"/>
          </w:tcPr>
          <w:p w14:paraId="35D09C00" w14:textId="77777777" w:rsidR="00D42204" w:rsidRDefault="00D42204">
            <w:pPr>
              <w:jc w:val="right"/>
              <w:rPr>
                <w:rFonts w:ascii="宋体"/>
              </w:rPr>
            </w:pPr>
          </w:p>
        </w:tc>
      </w:tr>
      <w:tr w:rsidR="00D42204" w14:paraId="35D09C0F" w14:textId="77777777">
        <w:trPr>
          <w:jc w:val="center"/>
        </w:trPr>
        <w:tc>
          <w:tcPr>
            <w:tcW w:w="0" w:type="auto"/>
            <w:gridSpan w:val="3"/>
            <w:shd w:val="clear" w:color="auto" w:fill="CCEEFF"/>
            <w:tcMar>
              <w:top w:w="40" w:type="dxa"/>
              <w:left w:w="20" w:type="dxa"/>
              <w:bottom w:w="40" w:type="dxa"/>
              <w:right w:w="20" w:type="dxa"/>
            </w:tcMar>
            <w:vAlign w:val="center"/>
          </w:tcPr>
          <w:p w14:paraId="35D09C02" w14:textId="77777777" w:rsidR="00D42204" w:rsidRDefault="004E439D">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35D09C03"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C04"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C05" w14:textId="77777777" w:rsidR="00D42204" w:rsidRDefault="004E439D">
            <w:pPr>
              <w:jc w:val="right"/>
              <w:textAlignment w:val="center"/>
            </w:pPr>
            <w:r>
              <w:rPr>
                <w:rFonts w:ascii="Times New Roman" w:eastAsia="宋体" w:hAnsi="Times New Roman"/>
                <w:color w:val="000000"/>
                <w:sz w:val="16"/>
                <w:szCs w:val="16"/>
              </w:rPr>
              <w:t>13,940 </w:t>
            </w:r>
          </w:p>
        </w:tc>
        <w:tc>
          <w:tcPr>
            <w:tcW w:w="0" w:type="auto"/>
            <w:shd w:val="clear" w:color="auto" w:fill="CCEEFF"/>
            <w:tcMar>
              <w:top w:w="40" w:type="dxa"/>
              <w:left w:w="0" w:type="dxa"/>
              <w:bottom w:w="40" w:type="dxa"/>
              <w:right w:w="20" w:type="dxa"/>
            </w:tcMar>
            <w:vAlign w:val="center"/>
          </w:tcPr>
          <w:p w14:paraId="35D09C0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C07"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C08"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C09" w14:textId="77777777" w:rsidR="00D42204" w:rsidRDefault="004E439D">
            <w:pPr>
              <w:jc w:val="right"/>
              <w:textAlignment w:val="center"/>
            </w:pPr>
            <w:r>
              <w:rPr>
                <w:rFonts w:ascii="Times New Roman" w:eastAsia="宋体" w:hAnsi="Times New Roman"/>
                <w:color w:val="000000"/>
                <w:sz w:val="16"/>
                <w:szCs w:val="16"/>
              </w:rPr>
              <w:t>13,706 </w:t>
            </w:r>
          </w:p>
        </w:tc>
        <w:tc>
          <w:tcPr>
            <w:tcW w:w="0" w:type="auto"/>
            <w:shd w:val="clear" w:color="auto" w:fill="CCEEFF"/>
            <w:tcMar>
              <w:top w:w="40" w:type="dxa"/>
              <w:left w:w="0" w:type="dxa"/>
              <w:bottom w:w="40" w:type="dxa"/>
              <w:right w:w="20" w:type="dxa"/>
            </w:tcMar>
            <w:vAlign w:val="center"/>
          </w:tcPr>
          <w:p w14:paraId="35D09C0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C0B"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C0C"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C0D" w14:textId="77777777" w:rsidR="00D42204" w:rsidRDefault="004E439D">
            <w:pPr>
              <w:jc w:val="right"/>
              <w:textAlignment w:val="center"/>
            </w:pPr>
            <w:r>
              <w:rPr>
                <w:rFonts w:ascii="Times New Roman" w:eastAsia="宋体" w:hAnsi="Times New Roman"/>
                <w:color w:val="000000"/>
                <w:sz w:val="16"/>
                <w:szCs w:val="16"/>
              </w:rPr>
              <w:t>15,201 </w:t>
            </w:r>
          </w:p>
        </w:tc>
        <w:tc>
          <w:tcPr>
            <w:tcW w:w="0" w:type="auto"/>
            <w:shd w:val="clear" w:color="auto" w:fill="CCEEFF"/>
            <w:tcMar>
              <w:top w:w="40" w:type="dxa"/>
              <w:left w:w="0" w:type="dxa"/>
              <w:bottom w:w="40" w:type="dxa"/>
              <w:right w:w="20" w:type="dxa"/>
            </w:tcMar>
            <w:vAlign w:val="center"/>
          </w:tcPr>
          <w:p w14:paraId="35D09C0E" w14:textId="77777777" w:rsidR="00D42204" w:rsidRDefault="00D42204">
            <w:pPr>
              <w:jc w:val="right"/>
              <w:rPr>
                <w:rFonts w:ascii="宋体"/>
              </w:rPr>
            </w:pPr>
          </w:p>
        </w:tc>
      </w:tr>
      <w:tr w:rsidR="00D42204" w14:paraId="35D09C1A" w14:textId="77777777">
        <w:trPr>
          <w:jc w:val="center"/>
        </w:trPr>
        <w:tc>
          <w:tcPr>
            <w:tcW w:w="0" w:type="auto"/>
            <w:gridSpan w:val="3"/>
            <w:shd w:val="clear" w:color="auto" w:fill="FFFFFF"/>
            <w:tcMar>
              <w:top w:w="40" w:type="dxa"/>
              <w:left w:w="20" w:type="dxa"/>
              <w:bottom w:w="40" w:type="dxa"/>
              <w:right w:w="20" w:type="dxa"/>
            </w:tcMar>
            <w:vAlign w:val="center"/>
          </w:tcPr>
          <w:p w14:paraId="35D09C10" w14:textId="77777777" w:rsidR="00D42204" w:rsidRDefault="004E439D">
            <w:pPr>
              <w:textAlignment w:val="center"/>
            </w:pPr>
            <w:r>
              <w:rPr>
                <w:rFonts w:ascii="Times New Roman" w:eastAsia="宋体" w:hAnsi="Times New Roman"/>
                <w:color w:val="000000"/>
                <w:sz w:val="16"/>
                <w:szCs w:val="16"/>
              </w:rPr>
              <w:t>Unit counts at period end</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vAlign w:val="bottom"/>
          </w:tcPr>
          <w:p w14:paraId="35D09C1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C12" w14:textId="77777777" w:rsidR="00D42204" w:rsidRDefault="004E439D">
            <w:pPr>
              <w:jc w:val="right"/>
              <w:textAlignment w:val="center"/>
            </w:pPr>
            <w:r>
              <w:rPr>
                <w:rFonts w:ascii="Times New Roman" w:eastAsia="宋体" w:hAnsi="Times New Roman"/>
                <w:color w:val="000000"/>
                <w:sz w:val="16"/>
                <w:szCs w:val="16"/>
              </w:rPr>
              <w:t>10,593 </w:t>
            </w:r>
          </w:p>
        </w:tc>
        <w:tc>
          <w:tcPr>
            <w:tcW w:w="0" w:type="auto"/>
            <w:shd w:val="clear" w:color="auto" w:fill="FFFFFF"/>
            <w:tcMar>
              <w:top w:w="40" w:type="dxa"/>
              <w:left w:w="0" w:type="dxa"/>
              <w:bottom w:w="40" w:type="dxa"/>
              <w:right w:w="20" w:type="dxa"/>
            </w:tcMar>
            <w:vAlign w:val="center"/>
          </w:tcPr>
          <w:p w14:paraId="35D09C1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C1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C15" w14:textId="77777777" w:rsidR="00D42204" w:rsidRDefault="004E439D">
            <w:pPr>
              <w:jc w:val="right"/>
              <w:textAlignment w:val="center"/>
            </w:pPr>
            <w:r>
              <w:rPr>
                <w:rFonts w:ascii="Times New Roman" w:eastAsia="宋体" w:hAnsi="Times New Roman"/>
                <w:color w:val="000000"/>
                <w:sz w:val="16"/>
                <w:szCs w:val="16"/>
              </w:rPr>
              <w:t>11,443 </w:t>
            </w:r>
          </w:p>
        </w:tc>
        <w:tc>
          <w:tcPr>
            <w:tcW w:w="0" w:type="auto"/>
            <w:shd w:val="clear" w:color="auto" w:fill="FFFFFF"/>
            <w:tcMar>
              <w:top w:w="40" w:type="dxa"/>
              <w:left w:w="0" w:type="dxa"/>
              <w:bottom w:w="40" w:type="dxa"/>
              <w:right w:w="20" w:type="dxa"/>
            </w:tcMar>
            <w:vAlign w:val="center"/>
          </w:tcPr>
          <w:p w14:paraId="35D09C1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C1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C18" w14:textId="77777777" w:rsidR="00D42204" w:rsidRDefault="004E439D">
            <w:pPr>
              <w:jc w:val="right"/>
              <w:textAlignment w:val="center"/>
            </w:pPr>
            <w:r>
              <w:rPr>
                <w:rFonts w:ascii="Times New Roman" w:eastAsia="宋体" w:hAnsi="Times New Roman"/>
                <w:color w:val="000000"/>
                <w:sz w:val="16"/>
                <w:szCs w:val="16"/>
              </w:rPr>
              <w:t>11,501 </w:t>
            </w:r>
          </w:p>
        </w:tc>
        <w:tc>
          <w:tcPr>
            <w:tcW w:w="0" w:type="auto"/>
            <w:shd w:val="clear" w:color="auto" w:fill="FFFFFF"/>
            <w:tcMar>
              <w:top w:w="40" w:type="dxa"/>
              <w:left w:w="0" w:type="dxa"/>
              <w:bottom w:w="40" w:type="dxa"/>
              <w:right w:w="20" w:type="dxa"/>
            </w:tcMar>
            <w:vAlign w:val="center"/>
          </w:tcPr>
          <w:p w14:paraId="35D09C19" w14:textId="77777777" w:rsidR="00D42204" w:rsidRDefault="00D42204">
            <w:pPr>
              <w:jc w:val="right"/>
              <w:rPr>
                <w:rFonts w:ascii="宋体"/>
              </w:rPr>
            </w:pPr>
          </w:p>
        </w:tc>
      </w:tr>
      <w:tr w:rsidR="00D42204" w14:paraId="35D09C25" w14:textId="77777777">
        <w:trPr>
          <w:jc w:val="center"/>
        </w:trPr>
        <w:tc>
          <w:tcPr>
            <w:tcW w:w="0" w:type="auto"/>
            <w:gridSpan w:val="3"/>
            <w:shd w:val="clear" w:color="auto" w:fill="CCEEFF"/>
            <w:tcMar>
              <w:top w:w="40" w:type="dxa"/>
              <w:left w:w="20" w:type="dxa"/>
              <w:bottom w:w="40" w:type="dxa"/>
              <w:right w:w="20" w:type="dxa"/>
            </w:tcMar>
            <w:vAlign w:val="center"/>
          </w:tcPr>
          <w:p w14:paraId="35D09C1B" w14:textId="77777777" w:rsidR="00D42204" w:rsidRDefault="004E439D">
            <w:pPr>
              <w:textAlignment w:val="center"/>
            </w:pPr>
            <w:r>
              <w:rPr>
                <w:rFonts w:ascii="Times New Roman" w:eastAsia="宋体" w:hAnsi="Times New Roman"/>
                <w:color w:val="000000"/>
                <w:sz w:val="16"/>
                <w:szCs w:val="16"/>
              </w:rPr>
              <w:t>Retail square feet at period end</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35D09C1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C1D" w14:textId="77777777" w:rsidR="00D42204" w:rsidRDefault="004E439D">
            <w:pPr>
              <w:jc w:val="right"/>
              <w:textAlignment w:val="center"/>
            </w:pPr>
            <w:r>
              <w:rPr>
                <w:rFonts w:ascii="Times New Roman" w:eastAsia="宋体" w:hAnsi="Times New Roman"/>
                <w:color w:val="000000"/>
                <w:sz w:val="16"/>
                <w:szCs w:val="16"/>
              </w:rPr>
              <w:t>1,060 </w:t>
            </w:r>
          </w:p>
        </w:tc>
        <w:tc>
          <w:tcPr>
            <w:tcW w:w="0" w:type="auto"/>
            <w:shd w:val="clear" w:color="auto" w:fill="CCEEFF"/>
            <w:tcMar>
              <w:top w:w="40" w:type="dxa"/>
              <w:left w:w="0" w:type="dxa"/>
              <w:bottom w:w="40" w:type="dxa"/>
              <w:right w:w="20" w:type="dxa"/>
            </w:tcMar>
            <w:vAlign w:val="center"/>
          </w:tcPr>
          <w:p w14:paraId="35D09C1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C1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C20" w14:textId="77777777" w:rsidR="00D42204" w:rsidRDefault="004E439D">
            <w:pPr>
              <w:jc w:val="right"/>
              <w:textAlignment w:val="center"/>
            </w:pPr>
            <w:r>
              <w:rPr>
                <w:rFonts w:ascii="Times New Roman" w:eastAsia="宋体" w:hAnsi="Times New Roman"/>
                <w:color w:val="000000"/>
                <w:sz w:val="16"/>
                <w:szCs w:val="16"/>
              </w:rPr>
              <w:t>1,121 </w:t>
            </w:r>
          </w:p>
        </w:tc>
        <w:tc>
          <w:tcPr>
            <w:tcW w:w="0" w:type="auto"/>
            <w:shd w:val="clear" w:color="auto" w:fill="CCEEFF"/>
            <w:tcMar>
              <w:top w:w="40" w:type="dxa"/>
              <w:left w:w="0" w:type="dxa"/>
              <w:bottom w:w="40" w:type="dxa"/>
              <w:right w:w="20" w:type="dxa"/>
            </w:tcMar>
            <w:vAlign w:val="center"/>
          </w:tcPr>
          <w:p w14:paraId="35D09C2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C2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C23" w14:textId="77777777" w:rsidR="00D42204" w:rsidRDefault="004E439D">
            <w:pPr>
              <w:jc w:val="right"/>
              <w:textAlignment w:val="center"/>
            </w:pPr>
            <w:r>
              <w:rPr>
                <w:rFonts w:ascii="Times New Roman" w:eastAsia="宋体" w:hAnsi="Times New Roman"/>
                <w:color w:val="000000"/>
                <w:sz w:val="16"/>
                <w:szCs w:val="16"/>
              </w:rPr>
              <w:t>1,129 </w:t>
            </w:r>
          </w:p>
        </w:tc>
        <w:tc>
          <w:tcPr>
            <w:tcW w:w="0" w:type="auto"/>
            <w:shd w:val="clear" w:color="auto" w:fill="CCEEFF"/>
            <w:tcMar>
              <w:top w:w="40" w:type="dxa"/>
              <w:left w:w="0" w:type="dxa"/>
              <w:bottom w:w="40" w:type="dxa"/>
              <w:right w:w="20" w:type="dxa"/>
            </w:tcMar>
            <w:vAlign w:val="center"/>
          </w:tcPr>
          <w:p w14:paraId="35D09C24" w14:textId="77777777" w:rsidR="00D42204" w:rsidRDefault="00D42204">
            <w:pPr>
              <w:jc w:val="right"/>
              <w:rPr>
                <w:rFonts w:ascii="宋体"/>
              </w:rPr>
            </w:pPr>
          </w:p>
        </w:tc>
      </w:tr>
    </w:tbl>
    <w:p w14:paraId="35D09C26" w14:textId="77777777" w:rsidR="00D42204" w:rsidRDefault="004E439D">
      <w:pPr>
        <w:spacing w:after="100"/>
        <w:ind w:hanging="360"/>
      </w:pPr>
      <w:r>
        <w:rPr>
          <w:rFonts w:ascii="Times New Roman" w:eastAsia="宋体" w:hAnsi="Times New Roman"/>
          <w:color w:val="000000"/>
          <w:sz w:val="10"/>
          <w:szCs w:val="10"/>
        </w:rPr>
        <w:t>(1</w:t>
      </w:r>
      <w:r>
        <w:rPr>
          <w:rFonts w:ascii="Times New Roman" w:eastAsia="宋体" w:hAnsi="Times New Roman"/>
          <w:color w:val="000000"/>
          <w:sz w:val="10"/>
          <w:szCs w:val="10"/>
        </w:rPr>
        <w:t>)</w:t>
      </w:r>
      <w:r>
        <w:rPr>
          <w:rFonts w:ascii="Times New Roman" w:eastAsia="宋体" w:hAnsi="Times New Roman"/>
          <w:color w:val="000000"/>
          <w:sz w:val="16"/>
          <w:szCs w:val="16"/>
        </w:rPr>
        <w:t xml:space="preserve"> Unit counts and associated retail square feet are presented for stores and clubs generally open as of period end, and reflects the removal of stores in the U.K. and Japan subsequent to closing the divestitures in fiscal 2022. Permanently closed locations</w:t>
      </w:r>
      <w:r>
        <w:rPr>
          <w:rFonts w:ascii="Times New Roman" w:eastAsia="宋体" w:hAnsi="Times New Roman"/>
          <w:color w:val="000000"/>
          <w:sz w:val="16"/>
          <w:szCs w:val="16"/>
        </w:rPr>
        <w:t xml:space="preserve"> are not included. </w:t>
      </w:r>
    </w:p>
    <w:p w14:paraId="35D09C27" w14:textId="77777777" w:rsidR="00D42204" w:rsidRDefault="004E439D">
      <w:pPr>
        <w:spacing w:before="180"/>
      </w:pPr>
      <w:r>
        <w:rPr>
          <w:rFonts w:ascii="Times New Roman" w:eastAsia="宋体" w:hAnsi="Times New Roman"/>
          <w:color w:val="000000"/>
          <w:sz w:val="20"/>
          <w:szCs w:val="20"/>
        </w:rPr>
        <w:t>Our total revenues, which includes net sales and membership and other income, increased $13.6 billion or 2.4% and $35.2 billion or 6.7% for fiscal 2022 and 2021, respectively, when compared to the previous fiscal year. These increases i</w:t>
      </w:r>
      <w:r>
        <w:rPr>
          <w:rFonts w:ascii="Times New Roman" w:eastAsia="宋体" w:hAnsi="Times New Roman"/>
          <w:color w:val="000000"/>
          <w:sz w:val="20"/>
          <w:szCs w:val="20"/>
        </w:rPr>
        <w:t>n revenues were primarily due to increases in net sales, which increased $12.5 billion or 2.3% and $35.3 billion or 6.8% for fiscal 2022 and 2021, respectively, when compared to the previous fiscal year. For fiscal 2022, the increase was primarily due to s</w:t>
      </w:r>
      <w:r>
        <w:rPr>
          <w:rFonts w:ascii="Times New Roman" w:eastAsia="宋体" w:hAnsi="Times New Roman"/>
          <w:color w:val="000000"/>
          <w:sz w:val="20"/>
          <w:szCs w:val="20"/>
        </w:rPr>
        <w:t>trong positive comparable sales for the Walmart U.S. and Sam's Club segments which benefited from strong U.S. consumer spending and some inflation, along with positive comparable sales in most of our remaining international markets. The increase was partia</w:t>
      </w:r>
      <w:r>
        <w:rPr>
          <w:rFonts w:ascii="Times New Roman" w:eastAsia="宋体" w:hAnsi="Times New Roman"/>
          <w:color w:val="000000"/>
          <w:sz w:val="20"/>
          <w:szCs w:val="20"/>
        </w:rPr>
        <w:t>lly offset by a $32.6 billion net sales decrease primarily related to the divestiture of our operations in the U.K. and Japan, which closed in the first quarter of fiscal 2022. Net sales also benefited from a $4.5 billion positive impact of fluctuations in</w:t>
      </w:r>
      <w:r>
        <w:rPr>
          <w:rFonts w:ascii="Times New Roman" w:eastAsia="宋体" w:hAnsi="Times New Roman"/>
          <w:color w:val="000000"/>
          <w:sz w:val="20"/>
          <w:szCs w:val="20"/>
        </w:rPr>
        <w:t xml:space="preserve"> currency exchange rates during fiscal 2022. For fiscal 2021, the increase was primarily due to strong positive comparable sales for the Walmart U.S. and Sam's Club segments as well as positive comparable sales in the majority of our international markets </w:t>
      </w:r>
      <w:r>
        <w:rPr>
          <w:rFonts w:ascii="Times New Roman" w:eastAsia="宋体" w:hAnsi="Times New Roman"/>
          <w:color w:val="000000"/>
          <w:sz w:val="20"/>
          <w:szCs w:val="20"/>
        </w:rPr>
        <w:t>resulting from increased demand stemming from the COVID-19 pandemic. Overall net sales growth was strong despite certain operating limitations in several international markets in the second quarter of fiscal 2021 due to government regulations and precautio</w:t>
      </w:r>
      <w:r>
        <w:rPr>
          <w:rFonts w:ascii="Times New Roman" w:eastAsia="宋体" w:hAnsi="Times New Roman"/>
          <w:color w:val="000000"/>
          <w:sz w:val="20"/>
          <w:szCs w:val="20"/>
        </w:rPr>
        <w:t xml:space="preserve">nary measures taken as a result of the COVID-19 pandemic. The net sales increase was partially offset by a negative impact from fluctuations in currency exchange rates of $5.0 billion. </w:t>
      </w:r>
    </w:p>
    <w:p w14:paraId="35D09C28" w14:textId="77777777" w:rsidR="00D42204" w:rsidRDefault="004E439D">
      <w:pPr>
        <w:spacing w:before="100"/>
      </w:pPr>
      <w:r>
        <w:rPr>
          <w:rFonts w:ascii="Times New Roman" w:eastAsia="宋体" w:hAnsi="Times New Roman"/>
          <w:color w:val="000000"/>
          <w:sz w:val="20"/>
          <w:szCs w:val="20"/>
        </w:rPr>
        <w:t>Our gross profit rate increased 14 and 20 basis points for fiscal 2022</w:t>
      </w:r>
      <w:r>
        <w:rPr>
          <w:rFonts w:ascii="Times New Roman" w:eastAsia="宋体" w:hAnsi="Times New Roman"/>
          <w:color w:val="000000"/>
          <w:sz w:val="20"/>
          <w:szCs w:val="20"/>
        </w:rPr>
        <w:t xml:space="preserve"> and 2021, respectively, when compared to the previous fiscal year. For fiscal 2022, the increase was primarily due to price management in the Walmart U.S. segment driven by cost </w:t>
      </w:r>
    </w:p>
    <w:p w14:paraId="35D09C29" w14:textId="77777777" w:rsidR="00D42204" w:rsidRDefault="004E439D">
      <w:pPr>
        <w:jc w:val="center"/>
      </w:pPr>
      <w:r>
        <w:rPr>
          <w:rFonts w:ascii="Times New Roman" w:eastAsia="宋体" w:hAnsi="Times New Roman"/>
          <w:color w:val="000000"/>
          <w:sz w:val="20"/>
          <w:szCs w:val="20"/>
        </w:rPr>
        <w:t>38</w:t>
      </w:r>
    </w:p>
    <w:p w14:paraId="35D09C2A" w14:textId="77777777" w:rsidR="00D42204" w:rsidRDefault="004E439D">
      <w:r>
        <w:pict w14:anchorId="35D0C381">
          <v:rect id="_x0000_i1062" style="width:415.3pt;height:1.5pt" o:hralign="center" o:hrstd="t" o:hr="t" fillcolor="#a0a0a0" stroked="f"/>
        </w:pict>
      </w:r>
    </w:p>
    <w:p w14:paraId="35D09C2B" w14:textId="77777777" w:rsidR="00D42204" w:rsidRDefault="00D42204"/>
    <w:p w14:paraId="35D09C2C" w14:textId="77777777" w:rsidR="00D42204" w:rsidRDefault="004E439D">
      <w:pPr>
        <w:spacing w:before="100"/>
      </w:pPr>
      <w:r>
        <w:rPr>
          <w:rFonts w:ascii="Times New Roman" w:eastAsia="宋体" w:hAnsi="Times New Roman"/>
          <w:color w:val="000000"/>
          <w:sz w:val="20"/>
          <w:szCs w:val="20"/>
        </w:rPr>
        <w:t>inflation as well as merchandise mix, partially offset by increased su</w:t>
      </w:r>
      <w:r>
        <w:rPr>
          <w:rFonts w:ascii="Times New Roman" w:eastAsia="宋体" w:hAnsi="Times New Roman"/>
          <w:color w:val="000000"/>
          <w:sz w:val="20"/>
          <w:szCs w:val="20"/>
        </w:rPr>
        <w:t>pply chain costs. For fiscal 2021, the increase was primarily due to strategic sourcing initiatives, strong sales in higher margin categories, and fewer markdowns. This was partially offset in the Walmart U.S. segment by carryover of prior year price inves</w:t>
      </w:r>
      <w:r>
        <w:rPr>
          <w:rFonts w:ascii="Times New Roman" w:eastAsia="宋体" w:hAnsi="Times New Roman"/>
          <w:color w:val="000000"/>
          <w:sz w:val="20"/>
          <w:szCs w:val="20"/>
        </w:rPr>
        <w:t>tment as well as the temporary closure of our Auto Care Centers and Vision Centers in response to the COVID-19 pandemic.</w:t>
      </w:r>
    </w:p>
    <w:p w14:paraId="35D09C2D" w14:textId="77777777" w:rsidR="00D42204" w:rsidRDefault="004E439D">
      <w:pPr>
        <w:spacing w:before="100"/>
      </w:pPr>
      <w:r>
        <w:rPr>
          <w:rFonts w:ascii="Times New Roman" w:eastAsia="宋体" w:hAnsi="Times New Roman"/>
          <w:color w:val="000000"/>
          <w:sz w:val="20"/>
          <w:szCs w:val="20"/>
        </w:rPr>
        <w:t>For fiscal 2022, operating expenses as a percentage of net sales decreased 19 basis points when compared to the previous fiscal year. O</w:t>
      </w:r>
      <w:r>
        <w:rPr>
          <w:rFonts w:ascii="Times New Roman" w:eastAsia="宋体" w:hAnsi="Times New Roman"/>
          <w:color w:val="000000"/>
          <w:sz w:val="20"/>
          <w:szCs w:val="20"/>
        </w:rPr>
        <w:t xml:space="preserve">perating expenses as a percentage of net sales benefited from growth in comparable sales and lower incremental COVID-19 related costs of $2.5 billion as compared to the previous year, partially offset by increased wage investments primarily in the Walmart </w:t>
      </w:r>
      <w:r>
        <w:rPr>
          <w:rFonts w:ascii="Times New Roman" w:eastAsia="宋体" w:hAnsi="Times New Roman"/>
          <w:color w:val="000000"/>
          <w:sz w:val="20"/>
          <w:szCs w:val="20"/>
        </w:rPr>
        <w:t>U.S. segment. For fiscal 2021, operating expenses as a percentage of net sales was flat when compared to the previous fiscal year. Operating expenses as a percentage of net sales benefited from strong growth in comparable sales, offset by $4.0 billion of i</w:t>
      </w:r>
      <w:r>
        <w:rPr>
          <w:rFonts w:ascii="Times New Roman" w:eastAsia="宋体" w:hAnsi="Times New Roman"/>
          <w:color w:val="000000"/>
          <w:sz w:val="20"/>
          <w:szCs w:val="20"/>
        </w:rPr>
        <w:t xml:space="preserve">ncremental costs related to the COVID-19 pandemic. </w:t>
      </w:r>
    </w:p>
    <w:p w14:paraId="35D09C2E" w14:textId="77777777" w:rsidR="00D42204" w:rsidRDefault="004E439D">
      <w:pPr>
        <w:spacing w:before="100"/>
      </w:pPr>
      <w:r>
        <w:rPr>
          <w:rFonts w:ascii="Times New Roman" w:eastAsia="宋体" w:hAnsi="Times New Roman"/>
          <w:color w:val="000000"/>
          <w:sz w:val="20"/>
          <w:szCs w:val="20"/>
        </w:rPr>
        <w:t>Loss on extinguishment of debt was $2.4 billion in fiscal 2022 due to the early retirement of certain higher rate long-term debt to reduce interest expense in future periods.</w:t>
      </w:r>
    </w:p>
    <w:p w14:paraId="35D09C2F" w14:textId="77777777" w:rsidR="00D42204" w:rsidRDefault="004E439D">
      <w:pPr>
        <w:spacing w:before="100"/>
      </w:pPr>
      <w:r>
        <w:rPr>
          <w:rFonts w:ascii="Times New Roman" w:eastAsia="宋体" w:hAnsi="Times New Roman"/>
          <w:color w:val="000000"/>
          <w:sz w:val="20"/>
          <w:szCs w:val="20"/>
        </w:rPr>
        <w:t>Other gains and losses consis</w:t>
      </w:r>
      <w:r>
        <w:rPr>
          <w:rFonts w:ascii="Times New Roman" w:eastAsia="宋体" w:hAnsi="Times New Roman"/>
          <w:color w:val="000000"/>
          <w:sz w:val="20"/>
          <w:szCs w:val="20"/>
        </w:rPr>
        <w:t>ted of a net loss of $3.0 billion and a net gain of $0.2 billion for fiscal 2022 and 2021, respectively. The loss in fiscal 2022 primarily reflects net losses associated with the fair value changes of our equity investments, as well as $0.4 billion in incr</w:t>
      </w:r>
      <w:r>
        <w:rPr>
          <w:rFonts w:ascii="Times New Roman" w:eastAsia="宋体" w:hAnsi="Times New Roman"/>
          <w:color w:val="000000"/>
          <w:sz w:val="20"/>
          <w:szCs w:val="20"/>
        </w:rPr>
        <w:t>emental losses associated with the divestiture of certain international operations which closed in the first quarter of fiscal 2022. The gain in fiscal 2021 primarily reflects $8.7 billion in net gains associated with the fair value changes of our equity i</w:t>
      </w:r>
      <w:r>
        <w:rPr>
          <w:rFonts w:ascii="Times New Roman" w:eastAsia="宋体" w:hAnsi="Times New Roman"/>
          <w:color w:val="000000"/>
          <w:sz w:val="20"/>
          <w:szCs w:val="20"/>
        </w:rPr>
        <w:t xml:space="preserve">nvestments, partially offset by the $8.3 billion pre-tax loss related to the divestiture of certain international operations classified as held for sale or sold in fiscal 2021. </w:t>
      </w:r>
    </w:p>
    <w:p w14:paraId="35D09C30" w14:textId="77777777" w:rsidR="00D42204" w:rsidRDefault="004E439D">
      <w:pPr>
        <w:spacing w:before="100"/>
      </w:pPr>
      <w:r>
        <w:rPr>
          <w:rFonts w:ascii="Times New Roman" w:eastAsia="宋体" w:hAnsi="Times New Roman"/>
          <w:color w:val="000000"/>
          <w:sz w:val="20"/>
          <w:szCs w:val="20"/>
        </w:rPr>
        <w:t>Our effective income tax rate was 25.4% for fiscal 2022, 33.3% for fiscal 2021</w:t>
      </w:r>
      <w:r>
        <w:rPr>
          <w:rFonts w:ascii="Times New Roman" w:eastAsia="宋体" w:hAnsi="Times New Roman"/>
          <w:color w:val="000000"/>
          <w:sz w:val="20"/>
          <w:szCs w:val="20"/>
        </w:rPr>
        <w:t xml:space="preserve">, and 24.4% for fiscal 2020. The decrease in our effective tax rate for fiscal 2022 as compared to fiscal 2021, and the increase in our effective tax rate for fiscal 2021 as compared to fiscal 2020, is primarily due to the $8.3 billion loss related to the </w:t>
      </w:r>
      <w:r>
        <w:rPr>
          <w:rFonts w:ascii="Times New Roman" w:eastAsia="宋体" w:hAnsi="Times New Roman"/>
          <w:color w:val="000000"/>
          <w:sz w:val="20"/>
          <w:szCs w:val="20"/>
        </w:rPr>
        <w:t>divestiture of certain international operations classified as held for sale or sold in fiscal 2021, which provided minimal realizable tax benefit. Our effective income tax rate may also fluctuate as a result of various factors, including changes in our ass</w:t>
      </w:r>
      <w:r>
        <w:rPr>
          <w:rFonts w:ascii="Times New Roman" w:eastAsia="宋体" w:hAnsi="Times New Roman"/>
          <w:color w:val="000000"/>
          <w:sz w:val="20"/>
          <w:szCs w:val="20"/>
        </w:rPr>
        <w:t>essment of certain tax contingencies, valuation allowances, changes in tax law, outcomes of administrative audits, the impact of discrete items and the mix and size of earnings among our U.S. operations and international operations, which are subject to st</w:t>
      </w:r>
      <w:r>
        <w:rPr>
          <w:rFonts w:ascii="Times New Roman" w:eastAsia="宋体" w:hAnsi="Times New Roman"/>
          <w:color w:val="000000"/>
          <w:sz w:val="20"/>
          <w:szCs w:val="20"/>
        </w:rPr>
        <w:t xml:space="preserve">atutory rates that are generally higher than the U.S. statutory rate. The reconciliation from the U.S. statutory rate to the effective income tax rates for fiscal 2022, 2021 and 2020 is presented in </w:t>
      </w:r>
      <w:hyperlink r:id="rId103" w:anchor="i1ba69ebb72ec48f9b754a5e96c4cdf3f_178"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w:t>
      </w:r>
    </w:p>
    <w:p w14:paraId="35D09C31" w14:textId="77777777" w:rsidR="00D42204" w:rsidRDefault="004E439D">
      <w:pPr>
        <w:spacing w:before="100"/>
      </w:pPr>
      <w:r>
        <w:rPr>
          <w:rFonts w:ascii="Times New Roman" w:eastAsia="宋体" w:hAnsi="Times New Roman"/>
          <w:color w:val="000000"/>
          <w:sz w:val="20"/>
          <w:szCs w:val="20"/>
        </w:rPr>
        <w:t>As a result of the factors discussed above, we reported $13.9 billion and $13.7 billion of consolidated net income for fiscal 2022 and 2021, respectively, which represents an increase of $0.2 billion and a decrease of $1.5 billion for fiscal 2022 and 2021,</w:t>
      </w:r>
      <w:r>
        <w:rPr>
          <w:rFonts w:ascii="Times New Roman" w:eastAsia="宋体" w:hAnsi="Times New Roman"/>
          <w:color w:val="000000"/>
          <w:sz w:val="20"/>
          <w:szCs w:val="20"/>
        </w:rPr>
        <w:t xml:space="preserve"> respectively, when compared to the previous fiscal year. Diluted net income per common share attributable to Walmart ("EPS") was $4.87, $4.75 and $5.19 for fiscal 2022, 2021 and 2020, respectively. </w:t>
      </w:r>
    </w:p>
    <w:p w14:paraId="35D09C32" w14:textId="77777777" w:rsidR="00D42204" w:rsidRDefault="004E439D">
      <w:pPr>
        <w:spacing w:before="180"/>
      </w:pPr>
      <w:r>
        <w:rPr>
          <w:rFonts w:ascii="Times New Roman" w:eastAsia="宋体" w:hAnsi="Times New Roman"/>
          <w:b/>
          <w:bCs/>
          <w:i/>
          <w:iCs/>
          <w:color w:val="000000"/>
          <w:sz w:val="20"/>
          <w:szCs w:val="20"/>
        </w:rPr>
        <w:t>Walmart U.S.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052"/>
        <w:gridCol w:w="37"/>
        <w:gridCol w:w="36"/>
        <w:gridCol w:w="36"/>
        <w:gridCol w:w="36"/>
        <w:gridCol w:w="100"/>
        <w:gridCol w:w="707"/>
        <w:gridCol w:w="154"/>
        <w:gridCol w:w="36"/>
        <w:gridCol w:w="36"/>
        <w:gridCol w:w="36"/>
        <w:gridCol w:w="100"/>
        <w:gridCol w:w="707"/>
        <w:gridCol w:w="154"/>
        <w:gridCol w:w="36"/>
        <w:gridCol w:w="36"/>
        <w:gridCol w:w="36"/>
        <w:gridCol w:w="100"/>
        <w:gridCol w:w="709"/>
        <w:gridCol w:w="154"/>
      </w:tblGrid>
      <w:tr w:rsidR="00D42204" w14:paraId="35D09C48" w14:textId="77777777">
        <w:trPr>
          <w:jc w:val="center"/>
        </w:trPr>
        <w:tc>
          <w:tcPr>
            <w:tcW w:w="50" w:type="pct"/>
            <w:shd w:val="clear" w:color="auto" w:fill="auto"/>
            <w:vAlign w:val="bottom"/>
          </w:tcPr>
          <w:p w14:paraId="35D09C33" w14:textId="77777777" w:rsidR="00D42204" w:rsidRDefault="00D42204">
            <w:pPr>
              <w:rPr>
                <w:rFonts w:ascii="宋体"/>
              </w:rPr>
            </w:pPr>
          </w:p>
        </w:tc>
        <w:tc>
          <w:tcPr>
            <w:tcW w:w="3168" w:type="pct"/>
            <w:shd w:val="clear" w:color="auto" w:fill="auto"/>
            <w:vAlign w:val="bottom"/>
          </w:tcPr>
          <w:p w14:paraId="35D09C34" w14:textId="77777777" w:rsidR="00D42204" w:rsidRDefault="00D42204">
            <w:pPr>
              <w:rPr>
                <w:rFonts w:ascii="宋体"/>
              </w:rPr>
            </w:pPr>
          </w:p>
        </w:tc>
        <w:tc>
          <w:tcPr>
            <w:tcW w:w="5" w:type="pct"/>
            <w:shd w:val="clear" w:color="auto" w:fill="auto"/>
            <w:vAlign w:val="bottom"/>
          </w:tcPr>
          <w:p w14:paraId="35D09C35" w14:textId="77777777" w:rsidR="00D42204" w:rsidRDefault="00D42204">
            <w:pPr>
              <w:rPr>
                <w:rFonts w:ascii="宋体"/>
              </w:rPr>
            </w:pPr>
          </w:p>
        </w:tc>
        <w:tc>
          <w:tcPr>
            <w:tcW w:w="5" w:type="pct"/>
            <w:shd w:val="clear" w:color="auto" w:fill="auto"/>
            <w:vAlign w:val="bottom"/>
          </w:tcPr>
          <w:p w14:paraId="35D09C36" w14:textId="77777777" w:rsidR="00D42204" w:rsidRDefault="00D42204">
            <w:pPr>
              <w:rPr>
                <w:rFonts w:ascii="宋体"/>
              </w:rPr>
            </w:pPr>
          </w:p>
        </w:tc>
        <w:tc>
          <w:tcPr>
            <w:tcW w:w="19" w:type="pct"/>
            <w:shd w:val="clear" w:color="auto" w:fill="auto"/>
            <w:vAlign w:val="bottom"/>
          </w:tcPr>
          <w:p w14:paraId="35D09C37" w14:textId="77777777" w:rsidR="00D42204" w:rsidRDefault="00D42204">
            <w:pPr>
              <w:rPr>
                <w:rFonts w:ascii="宋体"/>
              </w:rPr>
            </w:pPr>
          </w:p>
        </w:tc>
        <w:tc>
          <w:tcPr>
            <w:tcW w:w="5" w:type="pct"/>
            <w:shd w:val="clear" w:color="auto" w:fill="auto"/>
            <w:vAlign w:val="bottom"/>
          </w:tcPr>
          <w:p w14:paraId="35D09C38" w14:textId="77777777" w:rsidR="00D42204" w:rsidRDefault="00D42204">
            <w:pPr>
              <w:rPr>
                <w:rFonts w:ascii="宋体"/>
              </w:rPr>
            </w:pPr>
          </w:p>
        </w:tc>
        <w:tc>
          <w:tcPr>
            <w:tcW w:w="50" w:type="pct"/>
            <w:shd w:val="clear" w:color="auto" w:fill="auto"/>
            <w:vAlign w:val="bottom"/>
          </w:tcPr>
          <w:p w14:paraId="35D09C39" w14:textId="77777777" w:rsidR="00D42204" w:rsidRDefault="00D42204">
            <w:pPr>
              <w:rPr>
                <w:rFonts w:ascii="宋体"/>
              </w:rPr>
            </w:pPr>
          </w:p>
        </w:tc>
        <w:tc>
          <w:tcPr>
            <w:tcW w:w="507" w:type="pct"/>
            <w:shd w:val="clear" w:color="auto" w:fill="auto"/>
            <w:vAlign w:val="bottom"/>
          </w:tcPr>
          <w:p w14:paraId="35D09C3A" w14:textId="77777777" w:rsidR="00D42204" w:rsidRDefault="00D42204">
            <w:pPr>
              <w:rPr>
                <w:rFonts w:ascii="宋体"/>
              </w:rPr>
            </w:pPr>
          </w:p>
        </w:tc>
        <w:tc>
          <w:tcPr>
            <w:tcW w:w="5" w:type="pct"/>
            <w:shd w:val="clear" w:color="auto" w:fill="auto"/>
            <w:vAlign w:val="bottom"/>
          </w:tcPr>
          <w:p w14:paraId="35D09C3B" w14:textId="77777777" w:rsidR="00D42204" w:rsidRDefault="00D42204">
            <w:pPr>
              <w:rPr>
                <w:rFonts w:ascii="宋体"/>
              </w:rPr>
            </w:pPr>
          </w:p>
        </w:tc>
        <w:tc>
          <w:tcPr>
            <w:tcW w:w="5" w:type="pct"/>
            <w:shd w:val="clear" w:color="auto" w:fill="auto"/>
            <w:vAlign w:val="bottom"/>
          </w:tcPr>
          <w:p w14:paraId="35D09C3C" w14:textId="77777777" w:rsidR="00D42204" w:rsidRDefault="00D42204">
            <w:pPr>
              <w:rPr>
                <w:rFonts w:ascii="宋体"/>
              </w:rPr>
            </w:pPr>
          </w:p>
        </w:tc>
        <w:tc>
          <w:tcPr>
            <w:tcW w:w="19" w:type="pct"/>
            <w:shd w:val="clear" w:color="auto" w:fill="auto"/>
            <w:vAlign w:val="bottom"/>
          </w:tcPr>
          <w:p w14:paraId="35D09C3D" w14:textId="77777777" w:rsidR="00D42204" w:rsidRDefault="00D42204">
            <w:pPr>
              <w:rPr>
                <w:rFonts w:ascii="宋体"/>
              </w:rPr>
            </w:pPr>
          </w:p>
        </w:tc>
        <w:tc>
          <w:tcPr>
            <w:tcW w:w="5" w:type="pct"/>
            <w:shd w:val="clear" w:color="auto" w:fill="auto"/>
            <w:vAlign w:val="bottom"/>
          </w:tcPr>
          <w:p w14:paraId="35D09C3E" w14:textId="77777777" w:rsidR="00D42204" w:rsidRDefault="00D42204">
            <w:pPr>
              <w:rPr>
                <w:rFonts w:ascii="宋体"/>
              </w:rPr>
            </w:pPr>
          </w:p>
        </w:tc>
        <w:tc>
          <w:tcPr>
            <w:tcW w:w="50" w:type="pct"/>
            <w:shd w:val="clear" w:color="auto" w:fill="auto"/>
            <w:vAlign w:val="bottom"/>
          </w:tcPr>
          <w:p w14:paraId="35D09C3F" w14:textId="77777777" w:rsidR="00D42204" w:rsidRDefault="00D42204">
            <w:pPr>
              <w:rPr>
                <w:rFonts w:ascii="宋体"/>
              </w:rPr>
            </w:pPr>
          </w:p>
        </w:tc>
        <w:tc>
          <w:tcPr>
            <w:tcW w:w="507" w:type="pct"/>
            <w:shd w:val="clear" w:color="auto" w:fill="auto"/>
            <w:vAlign w:val="bottom"/>
          </w:tcPr>
          <w:p w14:paraId="35D09C40" w14:textId="77777777" w:rsidR="00D42204" w:rsidRDefault="00D42204">
            <w:pPr>
              <w:rPr>
                <w:rFonts w:ascii="宋体"/>
              </w:rPr>
            </w:pPr>
          </w:p>
        </w:tc>
        <w:tc>
          <w:tcPr>
            <w:tcW w:w="5" w:type="pct"/>
            <w:shd w:val="clear" w:color="auto" w:fill="auto"/>
            <w:vAlign w:val="bottom"/>
          </w:tcPr>
          <w:p w14:paraId="35D09C41" w14:textId="77777777" w:rsidR="00D42204" w:rsidRDefault="00D42204">
            <w:pPr>
              <w:rPr>
                <w:rFonts w:ascii="宋体"/>
              </w:rPr>
            </w:pPr>
          </w:p>
        </w:tc>
        <w:tc>
          <w:tcPr>
            <w:tcW w:w="5" w:type="pct"/>
            <w:shd w:val="clear" w:color="auto" w:fill="auto"/>
            <w:vAlign w:val="bottom"/>
          </w:tcPr>
          <w:p w14:paraId="35D09C42" w14:textId="77777777" w:rsidR="00D42204" w:rsidRDefault="00D42204">
            <w:pPr>
              <w:rPr>
                <w:rFonts w:ascii="宋体"/>
              </w:rPr>
            </w:pPr>
          </w:p>
        </w:tc>
        <w:tc>
          <w:tcPr>
            <w:tcW w:w="19" w:type="pct"/>
            <w:shd w:val="clear" w:color="auto" w:fill="auto"/>
            <w:vAlign w:val="bottom"/>
          </w:tcPr>
          <w:p w14:paraId="35D09C43" w14:textId="77777777" w:rsidR="00D42204" w:rsidRDefault="00D42204">
            <w:pPr>
              <w:rPr>
                <w:rFonts w:ascii="宋体"/>
              </w:rPr>
            </w:pPr>
          </w:p>
        </w:tc>
        <w:tc>
          <w:tcPr>
            <w:tcW w:w="5" w:type="pct"/>
            <w:shd w:val="clear" w:color="auto" w:fill="auto"/>
            <w:vAlign w:val="bottom"/>
          </w:tcPr>
          <w:p w14:paraId="35D09C44" w14:textId="77777777" w:rsidR="00D42204" w:rsidRDefault="00D42204">
            <w:pPr>
              <w:rPr>
                <w:rFonts w:ascii="宋体"/>
              </w:rPr>
            </w:pPr>
          </w:p>
        </w:tc>
        <w:tc>
          <w:tcPr>
            <w:tcW w:w="50" w:type="pct"/>
            <w:shd w:val="clear" w:color="auto" w:fill="auto"/>
            <w:vAlign w:val="bottom"/>
          </w:tcPr>
          <w:p w14:paraId="35D09C45" w14:textId="77777777" w:rsidR="00D42204" w:rsidRDefault="00D42204">
            <w:pPr>
              <w:rPr>
                <w:rFonts w:ascii="宋体"/>
              </w:rPr>
            </w:pPr>
          </w:p>
        </w:tc>
        <w:tc>
          <w:tcPr>
            <w:tcW w:w="508" w:type="pct"/>
            <w:shd w:val="clear" w:color="auto" w:fill="auto"/>
            <w:vAlign w:val="bottom"/>
          </w:tcPr>
          <w:p w14:paraId="35D09C46" w14:textId="77777777" w:rsidR="00D42204" w:rsidRDefault="00D42204">
            <w:pPr>
              <w:rPr>
                <w:rFonts w:ascii="宋体"/>
              </w:rPr>
            </w:pPr>
          </w:p>
        </w:tc>
        <w:tc>
          <w:tcPr>
            <w:tcW w:w="5" w:type="pct"/>
            <w:shd w:val="clear" w:color="auto" w:fill="auto"/>
            <w:vAlign w:val="bottom"/>
          </w:tcPr>
          <w:p w14:paraId="35D09C47" w14:textId="77777777" w:rsidR="00D42204" w:rsidRDefault="00D42204">
            <w:pPr>
              <w:rPr>
                <w:rFonts w:ascii="宋体"/>
              </w:rPr>
            </w:pPr>
          </w:p>
        </w:tc>
      </w:tr>
      <w:tr w:rsidR="00D42204" w14:paraId="35D09C4C" w14:textId="77777777">
        <w:trPr>
          <w:jc w:val="center"/>
        </w:trPr>
        <w:tc>
          <w:tcPr>
            <w:tcW w:w="0" w:type="auto"/>
            <w:gridSpan w:val="3"/>
            <w:shd w:val="clear" w:color="auto" w:fill="auto"/>
            <w:tcMar>
              <w:top w:w="40" w:type="dxa"/>
              <w:left w:w="20" w:type="dxa"/>
              <w:bottom w:w="40" w:type="dxa"/>
              <w:right w:w="20" w:type="dxa"/>
            </w:tcMar>
            <w:vAlign w:val="center"/>
          </w:tcPr>
          <w:p w14:paraId="35D09C49" w14:textId="77777777" w:rsidR="00D42204" w:rsidRDefault="004E439D">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9C4A"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center"/>
          </w:tcPr>
          <w:p w14:paraId="35D09C4B" w14:textId="77777777" w:rsidR="00D42204" w:rsidRDefault="004E439D">
            <w:pPr>
              <w:jc w:val="center"/>
              <w:textAlignment w:val="center"/>
            </w:pPr>
            <w:r>
              <w:rPr>
                <w:rFonts w:ascii="Times New Roman" w:eastAsia="宋体" w:hAnsi="Times New Roman"/>
                <w:b/>
                <w:bCs/>
                <w:color w:val="000000"/>
                <w:sz w:val="16"/>
                <w:szCs w:val="16"/>
              </w:rPr>
              <w:t>Fiscal Years Ended January 31,</w:t>
            </w:r>
          </w:p>
        </w:tc>
      </w:tr>
      <w:tr w:rsidR="00D42204" w14:paraId="35D09C54" w14:textId="77777777">
        <w:trPr>
          <w:jc w:val="center"/>
        </w:trPr>
        <w:tc>
          <w:tcPr>
            <w:tcW w:w="0" w:type="auto"/>
            <w:gridSpan w:val="3"/>
            <w:shd w:val="clear" w:color="auto" w:fill="auto"/>
            <w:tcMar>
              <w:top w:w="40" w:type="dxa"/>
              <w:left w:w="20" w:type="dxa"/>
              <w:bottom w:w="40" w:type="dxa"/>
              <w:right w:w="20" w:type="dxa"/>
            </w:tcMar>
            <w:vAlign w:val="center"/>
          </w:tcPr>
          <w:p w14:paraId="35D09C4D" w14:textId="77777777" w:rsidR="00D42204" w:rsidRDefault="004E439D">
            <w:pPr>
              <w:textAlignment w:val="center"/>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35D09C4E"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C4F" w14:textId="77777777" w:rsidR="00D42204" w:rsidRDefault="004E439D">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C50"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C51" w14:textId="77777777" w:rsidR="00D42204" w:rsidRDefault="004E439D">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C52"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C53" w14:textId="77777777" w:rsidR="00D42204" w:rsidRDefault="004E439D">
            <w:pPr>
              <w:jc w:val="center"/>
              <w:textAlignment w:val="center"/>
            </w:pPr>
            <w:r>
              <w:rPr>
                <w:rFonts w:ascii="Times New Roman" w:eastAsia="宋体" w:hAnsi="Times New Roman"/>
                <w:b/>
                <w:bCs/>
                <w:color w:val="000000"/>
                <w:sz w:val="16"/>
                <w:szCs w:val="16"/>
              </w:rPr>
              <w:t>2020</w:t>
            </w:r>
          </w:p>
        </w:tc>
      </w:tr>
      <w:tr w:rsidR="00D42204" w14:paraId="35D09C62" w14:textId="77777777">
        <w:trPr>
          <w:jc w:val="center"/>
        </w:trPr>
        <w:tc>
          <w:tcPr>
            <w:tcW w:w="0" w:type="auto"/>
            <w:gridSpan w:val="3"/>
            <w:shd w:val="clear" w:color="auto" w:fill="CCEEFF"/>
            <w:tcMar>
              <w:top w:w="40" w:type="dxa"/>
              <w:left w:w="20" w:type="dxa"/>
              <w:bottom w:w="40" w:type="dxa"/>
              <w:right w:w="20" w:type="dxa"/>
            </w:tcMar>
            <w:vAlign w:val="center"/>
          </w:tcPr>
          <w:p w14:paraId="35D09C55" w14:textId="77777777" w:rsidR="00D42204" w:rsidRDefault="004E439D">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35D09C56"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C57"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C58" w14:textId="77777777" w:rsidR="00D42204" w:rsidRDefault="004E439D">
            <w:pPr>
              <w:jc w:val="right"/>
              <w:textAlignment w:val="center"/>
            </w:pPr>
            <w:r>
              <w:rPr>
                <w:rFonts w:ascii="Times New Roman" w:eastAsia="宋体" w:hAnsi="Times New Roman"/>
                <w:color w:val="000000"/>
                <w:sz w:val="16"/>
                <w:szCs w:val="16"/>
              </w:rPr>
              <w:t>393,247 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C5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C5A"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C5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C5C" w14:textId="77777777" w:rsidR="00D42204" w:rsidRDefault="004E439D">
            <w:pPr>
              <w:jc w:val="right"/>
              <w:textAlignment w:val="center"/>
            </w:pPr>
            <w:r>
              <w:rPr>
                <w:rFonts w:ascii="Times New Roman" w:eastAsia="宋体" w:hAnsi="Times New Roman"/>
                <w:color w:val="000000"/>
                <w:sz w:val="16"/>
                <w:szCs w:val="16"/>
              </w:rPr>
              <w:t>369,963 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C5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C5E"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C5F"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C60" w14:textId="77777777" w:rsidR="00D42204" w:rsidRDefault="004E439D">
            <w:pPr>
              <w:jc w:val="right"/>
              <w:textAlignment w:val="center"/>
            </w:pPr>
            <w:r>
              <w:rPr>
                <w:rFonts w:ascii="Times New Roman" w:eastAsia="宋体" w:hAnsi="Times New Roman"/>
                <w:color w:val="000000"/>
                <w:sz w:val="16"/>
                <w:szCs w:val="16"/>
              </w:rPr>
              <w:t>341,004 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C61" w14:textId="77777777" w:rsidR="00D42204" w:rsidRDefault="00D42204">
            <w:pPr>
              <w:jc w:val="right"/>
              <w:rPr>
                <w:rFonts w:ascii="宋体"/>
              </w:rPr>
            </w:pPr>
          </w:p>
        </w:tc>
      </w:tr>
      <w:tr w:rsidR="00D42204" w14:paraId="35D09C6D" w14:textId="77777777">
        <w:trPr>
          <w:jc w:val="center"/>
        </w:trPr>
        <w:tc>
          <w:tcPr>
            <w:tcW w:w="0" w:type="auto"/>
            <w:gridSpan w:val="3"/>
            <w:shd w:val="clear" w:color="auto" w:fill="FFFFFF"/>
            <w:tcMar>
              <w:top w:w="40" w:type="dxa"/>
              <w:left w:w="20" w:type="dxa"/>
              <w:bottom w:w="40" w:type="dxa"/>
              <w:right w:w="20" w:type="dxa"/>
            </w:tcMar>
            <w:vAlign w:val="center"/>
          </w:tcPr>
          <w:p w14:paraId="35D09C63" w14:textId="77777777" w:rsidR="00D42204" w:rsidRDefault="004E439D">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35D09C6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C65" w14:textId="77777777" w:rsidR="00D42204" w:rsidRDefault="004E439D">
            <w:pPr>
              <w:jc w:val="right"/>
              <w:textAlignment w:val="center"/>
            </w:pPr>
            <w:r>
              <w:rPr>
                <w:rFonts w:ascii="Times New Roman" w:eastAsia="宋体" w:hAnsi="Times New Roman"/>
                <w:color w:val="000000"/>
                <w:sz w:val="16"/>
                <w:szCs w:val="16"/>
              </w:rPr>
              <w:t>6.3 </w:t>
            </w:r>
          </w:p>
        </w:tc>
        <w:tc>
          <w:tcPr>
            <w:tcW w:w="0" w:type="auto"/>
            <w:shd w:val="clear" w:color="auto" w:fill="FFFFFF"/>
            <w:tcMar>
              <w:top w:w="40" w:type="dxa"/>
              <w:left w:w="0" w:type="dxa"/>
              <w:bottom w:w="40" w:type="dxa"/>
              <w:right w:w="20" w:type="dxa"/>
            </w:tcMar>
            <w:vAlign w:val="center"/>
          </w:tcPr>
          <w:p w14:paraId="35D09C66"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C6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C68" w14:textId="77777777" w:rsidR="00D42204" w:rsidRDefault="004E439D">
            <w:pPr>
              <w:jc w:val="right"/>
              <w:textAlignment w:val="center"/>
            </w:pPr>
            <w:r>
              <w:rPr>
                <w:rFonts w:ascii="Times New Roman" w:eastAsia="宋体" w:hAnsi="Times New Roman"/>
                <w:color w:val="000000"/>
                <w:sz w:val="16"/>
                <w:szCs w:val="16"/>
              </w:rPr>
              <w:t>8.5 </w:t>
            </w:r>
          </w:p>
        </w:tc>
        <w:tc>
          <w:tcPr>
            <w:tcW w:w="0" w:type="auto"/>
            <w:shd w:val="clear" w:color="auto" w:fill="FFFFFF"/>
            <w:tcMar>
              <w:top w:w="40" w:type="dxa"/>
              <w:left w:w="0" w:type="dxa"/>
              <w:bottom w:w="40" w:type="dxa"/>
              <w:right w:w="20" w:type="dxa"/>
            </w:tcMar>
            <w:vAlign w:val="center"/>
          </w:tcPr>
          <w:p w14:paraId="35D09C69"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C6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C6B" w14:textId="77777777" w:rsidR="00D42204" w:rsidRDefault="004E439D">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35D09C6C"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9C78" w14:textId="77777777">
        <w:trPr>
          <w:jc w:val="center"/>
        </w:trPr>
        <w:tc>
          <w:tcPr>
            <w:tcW w:w="0" w:type="auto"/>
            <w:gridSpan w:val="3"/>
            <w:shd w:val="clear" w:color="auto" w:fill="CCEEFF"/>
            <w:tcMar>
              <w:top w:w="40" w:type="dxa"/>
              <w:left w:w="20" w:type="dxa"/>
              <w:bottom w:w="40" w:type="dxa"/>
              <w:right w:w="20" w:type="dxa"/>
            </w:tcMar>
            <w:vAlign w:val="center"/>
          </w:tcPr>
          <w:p w14:paraId="35D09C6E" w14:textId="77777777" w:rsidR="00D42204" w:rsidRDefault="004E439D">
            <w:pPr>
              <w:textAlignment w:val="center"/>
            </w:pPr>
            <w:r>
              <w:rPr>
                <w:rFonts w:ascii="Times New Roman" w:eastAsia="宋体" w:hAnsi="Times New Roman"/>
                <w:color w:val="000000"/>
                <w:sz w:val="16"/>
                <w:szCs w:val="16"/>
              </w:rPr>
              <w:t>Calendar comparable sales increase</w:t>
            </w:r>
          </w:p>
        </w:tc>
        <w:tc>
          <w:tcPr>
            <w:tcW w:w="0" w:type="auto"/>
            <w:gridSpan w:val="3"/>
            <w:shd w:val="clear" w:color="auto" w:fill="CCEEFF"/>
            <w:tcMar>
              <w:top w:w="0" w:type="dxa"/>
              <w:left w:w="20" w:type="dxa"/>
              <w:bottom w:w="0" w:type="dxa"/>
              <w:right w:w="20" w:type="dxa"/>
            </w:tcMar>
            <w:vAlign w:val="bottom"/>
          </w:tcPr>
          <w:p w14:paraId="35D09C6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C70" w14:textId="77777777" w:rsidR="00D42204" w:rsidRDefault="004E439D">
            <w:pPr>
              <w:jc w:val="right"/>
              <w:textAlignment w:val="center"/>
            </w:pPr>
            <w:r>
              <w:rPr>
                <w:rFonts w:ascii="Times New Roman" w:eastAsia="宋体" w:hAnsi="Times New Roman"/>
                <w:color w:val="000000"/>
                <w:sz w:val="16"/>
                <w:szCs w:val="16"/>
              </w:rPr>
              <w:t>6.4 </w:t>
            </w:r>
          </w:p>
        </w:tc>
        <w:tc>
          <w:tcPr>
            <w:tcW w:w="0" w:type="auto"/>
            <w:shd w:val="clear" w:color="auto" w:fill="CCEEFF"/>
            <w:tcMar>
              <w:top w:w="40" w:type="dxa"/>
              <w:left w:w="0" w:type="dxa"/>
              <w:bottom w:w="40" w:type="dxa"/>
              <w:right w:w="20" w:type="dxa"/>
            </w:tcMar>
            <w:vAlign w:val="center"/>
          </w:tcPr>
          <w:p w14:paraId="35D09C71"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9C7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C73" w14:textId="77777777" w:rsidR="00D42204" w:rsidRDefault="004E439D">
            <w:pPr>
              <w:jc w:val="right"/>
              <w:textAlignment w:val="center"/>
            </w:pPr>
            <w:r>
              <w:rPr>
                <w:rFonts w:ascii="Times New Roman" w:eastAsia="宋体" w:hAnsi="Times New Roman"/>
                <w:color w:val="000000"/>
                <w:sz w:val="16"/>
                <w:szCs w:val="16"/>
              </w:rPr>
              <w:t>8.7 </w:t>
            </w:r>
          </w:p>
        </w:tc>
        <w:tc>
          <w:tcPr>
            <w:tcW w:w="0" w:type="auto"/>
            <w:shd w:val="clear" w:color="auto" w:fill="CCEEFF"/>
            <w:tcMar>
              <w:top w:w="40" w:type="dxa"/>
              <w:left w:w="0" w:type="dxa"/>
              <w:bottom w:w="40" w:type="dxa"/>
              <w:right w:w="20" w:type="dxa"/>
            </w:tcMar>
            <w:vAlign w:val="center"/>
          </w:tcPr>
          <w:p w14:paraId="35D09C74"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9C7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C76" w14:textId="77777777" w:rsidR="00D42204" w:rsidRDefault="004E439D">
            <w:pPr>
              <w:jc w:val="right"/>
              <w:textAlignment w:val="center"/>
            </w:pPr>
            <w:r>
              <w:rPr>
                <w:rFonts w:ascii="Times New Roman" w:eastAsia="宋体" w:hAnsi="Times New Roman"/>
                <w:color w:val="000000"/>
                <w:sz w:val="16"/>
                <w:szCs w:val="16"/>
              </w:rPr>
              <w:t>2.9 </w:t>
            </w:r>
          </w:p>
        </w:tc>
        <w:tc>
          <w:tcPr>
            <w:tcW w:w="0" w:type="auto"/>
            <w:shd w:val="clear" w:color="auto" w:fill="CCEEFF"/>
            <w:tcMar>
              <w:top w:w="40" w:type="dxa"/>
              <w:left w:w="0" w:type="dxa"/>
              <w:bottom w:w="40" w:type="dxa"/>
              <w:right w:w="20" w:type="dxa"/>
            </w:tcMar>
            <w:vAlign w:val="center"/>
          </w:tcPr>
          <w:p w14:paraId="35D09C77"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9C86" w14:textId="77777777">
        <w:trPr>
          <w:jc w:val="center"/>
        </w:trPr>
        <w:tc>
          <w:tcPr>
            <w:tcW w:w="0" w:type="auto"/>
            <w:gridSpan w:val="3"/>
            <w:shd w:val="clear" w:color="auto" w:fill="FFFFFF"/>
            <w:tcMar>
              <w:top w:w="40" w:type="dxa"/>
              <w:left w:w="20" w:type="dxa"/>
              <w:bottom w:w="40" w:type="dxa"/>
              <w:right w:w="20" w:type="dxa"/>
            </w:tcMar>
            <w:vAlign w:val="center"/>
          </w:tcPr>
          <w:p w14:paraId="35D09C79" w14:textId="77777777" w:rsidR="00D42204" w:rsidRDefault="004E439D">
            <w:pPr>
              <w:textAlignment w:val="center"/>
            </w:pPr>
            <w:r>
              <w:rPr>
                <w:rFonts w:ascii="Times New Roman" w:eastAsia="宋体" w:hAnsi="Times New Roman"/>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35D09C7A"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9C7B"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9C7C" w14:textId="77777777" w:rsidR="00D42204" w:rsidRDefault="004E439D">
            <w:pPr>
              <w:jc w:val="right"/>
              <w:textAlignment w:val="center"/>
            </w:pPr>
            <w:r>
              <w:rPr>
                <w:rFonts w:ascii="Times New Roman" w:eastAsia="宋体" w:hAnsi="Times New Roman"/>
                <w:color w:val="000000"/>
                <w:sz w:val="16"/>
                <w:szCs w:val="16"/>
              </w:rPr>
              <w:t>21,587 </w:t>
            </w:r>
          </w:p>
        </w:tc>
        <w:tc>
          <w:tcPr>
            <w:tcW w:w="0" w:type="auto"/>
            <w:shd w:val="clear" w:color="auto" w:fill="FFFFFF"/>
            <w:tcMar>
              <w:top w:w="40" w:type="dxa"/>
              <w:left w:w="0" w:type="dxa"/>
              <w:bottom w:w="40" w:type="dxa"/>
              <w:right w:w="20" w:type="dxa"/>
            </w:tcMar>
            <w:vAlign w:val="center"/>
          </w:tcPr>
          <w:p w14:paraId="35D09C7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C7E"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9C7F"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9C80" w14:textId="77777777" w:rsidR="00D42204" w:rsidRDefault="004E439D">
            <w:pPr>
              <w:jc w:val="right"/>
              <w:textAlignment w:val="center"/>
            </w:pPr>
            <w:r>
              <w:rPr>
                <w:rFonts w:ascii="Times New Roman" w:eastAsia="宋体" w:hAnsi="Times New Roman"/>
                <w:color w:val="000000"/>
                <w:sz w:val="16"/>
                <w:szCs w:val="16"/>
              </w:rPr>
              <w:t>19,116 </w:t>
            </w:r>
          </w:p>
        </w:tc>
        <w:tc>
          <w:tcPr>
            <w:tcW w:w="0" w:type="auto"/>
            <w:shd w:val="clear" w:color="auto" w:fill="FFFFFF"/>
            <w:tcMar>
              <w:top w:w="40" w:type="dxa"/>
              <w:left w:w="0" w:type="dxa"/>
              <w:bottom w:w="40" w:type="dxa"/>
              <w:right w:w="20" w:type="dxa"/>
            </w:tcMar>
            <w:vAlign w:val="center"/>
          </w:tcPr>
          <w:p w14:paraId="35D09C8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C82"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9C83"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9C84" w14:textId="77777777" w:rsidR="00D42204" w:rsidRDefault="004E439D">
            <w:pPr>
              <w:jc w:val="right"/>
              <w:textAlignment w:val="center"/>
            </w:pPr>
            <w:r>
              <w:rPr>
                <w:rFonts w:ascii="Times New Roman" w:eastAsia="宋体" w:hAnsi="Times New Roman"/>
                <w:color w:val="000000"/>
                <w:sz w:val="16"/>
                <w:szCs w:val="16"/>
              </w:rPr>
              <w:t>17,380 </w:t>
            </w:r>
          </w:p>
        </w:tc>
        <w:tc>
          <w:tcPr>
            <w:tcW w:w="0" w:type="auto"/>
            <w:shd w:val="clear" w:color="auto" w:fill="FFFFFF"/>
            <w:tcMar>
              <w:top w:w="40" w:type="dxa"/>
              <w:left w:w="0" w:type="dxa"/>
              <w:bottom w:w="40" w:type="dxa"/>
              <w:right w:w="20" w:type="dxa"/>
            </w:tcMar>
            <w:vAlign w:val="center"/>
          </w:tcPr>
          <w:p w14:paraId="35D09C85" w14:textId="77777777" w:rsidR="00D42204" w:rsidRDefault="00D42204">
            <w:pPr>
              <w:jc w:val="right"/>
              <w:rPr>
                <w:rFonts w:ascii="宋体"/>
              </w:rPr>
            </w:pPr>
          </w:p>
        </w:tc>
      </w:tr>
      <w:tr w:rsidR="00D42204" w14:paraId="35D09C91" w14:textId="77777777">
        <w:trPr>
          <w:jc w:val="center"/>
        </w:trPr>
        <w:tc>
          <w:tcPr>
            <w:tcW w:w="0" w:type="auto"/>
            <w:gridSpan w:val="3"/>
            <w:shd w:val="clear" w:color="auto" w:fill="CCEEFF"/>
            <w:tcMar>
              <w:top w:w="40" w:type="dxa"/>
              <w:left w:w="20" w:type="dxa"/>
              <w:bottom w:w="40" w:type="dxa"/>
              <w:right w:w="20" w:type="dxa"/>
            </w:tcMar>
            <w:vAlign w:val="center"/>
          </w:tcPr>
          <w:p w14:paraId="35D09C87" w14:textId="77777777" w:rsidR="00D42204" w:rsidRDefault="004E439D">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CCEEFF"/>
            <w:tcMar>
              <w:top w:w="0" w:type="dxa"/>
              <w:left w:w="20" w:type="dxa"/>
              <w:bottom w:w="0" w:type="dxa"/>
              <w:right w:w="20" w:type="dxa"/>
            </w:tcMar>
            <w:vAlign w:val="bottom"/>
          </w:tcPr>
          <w:p w14:paraId="35D09C8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C89" w14:textId="77777777" w:rsidR="00D42204" w:rsidRDefault="004E439D">
            <w:pPr>
              <w:jc w:val="right"/>
              <w:textAlignment w:val="center"/>
            </w:pPr>
            <w:r>
              <w:rPr>
                <w:rFonts w:ascii="Times New Roman" w:eastAsia="宋体" w:hAnsi="Times New Roman"/>
                <w:color w:val="000000"/>
                <w:sz w:val="16"/>
                <w:szCs w:val="16"/>
              </w:rPr>
              <w:t>5.5 </w:t>
            </w:r>
          </w:p>
        </w:tc>
        <w:tc>
          <w:tcPr>
            <w:tcW w:w="0" w:type="auto"/>
            <w:shd w:val="clear" w:color="auto" w:fill="CCEEFF"/>
            <w:tcMar>
              <w:top w:w="40" w:type="dxa"/>
              <w:left w:w="0" w:type="dxa"/>
              <w:bottom w:w="40" w:type="dxa"/>
              <w:right w:w="20" w:type="dxa"/>
            </w:tcMar>
            <w:vAlign w:val="center"/>
          </w:tcPr>
          <w:p w14:paraId="35D09C8A"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9C8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C8C" w14:textId="77777777" w:rsidR="00D42204" w:rsidRDefault="004E439D">
            <w:pPr>
              <w:jc w:val="right"/>
              <w:textAlignment w:val="center"/>
            </w:pPr>
            <w:r>
              <w:rPr>
                <w:rFonts w:ascii="Times New Roman" w:eastAsia="宋体" w:hAnsi="Times New Roman"/>
                <w:color w:val="000000"/>
                <w:sz w:val="16"/>
                <w:szCs w:val="16"/>
              </w:rPr>
              <w:t>5.2 </w:t>
            </w:r>
          </w:p>
        </w:tc>
        <w:tc>
          <w:tcPr>
            <w:tcW w:w="0" w:type="auto"/>
            <w:shd w:val="clear" w:color="auto" w:fill="CCEEFF"/>
            <w:tcMar>
              <w:top w:w="40" w:type="dxa"/>
              <w:left w:w="0" w:type="dxa"/>
              <w:bottom w:w="40" w:type="dxa"/>
              <w:right w:w="20" w:type="dxa"/>
            </w:tcMar>
            <w:vAlign w:val="center"/>
          </w:tcPr>
          <w:p w14:paraId="35D09C8D"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9C8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C8F" w14:textId="77777777" w:rsidR="00D42204" w:rsidRDefault="004E439D">
            <w:pPr>
              <w:jc w:val="right"/>
              <w:textAlignment w:val="center"/>
            </w:pPr>
            <w:r>
              <w:rPr>
                <w:rFonts w:ascii="Times New Roman" w:eastAsia="宋体" w:hAnsi="Times New Roman"/>
                <w:color w:val="000000"/>
                <w:sz w:val="16"/>
                <w:szCs w:val="16"/>
              </w:rPr>
              <w:t>5.1 </w:t>
            </w:r>
          </w:p>
        </w:tc>
        <w:tc>
          <w:tcPr>
            <w:tcW w:w="0" w:type="auto"/>
            <w:shd w:val="clear" w:color="auto" w:fill="CCEEFF"/>
            <w:tcMar>
              <w:top w:w="40" w:type="dxa"/>
              <w:left w:w="0" w:type="dxa"/>
              <w:bottom w:w="40" w:type="dxa"/>
              <w:right w:w="20" w:type="dxa"/>
            </w:tcMar>
            <w:vAlign w:val="center"/>
          </w:tcPr>
          <w:p w14:paraId="35D09C90"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9C9C" w14:textId="77777777">
        <w:trPr>
          <w:jc w:val="center"/>
        </w:trPr>
        <w:tc>
          <w:tcPr>
            <w:tcW w:w="0" w:type="auto"/>
            <w:gridSpan w:val="3"/>
            <w:shd w:val="clear" w:color="auto" w:fill="FFFFFF"/>
            <w:tcMar>
              <w:top w:w="40" w:type="dxa"/>
              <w:left w:w="20" w:type="dxa"/>
              <w:bottom w:w="40" w:type="dxa"/>
              <w:right w:w="20" w:type="dxa"/>
            </w:tcMar>
            <w:vAlign w:val="center"/>
          </w:tcPr>
          <w:p w14:paraId="35D09C92" w14:textId="77777777" w:rsidR="00D42204" w:rsidRDefault="004E439D">
            <w:pPr>
              <w:textAlignment w:val="center"/>
            </w:pPr>
            <w:r>
              <w:rPr>
                <w:rFonts w:ascii="Times New Roman" w:eastAsia="宋体" w:hAnsi="Times New Roman"/>
                <w:color w:val="000000"/>
                <w:sz w:val="16"/>
                <w:szCs w:val="16"/>
              </w:rPr>
              <w:t>Unit counts at period end</w:t>
            </w:r>
          </w:p>
        </w:tc>
        <w:tc>
          <w:tcPr>
            <w:tcW w:w="0" w:type="auto"/>
            <w:gridSpan w:val="3"/>
            <w:shd w:val="clear" w:color="auto" w:fill="FFFFFF"/>
            <w:tcMar>
              <w:top w:w="0" w:type="dxa"/>
              <w:left w:w="20" w:type="dxa"/>
              <w:bottom w:w="0" w:type="dxa"/>
              <w:right w:w="20" w:type="dxa"/>
            </w:tcMar>
            <w:vAlign w:val="bottom"/>
          </w:tcPr>
          <w:p w14:paraId="35D09C9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C94" w14:textId="77777777" w:rsidR="00D42204" w:rsidRDefault="004E439D">
            <w:pPr>
              <w:jc w:val="right"/>
              <w:textAlignment w:val="center"/>
            </w:pPr>
            <w:r>
              <w:rPr>
                <w:rFonts w:ascii="Times New Roman" w:eastAsia="宋体" w:hAnsi="Times New Roman"/>
                <w:color w:val="000000"/>
                <w:sz w:val="16"/>
                <w:szCs w:val="16"/>
              </w:rPr>
              <w:t>4,742 </w:t>
            </w:r>
          </w:p>
        </w:tc>
        <w:tc>
          <w:tcPr>
            <w:tcW w:w="0" w:type="auto"/>
            <w:shd w:val="clear" w:color="auto" w:fill="FFFFFF"/>
            <w:tcMar>
              <w:top w:w="40" w:type="dxa"/>
              <w:left w:w="0" w:type="dxa"/>
              <w:bottom w:w="40" w:type="dxa"/>
              <w:right w:w="20" w:type="dxa"/>
            </w:tcMar>
            <w:vAlign w:val="center"/>
          </w:tcPr>
          <w:p w14:paraId="35D09C9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C9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C97" w14:textId="77777777" w:rsidR="00D42204" w:rsidRDefault="004E439D">
            <w:pPr>
              <w:jc w:val="right"/>
              <w:textAlignment w:val="center"/>
            </w:pPr>
            <w:r>
              <w:rPr>
                <w:rFonts w:ascii="Times New Roman" w:eastAsia="宋体" w:hAnsi="Times New Roman"/>
                <w:color w:val="000000"/>
                <w:sz w:val="16"/>
                <w:szCs w:val="16"/>
              </w:rPr>
              <w:t>4,743 </w:t>
            </w:r>
          </w:p>
        </w:tc>
        <w:tc>
          <w:tcPr>
            <w:tcW w:w="0" w:type="auto"/>
            <w:shd w:val="clear" w:color="auto" w:fill="FFFFFF"/>
            <w:tcMar>
              <w:top w:w="40" w:type="dxa"/>
              <w:left w:w="0" w:type="dxa"/>
              <w:bottom w:w="40" w:type="dxa"/>
              <w:right w:w="20" w:type="dxa"/>
            </w:tcMar>
            <w:vAlign w:val="center"/>
          </w:tcPr>
          <w:p w14:paraId="35D09C9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C9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C9A" w14:textId="77777777" w:rsidR="00D42204" w:rsidRDefault="004E439D">
            <w:pPr>
              <w:jc w:val="right"/>
              <w:textAlignment w:val="center"/>
            </w:pPr>
            <w:r>
              <w:rPr>
                <w:rFonts w:ascii="Times New Roman" w:eastAsia="宋体" w:hAnsi="Times New Roman"/>
                <w:color w:val="000000"/>
                <w:sz w:val="16"/>
                <w:szCs w:val="16"/>
              </w:rPr>
              <w:t>4,756 </w:t>
            </w:r>
          </w:p>
        </w:tc>
        <w:tc>
          <w:tcPr>
            <w:tcW w:w="0" w:type="auto"/>
            <w:shd w:val="clear" w:color="auto" w:fill="FFFFFF"/>
            <w:tcMar>
              <w:top w:w="40" w:type="dxa"/>
              <w:left w:w="0" w:type="dxa"/>
              <w:bottom w:w="40" w:type="dxa"/>
              <w:right w:w="20" w:type="dxa"/>
            </w:tcMar>
            <w:vAlign w:val="center"/>
          </w:tcPr>
          <w:p w14:paraId="35D09C9B" w14:textId="77777777" w:rsidR="00D42204" w:rsidRDefault="00D42204">
            <w:pPr>
              <w:jc w:val="right"/>
              <w:rPr>
                <w:rFonts w:ascii="宋体"/>
              </w:rPr>
            </w:pPr>
          </w:p>
        </w:tc>
      </w:tr>
      <w:tr w:rsidR="00D42204" w14:paraId="35D09CA7" w14:textId="77777777">
        <w:trPr>
          <w:jc w:val="center"/>
        </w:trPr>
        <w:tc>
          <w:tcPr>
            <w:tcW w:w="0" w:type="auto"/>
            <w:gridSpan w:val="3"/>
            <w:shd w:val="clear" w:color="auto" w:fill="CCEEFF"/>
            <w:tcMar>
              <w:top w:w="40" w:type="dxa"/>
              <w:left w:w="20" w:type="dxa"/>
              <w:bottom w:w="40" w:type="dxa"/>
              <w:right w:w="20" w:type="dxa"/>
            </w:tcMar>
            <w:vAlign w:val="center"/>
          </w:tcPr>
          <w:p w14:paraId="35D09C9D" w14:textId="77777777" w:rsidR="00D42204" w:rsidRDefault="004E439D">
            <w:pPr>
              <w:textAlignment w:val="center"/>
            </w:pPr>
            <w:r>
              <w:rPr>
                <w:rFonts w:ascii="Times New Roman" w:eastAsia="宋体" w:hAnsi="Times New Roman"/>
                <w:color w:val="000000"/>
                <w:sz w:val="16"/>
                <w:szCs w:val="16"/>
              </w:rPr>
              <w:t>Re</w:t>
            </w:r>
            <w:r>
              <w:rPr>
                <w:rFonts w:ascii="Times New Roman" w:eastAsia="宋体" w:hAnsi="Times New Roman"/>
                <w:color w:val="000000"/>
                <w:sz w:val="16"/>
                <w:szCs w:val="16"/>
              </w:rPr>
              <w:t>tail square feet at period end</w:t>
            </w:r>
          </w:p>
        </w:tc>
        <w:tc>
          <w:tcPr>
            <w:tcW w:w="0" w:type="auto"/>
            <w:gridSpan w:val="3"/>
            <w:shd w:val="clear" w:color="auto" w:fill="CCEEFF"/>
            <w:tcMar>
              <w:top w:w="0" w:type="dxa"/>
              <w:left w:w="20" w:type="dxa"/>
              <w:bottom w:w="0" w:type="dxa"/>
              <w:right w:w="20" w:type="dxa"/>
            </w:tcMar>
            <w:vAlign w:val="bottom"/>
          </w:tcPr>
          <w:p w14:paraId="35D09C9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C9F" w14:textId="77777777" w:rsidR="00D42204" w:rsidRDefault="004E439D">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35D09CA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CA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CA2" w14:textId="77777777" w:rsidR="00D42204" w:rsidRDefault="004E439D">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35D09CA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CA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CA5" w14:textId="77777777" w:rsidR="00D42204" w:rsidRDefault="004E439D">
            <w:pPr>
              <w:jc w:val="right"/>
              <w:textAlignment w:val="center"/>
            </w:pPr>
            <w:r>
              <w:rPr>
                <w:rFonts w:ascii="Times New Roman" w:eastAsia="宋体" w:hAnsi="Times New Roman"/>
                <w:color w:val="000000"/>
                <w:sz w:val="16"/>
                <w:szCs w:val="16"/>
              </w:rPr>
              <w:t>703 </w:t>
            </w:r>
          </w:p>
        </w:tc>
        <w:tc>
          <w:tcPr>
            <w:tcW w:w="0" w:type="auto"/>
            <w:shd w:val="clear" w:color="auto" w:fill="CCEEFF"/>
            <w:tcMar>
              <w:top w:w="40" w:type="dxa"/>
              <w:left w:w="0" w:type="dxa"/>
              <w:bottom w:w="40" w:type="dxa"/>
              <w:right w:w="20" w:type="dxa"/>
            </w:tcMar>
            <w:vAlign w:val="center"/>
          </w:tcPr>
          <w:p w14:paraId="35D09CA6" w14:textId="77777777" w:rsidR="00D42204" w:rsidRDefault="00D42204">
            <w:pPr>
              <w:jc w:val="right"/>
              <w:rPr>
                <w:rFonts w:ascii="宋体"/>
              </w:rPr>
            </w:pPr>
          </w:p>
        </w:tc>
      </w:tr>
    </w:tbl>
    <w:p w14:paraId="35D09CA8" w14:textId="77777777" w:rsidR="00D42204" w:rsidRDefault="004E439D">
      <w:pPr>
        <w:spacing w:before="80"/>
      </w:pPr>
      <w:r>
        <w:rPr>
          <w:rFonts w:ascii="Times New Roman" w:eastAsia="宋体" w:hAnsi="Times New Roman"/>
          <w:color w:val="000000"/>
          <w:sz w:val="20"/>
          <w:szCs w:val="20"/>
        </w:rPr>
        <w:t>Net sales for the Walmart U.S. segment increased $23.3 billion or 6.3% and $29.0 billion or 8.5% for fiscal 2022 and 2021, respectively, when compared to the previous fiscal year. The increases in net sales</w:t>
      </w:r>
      <w:r>
        <w:rPr>
          <w:rFonts w:ascii="Times New Roman" w:eastAsia="宋体" w:hAnsi="Times New Roman"/>
          <w:color w:val="000000"/>
          <w:sz w:val="20"/>
          <w:szCs w:val="20"/>
        </w:rPr>
        <w:t xml:space="preserve"> were primarily due to increases in comparable sales of 6.4% and 8.7% for fiscal 2022 and 2021, respectively. Comparable sales in fiscal 2022 were driven by growth in average ticket and transactions, which includes strong consumer spending from government </w:t>
      </w:r>
      <w:r>
        <w:rPr>
          <w:rFonts w:ascii="Times New Roman" w:eastAsia="宋体" w:hAnsi="Times New Roman"/>
          <w:color w:val="000000"/>
          <w:sz w:val="20"/>
          <w:szCs w:val="20"/>
        </w:rPr>
        <w:t xml:space="preserve">stimulus and some higher inflation impacts in certain merchandise categories compared to recent years. In the first quarter of fiscal 2022, average ticket increased while transactions decreased as customers consolidated shopping trips and purchased larger </w:t>
      </w:r>
      <w:r>
        <w:rPr>
          <w:rFonts w:ascii="Times New Roman" w:eastAsia="宋体" w:hAnsi="Times New Roman"/>
          <w:color w:val="000000"/>
          <w:sz w:val="20"/>
          <w:szCs w:val="20"/>
        </w:rPr>
        <w:t xml:space="preserve">baskets. Transaction growth turned positive in April 2021 and continued with strong growth through the rest of the year as customers' pre-pandemic behaviors largely resumed. Comparable sales in fiscal 2021 were driven by growth in average ticket primarily </w:t>
      </w:r>
      <w:r>
        <w:rPr>
          <w:rFonts w:ascii="Times New Roman" w:eastAsia="宋体" w:hAnsi="Times New Roman"/>
          <w:color w:val="000000"/>
          <w:sz w:val="20"/>
          <w:szCs w:val="20"/>
        </w:rPr>
        <w:t>resulting from meeting the increased demand due to economic conditions related to the COVID-19 pandemic while transactions decreased as customers consolidated shopping trips. Walmart U.S. eCommerce sales positively contributed approximately 0.7% and 5.4% t</w:t>
      </w:r>
      <w:r>
        <w:rPr>
          <w:rFonts w:ascii="Times New Roman" w:eastAsia="宋体" w:hAnsi="Times New Roman"/>
          <w:color w:val="000000"/>
          <w:sz w:val="20"/>
          <w:szCs w:val="20"/>
        </w:rPr>
        <w:t>o comparable sales for fiscal 2022 and 2021, respectively, as we continue to focus on a seamless omni-channel experience for our customers.</w:t>
      </w:r>
    </w:p>
    <w:p w14:paraId="35D09CA9" w14:textId="77777777" w:rsidR="00D42204" w:rsidRDefault="004E439D">
      <w:pPr>
        <w:spacing w:before="100"/>
      </w:pPr>
      <w:r>
        <w:rPr>
          <w:rFonts w:ascii="Times New Roman" w:eastAsia="宋体" w:hAnsi="Times New Roman"/>
          <w:color w:val="000000"/>
          <w:sz w:val="20"/>
          <w:szCs w:val="20"/>
        </w:rPr>
        <w:t xml:space="preserve">Gross profit rate increased 51 basis points for fiscal 2022 and was flat for fiscal 2021, when compared to the respective previous fiscal year. The increase in fiscal 2022 gross profit rate was primarily due to price management driven by cost inflation as </w:t>
      </w:r>
      <w:r>
        <w:rPr>
          <w:rFonts w:ascii="Times New Roman" w:eastAsia="宋体" w:hAnsi="Times New Roman"/>
          <w:color w:val="000000"/>
          <w:sz w:val="20"/>
          <w:szCs w:val="20"/>
        </w:rPr>
        <w:t xml:space="preserve">well merchandise mix, which includes lapping the temporary closures of our Auto Care and Vision Centers and </w:t>
      </w:r>
    </w:p>
    <w:p w14:paraId="35D09CAA" w14:textId="77777777" w:rsidR="00D42204" w:rsidRDefault="004E439D">
      <w:pPr>
        <w:jc w:val="center"/>
      </w:pPr>
      <w:r>
        <w:rPr>
          <w:rFonts w:ascii="Times New Roman" w:eastAsia="宋体" w:hAnsi="Times New Roman"/>
          <w:color w:val="000000"/>
          <w:sz w:val="20"/>
          <w:szCs w:val="20"/>
        </w:rPr>
        <w:t>39</w:t>
      </w:r>
    </w:p>
    <w:p w14:paraId="35D09CAB" w14:textId="77777777" w:rsidR="00D42204" w:rsidRDefault="004E439D">
      <w:r>
        <w:pict w14:anchorId="35D0C382">
          <v:rect id="_x0000_i1063" style="width:415.3pt;height:1.5pt" o:hralign="center" o:hrstd="t" o:hr="t" fillcolor="#a0a0a0" stroked="f"/>
        </w:pict>
      </w:r>
    </w:p>
    <w:p w14:paraId="35D09CAC" w14:textId="77777777" w:rsidR="00D42204" w:rsidRDefault="00D42204"/>
    <w:p w14:paraId="35D09CAD" w14:textId="77777777" w:rsidR="00D42204" w:rsidRDefault="004E439D">
      <w:pPr>
        <w:spacing w:before="100"/>
      </w:pPr>
      <w:r>
        <w:rPr>
          <w:rFonts w:ascii="Times New Roman" w:eastAsia="宋体" w:hAnsi="Times New Roman"/>
          <w:color w:val="000000"/>
          <w:sz w:val="20"/>
          <w:szCs w:val="20"/>
        </w:rPr>
        <w:t>growth in our advertising business, partially offset by increased supply chain costs. Gross profit rate for fiscal 2021 benefited from strate</w:t>
      </w:r>
      <w:r>
        <w:rPr>
          <w:rFonts w:ascii="Times New Roman" w:eastAsia="宋体" w:hAnsi="Times New Roman"/>
          <w:color w:val="000000"/>
          <w:sz w:val="20"/>
          <w:szCs w:val="20"/>
        </w:rPr>
        <w:t xml:space="preserve">gic sourcing initiatives and fewer markdowns, but was offset by a change in merchandise mix, the carryover effect of prior price investment and the temporary closure of our Auto Care and Vision Centers in response to the COVID-19 pandemic. </w:t>
      </w:r>
    </w:p>
    <w:p w14:paraId="35D09CAE" w14:textId="77777777" w:rsidR="00D42204" w:rsidRDefault="004E439D">
      <w:pPr>
        <w:spacing w:before="100"/>
      </w:pPr>
      <w:r>
        <w:rPr>
          <w:rFonts w:ascii="Times New Roman" w:eastAsia="宋体" w:hAnsi="Times New Roman"/>
          <w:color w:val="000000"/>
          <w:sz w:val="20"/>
          <w:szCs w:val="20"/>
        </w:rPr>
        <w:t>Operating expenses as a percentage of segment net sales increased 31 basis points for fiscal 2022 when compared to the previous fiscal year. Despite the strong sales growth described above, fiscal 2022 operating expenses as a percentage of segment net sale</w:t>
      </w:r>
      <w:r>
        <w:rPr>
          <w:rFonts w:ascii="Times New Roman" w:eastAsia="宋体" w:hAnsi="Times New Roman"/>
          <w:color w:val="000000"/>
          <w:sz w:val="20"/>
          <w:szCs w:val="20"/>
        </w:rPr>
        <w:t>s increased primarily due to investments in wages, partially offset by lower incremental COVID-19 related costs of $1.9 billion. For fiscal 2021, operating expenses as a percentage of segment net sales decreased 15 basis points primarily due to strong sale</w:t>
      </w:r>
      <w:r>
        <w:rPr>
          <w:rFonts w:ascii="Times New Roman" w:eastAsia="宋体" w:hAnsi="Times New Roman"/>
          <w:color w:val="000000"/>
          <w:sz w:val="20"/>
          <w:szCs w:val="20"/>
        </w:rPr>
        <w:t>s, which were partially offset by $3.2 billion of incremental costs related to the COVID-19 pandemic including special bonuses, expanded sick and emergency leave pay, costs associated with outfitting our stores and associates with masks, gloves and sanitiz</w:t>
      </w:r>
      <w:r>
        <w:rPr>
          <w:rFonts w:ascii="Times New Roman" w:eastAsia="宋体" w:hAnsi="Times New Roman"/>
          <w:color w:val="000000"/>
          <w:sz w:val="20"/>
          <w:szCs w:val="20"/>
        </w:rPr>
        <w:t xml:space="preserve">er, and expanded cleaning practices. </w:t>
      </w:r>
    </w:p>
    <w:p w14:paraId="35D09CAF" w14:textId="77777777" w:rsidR="00D42204" w:rsidRDefault="004E439D">
      <w:pPr>
        <w:spacing w:before="100"/>
      </w:pPr>
      <w:r>
        <w:rPr>
          <w:rFonts w:ascii="Times New Roman" w:eastAsia="宋体" w:hAnsi="Times New Roman"/>
          <w:color w:val="000000"/>
          <w:sz w:val="20"/>
          <w:szCs w:val="20"/>
        </w:rPr>
        <w:t>As a result of the factors discussed above, segment operating income increased $2.5 billion and increased $1.7 billion for fiscal 2022 and 2021, respectively, when compared to the previous fiscal year.</w:t>
      </w:r>
    </w:p>
    <w:p w14:paraId="35D09CB0" w14:textId="77777777" w:rsidR="00D42204" w:rsidRDefault="004E439D">
      <w:pPr>
        <w:spacing w:before="180"/>
      </w:pPr>
      <w:r>
        <w:rPr>
          <w:rFonts w:ascii="Times New Roman" w:eastAsia="宋体" w:hAnsi="Times New Roman"/>
          <w:b/>
          <w:bCs/>
          <w:i/>
          <w:iCs/>
          <w:color w:val="000000"/>
          <w:sz w:val="20"/>
          <w:szCs w:val="20"/>
        </w:rPr>
        <w:t>Walmart Internat</w:t>
      </w:r>
      <w:r>
        <w:rPr>
          <w:rFonts w:ascii="Times New Roman" w:eastAsia="宋体" w:hAnsi="Times New Roman"/>
          <w:b/>
          <w:bCs/>
          <w:i/>
          <w:iCs/>
          <w:color w:val="000000"/>
          <w:sz w:val="20"/>
          <w:szCs w:val="20"/>
        </w:rPr>
        <w:t>ional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003"/>
        <w:gridCol w:w="37"/>
        <w:gridCol w:w="36"/>
        <w:gridCol w:w="36"/>
        <w:gridCol w:w="36"/>
        <w:gridCol w:w="100"/>
        <w:gridCol w:w="699"/>
        <w:gridCol w:w="154"/>
        <w:gridCol w:w="36"/>
        <w:gridCol w:w="36"/>
        <w:gridCol w:w="36"/>
        <w:gridCol w:w="100"/>
        <w:gridCol w:w="699"/>
        <w:gridCol w:w="154"/>
        <w:gridCol w:w="36"/>
        <w:gridCol w:w="36"/>
        <w:gridCol w:w="36"/>
        <w:gridCol w:w="100"/>
        <w:gridCol w:w="702"/>
        <w:gridCol w:w="154"/>
        <w:gridCol w:w="36"/>
        <w:gridCol w:w="36"/>
      </w:tblGrid>
      <w:tr w:rsidR="00D42204" w14:paraId="35D09CC8" w14:textId="77777777">
        <w:trPr>
          <w:jc w:val="center"/>
        </w:trPr>
        <w:tc>
          <w:tcPr>
            <w:tcW w:w="50" w:type="pct"/>
            <w:shd w:val="clear" w:color="auto" w:fill="auto"/>
            <w:vAlign w:val="bottom"/>
          </w:tcPr>
          <w:p w14:paraId="35D09CB1" w14:textId="77777777" w:rsidR="00D42204" w:rsidRDefault="00D42204">
            <w:pPr>
              <w:rPr>
                <w:rFonts w:ascii="宋体"/>
              </w:rPr>
            </w:pPr>
          </w:p>
        </w:tc>
        <w:tc>
          <w:tcPr>
            <w:tcW w:w="3102" w:type="pct"/>
            <w:shd w:val="clear" w:color="auto" w:fill="auto"/>
            <w:vAlign w:val="bottom"/>
          </w:tcPr>
          <w:p w14:paraId="35D09CB2" w14:textId="77777777" w:rsidR="00D42204" w:rsidRDefault="00D42204">
            <w:pPr>
              <w:rPr>
                <w:rFonts w:ascii="宋体"/>
              </w:rPr>
            </w:pPr>
          </w:p>
        </w:tc>
        <w:tc>
          <w:tcPr>
            <w:tcW w:w="5" w:type="pct"/>
            <w:shd w:val="clear" w:color="auto" w:fill="auto"/>
            <w:vAlign w:val="bottom"/>
          </w:tcPr>
          <w:p w14:paraId="35D09CB3" w14:textId="77777777" w:rsidR="00D42204" w:rsidRDefault="00D42204">
            <w:pPr>
              <w:rPr>
                <w:rFonts w:ascii="宋体"/>
              </w:rPr>
            </w:pPr>
          </w:p>
        </w:tc>
        <w:tc>
          <w:tcPr>
            <w:tcW w:w="5" w:type="pct"/>
            <w:shd w:val="clear" w:color="auto" w:fill="auto"/>
            <w:vAlign w:val="bottom"/>
          </w:tcPr>
          <w:p w14:paraId="35D09CB4" w14:textId="77777777" w:rsidR="00D42204" w:rsidRDefault="00D42204">
            <w:pPr>
              <w:rPr>
                <w:rFonts w:ascii="宋体"/>
              </w:rPr>
            </w:pPr>
          </w:p>
        </w:tc>
        <w:tc>
          <w:tcPr>
            <w:tcW w:w="41" w:type="pct"/>
            <w:shd w:val="clear" w:color="auto" w:fill="auto"/>
            <w:vAlign w:val="bottom"/>
          </w:tcPr>
          <w:p w14:paraId="35D09CB5" w14:textId="77777777" w:rsidR="00D42204" w:rsidRDefault="00D42204">
            <w:pPr>
              <w:rPr>
                <w:rFonts w:ascii="宋体"/>
              </w:rPr>
            </w:pPr>
          </w:p>
        </w:tc>
        <w:tc>
          <w:tcPr>
            <w:tcW w:w="5" w:type="pct"/>
            <w:shd w:val="clear" w:color="auto" w:fill="auto"/>
            <w:vAlign w:val="bottom"/>
          </w:tcPr>
          <w:p w14:paraId="35D09CB6" w14:textId="77777777" w:rsidR="00D42204" w:rsidRDefault="00D42204">
            <w:pPr>
              <w:rPr>
                <w:rFonts w:ascii="宋体"/>
              </w:rPr>
            </w:pPr>
          </w:p>
        </w:tc>
        <w:tc>
          <w:tcPr>
            <w:tcW w:w="50" w:type="pct"/>
            <w:shd w:val="clear" w:color="auto" w:fill="auto"/>
            <w:vAlign w:val="bottom"/>
          </w:tcPr>
          <w:p w14:paraId="35D09CB7" w14:textId="77777777" w:rsidR="00D42204" w:rsidRDefault="00D42204">
            <w:pPr>
              <w:rPr>
                <w:rFonts w:ascii="宋体"/>
              </w:rPr>
            </w:pPr>
          </w:p>
        </w:tc>
        <w:tc>
          <w:tcPr>
            <w:tcW w:w="507" w:type="pct"/>
            <w:shd w:val="clear" w:color="auto" w:fill="auto"/>
            <w:vAlign w:val="bottom"/>
          </w:tcPr>
          <w:p w14:paraId="35D09CB8" w14:textId="77777777" w:rsidR="00D42204" w:rsidRDefault="00D42204">
            <w:pPr>
              <w:rPr>
                <w:rFonts w:ascii="宋体"/>
              </w:rPr>
            </w:pPr>
          </w:p>
        </w:tc>
        <w:tc>
          <w:tcPr>
            <w:tcW w:w="5" w:type="pct"/>
            <w:shd w:val="clear" w:color="auto" w:fill="auto"/>
            <w:vAlign w:val="bottom"/>
          </w:tcPr>
          <w:p w14:paraId="35D09CB9" w14:textId="77777777" w:rsidR="00D42204" w:rsidRDefault="00D42204">
            <w:pPr>
              <w:rPr>
                <w:rFonts w:ascii="宋体"/>
              </w:rPr>
            </w:pPr>
          </w:p>
        </w:tc>
        <w:tc>
          <w:tcPr>
            <w:tcW w:w="5" w:type="pct"/>
            <w:shd w:val="clear" w:color="auto" w:fill="auto"/>
            <w:vAlign w:val="bottom"/>
          </w:tcPr>
          <w:p w14:paraId="35D09CBA" w14:textId="77777777" w:rsidR="00D42204" w:rsidRDefault="00D42204">
            <w:pPr>
              <w:rPr>
                <w:rFonts w:ascii="宋体"/>
              </w:rPr>
            </w:pPr>
          </w:p>
        </w:tc>
        <w:tc>
          <w:tcPr>
            <w:tcW w:w="41" w:type="pct"/>
            <w:shd w:val="clear" w:color="auto" w:fill="auto"/>
            <w:vAlign w:val="bottom"/>
          </w:tcPr>
          <w:p w14:paraId="35D09CBB" w14:textId="77777777" w:rsidR="00D42204" w:rsidRDefault="00D42204">
            <w:pPr>
              <w:rPr>
                <w:rFonts w:ascii="宋体"/>
              </w:rPr>
            </w:pPr>
          </w:p>
        </w:tc>
        <w:tc>
          <w:tcPr>
            <w:tcW w:w="5" w:type="pct"/>
            <w:shd w:val="clear" w:color="auto" w:fill="auto"/>
            <w:vAlign w:val="bottom"/>
          </w:tcPr>
          <w:p w14:paraId="35D09CBC" w14:textId="77777777" w:rsidR="00D42204" w:rsidRDefault="00D42204">
            <w:pPr>
              <w:rPr>
                <w:rFonts w:ascii="宋体"/>
              </w:rPr>
            </w:pPr>
          </w:p>
        </w:tc>
        <w:tc>
          <w:tcPr>
            <w:tcW w:w="50" w:type="pct"/>
            <w:shd w:val="clear" w:color="auto" w:fill="auto"/>
            <w:vAlign w:val="bottom"/>
          </w:tcPr>
          <w:p w14:paraId="35D09CBD" w14:textId="77777777" w:rsidR="00D42204" w:rsidRDefault="00D42204">
            <w:pPr>
              <w:rPr>
                <w:rFonts w:ascii="宋体"/>
              </w:rPr>
            </w:pPr>
          </w:p>
        </w:tc>
        <w:tc>
          <w:tcPr>
            <w:tcW w:w="507" w:type="pct"/>
            <w:shd w:val="clear" w:color="auto" w:fill="auto"/>
            <w:vAlign w:val="bottom"/>
          </w:tcPr>
          <w:p w14:paraId="35D09CBE" w14:textId="77777777" w:rsidR="00D42204" w:rsidRDefault="00D42204">
            <w:pPr>
              <w:rPr>
                <w:rFonts w:ascii="宋体"/>
              </w:rPr>
            </w:pPr>
          </w:p>
        </w:tc>
        <w:tc>
          <w:tcPr>
            <w:tcW w:w="5" w:type="pct"/>
            <w:shd w:val="clear" w:color="auto" w:fill="auto"/>
            <w:vAlign w:val="bottom"/>
          </w:tcPr>
          <w:p w14:paraId="35D09CBF" w14:textId="77777777" w:rsidR="00D42204" w:rsidRDefault="00D42204">
            <w:pPr>
              <w:rPr>
                <w:rFonts w:ascii="宋体"/>
              </w:rPr>
            </w:pPr>
          </w:p>
        </w:tc>
        <w:tc>
          <w:tcPr>
            <w:tcW w:w="5" w:type="pct"/>
            <w:shd w:val="clear" w:color="auto" w:fill="auto"/>
            <w:vAlign w:val="bottom"/>
          </w:tcPr>
          <w:p w14:paraId="35D09CC0" w14:textId="77777777" w:rsidR="00D42204" w:rsidRDefault="00D42204">
            <w:pPr>
              <w:rPr>
                <w:rFonts w:ascii="宋体"/>
              </w:rPr>
            </w:pPr>
          </w:p>
        </w:tc>
        <w:tc>
          <w:tcPr>
            <w:tcW w:w="41" w:type="pct"/>
            <w:shd w:val="clear" w:color="auto" w:fill="auto"/>
            <w:vAlign w:val="bottom"/>
          </w:tcPr>
          <w:p w14:paraId="35D09CC1" w14:textId="77777777" w:rsidR="00D42204" w:rsidRDefault="00D42204">
            <w:pPr>
              <w:rPr>
                <w:rFonts w:ascii="宋体"/>
              </w:rPr>
            </w:pPr>
          </w:p>
        </w:tc>
        <w:tc>
          <w:tcPr>
            <w:tcW w:w="5" w:type="pct"/>
            <w:shd w:val="clear" w:color="auto" w:fill="auto"/>
            <w:vAlign w:val="bottom"/>
          </w:tcPr>
          <w:p w14:paraId="35D09CC2" w14:textId="77777777" w:rsidR="00D42204" w:rsidRDefault="00D42204">
            <w:pPr>
              <w:rPr>
                <w:rFonts w:ascii="宋体"/>
              </w:rPr>
            </w:pPr>
          </w:p>
        </w:tc>
        <w:tc>
          <w:tcPr>
            <w:tcW w:w="50" w:type="pct"/>
            <w:shd w:val="clear" w:color="auto" w:fill="auto"/>
            <w:vAlign w:val="bottom"/>
          </w:tcPr>
          <w:p w14:paraId="35D09CC3" w14:textId="77777777" w:rsidR="00D42204" w:rsidRDefault="00D42204">
            <w:pPr>
              <w:rPr>
                <w:rFonts w:ascii="宋体"/>
              </w:rPr>
            </w:pPr>
          </w:p>
        </w:tc>
        <w:tc>
          <w:tcPr>
            <w:tcW w:w="508" w:type="pct"/>
            <w:shd w:val="clear" w:color="auto" w:fill="auto"/>
            <w:vAlign w:val="bottom"/>
          </w:tcPr>
          <w:p w14:paraId="35D09CC4" w14:textId="77777777" w:rsidR="00D42204" w:rsidRDefault="00D42204">
            <w:pPr>
              <w:rPr>
                <w:rFonts w:ascii="宋体"/>
              </w:rPr>
            </w:pPr>
          </w:p>
        </w:tc>
        <w:tc>
          <w:tcPr>
            <w:tcW w:w="5" w:type="pct"/>
            <w:shd w:val="clear" w:color="auto" w:fill="auto"/>
            <w:vAlign w:val="bottom"/>
          </w:tcPr>
          <w:p w14:paraId="35D09CC5" w14:textId="77777777" w:rsidR="00D42204" w:rsidRDefault="00D42204">
            <w:pPr>
              <w:rPr>
                <w:rFonts w:ascii="宋体"/>
              </w:rPr>
            </w:pPr>
          </w:p>
        </w:tc>
        <w:tc>
          <w:tcPr>
            <w:tcW w:w="0" w:type="auto"/>
            <w:shd w:val="clear" w:color="auto" w:fill="auto"/>
            <w:vAlign w:val="bottom"/>
          </w:tcPr>
          <w:p w14:paraId="35D09CC6" w14:textId="77777777" w:rsidR="00D42204" w:rsidRDefault="00D42204">
            <w:pPr>
              <w:rPr>
                <w:rFonts w:ascii="宋体"/>
                <w:vanish/>
              </w:rPr>
            </w:pPr>
          </w:p>
        </w:tc>
        <w:tc>
          <w:tcPr>
            <w:tcW w:w="0" w:type="auto"/>
            <w:shd w:val="clear" w:color="auto" w:fill="auto"/>
            <w:vAlign w:val="bottom"/>
          </w:tcPr>
          <w:p w14:paraId="35D09CC7" w14:textId="77777777" w:rsidR="00D42204" w:rsidRDefault="00D42204">
            <w:pPr>
              <w:rPr>
                <w:rFonts w:ascii="宋体"/>
                <w:vanish/>
              </w:rPr>
            </w:pPr>
          </w:p>
        </w:tc>
      </w:tr>
      <w:tr w:rsidR="00D42204" w14:paraId="35D09CCE" w14:textId="77777777">
        <w:trPr>
          <w:jc w:val="center"/>
        </w:trPr>
        <w:tc>
          <w:tcPr>
            <w:tcW w:w="0" w:type="auto"/>
            <w:gridSpan w:val="3"/>
            <w:shd w:val="clear" w:color="auto" w:fill="auto"/>
            <w:tcMar>
              <w:top w:w="40" w:type="dxa"/>
              <w:left w:w="20" w:type="dxa"/>
              <w:bottom w:w="40" w:type="dxa"/>
              <w:right w:w="20" w:type="dxa"/>
            </w:tcMar>
            <w:vAlign w:val="center"/>
          </w:tcPr>
          <w:p w14:paraId="35D09CC9" w14:textId="77777777" w:rsidR="00D42204" w:rsidRDefault="004E439D">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9CCA"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center"/>
          </w:tcPr>
          <w:p w14:paraId="35D09CCB" w14:textId="77777777" w:rsidR="00D42204" w:rsidRDefault="004E439D">
            <w:pPr>
              <w:jc w:val="center"/>
              <w:textAlignment w:val="center"/>
            </w:pPr>
            <w:r>
              <w:rPr>
                <w:rFonts w:ascii="Times New Roman" w:eastAsia="宋体" w:hAnsi="Times New Roman"/>
                <w:b/>
                <w:bCs/>
                <w:color w:val="000000"/>
                <w:sz w:val="16"/>
                <w:szCs w:val="16"/>
              </w:rPr>
              <w:t>Fiscal Years Ended January 31,</w:t>
            </w:r>
          </w:p>
        </w:tc>
        <w:tc>
          <w:tcPr>
            <w:tcW w:w="0" w:type="auto"/>
            <w:shd w:val="clear" w:color="auto" w:fill="auto"/>
            <w:vAlign w:val="bottom"/>
          </w:tcPr>
          <w:p w14:paraId="35D09CCC" w14:textId="77777777" w:rsidR="00D42204" w:rsidRDefault="00D42204">
            <w:pPr>
              <w:rPr>
                <w:rFonts w:ascii="宋体"/>
                <w:vanish/>
              </w:rPr>
            </w:pPr>
          </w:p>
        </w:tc>
        <w:tc>
          <w:tcPr>
            <w:tcW w:w="0" w:type="auto"/>
            <w:shd w:val="clear" w:color="auto" w:fill="auto"/>
            <w:vAlign w:val="bottom"/>
          </w:tcPr>
          <w:p w14:paraId="35D09CCD" w14:textId="77777777" w:rsidR="00D42204" w:rsidRDefault="00D42204">
            <w:pPr>
              <w:rPr>
                <w:rFonts w:ascii="宋体"/>
                <w:vanish/>
              </w:rPr>
            </w:pPr>
          </w:p>
        </w:tc>
      </w:tr>
      <w:tr w:rsidR="00D42204" w14:paraId="35D09CD8" w14:textId="77777777">
        <w:trPr>
          <w:jc w:val="center"/>
        </w:trPr>
        <w:tc>
          <w:tcPr>
            <w:tcW w:w="0" w:type="auto"/>
            <w:gridSpan w:val="3"/>
            <w:shd w:val="clear" w:color="auto" w:fill="auto"/>
            <w:tcMar>
              <w:top w:w="40" w:type="dxa"/>
              <w:left w:w="20" w:type="dxa"/>
              <w:bottom w:w="40" w:type="dxa"/>
              <w:right w:w="20" w:type="dxa"/>
            </w:tcMar>
            <w:vAlign w:val="center"/>
          </w:tcPr>
          <w:p w14:paraId="35D09CCF" w14:textId="77777777" w:rsidR="00D42204" w:rsidRDefault="004E439D">
            <w:pPr>
              <w:textAlignment w:val="center"/>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35D09CD0"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CD1" w14:textId="77777777" w:rsidR="00D42204" w:rsidRDefault="004E439D">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CD2"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CD3" w14:textId="77777777" w:rsidR="00D42204" w:rsidRDefault="004E439D">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CD4"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CD5" w14:textId="77777777" w:rsidR="00D42204" w:rsidRDefault="004E439D">
            <w:pPr>
              <w:jc w:val="center"/>
              <w:textAlignment w:val="center"/>
            </w:pPr>
            <w:r>
              <w:rPr>
                <w:rFonts w:ascii="Times New Roman" w:eastAsia="宋体" w:hAnsi="Times New Roman"/>
                <w:b/>
                <w:bCs/>
                <w:color w:val="000000"/>
                <w:sz w:val="16"/>
                <w:szCs w:val="16"/>
              </w:rPr>
              <w:t>2020</w:t>
            </w:r>
          </w:p>
        </w:tc>
        <w:tc>
          <w:tcPr>
            <w:tcW w:w="0" w:type="auto"/>
            <w:shd w:val="clear" w:color="auto" w:fill="auto"/>
            <w:vAlign w:val="bottom"/>
          </w:tcPr>
          <w:p w14:paraId="35D09CD6" w14:textId="77777777" w:rsidR="00D42204" w:rsidRDefault="00D42204">
            <w:pPr>
              <w:rPr>
                <w:rFonts w:ascii="宋体"/>
                <w:vanish/>
              </w:rPr>
            </w:pPr>
          </w:p>
        </w:tc>
        <w:tc>
          <w:tcPr>
            <w:tcW w:w="0" w:type="auto"/>
            <w:shd w:val="clear" w:color="auto" w:fill="auto"/>
            <w:vAlign w:val="bottom"/>
          </w:tcPr>
          <w:p w14:paraId="35D09CD7" w14:textId="77777777" w:rsidR="00D42204" w:rsidRDefault="00D42204">
            <w:pPr>
              <w:rPr>
                <w:rFonts w:ascii="宋体"/>
                <w:vanish/>
              </w:rPr>
            </w:pPr>
          </w:p>
        </w:tc>
      </w:tr>
      <w:tr w:rsidR="00D42204" w14:paraId="35D09CE8" w14:textId="77777777">
        <w:trPr>
          <w:jc w:val="center"/>
        </w:trPr>
        <w:tc>
          <w:tcPr>
            <w:tcW w:w="0" w:type="auto"/>
            <w:gridSpan w:val="3"/>
            <w:shd w:val="clear" w:color="auto" w:fill="CCEEFF"/>
            <w:tcMar>
              <w:top w:w="40" w:type="dxa"/>
              <w:left w:w="20" w:type="dxa"/>
              <w:bottom w:w="40" w:type="dxa"/>
              <w:right w:w="20" w:type="dxa"/>
            </w:tcMar>
            <w:vAlign w:val="center"/>
          </w:tcPr>
          <w:p w14:paraId="35D09CD9" w14:textId="77777777" w:rsidR="00D42204" w:rsidRDefault="004E439D">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35D09CDA"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CD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CDC" w14:textId="77777777" w:rsidR="00D42204" w:rsidRDefault="004E439D">
            <w:pPr>
              <w:jc w:val="right"/>
              <w:textAlignment w:val="center"/>
            </w:pPr>
            <w:r>
              <w:rPr>
                <w:rFonts w:ascii="Times New Roman" w:eastAsia="宋体" w:hAnsi="Times New Roman"/>
                <w:color w:val="000000"/>
                <w:sz w:val="16"/>
                <w:szCs w:val="16"/>
              </w:rPr>
              <w:t>100,959 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CD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CDE"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CDF"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CE0" w14:textId="77777777" w:rsidR="00D42204" w:rsidRDefault="004E439D">
            <w:pPr>
              <w:jc w:val="right"/>
              <w:textAlignment w:val="center"/>
            </w:pPr>
            <w:r>
              <w:rPr>
                <w:rFonts w:ascii="Times New Roman" w:eastAsia="宋体" w:hAnsi="Times New Roman"/>
                <w:color w:val="000000"/>
                <w:sz w:val="16"/>
                <w:szCs w:val="16"/>
              </w:rPr>
              <w:t>121,360 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CE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CE2"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CE3"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CE4" w14:textId="77777777" w:rsidR="00D42204" w:rsidRDefault="004E439D">
            <w:pPr>
              <w:jc w:val="right"/>
              <w:textAlignment w:val="center"/>
            </w:pPr>
            <w:r>
              <w:rPr>
                <w:rFonts w:ascii="Times New Roman" w:eastAsia="宋体" w:hAnsi="Times New Roman"/>
                <w:color w:val="000000"/>
                <w:sz w:val="16"/>
                <w:szCs w:val="16"/>
              </w:rPr>
              <w:t>120,130 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CE5" w14:textId="77777777" w:rsidR="00D42204" w:rsidRDefault="00D42204">
            <w:pPr>
              <w:jc w:val="right"/>
              <w:rPr>
                <w:rFonts w:ascii="宋体"/>
              </w:rPr>
            </w:pPr>
          </w:p>
        </w:tc>
        <w:tc>
          <w:tcPr>
            <w:tcW w:w="0" w:type="auto"/>
            <w:shd w:val="clear" w:color="auto" w:fill="auto"/>
            <w:vAlign w:val="bottom"/>
          </w:tcPr>
          <w:p w14:paraId="35D09CE6" w14:textId="77777777" w:rsidR="00D42204" w:rsidRDefault="00D42204">
            <w:pPr>
              <w:rPr>
                <w:rFonts w:ascii="宋体"/>
                <w:vanish/>
              </w:rPr>
            </w:pPr>
          </w:p>
        </w:tc>
        <w:tc>
          <w:tcPr>
            <w:tcW w:w="0" w:type="auto"/>
            <w:shd w:val="clear" w:color="auto" w:fill="auto"/>
            <w:vAlign w:val="bottom"/>
          </w:tcPr>
          <w:p w14:paraId="35D09CE7" w14:textId="77777777" w:rsidR="00D42204" w:rsidRDefault="00D42204">
            <w:pPr>
              <w:rPr>
                <w:rFonts w:ascii="宋体"/>
                <w:vanish/>
              </w:rPr>
            </w:pPr>
          </w:p>
        </w:tc>
      </w:tr>
      <w:tr w:rsidR="00D42204" w14:paraId="35D09CF5" w14:textId="77777777">
        <w:trPr>
          <w:jc w:val="center"/>
        </w:trPr>
        <w:tc>
          <w:tcPr>
            <w:tcW w:w="0" w:type="auto"/>
            <w:gridSpan w:val="3"/>
            <w:shd w:val="clear" w:color="auto" w:fill="FFFFFF"/>
            <w:tcMar>
              <w:top w:w="40" w:type="dxa"/>
              <w:left w:w="20" w:type="dxa"/>
              <w:bottom w:w="40" w:type="dxa"/>
              <w:right w:w="20" w:type="dxa"/>
            </w:tcMar>
            <w:vAlign w:val="center"/>
          </w:tcPr>
          <w:p w14:paraId="35D09CE9" w14:textId="77777777" w:rsidR="00D42204" w:rsidRDefault="004E439D">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35D09CE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CEB" w14:textId="77777777" w:rsidR="00D42204" w:rsidRDefault="004E439D">
            <w:pPr>
              <w:jc w:val="right"/>
              <w:textAlignment w:val="center"/>
            </w:pPr>
            <w:r>
              <w:rPr>
                <w:rFonts w:ascii="Times New Roman" w:eastAsia="宋体" w:hAnsi="Times New Roman"/>
                <w:color w:val="000000"/>
                <w:sz w:val="16"/>
                <w:szCs w:val="16"/>
              </w:rPr>
              <w:t>(16.8)</w:t>
            </w:r>
          </w:p>
        </w:tc>
        <w:tc>
          <w:tcPr>
            <w:tcW w:w="0" w:type="auto"/>
            <w:shd w:val="clear" w:color="auto" w:fill="FFFFFF"/>
            <w:tcMar>
              <w:top w:w="40" w:type="dxa"/>
              <w:left w:w="0" w:type="dxa"/>
              <w:bottom w:w="40" w:type="dxa"/>
              <w:right w:w="20" w:type="dxa"/>
            </w:tcMar>
            <w:vAlign w:val="center"/>
          </w:tcPr>
          <w:p w14:paraId="35D09CEC"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CE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CEE" w14:textId="77777777" w:rsidR="00D42204" w:rsidRDefault="004E439D">
            <w:pPr>
              <w:jc w:val="right"/>
              <w:textAlignment w:val="center"/>
            </w:pPr>
            <w:r>
              <w:rPr>
                <w:rFonts w:ascii="Times New Roman" w:eastAsia="宋体" w:hAnsi="Times New Roman"/>
                <w:color w:val="000000"/>
                <w:sz w:val="16"/>
                <w:szCs w:val="16"/>
              </w:rPr>
              <w:t>1.0 </w:t>
            </w:r>
          </w:p>
        </w:tc>
        <w:tc>
          <w:tcPr>
            <w:tcW w:w="0" w:type="auto"/>
            <w:shd w:val="clear" w:color="auto" w:fill="FFFFFF"/>
            <w:tcMar>
              <w:top w:w="40" w:type="dxa"/>
              <w:left w:w="0" w:type="dxa"/>
              <w:bottom w:w="40" w:type="dxa"/>
              <w:right w:w="20" w:type="dxa"/>
            </w:tcMar>
            <w:vAlign w:val="center"/>
          </w:tcPr>
          <w:p w14:paraId="35D09CEF"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CF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CF1" w14:textId="77777777" w:rsidR="00D42204" w:rsidRDefault="004E439D">
            <w:pPr>
              <w:jc w:val="right"/>
              <w:textAlignment w:val="center"/>
            </w:pPr>
            <w:r>
              <w:rPr>
                <w:rFonts w:ascii="Times New Roman" w:eastAsia="宋体" w:hAnsi="Times New Roman"/>
                <w:color w:val="000000"/>
                <w:sz w:val="16"/>
                <w:szCs w:val="16"/>
              </w:rPr>
              <w:t>(0.6)</w:t>
            </w:r>
          </w:p>
        </w:tc>
        <w:tc>
          <w:tcPr>
            <w:tcW w:w="0" w:type="auto"/>
            <w:shd w:val="clear" w:color="auto" w:fill="FFFFFF"/>
            <w:tcMar>
              <w:top w:w="40" w:type="dxa"/>
              <w:left w:w="0" w:type="dxa"/>
              <w:bottom w:w="40" w:type="dxa"/>
              <w:right w:w="20" w:type="dxa"/>
            </w:tcMar>
            <w:vAlign w:val="center"/>
          </w:tcPr>
          <w:p w14:paraId="35D09CF2" w14:textId="77777777" w:rsidR="00D42204" w:rsidRDefault="004E439D">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35D09CF3" w14:textId="77777777" w:rsidR="00D42204" w:rsidRDefault="00D42204">
            <w:pPr>
              <w:rPr>
                <w:rFonts w:ascii="宋体"/>
                <w:vanish/>
              </w:rPr>
            </w:pPr>
          </w:p>
        </w:tc>
        <w:tc>
          <w:tcPr>
            <w:tcW w:w="0" w:type="auto"/>
            <w:shd w:val="clear" w:color="auto" w:fill="auto"/>
            <w:vAlign w:val="bottom"/>
          </w:tcPr>
          <w:p w14:paraId="35D09CF4" w14:textId="77777777" w:rsidR="00D42204" w:rsidRDefault="00D42204">
            <w:pPr>
              <w:rPr>
                <w:rFonts w:ascii="宋体"/>
                <w:vanish/>
              </w:rPr>
            </w:pPr>
          </w:p>
        </w:tc>
      </w:tr>
      <w:tr w:rsidR="00D42204" w14:paraId="35D09D05" w14:textId="77777777">
        <w:trPr>
          <w:jc w:val="center"/>
        </w:trPr>
        <w:tc>
          <w:tcPr>
            <w:tcW w:w="0" w:type="auto"/>
            <w:gridSpan w:val="3"/>
            <w:shd w:val="clear" w:color="auto" w:fill="CCEEFF"/>
            <w:tcMar>
              <w:top w:w="40" w:type="dxa"/>
              <w:left w:w="20" w:type="dxa"/>
              <w:bottom w:w="40" w:type="dxa"/>
              <w:right w:w="20" w:type="dxa"/>
            </w:tcMar>
            <w:vAlign w:val="center"/>
          </w:tcPr>
          <w:p w14:paraId="35D09CF6" w14:textId="77777777" w:rsidR="00D42204" w:rsidRDefault="004E439D">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35D09CF7"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CF8"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CF9" w14:textId="77777777" w:rsidR="00D42204" w:rsidRDefault="004E439D">
            <w:pPr>
              <w:jc w:val="right"/>
              <w:textAlignment w:val="center"/>
            </w:pPr>
            <w:r>
              <w:rPr>
                <w:rFonts w:ascii="Times New Roman" w:eastAsia="宋体" w:hAnsi="Times New Roman"/>
                <w:color w:val="000000"/>
                <w:sz w:val="16"/>
                <w:szCs w:val="16"/>
              </w:rPr>
              <w:t>3,758 </w:t>
            </w:r>
          </w:p>
        </w:tc>
        <w:tc>
          <w:tcPr>
            <w:tcW w:w="0" w:type="auto"/>
            <w:shd w:val="clear" w:color="auto" w:fill="CCEEFF"/>
            <w:tcMar>
              <w:top w:w="40" w:type="dxa"/>
              <w:left w:w="0" w:type="dxa"/>
              <w:bottom w:w="40" w:type="dxa"/>
              <w:right w:w="20" w:type="dxa"/>
            </w:tcMar>
            <w:vAlign w:val="center"/>
          </w:tcPr>
          <w:p w14:paraId="35D09CF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CFB"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CFC"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CFD" w14:textId="77777777" w:rsidR="00D42204" w:rsidRDefault="004E439D">
            <w:pPr>
              <w:jc w:val="right"/>
              <w:textAlignment w:val="center"/>
            </w:pPr>
            <w:r>
              <w:rPr>
                <w:rFonts w:ascii="Times New Roman" w:eastAsia="宋体" w:hAnsi="Times New Roman"/>
                <w:color w:val="000000"/>
                <w:sz w:val="16"/>
                <w:szCs w:val="16"/>
              </w:rPr>
              <w:t>3,660 </w:t>
            </w:r>
          </w:p>
        </w:tc>
        <w:tc>
          <w:tcPr>
            <w:tcW w:w="0" w:type="auto"/>
            <w:shd w:val="clear" w:color="auto" w:fill="CCEEFF"/>
            <w:tcMar>
              <w:top w:w="40" w:type="dxa"/>
              <w:left w:w="0" w:type="dxa"/>
              <w:bottom w:w="40" w:type="dxa"/>
              <w:right w:w="20" w:type="dxa"/>
            </w:tcMar>
            <w:vAlign w:val="center"/>
          </w:tcPr>
          <w:p w14:paraId="35D09CF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CFF"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D00"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D01" w14:textId="77777777" w:rsidR="00D42204" w:rsidRDefault="004E439D">
            <w:pPr>
              <w:jc w:val="right"/>
              <w:textAlignment w:val="center"/>
            </w:pPr>
            <w:r>
              <w:rPr>
                <w:rFonts w:ascii="Times New Roman" w:eastAsia="宋体" w:hAnsi="Times New Roman"/>
                <w:color w:val="000000"/>
                <w:sz w:val="16"/>
                <w:szCs w:val="16"/>
              </w:rPr>
              <w:t>3,370 </w:t>
            </w:r>
          </w:p>
        </w:tc>
        <w:tc>
          <w:tcPr>
            <w:tcW w:w="0" w:type="auto"/>
            <w:shd w:val="clear" w:color="auto" w:fill="CCEEFF"/>
            <w:tcMar>
              <w:top w:w="40" w:type="dxa"/>
              <w:left w:w="0" w:type="dxa"/>
              <w:bottom w:w="40" w:type="dxa"/>
              <w:right w:w="20" w:type="dxa"/>
            </w:tcMar>
            <w:vAlign w:val="center"/>
          </w:tcPr>
          <w:p w14:paraId="35D09D02" w14:textId="77777777" w:rsidR="00D42204" w:rsidRDefault="00D42204">
            <w:pPr>
              <w:jc w:val="right"/>
              <w:rPr>
                <w:rFonts w:ascii="宋体"/>
              </w:rPr>
            </w:pPr>
          </w:p>
        </w:tc>
        <w:tc>
          <w:tcPr>
            <w:tcW w:w="0" w:type="auto"/>
            <w:shd w:val="clear" w:color="auto" w:fill="auto"/>
            <w:vAlign w:val="bottom"/>
          </w:tcPr>
          <w:p w14:paraId="35D09D03" w14:textId="77777777" w:rsidR="00D42204" w:rsidRDefault="00D42204">
            <w:pPr>
              <w:rPr>
                <w:rFonts w:ascii="宋体"/>
                <w:vanish/>
              </w:rPr>
            </w:pPr>
          </w:p>
        </w:tc>
        <w:tc>
          <w:tcPr>
            <w:tcW w:w="0" w:type="auto"/>
            <w:shd w:val="clear" w:color="auto" w:fill="auto"/>
            <w:vAlign w:val="bottom"/>
          </w:tcPr>
          <w:p w14:paraId="35D09D04" w14:textId="77777777" w:rsidR="00D42204" w:rsidRDefault="00D42204">
            <w:pPr>
              <w:rPr>
                <w:rFonts w:ascii="宋体"/>
                <w:vanish/>
              </w:rPr>
            </w:pPr>
          </w:p>
        </w:tc>
      </w:tr>
      <w:tr w:rsidR="00D42204" w14:paraId="35D09D12" w14:textId="77777777">
        <w:trPr>
          <w:jc w:val="center"/>
        </w:trPr>
        <w:tc>
          <w:tcPr>
            <w:tcW w:w="0" w:type="auto"/>
            <w:gridSpan w:val="3"/>
            <w:shd w:val="clear" w:color="auto" w:fill="FFFFFF"/>
            <w:tcMar>
              <w:top w:w="40" w:type="dxa"/>
              <w:left w:w="20" w:type="dxa"/>
              <w:bottom w:w="40" w:type="dxa"/>
              <w:right w:w="20" w:type="dxa"/>
            </w:tcMar>
            <w:vAlign w:val="center"/>
          </w:tcPr>
          <w:p w14:paraId="35D09D06" w14:textId="77777777" w:rsidR="00D42204" w:rsidRDefault="004E439D">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FFFFFF"/>
            <w:tcMar>
              <w:top w:w="0" w:type="dxa"/>
              <w:left w:w="20" w:type="dxa"/>
              <w:bottom w:w="0" w:type="dxa"/>
              <w:right w:w="20" w:type="dxa"/>
            </w:tcMar>
            <w:vAlign w:val="bottom"/>
          </w:tcPr>
          <w:p w14:paraId="35D09D0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D08" w14:textId="77777777" w:rsidR="00D42204" w:rsidRDefault="004E439D">
            <w:pPr>
              <w:jc w:val="right"/>
              <w:textAlignment w:val="center"/>
            </w:pPr>
            <w:r>
              <w:rPr>
                <w:rFonts w:ascii="Times New Roman" w:eastAsia="宋体" w:hAnsi="Times New Roman"/>
                <w:color w:val="000000"/>
                <w:sz w:val="16"/>
                <w:szCs w:val="16"/>
              </w:rPr>
              <w:t>3.7 </w:t>
            </w:r>
          </w:p>
        </w:tc>
        <w:tc>
          <w:tcPr>
            <w:tcW w:w="0" w:type="auto"/>
            <w:shd w:val="clear" w:color="auto" w:fill="FFFFFF"/>
            <w:tcMar>
              <w:top w:w="40" w:type="dxa"/>
              <w:left w:w="0" w:type="dxa"/>
              <w:bottom w:w="40" w:type="dxa"/>
              <w:right w:w="20" w:type="dxa"/>
            </w:tcMar>
            <w:vAlign w:val="center"/>
          </w:tcPr>
          <w:p w14:paraId="35D09D09"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D0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D0B" w14:textId="77777777" w:rsidR="00D42204" w:rsidRDefault="004E439D">
            <w:pPr>
              <w:jc w:val="right"/>
              <w:textAlignment w:val="center"/>
            </w:pPr>
            <w:r>
              <w:rPr>
                <w:rFonts w:ascii="Times New Roman" w:eastAsia="宋体" w:hAnsi="Times New Roman"/>
                <w:color w:val="000000"/>
                <w:sz w:val="16"/>
                <w:szCs w:val="16"/>
              </w:rPr>
              <w:t>3.0 </w:t>
            </w:r>
          </w:p>
        </w:tc>
        <w:tc>
          <w:tcPr>
            <w:tcW w:w="0" w:type="auto"/>
            <w:shd w:val="clear" w:color="auto" w:fill="FFFFFF"/>
            <w:tcMar>
              <w:top w:w="40" w:type="dxa"/>
              <w:left w:w="0" w:type="dxa"/>
              <w:bottom w:w="40" w:type="dxa"/>
              <w:right w:w="20" w:type="dxa"/>
            </w:tcMar>
            <w:vAlign w:val="center"/>
          </w:tcPr>
          <w:p w14:paraId="35D09D0C"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D0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D0E" w14:textId="77777777" w:rsidR="00D42204" w:rsidRDefault="004E439D">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35D09D0F" w14:textId="77777777" w:rsidR="00D42204" w:rsidRDefault="004E439D">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35D09D10" w14:textId="77777777" w:rsidR="00D42204" w:rsidRDefault="00D42204">
            <w:pPr>
              <w:rPr>
                <w:rFonts w:ascii="宋体"/>
                <w:vanish/>
              </w:rPr>
            </w:pPr>
          </w:p>
        </w:tc>
        <w:tc>
          <w:tcPr>
            <w:tcW w:w="0" w:type="auto"/>
            <w:shd w:val="clear" w:color="auto" w:fill="auto"/>
            <w:vAlign w:val="bottom"/>
          </w:tcPr>
          <w:p w14:paraId="35D09D11" w14:textId="77777777" w:rsidR="00D42204" w:rsidRDefault="00D42204">
            <w:pPr>
              <w:rPr>
                <w:rFonts w:ascii="宋体"/>
                <w:vanish/>
              </w:rPr>
            </w:pPr>
          </w:p>
        </w:tc>
      </w:tr>
      <w:tr w:rsidR="00D42204" w14:paraId="35D09D1F" w14:textId="77777777">
        <w:trPr>
          <w:jc w:val="center"/>
        </w:trPr>
        <w:tc>
          <w:tcPr>
            <w:tcW w:w="0" w:type="auto"/>
            <w:gridSpan w:val="3"/>
            <w:shd w:val="clear" w:color="auto" w:fill="CCEEFF"/>
            <w:tcMar>
              <w:top w:w="40" w:type="dxa"/>
              <w:left w:w="20" w:type="dxa"/>
              <w:bottom w:w="40" w:type="dxa"/>
              <w:right w:w="20" w:type="dxa"/>
            </w:tcMar>
            <w:vAlign w:val="center"/>
          </w:tcPr>
          <w:p w14:paraId="35D09D13" w14:textId="77777777" w:rsidR="00D42204" w:rsidRDefault="004E439D">
            <w:pPr>
              <w:textAlignment w:val="center"/>
            </w:pPr>
            <w:r>
              <w:rPr>
                <w:rFonts w:ascii="Times New Roman" w:eastAsia="宋体" w:hAnsi="Times New Roman"/>
                <w:color w:val="000000"/>
                <w:sz w:val="16"/>
                <w:szCs w:val="16"/>
              </w:rPr>
              <w:t>Unit counts at period end</w:t>
            </w:r>
          </w:p>
        </w:tc>
        <w:tc>
          <w:tcPr>
            <w:tcW w:w="0" w:type="auto"/>
            <w:gridSpan w:val="3"/>
            <w:shd w:val="clear" w:color="auto" w:fill="CCEEFF"/>
            <w:tcMar>
              <w:top w:w="0" w:type="dxa"/>
              <w:left w:w="20" w:type="dxa"/>
              <w:bottom w:w="0" w:type="dxa"/>
              <w:right w:w="20" w:type="dxa"/>
            </w:tcMar>
            <w:vAlign w:val="bottom"/>
          </w:tcPr>
          <w:p w14:paraId="35D09D1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D15" w14:textId="77777777" w:rsidR="00D42204" w:rsidRDefault="004E439D">
            <w:pPr>
              <w:jc w:val="right"/>
              <w:textAlignment w:val="center"/>
            </w:pPr>
            <w:r>
              <w:rPr>
                <w:rFonts w:ascii="Times New Roman" w:eastAsia="宋体" w:hAnsi="Times New Roman"/>
                <w:color w:val="000000"/>
                <w:sz w:val="16"/>
                <w:szCs w:val="16"/>
              </w:rPr>
              <w:t>5,251 </w:t>
            </w:r>
          </w:p>
        </w:tc>
        <w:tc>
          <w:tcPr>
            <w:tcW w:w="0" w:type="auto"/>
            <w:shd w:val="clear" w:color="auto" w:fill="CCEEFF"/>
            <w:tcMar>
              <w:top w:w="40" w:type="dxa"/>
              <w:left w:w="0" w:type="dxa"/>
              <w:bottom w:w="40" w:type="dxa"/>
              <w:right w:w="20" w:type="dxa"/>
            </w:tcMar>
            <w:vAlign w:val="center"/>
          </w:tcPr>
          <w:p w14:paraId="35D09D1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D1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D18" w14:textId="77777777" w:rsidR="00D42204" w:rsidRDefault="004E439D">
            <w:pPr>
              <w:jc w:val="right"/>
              <w:textAlignment w:val="center"/>
            </w:pPr>
            <w:r>
              <w:rPr>
                <w:rFonts w:ascii="Times New Roman" w:eastAsia="宋体" w:hAnsi="Times New Roman"/>
                <w:color w:val="000000"/>
                <w:sz w:val="16"/>
                <w:szCs w:val="16"/>
              </w:rPr>
              <w:t>6,101 </w:t>
            </w:r>
          </w:p>
        </w:tc>
        <w:tc>
          <w:tcPr>
            <w:tcW w:w="0" w:type="auto"/>
            <w:shd w:val="clear" w:color="auto" w:fill="CCEEFF"/>
            <w:tcMar>
              <w:top w:w="40" w:type="dxa"/>
              <w:left w:w="0" w:type="dxa"/>
              <w:bottom w:w="40" w:type="dxa"/>
              <w:right w:w="20" w:type="dxa"/>
            </w:tcMar>
            <w:vAlign w:val="center"/>
          </w:tcPr>
          <w:p w14:paraId="35D09D1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D1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D1B" w14:textId="77777777" w:rsidR="00D42204" w:rsidRDefault="004E439D">
            <w:pPr>
              <w:jc w:val="right"/>
              <w:textAlignment w:val="center"/>
            </w:pPr>
            <w:r>
              <w:rPr>
                <w:rFonts w:ascii="Times New Roman" w:eastAsia="宋体" w:hAnsi="Times New Roman"/>
                <w:color w:val="000000"/>
                <w:sz w:val="16"/>
                <w:szCs w:val="16"/>
              </w:rPr>
              <w:t>6,146 </w:t>
            </w:r>
          </w:p>
        </w:tc>
        <w:tc>
          <w:tcPr>
            <w:tcW w:w="0" w:type="auto"/>
            <w:shd w:val="clear" w:color="auto" w:fill="CCEEFF"/>
            <w:tcMar>
              <w:top w:w="40" w:type="dxa"/>
              <w:left w:w="0" w:type="dxa"/>
              <w:bottom w:w="40" w:type="dxa"/>
              <w:right w:w="20" w:type="dxa"/>
            </w:tcMar>
            <w:vAlign w:val="center"/>
          </w:tcPr>
          <w:p w14:paraId="35D09D1C" w14:textId="77777777" w:rsidR="00D42204" w:rsidRDefault="00D42204">
            <w:pPr>
              <w:jc w:val="right"/>
              <w:rPr>
                <w:rFonts w:ascii="宋体"/>
              </w:rPr>
            </w:pPr>
          </w:p>
        </w:tc>
        <w:tc>
          <w:tcPr>
            <w:tcW w:w="0" w:type="auto"/>
            <w:shd w:val="clear" w:color="auto" w:fill="auto"/>
            <w:vAlign w:val="bottom"/>
          </w:tcPr>
          <w:p w14:paraId="35D09D1D" w14:textId="77777777" w:rsidR="00D42204" w:rsidRDefault="00D42204">
            <w:pPr>
              <w:rPr>
                <w:rFonts w:ascii="宋体"/>
                <w:vanish/>
              </w:rPr>
            </w:pPr>
          </w:p>
        </w:tc>
        <w:tc>
          <w:tcPr>
            <w:tcW w:w="0" w:type="auto"/>
            <w:shd w:val="clear" w:color="auto" w:fill="auto"/>
            <w:vAlign w:val="bottom"/>
          </w:tcPr>
          <w:p w14:paraId="35D09D1E" w14:textId="77777777" w:rsidR="00D42204" w:rsidRDefault="00D42204">
            <w:pPr>
              <w:rPr>
                <w:rFonts w:ascii="宋体"/>
                <w:vanish/>
              </w:rPr>
            </w:pPr>
          </w:p>
        </w:tc>
      </w:tr>
      <w:tr w:rsidR="00D42204" w14:paraId="35D09D2C" w14:textId="77777777">
        <w:trPr>
          <w:jc w:val="center"/>
        </w:trPr>
        <w:tc>
          <w:tcPr>
            <w:tcW w:w="0" w:type="auto"/>
            <w:gridSpan w:val="3"/>
            <w:shd w:val="clear" w:color="auto" w:fill="FFFFFF"/>
            <w:tcMar>
              <w:top w:w="40" w:type="dxa"/>
              <w:left w:w="20" w:type="dxa"/>
              <w:bottom w:w="40" w:type="dxa"/>
              <w:right w:w="20" w:type="dxa"/>
            </w:tcMar>
            <w:vAlign w:val="center"/>
          </w:tcPr>
          <w:p w14:paraId="35D09D20" w14:textId="77777777" w:rsidR="00D42204" w:rsidRDefault="004E439D">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FFFFFF"/>
            <w:tcMar>
              <w:top w:w="0" w:type="dxa"/>
              <w:left w:w="20" w:type="dxa"/>
              <w:bottom w:w="0" w:type="dxa"/>
              <w:right w:w="20" w:type="dxa"/>
            </w:tcMar>
            <w:vAlign w:val="bottom"/>
          </w:tcPr>
          <w:p w14:paraId="35D09D2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D22" w14:textId="77777777" w:rsidR="00D42204" w:rsidRDefault="004E439D">
            <w:pPr>
              <w:jc w:val="right"/>
              <w:textAlignment w:val="center"/>
            </w:pPr>
            <w:r>
              <w:rPr>
                <w:rFonts w:ascii="Times New Roman" w:eastAsia="宋体" w:hAnsi="Times New Roman"/>
                <w:color w:val="000000"/>
                <w:sz w:val="16"/>
                <w:szCs w:val="16"/>
              </w:rPr>
              <w:t>277 </w:t>
            </w:r>
          </w:p>
        </w:tc>
        <w:tc>
          <w:tcPr>
            <w:tcW w:w="0" w:type="auto"/>
            <w:shd w:val="clear" w:color="auto" w:fill="FFFFFF"/>
            <w:tcMar>
              <w:top w:w="40" w:type="dxa"/>
              <w:left w:w="0" w:type="dxa"/>
              <w:bottom w:w="40" w:type="dxa"/>
              <w:right w:w="20" w:type="dxa"/>
            </w:tcMar>
            <w:vAlign w:val="center"/>
          </w:tcPr>
          <w:p w14:paraId="35D09D2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D2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D25" w14:textId="77777777" w:rsidR="00D42204" w:rsidRDefault="004E439D">
            <w:pPr>
              <w:jc w:val="right"/>
              <w:textAlignment w:val="center"/>
            </w:pPr>
            <w:r>
              <w:rPr>
                <w:rFonts w:ascii="Times New Roman" w:eastAsia="宋体" w:hAnsi="Times New Roman"/>
                <w:color w:val="000000"/>
                <w:sz w:val="16"/>
                <w:szCs w:val="16"/>
              </w:rPr>
              <w:t>337 </w:t>
            </w:r>
          </w:p>
        </w:tc>
        <w:tc>
          <w:tcPr>
            <w:tcW w:w="0" w:type="auto"/>
            <w:shd w:val="clear" w:color="auto" w:fill="FFFFFF"/>
            <w:tcMar>
              <w:top w:w="40" w:type="dxa"/>
              <w:left w:w="0" w:type="dxa"/>
              <w:bottom w:w="40" w:type="dxa"/>
              <w:right w:w="20" w:type="dxa"/>
            </w:tcMar>
            <w:vAlign w:val="center"/>
          </w:tcPr>
          <w:p w14:paraId="35D09D2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D2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D28" w14:textId="77777777" w:rsidR="00D42204" w:rsidRDefault="004E439D">
            <w:pPr>
              <w:jc w:val="right"/>
              <w:textAlignment w:val="center"/>
            </w:pPr>
            <w:r>
              <w:rPr>
                <w:rFonts w:ascii="Times New Roman" w:eastAsia="宋体" w:hAnsi="Times New Roman"/>
                <w:color w:val="000000"/>
                <w:sz w:val="16"/>
                <w:szCs w:val="16"/>
              </w:rPr>
              <w:t>345 </w:t>
            </w:r>
          </w:p>
        </w:tc>
        <w:tc>
          <w:tcPr>
            <w:tcW w:w="0" w:type="auto"/>
            <w:shd w:val="clear" w:color="auto" w:fill="FFFFFF"/>
            <w:tcMar>
              <w:top w:w="40" w:type="dxa"/>
              <w:left w:w="0" w:type="dxa"/>
              <w:bottom w:w="40" w:type="dxa"/>
              <w:right w:w="20" w:type="dxa"/>
            </w:tcMar>
            <w:vAlign w:val="center"/>
          </w:tcPr>
          <w:p w14:paraId="35D09D29" w14:textId="77777777" w:rsidR="00D42204" w:rsidRDefault="00D42204">
            <w:pPr>
              <w:jc w:val="right"/>
              <w:rPr>
                <w:rFonts w:ascii="宋体"/>
              </w:rPr>
            </w:pPr>
          </w:p>
        </w:tc>
        <w:tc>
          <w:tcPr>
            <w:tcW w:w="0" w:type="auto"/>
            <w:shd w:val="clear" w:color="auto" w:fill="auto"/>
            <w:vAlign w:val="bottom"/>
          </w:tcPr>
          <w:p w14:paraId="35D09D2A" w14:textId="77777777" w:rsidR="00D42204" w:rsidRDefault="00D42204">
            <w:pPr>
              <w:rPr>
                <w:rFonts w:ascii="宋体"/>
                <w:vanish/>
              </w:rPr>
            </w:pPr>
          </w:p>
        </w:tc>
        <w:tc>
          <w:tcPr>
            <w:tcW w:w="0" w:type="auto"/>
            <w:shd w:val="clear" w:color="auto" w:fill="auto"/>
            <w:vAlign w:val="bottom"/>
          </w:tcPr>
          <w:p w14:paraId="35D09D2B" w14:textId="77777777" w:rsidR="00D42204" w:rsidRDefault="00D42204">
            <w:pPr>
              <w:rPr>
                <w:rFonts w:ascii="宋体"/>
                <w:vanish/>
              </w:rPr>
            </w:pPr>
          </w:p>
        </w:tc>
      </w:tr>
    </w:tbl>
    <w:p w14:paraId="35D09D2D" w14:textId="77777777" w:rsidR="00D42204" w:rsidRDefault="004E439D">
      <w:pPr>
        <w:spacing w:before="80"/>
      </w:pPr>
      <w:r>
        <w:rPr>
          <w:rFonts w:ascii="Times New Roman" w:eastAsia="宋体" w:hAnsi="Times New Roman"/>
          <w:color w:val="000000"/>
          <w:sz w:val="20"/>
          <w:szCs w:val="20"/>
        </w:rPr>
        <w:t>Net sales for the Walmart International segment decreased $20.4 billion or 16.8% and increased $1.2 billion or 1.0% for fiscal 2022 and 2021, respectively, when compared to the previous fiscal year. For fiscal 2022, the reduction in net sales</w:t>
      </w:r>
      <w:r>
        <w:rPr>
          <w:rFonts w:ascii="Times New Roman" w:eastAsia="宋体" w:hAnsi="Times New Roman"/>
          <w:color w:val="000000"/>
          <w:sz w:val="20"/>
          <w:szCs w:val="20"/>
        </w:rPr>
        <w:t xml:space="preserve"> was driven by a $32.6 billion decrease primarily related to the divestitures of Asda and Seiyu, which closed during the first quarter of fiscal 2022. This decrease was partially offset by positive comparable sales in most of our remaining markets, as well</w:t>
      </w:r>
      <w:r>
        <w:rPr>
          <w:rFonts w:ascii="Times New Roman" w:eastAsia="宋体" w:hAnsi="Times New Roman"/>
          <w:color w:val="000000"/>
          <w:sz w:val="20"/>
          <w:szCs w:val="20"/>
        </w:rPr>
        <w:t xml:space="preserve"> as positive fluctuations in currency exchange rates of $4.5 billion. For fiscal 2021, the increase was primarily due to positive comparable sales growth in the majority of our markets driven by changes in consumer behavior in response to the COVID-19 pand</w:t>
      </w:r>
      <w:r>
        <w:rPr>
          <w:rFonts w:ascii="Times New Roman" w:eastAsia="宋体" w:hAnsi="Times New Roman"/>
          <w:color w:val="000000"/>
          <w:sz w:val="20"/>
          <w:szCs w:val="20"/>
        </w:rPr>
        <w:t>emic, partially offset by negative fluctuations in currency exchange rates of $5.0 billion. The pandemic led to significant economic pressures and channel and mix shifts due to changes in consumer behavior, including accelerated growth in eCommerce in seve</w:t>
      </w:r>
      <w:r>
        <w:rPr>
          <w:rFonts w:ascii="Times New Roman" w:eastAsia="宋体" w:hAnsi="Times New Roman"/>
          <w:color w:val="000000"/>
          <w:sz w:val="20"/>
          <w:szCs w:val="20"/>
        </w:rPr>
        <w:t xml:space="preserve">ral markets. While several of our markets experienced extensive store and operational closures in the second quarter of fiscal 2021 as a result of government mandates, most closed stores and warehouses had resumed operations by the third quarter of fiscal </w:t>
      </w:r>
      <w:r>
        <w:rPr>
          <w:rFonts w:ascii="Times New Roman" w:eastAsia="宋体" w:hAnsi="Times New Roman"/>
          <w:color w:val="000000"/>
          <w:sz w:val="20"/>
          <w:szCs w:val="20"/>
        </w:rPr>
        <w:t xml:space="preserve">2021. </w:t>
      </w:r>
    </w:p>
    <w:p w14:paraId="35D09D2E" w14:textId="77777777" w:rsidR="00D42204" w:rsidRDefault="004E439D">
      <w:pPr>
        <w:spacing w:before="100"/>
      </w:pPr>
      <w:r>
        <w:rPr>
          <w:rFonts w:ascii="Times New Roman" w:eastAsia="宋体" w:hAnsi="Times New Roman"/>
          <w:color w:val="000000"/>
          <w:sz w:val="20"/>
          <w:szCs w:val="20"/>
        </w:rPr>
        <w:t>Gross profit rate decreased 55 basis points and increased 50 basis points for fiscal 2022 and 2021, respectively, when compared to the previous fiscal year. For fiscal 2022, the decrease was primarily driven by shifts into lower margin formats and t</w:t>
      </w:r>
      <w:r>
        <w:rPr>
          <w:rFonts w:ascii="Times New Roman" w:eastAsia="宋体" w:hAnsi="Times New Roman"/>
          <w:color w:val="000000"/>
          <w:sz w:val="20"/>
          <w:szCs w:val="20"/>
        </w:rPr>
        <w:t xml:space="preserve">he impact related to our divested markets. For fiscal 2021, the increase was primarily due to Flipkart's improved margin mix and reduced fuel sales in the U.K. </w:t>
      </w:r>
    </w:p>
    <w:p w14:paraId="35D09D2F" w14:textId="77777777" w:rsidR="00D42204" w:rsidRDefault="004E439D">
      <w:pPr>
        <w:spacing w:before="100"/>
      </w:pPr>
      <w:r>
        <w:rPr>
          <w:rFonts w:ascii="Times New Roman" w:eastAsia="宋体" w:hAnsi="Times New Roman"/>
          <w:color w:val="000000"/>
          <w:sz w:val="20"/>
          <w:szCs w:val="20"/>
        </w:rPr>
        <w:t>Operating expenses as a percentage of segment net sales decreased 71 basis points and increased</w:t>
      </w:r>
      <w:r>
        <w:rPr>
          <w:rFonts w:ascii="Times New Roman" w:eastAsia="宋体" w:hAnsi="Times New Roman"/>
          <w:color w:val="000000"/>
          <w:sz w:val="20"/>
          <w:szCs w:val="20"/>
        </w:rPr>
        <w:t xml:space="preserve"> 14 basis points for fiscal 2022 and 2021, respectively, when compared to the previous fiscal year. The decrease in operating expenses as a percentage of segment net sales for fiscal 2022 was primarily due to impacts from the divested markets and $0.4 bill</w:t>
      </w:r>
      <w:r>
        <w:rPr>
          <w:rFonts w:ascii="Times New Roman" w:eastAsia="宋体" w:hAnsi="Times New Roman"/>
          <w:color w:val="000000"/>
          <w:sz w:val="20"/>
          <w:szCs w:val="20"/>
        </w:rPr>
        <w:t>ion of lower incremental COVID-19 related costs. Operating expenses as a percentage of net sales benefited from depreciation and amortization expense not having been recorded for our operations in the U.K. and Japan subsequent to their held for sale classi</w:t>
      </w:r>
      <w:r>
        <w:rPr>
          <w:rFonts w:ascii="Times New Roman" w:eastAsia="宋体" w:hAnsi="Times New Roman"/>
          <w:color w:val="000000"/>
          <w:sz w:val="20"/>
          <w:szCs w:val="20"/>
        </w:rPr>
        <w:t xml:space="preserve">fication at the end of fiscal 2021 and prior to closing during the first quarter of fiscal 2022. For fiscal 2021, the increase was primarily due to $0.5 billion of incremental costs related to the COVID-19 pandemic, partially offset by positive comparable </w:t>
      </w:r>
      <w:r>
        <w:rPr>
          <w:rFonts w:ascii="Times New Roman" w:eastAsia="宋体" w:hAnsi="Times New Roman"/>
          <w:color w:val="000000"/>
          <w:sz w:val="20"/>
          <w:szCs w:val="20"/>
        </w:rPr>
        <w:t xml:space="preserve">sales in the majority of our markets and lapping a $0.4 billion non-cash impairment charge recorded in fiscal 2020. </w:t>
      </w:r>
    </w:p>
    <w:p w14:paraId="35D09D30" w14:textId="77777777" w:rsidR="00D42204" w:rsidRDefault="004E439D">
      <w:pPr>
        <w:spacing w:before="100"/>
      </w:pPr>
      <w:r>
        <w:rPr>
          <w:rFonts w:ascii="Times New Roman" w:eastAsia="宋体" w:hAnsi="Times New Roman"/>
          <w:color w:val="000000"/>
          <w:sz w:val="20"/>
          <w:szCs w:val="20"/>
        </w:rPr>
        <w:t>Operating income for fiscal 2022 included a $0.3 billion impact from positive fluctuations in currency exchange rates, and fiscal 2021 incl</w:t>
      </w:r>
      <w:r>
        <w:rPr>
          <w:rFonts w:ascii="Times New Roman" w:eastAsia="宋体" w:hAnsi="Times New Roman"/>
          <w:color w:val="000000"/>
          <w:sz w:val="20"/>
          <w:szCs w:val="20"/>
        </w:rPr>
        <w:t>uded a $0.2 billion impact from negative fluctuations in currency exchange rates. As a result of the factors discussed above, segment operating income increased $0.1 billion and $0.3 billion for fiscal 2022 and 2021, respectively, when compared to the prev</w:t>
      </w:r>
      <w:r>
        <w:rPr>
          <w:rFonts w:ascii="Times New Roman" w:eastAsia="宋体" w:hAnsi="Times New Roman"/>
          <w:color w:val="000000"/>
          <w:sz w:val="20"/>
          <w:szCs w:val="20"/>
        </w:rPr>
        <w:t>ious fiscal year.</w:t>
      </w:r>
    </w:p>
    <w:p w14:paraId="35D09D31" w14:textId="77777777" w:rsidR="00D42204" w:rsidRDefault="004E439D">
      <w:pPr>
        <w:jc w:val="center"/>
      </w:pPr>
      <w:r>
        <w:rPr>
          <w:rFonts w:ascii="Times New Roman" w:eastAsia="宋体" w:hAnsi="Times New Roman"/>
          <w:color w:val="000000"/>
          <w:sz w:val="20"/>
          <w:szCs w:val="20"/>
        </w:rPr>
        <w:t>40</w:t>
      </w:r>
    </w:p>
    <w:p w14:paraId="35D09D32" w14:textId="77777777" w:rsidR="00D42204" w:rsidRDefault="004E439D">
      <w:r>
        <w:pict w14:anchorId="35D0C383">
          <v:rect id="_x0000_i1064" style="width:415.3pt;height:1.5pt" o:hralign="center" o:hrstd="t" o:hr="t" fillcolor="#a0a0a0" stroked="f"/>
        </w:pict>
      </w:r>
    </w:p>
    <w:p w14:paraId="35D09D33" w14:textId="77777777" w:rsidR="00D42204" w:rsidRDefault="00D42204"/>
    <w:p w14:paraId="35D09D34" w14:textId="77777777" w:rsidR="00D42204" w:rsidRDefault="004E439D">
      <w:pPr>
        <w:spacing w:before="180"/>
      </w:pPr>
      <w:r>
        <w:rPr>
          <w:rFonts w:ascii="Times New Roman" w:eastAsia="宋体" w:hAnsi="Times New Roman"/>
          <w:b/>
          <w:bCs/>
          <w:i/>
          <w:iCs/>
          <w:color w:val="000000"/>
          <w:sz w:val="20"/>
          <w:szCs w:val="20"/>
        </w:rPr>
        <w:t>Sam's Club Segment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003"/>
        <w:gridCol w:w="37"/>
        <w:gridCol w:w="36"/>
        <w:gridCol w:w="36"/>
        <w:gridCol w:w="36"/>
        <w:gridCol w:w="100"/>
        <w:gridCol w:w="699"/>
        <w:gridCol w:w="154"/>
        <w:gridCol w:w="36"/>
        <w:gridCol w:w="36"/>
        <w:gridCol w:w="36"/>
        <w:gridCol w:w="100"/>
        <w:gridCol w:w="699"/>
        <w:gridCol w:w="154"/>
        <w:gridCol w:w="36"/>
        <w:gridCol w:w="36"/>
        <w:gridCol w:w="36"/>
        <w:gridCol w:w="100"/>
        <w:gridCol w:w="702"/>
        <w:gridCol w:w="154"/>
        <w:gridCol w:w="36"/>
        <w:gridCol w:w="36"/>
      </w:tblGrid>
      <w:tr w:rsidR="00D42204" w14:paraId="35D09D4C" w14:textId="77777777">
        <w:trPr>
          <w:jc w:val="center"/>
        </w:trPr>
        <w:tc>
          <w:tcPr>
            <w:tcW w:w="50" w:type="pct"/>
            <w:shd w:val="clear" w:color="auto" w:fill="auto"/>
            <w:vAlign w:val="bottom"/>
          </w:tcPr>
          <w:p w14:paraId="35D09D35" w14:textId="77777777" w:rsidR="00D42204" w:rsidRDefault="00D42204">
            <w:pPr>
              <w:rPr>
                <w:rFonts w:ascii="宋体"/>
              </w:rPr>
            </w:pPr>
          </w:p>
        </w:tc>
        <w:tc>
          <w:tcPr>
            <w:tcW w:w="3102" w:type="pct"/>
            <w:shd w:val="clear" w:color="auto" w:fill="auto"/>
            <w:vAlign w:val="bottom"/>
          </w:tcPr>
          <w:p w14:paraId="35D09D36" w14:textId="77777777" w:rsidR="00D42204" w:rsidRDefault="00D42204">
            <w:pPr>
              <w:rPr>
                <w:rFonts w:ascii="宋体"/>
              </w:rPr>
            </w:pPr>
          </w:p>
        </w:tc>
        <w:tc>
          <w:tcPr>
            <w:tcW w:w="5" w:type="pct"/>
            <w:shd w:val="clear" w:color="auto" w:fill="auto"/>
            <w:vAlign w:val="bottom"/>
          </w:tcPr>
          <w:p w14:paraId="35D09D37" w14:textId="77777777" w:rsidR="00D42204" w:rsidRDefault="00D42204">
            <w:pPr>
              <w:rPr>
                <w:rFonts w:ascii="宋体"/>
              </w:rPr>
            </w:pPr>
          </w:p>
        </w:tc>
        <w:tc>
          <w:tcPr>
            <w:tcW w:w="5" w:type="pct"/>
            <w:shd w:val="clear" w:color="auto" w:fill="auto"/>
            <w:vAlign w:val="bottom"/>
          </w:tcPr>
          <w:p w14:paraId="35D09D38" w14:textId="77777777" w:rsidR="00D42204" w:rsidRDefault="00D42204">
            <w:pPr>
              <w:rPr>
                <w:rFonts w:ascii="宋体"/>
              </w:rPr>
            </w:pPr>
          </w:p>
        </w:tc>
        <w:tc>
          <w:tcPr>
            <w:tcW w:w="41" w:type="pct"/>
            <w:shd w:val="clear" w:color="auto" w:fill="auto"/>
            <w:vAlign w:val="bottom"/>
          </w:tcPr>
          <w:p w14:paraId="35D09D39" w14:textId="77777777" w:rsidR="00D42204" w:rsidRDefault="00D42204">
            <w:pPr>
              <w:rPr>
                <w:rFonts w:ascii="宋体"/>
              </w:rPr>
            </w:pPr>
          </w:p>
        </w:tc>
        <w:tc>
          <w:tcPr>
            <w:tcW w:w="5" w:type="pct"/>
            <w:shd w:val="clear" w:color="auto" w:fill="auto"/>
            <w:vAlign w:val="bottom"/>
          </w:tcPr>
          <w:p w14:paraId="35D09D3A" w14:textId="77777777" w:rsidR="00D42204" w:rsidRDefault="00D42204">
            <w:pPr>
              <w:rPr>
                <w:rFonts w:ascii="宋体"/>
              </w:rPr>
            </w:pPr>
          </w:p>
        </w:tc>
        <w:tc>
          <w:tcPr>
            <w:tcW w:w="50" w:type="pct"/>
            <w:shd w:val="clear" w:color="auto" w:fill="auto"/>
            <w:vAlign w:val="bottom"/>
          </w:tcPr>
          <w:p w14:paraId="35D09D3B" w14:textId="77777777" w:rsidR="00D42204" w:rsidRDefault="00D42204">
            <w:pPr>
              <w:rPr>
                <w:rFonts w:ascii="宋体"/>
              </w:rPr>
            </w:pPr>
          </w:p>
        </w:tc>
        <w:tc>
          <w:tcPr>
            <w:tcW w:w="507" w:type="pct"/>
            <w:shd w:val="clear" w:color="auto" w:fill="auto"/>
            <w:vAlign w:val="bottom"/>
          </w:tcPr>
          <w:p w14:paraId="35D09D3C" w14:textId="77777777" w:rsidR="00D42204" w:rsidRDefault="00D42204">
            <w:pPr>
              <w:rPr>
                <w:rFonts w:ascii="宋体"/>
              </w:rPr>
            </w:pPr>
          </w:p>
        </w:tc>
        <w:tc>
          <w:tcPr>
            <w:tcW w:w="5" w:type="pct"/>
            <w:shd w:val="clear" w:color="auto" w:fill="auto"/>
            <w:vAlign w:val="bottom"/>
          </w:tcPr>
          <w:p w14:paraId="35D09D3D" w14:textId="77777777" w:rsidR="00D42204" w:rsidRDefault="00D42204">
            <w:pPr>
              <w:rPr>
                <w:rFonts w:ascii="宋体"/>
              </w:rPr>
            </w:pPr>
          </w:p>
        </w:tc>
        <w:tc>
          <w:tcPr>
            <w:tcW w:w="5" w:type="pct"/>
            <w:shd w:val="clear" w:color="auto" w:fill="auto"/>
            <w:vAlign w:val="bottom"/>
          </w:tcPr>
          <w:p w14:paraId="35D09D3E" w14:textId="77777777" w:rsidR="00D42204" w:rsidRDefault="00D42204">
            <w:pPr>
              <w:rPr>
                <w:rFonts w:ascii="宋体"/>
              </w:rPr>
            </w:pPr>
          </w:p>
        </w:tc>
        <w:tc>
          <w:tcPr>
            <w:tcW w:w="41" w:type="pct"/>
            <w:shd w:val="clear" w:color="auto" w:fill="auto"/>
            <w:vAlign w:val="bottom"/>
          </w:tcPr>
          <w:p w14:paraId="35D09D3F" w14:textId="77777777" w:rsidR="00D42204" w:rsidRDefault="00D42204">
            <w:pPr>
              <w:rPr>
                <w:rFonts w:ascii="宋体"/>
              </w:rPr>
            </w:pPr>
          </w:p>
        </w:tc>
        <w:tc>
          <w:tcPr>
            <w:tcW w:w="5" w:type="pct"/>
            <w:shd w:val="clear" w:color="auto" w:fill="auto"/>
            <w:vAlign w:val="bottom"/>
          </w:tcPr>
          <w:p w14:paraId="35D09D40" w14:textId="77777777" w:rsidR="00D42204" w:rsidRDefault="00D42204">
            <w:pPr>
              <w:rPr>
                <w:rFonts w:ascii="宋体"/>
              </w:rPr>
            </w:pPr>
          </w:p>
        </w:tc>
        <w:tc>
          <w:tcPr>
            <w:tcW w:w="50" w:type="pct"/>
            <w:shd w:val="clear" w:color="auto" w:fill="auto"/>
            <w:vAlign w:val="bottom"/>
          </w:tcPr>
          <w:p w14:paraId="35D09D41" w14:textId="77777777" w:rsidR="00D42204" w:rsidRDefault="00D42204">
            <w:pPr>
              <w:rPr>
                <w:rFonts w:ascii="宋体"/>
              </w:rPr>
            </w:pPr>
          </w:p>
        </w:tc>
        <w:tc>
          <w:tcPr>
            <w:tcW w:w="507" w:type="pct"/>
            <w:shd w:val="clear" w:color="auto" w:fill="auto"/>
            <w:vAlign w:val="bottom"/>
          </w:tcPr>
          <w:p w14:paraId="35D09D42" w14:textId="77777777" w:rsidR="00D42204" w:rsidRDefault="00D42204">
            <w:pPr>
              <w:rPr>
                <w:rFonts w:ascii="宋体"/>
              </w:rPr>
            </w:pPr>
          </w:p>
        </w:tc>
        <w:tc>
          <w:tcPr>
            <w:tcW w:w="5" w:type="pct"/>
            <w:shd w:val="clear" w:color="auto" w:fill="auto"/>
            <w:vAlign w:val="bottom"/>
          </w:tcPr>
          <w:p w14:paraId="35D09D43" w14:textId="77777777" w:rsidR="00D42204" w:rsidRDefault="00D42204">
            <w:pPr>
              <w:rPr>
                <w:rFonts w:ascii="宋体"/>
              </w:rPr>
            </w:pPr>
          </w:p>
        </w:tc>
        <w:tc>
          <w:tcPr>
            <w:tcW w:w="5" w:type="pct"/>
            <w:shd w:val="clear" w:color="auto" w:fill="auto"/>
            <w:vAlign w:val="bottom"/>
          </w:tcPr>
          <w:p w14:paraId="35D09D44" w14:textId="77777777" w:rsidR="00D42204" w:rsidRDefault="00D42204">
            <w:pPr>
              <w:rPr>
                <w:rFonts w:ascii="宋体"/>
              </w:rPr>
            </w:pPr>
          </w:p>
        </w:tc>
        <w:tc>
          <w:tcPr>
            <w:tcW w:w="41" w:type="pct"/>
            <w:shd w:val="clear" w:color="auto" w:fill="auto"/>
            <w:vAlign w:val="bottom"/>
          </w:tcPr>
          <w:p w14:paraId="35D09D45" w14:textId="77777777" w:rsidR="00D42204" w:rsidRDefault="00D42204">
            <w:pPr>
              <w:rPr>
                <w:rFonts w:ascii="宋体"/>
              </w:rPr>
            </w:pPr>
          </w:p>
        </w:tc>
        <w:tc>
          <w:tcPr>
            <w:tcW w:w="5" w:type="pct"/>
            <w:shd w:val="clear" w:color="auto" w:fill="auto"/>
            <w:vAlign w:val="bottom"/>
          </w:tcPr>
          <w:p w14:paraId="35D09D46" w14:textId="77777777" w:rsidR="00D42204" w:rsidRDefault="00D42204">
            <w:pPr>
              <w:rPr>
                <w:rFonts w:ascii="宋体"/>
              </w:rPr>
            </w:pPr>
          </w:p>
        </w:tc>
        <w:tc>
          <w:tcPr>
            <w:tcW w:w="50" w:type="pct"/>
            <w:shd w:val="clear" w:color="auto" w:fill="auto"/>
            <w:vAlign w:val="bottom"/>
          </w:tcPr>
          <w:p w14:paraId="35D09D47" w14:textId="77777777" w:rsidR="00D42204" w:rsidRDefault="00D42204">
            <w:pPr>
              <w:rPr>
                <w:rFonts w:ascii="宋体"/>
              </w:rPr>
            </w:pPr>
          </w:p>
        </w:tc>
        <w:tc>
          <w:tcPr>
            <w:tcW w:w="508" w:type="pct"/>
            <w:shd w:val="clear" w:color="auto" w:fill="auto"/>
            <w:vAlign w:val="bottom"/>
          </w:tcPr>
          <w:p w14:paraId="35D09D48" w14:textId="77777777" w:rsidR="00D42204" w:rsidRDefault="00D42204">
            <w:pPr>
              <w:rPr>
                <w:rFonts w:ascii="宋体"/>
              </w:rPr>
            </w:pPr>
          </w:p>
        </w:tc>
        <w:tc>
          <w:tcPr>
            <w:tcW w:w="5" w:type="pct"/>
            <w:shd w:val="clear" w:color="auto" w:fill="auto"/>
            <w:vAlign w:val="bottom"/>
          </w:tcPr>
          <w:p w14:paraId="35D09D49" w14:textId="77777777" w:rsidR="00D42204" w:rsidRDefault="00D42204">
            <w:pPr>
              <w:rPr>
                <w:rFonts w:ascii="宋体"/>
              </w:rPr>
            </w:pPr>
          </w:p>
        </w:tc>
        <w:tc>
          <w:tcPr>
            <w:tcW w:w="0" w:type="auto"/>
            <w:shd w:val="clear" w:color="auto" w:fill="auto"/>
            <w:vAlign w:val="bottom"/>
          </w:tcPr>
          <w:p w14:paraId="35D09D4A" w14:textId="77777777" w:rsidR="00D42204" w:rsidRDefault="00D42204">
            <w:pPr>
              <w:rPr>
                <w:rFonts w:ascii="宋体"/>
                <w:vanish/>
              </w:rPr>
            </w:pPr>
          </w:p>
        </w:tc>
        <w:tc>
          <w:tcPr>
            <w:tcW w:w="0" w:type="auto"/>
            <w:shd w:val="clear" w:color="auto" w:fill="auto"/>
            <w:vAlign w:val="bottom"/>
          </w:tcPr>
          <w:p w14:paraId="35D09D4B" w14:textId="77777777" w:rsidR="00D42204" w:rsidRDefault="00D42204">
            <w:pPr>
              <w:rPr>
                <w:rFonts w:ascii="宋体"/>
                <w:vanish/>
              </w:rPr>
            </w:pPr>
          </w:p>
        </w:tc>
      </w:tr>
      <w:tr w:rsidR="00D42204" w14:paraId="35D09D52" w14:textId="77777777">
        <w:trPr>
          <w:jc w:val="center"/>
        </w:trPr>
        <w:tc>
          <w:tcPr>
            <w:tcW w:w="0" w:type="auto"/>
            <w:gridSpan w:val="3"/>
            <w:shd w:val="clear" w:color="auto" w:fill="auto"/>
            <w:tcMar>
              <w:top w:w="40" w:type="dxa"/>
              <w:left w:w="20" w:type="dxa"/>
              <w:bottom w:w="40" w:type="dxa"/>
              <w:right w:w="20" w:type="dxa"/>
            </w:tcMar>
            <w:vAlign w:val="bottom"/>
          </w:tcPr>
          <w:p w14:paraId="35D09D4D"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9D4E"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9D4F" w14:textId="77777777" w:rsidR="00D42204" w:rsidRDefault="004E439D">
            <w:pPr>
              <w:jc w:val="center"/>
              <w:textAlignment w:val="bottom"/>
            </w:pPr>
            <w:r>
              <w:rPr>
                <w:rFonts w:ascii="Times New Roman" w:eastAsia="宋体" w:hAnsi="Times New Roman"/>
                <w:b/>
                <w:bCs/>
                <w:color w:val="000000"/>
                <w:sz w:val="16"/>
                <w:szCs w:val="16"/>
              </w:rPr>
              <w:t>Fiscal Years Ended January 31,</w:t>
            </w:r>
          </w:p>
        </w:tc>
        <w:tc>
          <w:tcPr>
            <w:tcW w:w="0" w:type="auto"/>
            <w:shd w:val="clear" w:color="auto" w:fill="auto"/>
            <w:vAlign w:val="bottom"/>
          </w:tcPr>
          <w:p w14:paraId="35D09D50" w14:textId="77777777" w:rsidR="00D42204" w:rsidRDefault="00D42204">
            <w:pPr>
              <w:rPr>
                <w:rFonts w:ascii="宋体"/>
                <w:vanish/>
              </w:rPr>
            </w:pPr>
          </w:p>
        </w:tc>
        <w:tc>
          <w:tcPr>
            <w:tcW w:w="0" w:type="auto"/>
            <w:shd w:val="clear" w:color="auto" w:fill="auto"/>
            <w:vAlign w:val="bottom"/>
          </w:tcPr>
          <w:p w14:paraId="35D09D51" w14:textId="77777777" w:rsidR="00D42204" w:rsidRDefault="00D42204">
            <w:pPr>
              <w:rPr>
                <w:rFonts w:ascii="宋体"/>
                <w:vanish/>
              </w:rPr>
            </w:pPr>
          </w:p>
        </w:tc>
      </w:tr>
      <w:tr w:rsidR="00D42204" w14:paraId="35D09D5C" w14:textId="77777777">
        <w:trPr>
          <w:jc w:val="center"/>
        </w:trPr>
        <w:tc>
          <w:tcPr>
            <w:tcW w:w="0" w:type="auto"/>
            <w:gridSpan w:val="3"/>
            <w:shd w:val="clear" w:color="auto" w:fill="auto"/>
            <w:tcMar>
              <w:top w:w="40" w:type="dxa"/>
              <w:left w:w="20" w:type="dxa"/>
              <w:bottom w:w="40" w:type="dxa"/>
              <w:right w:w="20" w:type="dxa"/>
            </w:tcMar>
            <w:vAlign w:val="bottom"/>
          </w:tcPr>
          <w:p w14:paraId="35D09D53" w14:textId="77777777" w:rsidR="00D42204" w:rsidRDefault="004E439D">
            <w:pPr>
              <w:textAlignment w:val="bottom"/>
            </w:pPr>
            <w:r>
              <w:rPr>
                <w:rFonts w:ascii="Times New Roman" w:eastAsia="宋体" w:hAnsi="Times New Roman"/>
                <w:i/>
                <w:iCs/>
                <w:color w:val="000000"/>
                <w:sz w:val="16"/>
                <w:szCs w:val="16"/>
              </w:rPr>
              <w:t>(Amounts in millions, except unit counts)</w:t>
            </w:r>
          </w:p>
        </w:tc>
        <w:tc>
          <w:tcPr>
            <w:tcW w:w="0" w:type="auto"/>
            <w:gridSpan w:val="3"/>
            <w:shd w:val="clear" w:color="auto" w:fill="auto"/>
            <w:tcMar>
              <w:top w:w="0" w:type="dxa"/>
              <w:left w:w="20" w:type="dxa"/>
              <w:bottom w:w="0" w:type="dxa"/>
              <w:right w:w="20" w:type="dxa"/>
            </w:tcMar>
            <w:vAlign w:val="bottom"/>
          </w:tcPr>
          <w:p w14:paraId="35D09D54"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D55"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D56"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D57"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D58"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D59" w14:textId="77777777" w:rsidR="00D42204" w:rsidRDefault="004E439D">
            <w:pPr>
              <w:jc w:val="center"/>
              <w:textAlignment w:val="bottom"/>
            </w:pPr>
            <w:r>
              <w:rPr>
                <w:rFonts w:ascii="Times New Roman" w:eastAsia="宋体" w:hAnsi="Times New Roman"/>
                <w:b/>
                <w:bCs/>
                <w:color w:val="000000"/>
                <w:sz w:val="16"/>
                <w:szCs w:val="16"/>
              </w:rPr>
              <w:t>2020</w:t>
            </w:r>
          </w:p>
        </w:tc>
        <w:tc>
          <w:tcPr>
            <w:tcW w:w="0" w:type="auto"/>
            <w:shd w:val="clear" w:color="auto" w:fill="auto"/>
            <w:vAlign w:val="bottom"/>
          </w:tcPr>
          <w:p w14:paraId="35D09D5A" w14:textId="77777777" w:rsidR="00D42204" w:rsidRDefault="00D42204">
            <w:pPr>
              <w:rPr>
                <w:rFonts w:ascii="宋体"/>
                <w:vanish/>
              </w:rPr>
            </w:pPr>
          </w:p>
        </w:tc>
        <w:tc>
          <w:tcPr>
            <w:tcW w:w="0" w:type="auto"/>
            <w:shd w:val="clear" w:color="auto" w:fill="auto"/>
            <w:vAlign w:val="bottom"/>
          </w:tcPr>
          <w:p w14:paraId="35D09D5B" w14:textId="77777777" w:rsidR="00D42204" w:rsidRDefault="00D42204">
            <w:pPr>
              <w:rPr>
                <w:rFonts w:ascii="宋体"/>
                <w:vanish/>
              </w:rPr>
            </w:pPr>
          </w:p>
        </w:tc>
      </w:tr>
      <w:tr w:rsidR="00D42204" w14:paraId="35D09D66" w14:textId="77777777">
        <w:trPr>
          <w:jc w:val="center"/>
        </w:trPr>
        <w:tc>
          <w:tcPr>
            <w:tcW w:w="0" w:type="auto"/>
            <w:gridSpan w:val="3"/>
            <w:shd w:val="clear" w:color="auto" w:fill="CCEEFF"/>
            <w:tcMar>
              <w:top w:w="40" w:type="dxa"/>
              <w:left w:w="20" w:type="dxa"/>
              <w:bottom w:w="40" w:type="dxa"/>
              <w:right w:w="20" w:type="dxa"/>
            </w:tcMar>
            <w:vAlign w:val="center"/>
          </w:tcPr>
          <w:p w14:paraId="35D09D5D" w14:textId="77777777" w:rsidR="00D42204" w:rsidRDefault="004E439D">
            <w:pPr>
              <w:textAlignment w:val="center"/>
            </w:pPr>
            <w:r>
              <w:rPr>
                <w:rFonts w:ascii="Times New Roman" w:eastAsia="宋体" w:hAnsi="Times New Roman"/>
                <w:b/>
                <w:bCs/>
                <w:i/>
                <w:iCs/>
                <w:color w:val="000000"/>
                <w:sz w:val="16"/>
                <w:szCs w:val="16"/>
              </w:rPr>
              <w:t>Including Fuel</w:t>
            </w:r>
          </w:p>
        </w:tc>
        <w:tc>
          <w:tcPr>
            <w:tcW w:w="0" w:type="auto"/>
            <w:gridSpan w:val="3"/>
            <w:shd w:val="clear" w:color="auto" w:fill="CCEEFF"/>
            <w:tcMar>
              <w:top w:w="0" w:type="dxa"/>
              <w:left w:w="20" w:type="dxa"/>
              <w:bottom w:w="0" w:type="dxa"/>
              <w:right w:w="20" w:type="dxa"/>
            </w:tcMar>
            <w:vAlign w:val="bottom"/>
          </w:tcPr>
          <w:p w14:paraId="35D09D5E"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9D5F"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D60"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9D61"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D62"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9D63" w14:textId="77777777" w:rsidR="00D42204" w:rsidRDefault="00D42204">
            <w:pPr>
              <w:rPr>
                <w:rFonts w:ascii="宋体"/>
              </w:rPr>
            </w:pPr>
          </w:p>
        </w:tc>
        <w:tc>
          <w:tcPr>
            <w:tcW w:w="0" w:type="auto"/>
            <w:shd w:val="clear" w:color="auto" w:fill="auto"/>
            <w:vAlign w:val="bottom"/>
          </w:tcPr>
          <w:p w14:paraId="35D09D64" w14:textId="77777777" w:rsidR="00D42204" w:rsidRDefault="00D42204">
            <w:pPr>
              <w:rPr>
                <w:rFonts w:ascii="宋体"/>
                <w:vanish/>
              </w:rPr>
            </w:pPr>
          </w:p>
        </w:tc>
        <w:tc>
          <w:tcPr>
            <w:tcW w:w="0" w:type="auto"/>
            <w:shd w:val="clear" w:color="auto" w:fill="auto"/>
            <w:vAlign w:val="bottom"/>
          </w:tcPr>
          <w:p w14:paraId="35D09D65" w14:textId="77777777" w:rsidR="00D42204" w:rsidRDefault="00D42204">
            <w:pPr>
              <w:rPr>
                <w:rFonts w:ascii="宋体"/>
                <w:vanish/>
              </w:rPr>
            </w:pPr>
          </w:p>
        </w:tc>
      </w:tr>
      <w:tr w:rsidR="00D42204" w14:paraId="35D09D76" w14:textId="77777777">
        <w:trPr>
          <w:jc w:val="center"/>
        </w:trPr>
        <w:tc>
          <w:tcPr>
            <w:tcW w:w="0" w:type="auto"/>
            <w:gridSpan w:val="3"/>
            <w:shd w:val="clear" w:color="auto" w:fill="FFFFFF"/>
            <w:tcMar>
              <w:top w:w="40" w:type="dxa"/>
              <w:left w:w="245" w:type="dxa"/>
              <w:bottom w:w="40" w:type="dxa"/>
              <w:right w:w="20" w:type="dxa"/>
            </w:tcMar>
            <w:vAlign w:val="center"/>
          </w:tcPr>
          <w:p w14:paraId="35D09D67" w14:textId="77777777" w:rsidR="00D42204" w:rsidRDefault="004E439D">
            <w:pPr>
              <w:textAlignment w:val="center"/>
            </w:pPr>
            <w:r>
              <w:rPr>
                <w:rFonts w:ascii="Times New Roman" w:eastAsia="宋体" w:hAnsi="Times New Roman"/>
                <w:color w:val="000000"/>
                <w:sz w:val="16"/>
                <w:szCs w:val="16"/>
              </w:rPr>
              <w:t>Net sales</w:t>
            </w:r>
          </w:p>
        </w:tc>
        <w:tc>
          <w:tcPr>
            <w:tcW w:w="0" w:type="auto"/>
            <w:gridSpan w:val="3"/>
            <w:shd w:val="clear" w:color="auto" w:fill="FFFFFF"/>
            <w:tcMar>
              <w:top w:w="0" w:type="dxa"/>
              <w:left w:w="20" w:type="dxa"/>
              <w:bottom w:w="0" w:type="dxa"/>
              <w:right w:w="20" w:type="dxa"/>
            </w:tcMar>
            <w:vAlign w:val="bottom"/>
          </w:tcPr>
          <w:p w14:paraId="35D09D68"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9D69"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9D6A" w14:textId="77777777" w:rsidR="00D42204" w:rsidRDefault="004E439D">
            <w:pPr>
              <w:jc w:val="right"/>
              <w:textAlignment w:val="center"/>
            </w:pPr>
            <w:r>
              <w:rPr>
                <w:rFonts w:ascii="Times New Roman" w:eastAsia="宋体" w:hAnsi="Times New Roman"/>
                <w:color w:val="000000"/>
                <w:sz w:val="16"/>
                <w:szCs w:val="16"/>
              </w:rPr>
              <w:t>73,556 </w:t>
            </w:r>
          </w:p>
        </w:tc>
        <w:tc>
          <w:tcPr>
            <w:tcW w:w="0" w:type="auto"/>
            <w:shd w:val="clear" w:color="auto" w:fill="FFFFFF"/>
            <w:tcMar>
              <w:top w:w="40" w:type="dxa"/>
              <w:left w:w="0" w:type="dxa"/>
              <w:bottom w:w="40" w:type="dxa"/>
              <w:right w:w="20" w:type="dxa"/>
            </w:tcMar>
            <w:vAlign w:val="center"/>
          </w:tcPr>
          <w:p w14:paraId="35D09D6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D6C"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9D6D"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9D6E" w14:textId="77777777" w:rsidR="00D42204" w:rsidRDefault="004E439D">
            <w:pPr>
              <w:jc w:val="right"/>
              <w:textAlignment w:val="center"/>
            </w:pPr>
            <w:r>
              <w:rPr>
                <w:rFonts w:ascii="Times New Roman" w:eastAsia="宋体" w:hAnsi="Times New Roman"/>
                <w:color w:val="000000"/>
                <w:sz w:val="16"/>
                <w:szCs w:val="16"/>
              </w:rPr>
              <w:t>63,910 </w:t>
            </w:r>
          </w:p>
        </w:tc>
        <w:tc>
          <w:tcPr>
            <w:tcW w:w="0" w:type="auto"/>
            <w:shd w:val="clear" w:color="auto" w:fill="FFFFFF"/>
            <w:tcMar>
              <w:top w:w="40" w:type="dxa"/>
              <w:left w:w="0" w:type="dxa"/>
              <w:bottom w:w="40" w:type="dxa"/>
              <w:right w:w="20" w:type="dxa"/>
            </w:tcMar>
            <w:vAlign w:val="center"/>
          </w:tcPr>
          <w:p w14:paraId="35D09D6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D70"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9D71"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9D72" w14:textId="77777777" w:rsidR="00D42204" w:rsidRDefault="004E439D">
            <w:pPr>
              <w:jc w:val="right"/>
              <w:textAlignment w:val="center"/>
            </w:pPr>
            <w:r>
              <w:rPr>
                <w:rFonts w:ascii="Times New Roman" w:eastAsia="宋体" w:hAnsi="Times New Roman"/>
                <w:color w:val="000000"/>
                <w:sz w:val="16"/>
                <w:szCs w:val="16"/>
              </w:rPr>
              <w:t>58,792 </w:t>
            </w:r>
          </w:p>
        </w:tc>
        <w:tc>
          <w:tcPr>
            <w:tcW w:w="0" w:type="auto"/>
            <w:shd w:val="clear" w:color="auto" w:fill="FFFFFF"/>
            <w:tcMar>
              <w:top w:w="40" w:type="dxa"/>
              <w:left w:w="0" w:type="dxa"/>
              <w:bottom w:w="40" w:type="dxa"/>
              <w:right w:w="20" w:type="dxa"/>
            </w:tcMar>
            <w:vAlign w:val="center"/>
          </w:tcPr>
          <w:p w14:paraId="35D09D73" w14:textId="77777777" w:rsidR="00D42204" w:rsidRDefault="00D42204">
            <w:pPr>
              <w:jc w:val="right"/>
              <w:rPr>
                <w:rFonts w:ascii="宋体"/>
              </w:rPr>
            </w:pPr>
          </w:p>
        </w:tc>
        <w:tc>
          <w:tcPr>
            <w:tcW w:w="0" w:type="auto"/>
            <w:shd w:val="clear" w:color="auto" w:fill="auto"/>
            <w:vAlign w:val="bottom"/>
          </w:tcPr>
          <w:p w14:paraId="35D09D74" w14:textId="77777777" w:rsidR="00D42204" w:rsidRDefault="00D42204">
            <w:pPr>
              <w:rPr>
                <w:rFonts w:ascii="宋体"/>
                <w:vanish/>
              </w:rPr>
            </w:pPr>
          </w:p>
        </w:tc>
        <w:tc>
          <w:tcPr>
            <w:tcW w:w="0" w:type="auto"/>
            <w:shd w:val="clear" w:color="auto" w:fill="auto"/>
            <w:vAlign w:val="bottom"/>
          </w:tcPr>
          <w:p w14:paraId="35D09D75" w14:textId="77777777" w:rsidR="00D42204" w:rsidRDefault="00D42204">
            <w:pPr>
              <w:rPr>
                <w:rFonts w:ascii="宋体"/>
                <w:vanish/>
              </w:rPr>
            </w:pPr>
          </w:p>
        </w:tc>
      </w:tr>
      <w:tr w:rsidR="00D42204" w14:paraId="35D09D83" w14:textId="77777777">
        <w:trPr>
          <w:jc w:val="center"/>
        </w:trPr>
        <w:tc>
          <w:tcPr>
            <w:tcW w:w="0" w:type="auto"/>
            <w:gridSpan w:val="3"/>
            <w:shd w:val="clear" w:color="auto" w:fill="CCEEFF"/>
            <w:tcMar>
              <w:top w:w="40" w:type="dxa"/>
              <w:left w:w="245" w:type="dxa"/>
              <w:bottom w:w="40" w:type="dxa"/>
              <w:right w:w="20" w:type="dxa"/>
            </w:tcMar>
            <w:vAlign w:val="center"/>
          </w:tcPr>
          <w:p w14:paraId="35D09D77" w14:textId="77777777" w:rsidR="00D42204" w:rsidRDefault="004E439D">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CCEEFF"/>
            <w:tcMar>
              <w:top w:w="0" w:type="dxa"/>
              <w:left w:w="20" w:type="dxa"/>
              <w:bottom w:w="0" w:type="dxa"/>
              <w:right w:w="20" w:type="dxa"/>
            </w:tcMar>
            <w:vAlign w:val="bottom"/>
          </w:tcPr>
          <w:p w14:paraId="35D09D7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D79" w14:textId="77777777" w:rsidR="00D42204" w:rsidRDefault="004E439D">
            <w:pPr>
              <w:jc w:val="right"/>
              <w:textAlignment w:val="center"/>
            </w:pPr>
            <w:r>
              <w:rPr>
                <w:rFonts w:ascii="Times New Roman" w:eastAsia="宋体" w:hAnsi="Times New Roman"/>
                <w:color w:val="000000"/>
                <w:sz w:val="16"/>
                <w:szCs w:val="16"/>
              </w:rPr>
              <w:t>15.1 </w:t>
            </w:r>
          </w:p>
        </w:tc>
        <w:tc>
          <w:tcPr>
            <w:tcW w:w="0" w:type="auto"/>
            <w:shd w:val="clear" w:color="auto" w:fill="CCEEFF"/>
            <w:tcMar>
              <w:top w:w="40" w:type="dxa"/>
              <w:left w:w="0" w:type="dxa"/>
              <w:bottom w:w="40" w:type="dxa"/>
              <w:right w:w="20" w:type="dxa"/>
            </w:tcMar>
            <w:vAlign w:val="center"/>
          </w:tcPr>
          <w:p w14:paraId="35D09D7A"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9D7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D7C" w14:textId="77777777" w:rsidR="00D42204" w:rsidRDefault="004E439D">
            <w:pPr>
              <w:jc w:val="right"/>
              <w:textAlignment w:val="center"/>
            </w:pPr>
            <w:r>
              <w:rPr>
                <w:rFonts w:ascii="Times New Roman" w:eastAsia="宋体" w:hAnsi="Times New Roman"/>
                <w:color w:val="000000"/>
                <w:sz w:val="16"/>
                <w:szCs w:val="16"/>
              </w:rPr>
              <w:t>8.7 </w:t>
            </w:r>
          </w:p>
        </w:tc>
        <w:tc>
          <w:tcPr>
            <w:tcW w:w="0" w:type="auto"/>
            <w:shd w:val="clear" w:color="auto" w:fill="CCEEFF"/>
            <w:tcMar>
              <w:top w:w="40" w:type="dxa"/>
              <w:left w:w="0" w:type="dxa"/>
              <w:bottom w:w="40" w:type="dxa"/>
              <w:right w:w="20" w:type="dxa"/>
            </w:tcMar>
            <w:vAlign w:val="center"/>
          </w:tcPr>
          <w:p w14:paraId="35D09D7D"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9D7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D7F" w14:textId="77777777" w:rsidR="00D42204" w:rsidRDefault="004E439D">
            <w:pPr>
              <w:jc w:val="right"/>
              <w:textAlignment w:val="center"/>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center"/>
          </w:tcPr>
          <w:p w14:paraId="35D09D80" w14:textId="77777777" w:rsidR="00D42204" w:rsidRDefault="004E439D">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35D09D81" w14:textId="77777777" w:rsidR="00D42204" w:rsidRDefault="00D42204">
            <w:pPr>
              <w:rPr>
                <w:rFonts w:ascii="宋体"/>
                <w:vanish/>
              </w:rPr>
            </w:pPr>
          </w:p>
        </w:tc>
        <w:tc>
          <w:tcPr>
            <w:tcW w:w="0" w:type="auto"/>
            <w:shd w:val="clear" w:color="auto" w:fill="auto"/>
            <w:vAlign w:val="bottom"/>
          </w:tcPr>
          <w:p w14:paraId="35D09D82" w14:textId="77777777" w:rsidR="00D42204" w:rsidRDefault="00D42204">
            <w:pPr>
              <w:rPr>
                <w:rFonts w:ascii="宋体"/>
                <w:vanish/>
              </w:rPr>
            </w:pPr>
          </w:p>
        </w:tc>
      </w:tr>
      <w:tr w:rsidR="00D42204" w14:paraId="35D09D90" w14:textId="77777777">
        <w:trPr>
          <w:jc w:val="center"/>
        </w:trPr>
        <w:tc>
          <w:tcPr>
            <w:tcW w:w="0" w:type="auto"/>
            <w:gridSpan w:val="3"/>
            <w:shd w:val="clear" w:color="auto" w:fill="FFFFFF"/>
            <w:tcMar>
              <w:top w:w="40" w:type="dxa"/>
              <w:left w:w="245" w:type="dxa"/>
              <w:bottom w:w="40" w:type="dxa"/>
              <w:right w:w="20" w:type="dxa"/>
            </w:tcMar>
            <w:vAlign w:val="center"/>
          </w:tcPr>
          <w:p w14:paraId="35D09D84" w14:textId="77777777" w:rsidR="00D42204" w:rsidRDefault="004E439D">
            <w:pPr>
              <w:textAlignment w:val="center"/>
            </w:pPr>
            <w:r>
              <w:rPr>
                <w:rFonts w:ascii="Times New Roman" w:eastAsia="宋体" w:hAnsi="Times New Roman"/>
                <w:color w:val="000000"/>
                <w:sz w:val="16"/>
                <w:szCs w:val="16"/>
              </w:rPr>
              <w:t>Calendar comparable sales increase</w:t>
            </w:r>
          </w:p>
        </w:tc>
        <w:tc>
          <w:tcPr>
            <w:tcW w:w="0" w:type="auto"/>
            <w:gridSpan w:val="3"/>
            <w:shd w:val="clear" w:color="auto" w:fill="FFFFFF"/>
            <w:tcMar>
              <w:top w:w="0" w:type="dxa"/>
              <w:left w:w="20" w:type="dxa"/>
              <w:bottom w:w="0" w:type="dxa"/>
              <w:right w:w="20" w:type="dxa"/>
            </w:tcMar>
            <w:vAlign w:val="bottom"/>
          </w:tcPr>
          <w:p w14:paraId="35D09D8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D86" w14:textId="77777777" w:rsidR="00D42204" w:rsidRDefault="004E439D">
            <w:pPr>
              <w:jc w:val="right"/>
              <w:textAlignment w:val="center"/>
            </w:pPr>
            <w:r>
              <w:rPr>
                <w:rFonts w:ascii="Times New Roman" w:eastAsia="宋体" w:hAnsi="Times New Roman"/>
                <w:color w:val="000000"/>
                <w:sz w:val="16"/>
                <w:szCs w:val="16"/>
              </w:rPr>
              <w:t>15.0 </w:t>
            </w:r>
          </w:p>
        </w:tc>
        <w:tc>
          <w:tcPr>
            <w:tcW w:w="0" w:type="auto"/>
            <w:shd w:val="clear" w:color="auto" w:fill="FFFFFF"/>
            <w:tcMar>
              <w:top w:w="40" w:type="dxa"/>
              <w:left w:w="0" w:type="dxa"/>
              <w:bottom w:w="40" w:type="dxa"/>
              <w:right w:w="20" w:type="dxa"/>
            </w:tcMar>
            <w:vAlign w:val="center"/>
          </w:tcPr>
          <w:p w14:paraId="35D09D87"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D8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D89" w14:textId="77777777" w:rsidR="00D42204" w:rsidRDefault="004E439D">
            <w:pPr>
              <w:jc w:val="right"/>
              <w:textAlignment w:val="center"/>
            </w:pPr>
            <w:r>
              <w:rPr>
                <w:rFonts w:ascii="Times New Roman" w:eastAsia="宋体" w:hAnsi="Times New Roman"/>
                <w:color w:val="000000"/>
                <w:sz w:val="16"/>
                <w:szCs w:val="16"/>
              </w:rPr>
              <w:t>8.7 </w:t>
            </w:r>
          </w:p>
        </w:tc>
        <w:tc>
          <w:tcPr>
            <w:tcW w:w="0" w:type="auto"/>
            <w:shd w:val="clear" w:color="auto" w:fill="FFFFFF"/>
            <w:tcMar>
              <w:top w:w="40" w:type="dxa"/>
              <w:left w:w="0" w:type="dxa"/>
              <w:bottom w:w="40" w:type="dxa"/>
              <w:right w:w="20" w:type="dxa"/>
            </w:tcMar>
            <w:vAlign w:val="center"/>
          </w:tcPr>
          <w:p w14:paraId="35D09D8A"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D8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D8C" w14:textId="77777777" w:rsidR="00D42204" w:rsidRDefault="004E439D">
            <w:pPr>
              <w:jc w:val="right"/>
              <w:textAlignment w:val="center"/>
            </w:pPr>
            <w:r>
              <w:rPr>
                <w:rFonts w:ascii="Times New Roman" w:eastAsia="宋体" w:hAnsi="Times New Roman"/>
                <w:color w:val="000000"/>
                <w:sz w:val="16"/>
                <w:szCs w:val="16"/>
              </w:rPr>
              <w:t>1.6 </w:t>
            </w:r>
          </w:p>
        </w:tc>
        <w:tc>
          <w:tcPr>
            <w:tcW w:w="0" w:type="auto"/>
            <w:shd w:val="clear" w:color="auto" w:fill="FFFFFF"/>
            <w:tcMar>
              <w:top w:w="40" w:type="dxa"/>
              <w:left w:w="0" w:type="dxa"/>
              <w:bottom w:w="40" w:type="dxa"/>
              <w:right w:w="20" w:type="dxa"/>
            </w:tcMar>
            <w:vAlign w:val="center"/>
          </w:tcPr>
          <w:p w14:paraId="35D09D8D" w14:textId="77777777" w:rsidR="00D42204" w:rsidRDefault="004E439D">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35D09D8E" w14:textId="77777777" w:rsidR="00D42204" w:rsidRDefault="00D42204">
            <w:pPr>
              <w:rPr>
                <w:rFonts w:ascii="宋体"/>
                <w:vanish/>
              </w:rPr>
            </w:pPr>
          </w:p>
        </w:tc>
        <w:tc>
          <w:tcPr>
            <w:tcW w:w="0" w:type="auto"/>
            <w:shd w:val="clear" w:color="auto" w:fill="auto"/>
            <w:vAlign w:val="bottom"/>
          </w:tcPr>
          <w:p w14:paraId="35D09D8F" w14:textId="77777777" w:rsidR="00D42204" w:rsidRDefault="00D42204">
            <w:pPr>
              <w:rPr>
                <w:rFonts w:ascii="宋体"/>
                <w:vanish/>
              </w:rPr>
            </w:pPr>
          </w:p>
        </w:tc>
      </w:tr>
      <w:tr w:rsidR="00D42204" w14:paraId="35D09DA0" w14:textId="77777777">
        <w:trPr>
          <w:jc w:val="center"/>
        </w:trPr>
        <w:tc>
          <w:tcPr>
            <w:tcW w:w="0" w:type="auto"/>
            <w:gridSpan w:val="3"/>
            <w:shd w:val="clear" w:color="auto" w:fill="CCEEFF"/>
            <w:tcMar>
              <w:top w:w="40" w:type="dxa"/>
              <w:left w:w="245" w:type="dxa"/>
              <w:bottom w:w="40" w:type="dxa"/>
              <w:right w:w="20" w:type="dxa"/>
            </w:tcMar>
            <w:vAlign w:val="center"/>
          </w:tcPr>
          <w:p w14:paraId="35D09D91" w14:textId="77777777" w:rsidR="00D42204" w:rsidRDefault="004E439D">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35D09D92"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D93"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D94" w14:textId="77777777" w:rsidR="00D42204" w:rsidRDefault="004E439D">
            <w:pPr>
              <w:jc w:val="right"/>
              <w:textAlignment w:val="center"/>
            </w:pPr>
            <w:r>
              <w:rPr>
                <w:rFonts w:ascii="Times New Roman" w:eastAsia="宋体" w:hAnsi="Times New Roman"/>
                <w:color w:val="000000"/>
                <w:sz w:val="16"/>
                <w:szCs w:val="16"/>
              </w:rPr>
              <w:t>2,259 </w:t>
            </w:r>
          </w:p>
        </w:tc>
        <w:tc>
          <w:tcPr>
            <w:tcW w:w="0" w:type="auto"/>
            <w:shd w:val="clear" w:color="auto" w:fill="CCEEFF"/>
            <w:tcMar>
              <w:top w:w="40" w:type="dxa"/>
              <w:left w:w="0" w:type="dxa"/>
              <w:bottom w:w="40" w:type="dxa"/>
              <w:right w:w="20" w:type="dxa"/>
            </w:tcMar>
            <w:vAlign w:val="center"/>
          </w:tcPr>
          <w:p w14:paraId="35D09D9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D96"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D97"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D98" w14:textId="77777777" w:rsidR="00D42204" w:rsidRDefault="004E439D">
            <w:pPr>
              <w:jc w:val="right"/>
              <w:textAlignment w:val="center"/>
            </w:pPr>
            <w:r>
              <w:rPr>
                <w:rFonts w:ascii="Times New Roman" w:eastAsia="宋体" w:hAnsi="Times New Roman"/>
                <w:color w:val="000000"/>
                <w:sz w:val="16"/>
                <w:szCs w:val="16"/>
              </w:rPr>
              <w:t>1,906 </w:t>
            </w:r>
          </w:p>
        </w:tc>
        <w:tc>
          <w:tcPr>
            <w:tcW w:w="0" w:type="auto"/>
            <w:shd w:val="clear" w:color="auto" w:fill="CCEEFF"/>
            <w:tcMar>
              <w:top w:w="40" w:type="dxa"/>
              <w:left w:w="0" w:type="dxa"/>
              <w:bottom w:w="40" w:type="dxa"/>
              <w:right w:w="20" w:type="dxa"/>
            </w:tcMar>
            <w:vAlign w:val="center"/>
          </w:tcPr>
          <w:p w14:paraId="35D09D9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D9A"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D9B"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D9C" w14:textId="77777777" w:rsidR="00D42204" w:rsidRDefault="004E439D">
            <w:pPr>
              <w:jc w:val="right"/>
              <w:textAlignment w:val="center"/>
            </w:pPr>
            <w:r>
              <w:rPr>
                <w:rFonts w:ascii="Times New Roman" w:eastAsia="宋体" w:hAnsi="Times New Roman"/>
                <w:color w:val="000000"/>
                <w:sz w:val="16"/>
                <w:szCs w:val="16"/>
              </w:rPr>
              <w:t>1,642 </w:t>
            </w:r>
          </w:p>
        </w:tc>
        <w:tc>
          <w:tcPr>
            <w:tcW w:w="0" w:type="auto"/>
            <w:shd w:val="clear" w:color="auto" w:fill="CCEEFF"/>
            <w:tcMar>
              <w:top w:w="40" w:type="dxa"/>
              <w:left w:w="0" w:type="dxa"/>
              <w:bottom w:w="40" w:type="dxa"/>
              <w:right w:w="20" w:type="dxa"/>
            </w:tcMar>
            <w:vAlign w:val="center"/>
          </w:tcPr>
          <w:p w14:paraId="35D09D9D" w14:textId="77777777" w:rsidR="00D42204" w:rsidRDefault="00D42204">
            <w:pPr>
              <w:jc w:val="right"/>
              <w:rPr>
                <w:rFonts w:ascii="宋体"/>
              </w:rPr>
            </w:pPr>
          </w:p>
        </w:tc>
        <w:tc>
          <w:tcPr>
            <w:tcW w:w="0" w:type="auto"/>
            <w:shd w:val="clear" w:color="auto" w:fill="auto"/>
            <w:vAlign w:val="bottom"/>
          </w:tcPr>
          <w:p w14:paraId="35D09D9E" w14:textId="77777777" w:rsidR="00D42204" w:rsidRDefault="00D42204">
            <w:pPr>
              <w:rPr>
                <w:rFonts w:ascii="宋体"/>
                <w:vanish/>
              </w:rPr>
            </w:pPr>
          </w:p>
        </w:tc>
        <w:tc>
          <w:tcPr>
            <w:tcW w:w="0" w:type="auto"/>
            <w:shd w:val="clear" w:color="auto" w:fill="auto"/>
            <w:vAlign w:val="bottom"/>
          </w:tcPr>
          <w:p w14:paraId="35D09D9F" w14:textId="77777777" w:rsidR="00D42204" w:rsidRDefault="00D42204">
            <w:pPr>
              <w:rPr>
                <w:rFonts w:ascii="宋体"/>
                <w:vanish/>
              </w:rPr>
            </w:pPr>
          </w:p>
        </w:tc>
      </w:tr>
      <w:tr w:rsidR="00D42204" w14:paraId="35D09DAD" w14:textId="77777777">
        <w:trPr>
          <w:jc w:val="center"/>
        </w:trPr>
        <w:tc>
          <w:tcPr>
            <w:tcW w:w="0" w:type="auto"/>
            <w:gridSpan w:val="3"/>
            <w:shd w:val="clear" w:color="auto" w:fill="FFFFFF"/>
            <w:tcMar>
              <w:top w:w="40" w:type="dxa"/>
              <w:left w:w="245" w:type="dxa"/>
              <w:bottom w:w="40" w:type="dxa"/>
              <w:right w:w="20" w:type="dxa"/>
            </w:tcMar>
            <w:vAlign w:val="center"/>
          </w:tcPr>
          <w:p w14:paraId="35D09DA1" w14:textId="77777777" w:rsidR="00D42204" w:rsidRDefault="004E439D">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FFFFFF"/>
            <w:tcMar>
              <w:top w:w="0" w:type="dxa"/>
              <w:left w:w="20" w:type="dxa"/>
              <w:bottom w:w="0" w:type="dxa"/>
              <w:right w:w="20" w:type="dxa"/>
            </w:tcMar>
            <w:vAlign w:val="bottom"/>
          </w:tcPr>
          <w:p w14:paraId="35D09DA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DA3" w14:textId="77777777" w:rsidR="00D42204" w:rsidRDefault="004E439D">
            <w:pPr>
              <w:jc w:val="right"/>
              <w:textAlignment w:val="center"/>
            </w:pPr>
            <w:r>
              <w:rPr>
                <w:rFonts w:ascii="Times New Roman" w:eastAsia="宋体" w:hAnsi="Times New Roman"/>
                <w:color w:val="000000"/>
                <w:sz w:val="16"/>
                <w:szCs w:val="16"/>
              </w:rPr>
              <w:t>3.1 </w:t>
            </w:r>
          </w:p>
        </w:tc>
        <w:tc>
          <w:tcPr>
            <w:tcW w:w="0" w:type="auto"/>
            <w:shd w:val="clear" w:color="auto" w:fill="FFFFFF"/>
            <w:tcMar>
              <w:top w:w="40" w:type="dxa"/>
              <w:left w:w="0" w:type="dxa"/>
              <w:bottom w:w="40" w:type="dxa"/>
              <w:right w:w="20" w:type="dxa"/>
            </w:tcMar>
            <w:vAlign w:val="center"/>
          </w:tcPr>
          <w:p w14:paraId="35D09DA4"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DA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DA6" w14:textId="77777777" w:rsidR="00D42204" w:rsidRDefault="004E439D">
            <w:pPr>
              <w:jc w:val="right"/>
              <w:textAlignment w:val="center"/>
            </w:pPr>
            <w:r>
              <w:rPr>
                <w:rFonts w:ascii="Times New Roman" w:eastAsia="宋体" w:hAnsi="Times New Roman"/>
                <w:color w:val="000000"/>
                <w:sz w:val="16"/>
                <w:szCs w:val="16"/>
              </w:rPr>
              <w:t>3.0 </w:t>
            </w:r>
          </w:p>
        </w:tc>
        <w:tc>
          <w:tcPr>
            <w:tcW w:w="0" w:type="auto"/>
            <w:shd w:val="clear" w:color="auto" w:fill="FFFFFF"/>
            <w:tcMar>
              <w:top w:w="40" w:type="dxa"/>
              <w:left w:w="0" w:type="dxa"/>
              <w:bottom w:w="40" w:type="dxa"/>
              <w:right w:w="20" w:type="dxa"/>
            </w:tcMar>
            <w:vAlign w:val="center"/>
          </w:tcPr>
          <w:p w14:paraId="35D09DA7"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DA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DA9" w14:textId="77777777" w:rsidR="00D42204" w:rsidRDefault="004E439D">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35D09DAA" w14:textId="77777777" w:rsidR="00D42204" w:rsidRDefault="004E439D">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35D09DAB" w14:textId="77777777" w:rsidR="00D42204" w:rsidRDefault="00D42204">
            <w:pPr>
              <w:rPr>
                <w:rFonts w:ascii="宋体"/>
                <w:vanish/>
              </w:rPr>
            </w:pPr>
          </w:p>
        </w:tc>
        <w:tc>
          <w:tcPr>
            <w:tcW w:w="0" w:type="auto"/>
            <w:shd w:val="clear" w:color="auto" w:fill="auto"/>
            <w:vAlign w:val="bottom"/>
          </w:tcPr>
          <w:p w14:paraId="35D09DAC" w14:textId="77777777" w:rsidR="00D42204" w:rsidRDefault="00D42204">
            <w:pPr>
              <w:rPr>
                <w:rFonts w:ascii="宋体"/>
                <w:vanish/>
              </w:rPr>
            </w:pPr>
          </w:p>
        </w:tc>
      </w:tr>
      <w:tr w:rsidR="00D42204" w14:paraId="35D09DBA" w14:textId="77777777">
        <w:trPr>
          <w:jc w:val="center"/>
        </w:trPr>
        <w:tc>
          <w:tcPr>
            <w:tcW w:w="0" w:type="auto"/>
            <w:gridSpan w:val="3"/>
            <w:shd w:val="clear" w:color="auto" w:fill="CCEEFF"/>
            <w:tcMar>
              <w:top w:w="40" w:type="dxa"/>
              <w:left w:w="245" w:type="dxa"/>
              <w:bottom w:w="40" w:type="dxa"/>
              <w:right w:w="20" w:type="dxa"/>
            </w:tcMar>
            <w:vAlign w:val="center"/>
          </w:tcPr>
          <w:p w14:paraId="35D09DAE" w14:textId="77777777" w:rsidR="00D42204" w:rsidRDefault="004E439D">
            <w:pPr>
              <w:textAlignment w:val="center"/>
            </w:pPr>
            <w:r>
              <w:rPr>
                <w:rFonts w:ascii="Times New Roman" w:eastAsia="宋体" w:hAnsi="Times New Roman"/>
                <w:color w:val="000000"/>
                <w:sz w:val="16"/>
                <w:szCs w:val="16"/>
              </w:rPr>
              <w:t>Unit counts at period end</w:t>
            </w:r>
          </w:p>
        </w:tc>
        <w:tc>
          <w:tcPr>
            <w:tcW w:w="0" w:type="auto"/>
            <w:gridSpan w:val="3"/>
            <w:shd w:val="clear" w:color="auto" w:fill="CCEEFF"/>
            <w:tcMar>
              <w:top w:w="0" w:type="dxa"/>
              <w:left w:w="20" w:type="dxa"/>
              <w:bottom w:w="0" w:type="dxa"/>
              <w:right w:w="20" w:type="dxa"/>
            </w:tcMar>
            <w:vAlign w:val="bottom"/>
          </w:tcPr>
          <w:p w14:paraId="35D09DA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DB0" w14:textId="77777777" w:rsidR="00D42204" w:rsidRDefault="004E439D">
            <w:pPr>
              <w:jc w:val="right"/>
              <w:textAlignment w:val="center"/>
            </w:pPr>
            <w:r>
              <w:rPr>
                <w:rFonts w:ascii="Times New Roman" w:eastAsia="宋体" w:hAnsi="Times New Roman"/>
                <w:color w:val="000000"/>
                <w:sz w:val="16"/>
                <w:szCs w:val="16"/>
              </w:rPr>
              <w:t>600 </w:t>
            </w:r>
          </w:p>
        </w:tc>
        <w:tc>
          <w:tcPr>
            <w:tcW w:w="0" w:type="auto"/>
            <w:shd w:val="clear" w:color="auto" w:fill="CCEEFF"/>
            <w:tcMar>
              <w:top w:w="40" w:type="dxa"/>
              <w:left w:w="0" w:type="dxa"/>
              <w:bottom w:w="40" w:type="dxa"/>
              <w:right w:w="20" w:type="dxa"/>
            </w:tcMar>
            <w:vAlign w:val="center"/>
          </w:tcPr>
          <w:p w14:paraId="35D09DB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DB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DB3" w14:textId="77777777" w:rsidR="00D42204" w:rsidRDefault="004E439D">
            <w:pPr>
              <w:jc w:val="right"/>
              <w:textAlignment w:val="center"/>
            </w:pPr>
            <w:r>
              <w:rPr>
                <w:rFonts w:ascii="Times New Roman" w:eastAsia="宋体" w:hAnsi="Times New Roman"/>
                <w:color w:val="000000"/>
                <w:sz w:val="16"/>
                <w:szCs w:val="16"/>
              </w:rPr>
              <w:t>599 </w:t>
            </w:r>
          </w:p>
        </w:tc>
        <w:tc>
          <w:tcPr>
            <w:tcW w:w="0" w:type="auto"/>
            <w:shd w:val="clear" w:color="auto" w:fill="CCEEFF"/>
            <w:tcMar>
              <w:top w:w="40" w:type="dxa"/>
              <w:left w:w="0" w:type="dxa"/>
              <w:bottom w:w="40" w:type="dxa"/>
              <w:right w:w="20" w:type="dxa"/>
            </w:tcMar>
            <w:vAlign w:val="center"/>
          </w:tcPr>
          <w:p w14:paraId="35D09DB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DB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DB6" w14:textId="77777777" w:rsidR="00D42204" w:rsidRDefault="004E439D">
            <w:pPr>
              <w:jc w:val="right"/>
              <w:textAlignment w:val="center"/>
            </w:pPr>
            <w:r>
              <w:rPr>
                <w:rFonts w:ascii="Times New Roman" w:eastAsia="宋体" w:hAnsi="Times New Roman"/>
                <w:color w:val="000000"/>
                <w:sz w:val="16"/>
                <w:szCs w:val="16"/>
              </w:rPr>
              <w:t>599 </w:t>
            </w:r>
          </w:p>
        </w:tc>
        <w:tc>
          <w:tcPr>
            <w:tcW w:w="0" w:type="auto"/>
            <w:shd w:val="clear" w:color="auto" w:fill="CCEEFF"/>
            <w:tcMar>
              <w:top w:w="40" w:type="dxa"/>
              <w:left w:w="0" w:type="dxa"/>
              <w:bottom w:w="40" w:type="dxa"/>
              <w:right w:w="20" w:type="dxa"/>
            </w:tcMar>
            <w:vAlign w:val="center"/>
          </w:tcPr>
          <w:p w14:paraId="35D09DB7" w14:textId="77777777" w:rsidR="00D42204" w:rsidRDefault="00D42204">
            <w:pPr>
              <w:jc w:val="right"/>
              <w:rPr>
                <w:rFonts w:ascii="宋体"/>
              </w:rPr>
            </w:pPr>
          </w:p>
        </w:tc>
        <w:tc>
          <w:tcPr>
            <w:tcW w:w="0" w:type="auto"/>
            <w:shd w:val="clear" w:color="auto" w:fill="auto"/>
            <w:vAlign w:val="bottom"/>
          </w:tcPr>
          <w:p w14:paraId="35D09DB8" w14:textId="77777777" w:rsidR="00D42204" w:rsidRDefault="00D42204">
            <w:pPr>
              <w:rPr>
                <w:rFonts w:ascii="宋体"/>
                <w:vanish/>
              </w:rPr>
            </w:pPr>
          </w:p>
        </w:tc>
        <w:tc>
          <w:tcPr>
            <w:tcW w:w="0" w:type="auto"/>
            <w:shd w:val="clear" w:color="auto" w:fill="auto"/>
            <w:vAlign w:val="bottom"/>
          </w:tcPr>
          <w:p w14:paraId="35D09DB9" w14:textId="77777777" w:rsidR="00D42204" w:rsidRDefault="00D42204">
            <w:pPr>
              <w:rPr>
                <w:rFonts w:ascii="宋体"/>
                <w:vanish/>
              </w:rPr>
            </w:pPr>
          </w:p>
        </w:tc>
      </w:tr>
      <w:tr w:rsidR="00D42204" w14:paraId="35D09DC7" w14:textId="77777777">
        <w:trPr>
          <w:jc w:val="center"/>
        </w:trPr>
        <w:tc>
          <w:tcPr>
            <w:tcW w:w="0" w:type="auto"/>
            <w:gridSpan w:val="3"/>
            <w:shd w:val="clear" w:color="auto" w:fill="FFFFFF"/>
            <w:tcMar>
              <w:top w:w="40" w:type="dxa"/>
              <w:left w:w="245" w:type="dxa"/>
              <w:bottom w:w="40" w:type="dxa"/>
              <w:right w:w="20" w:type="dxa"/>
            </w:tcMar>
            <w:vAlign w:val="center"/>
          </w:tcPr>
          <w:p w14:paraId="35D09DBB" w14:textId="77777777" w:rsidR="00D42204" w:rsidRDefault="004E439D">
            <w:pPr>
              <w:textAlignment w:val="center"/>
            </w:pPr>
            <w:r>
              <w:rPr>
                <w:rFonts w:ascii="Times New Roman" w:eastAsia="宋体" w:hAnsi="Times New Roman"/>
                <w:color w:val="000000"/>
                <w:sz w:val="16"/>
                <w:szCs w:val="16"/>
              </w:rPr>
              <w:t>Retail square feet at period end</w:t>
            </w:r>
          </w:p>
        </w:tc>
        <w:tc>
          <w:tcPr>
            <w:tcW w:w="0" w:type="auto"/>
            <w:gridSpan w:val="3"/>
            <w:shd w:val="clear" w:color="auto" w:fill="FFFFFF"/>
            <w:tcMar>
              <w:top w:w="0" w:type="dxa"/>
              <w:left w:w="20" w:type="dxa"/>
              <w:bottom w:w="0" w:type="dxa"/>
              <w:right w:w="20" w:type="dxa"/>
            </w:tcMar>
            <w:vAlign w:val="bottom"/>
          </w:tcPr>
          <w:p w14:paraId="35D09DB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DBD" w14:textId="77777777" w:rsidR="00D42204" w:rsidRDefault="004E439D">
            <w:pPr>
              <w:jc w:val="right"/>
              <w:textAlignment w:val="center"/>
            </w:pPr>
            <w:r>
              <w:rPr>
                <w:rFonts w:ascii="Times New Roman" w:eastAsia="宋体" w:hAnsi="Times New Roman"/>
                <w:color w:val="000000"/>
                <w:sz w:val="16"/>
                <w:szCs w:val="16"/>
              </w:rPr>
              <w:t>80 </w:t>
            </w:r>
          </w:p>
        </w:tc>
        <w:tc>
          <w:tcPr>
            <w:tcW w:w="0" w:type="auto"/>
            <w:shd w:val="clear" w:color="auto" w:fill="FFFFFF"/>
            <w:tcMar>
              <w:top w:w="40" w:type="dxa"/>
              <w:left w:w="0" w:type="dxa"/>
              <w:bottom w:w="40" w:type="dxa"/>
              <w:right w:w="20" w:type="dxa"/>
            </w:tcMar>
            <w:vAlign w:val="center"/>
          </w:tcPr>
          <w:p w14:paraId="35D09DB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DB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DC0" w14:textId="77777777" w:rsidR="00D42204" w:rsidRDefault="004E439D">
            <w:pPr>
              <w:jc w:val="right"/>
              <w:textAlignment w:val="center"/>
            </w:pPr>
            <w:r>
              <w:rPr>
                <w:rFonts w:ascii="Times New Roman" w:eastAsia="宋体" w:hAnsi="Times New Roman"/>
                <w:color w:val="000000"/>
                <w:sz w:val="16"/>
                <w:szCs w:val="16"/>
              </w:rPr>
              <w:t>80 </w:t>
            </w:r>
          </w:p>
        </w:tc>
        <w:tc>
          <w:tcPr>
            <w:tcW w:w="0" w:type="auto"/>
            <w:shd w:val="clear" w:color="auto" w:fill="FFFFFF"/>
            <w:tcMar>
              <w:top w:w="40" w:type="dxa"/>
              <w:left w:w="0" w:type="dxa"/>
              <w:bottom w:w="40" w:type="dxa"/>
              <w:right w:w="20" w:type="dxa"/>
            </w:tcMar>
            <w:vAlign w:val="center"/>
          </w:tcPr>
          <w:p w14:paraId="35D09DC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DC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DC3" w14:textId="77777777" w:rsidR="00D42204" w:rsidRDefault="004E439D">
            <w:pPr>
              <w:jc w:val="right"/>
              <w:textAlignment w:val="center"/>
            </w:pPr>
            <w:r>
              <w:rPr>
                <w:rFonts w:ascii="Times New Roman" w:eastAsia="宋体" w:hAnsi="Times New Roman"/>
                <w:color w:val="000000"/>
                <w:sz w:val="16"/>
                <w:szCs w:val="16"/>
              </w:rPr>
              <w:t>80 </w:t>
            </w:r>
          </w:p>
        </w:tc>
        <w:tc>
          <w:tcPr>
            <w:tcW w:w="0" w:type="auto"/>
            <w:shd w:val="clear" w:color="auto" w:fill="FFFFFF"/>
            <w:tcMar>
              <w:top w:w="40" w:type="dxa"/>
              <w:left w:w="0" w:type="dxa"/>
              <w:bottom w:w="40" w:type="dxa"/>
              <w:right w:w="20" w:type="dxa"/>
            </w:tcMar>
            <w:vAlign w:val="center"/>
          </w:tcPr>
          <w:p w14:paraId="35D09DC4" w14:textId="77777777" w:rsidR="00D42204" w:rsidRDefault="00D42204">
            <w:pPr>
              <w:jc w:val="right"/>
              <w:rPr>
                <w:rFonts w:ascii="宋体"/>
              </w:rPr>
            </w:pPr>
          </w:p>
        </w:tc>
        <w:tc>
          <w:tcPr>
            <w:tcW w:w="0" w:type="auto"/>
            <w:shd w:val="clear" w:color="auto" w:fill="auto"/>
            <w:vAlign w:val="bottom"/>
          </w:tcPr>
          <w:p w14:paraId="35D09DC5" w14:textId="77777777" w:rsidR="00D42204" w:rsidRDefault="00D42204">
            <w:pPr>
              <w:rPr>
                <w:rFonts w:ascii="宋体"/>
                <w:vanish/>
              </w:rPr>
            </w:pPr>
          </w:p>
        </w:tc>
        <w:tc>
          <w:tcPr>
            <w:tcW w:w="0" w:type="auto"/>
            <w:shd w:val="clear" w:color="auto" w:fill="auto"/>
            <w:vAlign w:val="bottom"/>
          </w:tcPr>
          <w:p w14:paraId="35D09DC6" w14:textId="77777777" w:rsidR="00D42204" w:rsidRDefault="00D42204">
            <w:pPr>
              <w:rPr>
                <w:rFonts w:ascii="宋体"/>
                <w:vanish/>
              </w:rPr>
            </w:pPr>
          </w:p>
        </w:tc>
      </w:tr>
      <w:tr w:rsidR="00D42204" w14:paraId="35D09DD1" w14:textId="77777777">
        <w:trPr>
          <w:trHeight w:val="220"/>
          <w:jc w:val="center"/>
        </w:trPr>
        <w:tc>
          <w:tcPr>
            <w:tcW w:w="0" w:type="auto"/>
            <w:gridSpan w:val="3"/>
            <w:shd w:val="clear" w:color="auto" w:fill="CCEEFF"/>
            <w:tcMar>
              <w:top w:w="0" w:type="dxa"/>
              <w:left w:w="20" w:type="dxa"/>
              <w:bottom w:w="0" w:type="dxa"/>
              <w:right w:w="20" w:type="dxa"/>
            </w:tcMar>
            <w:vAlign w:val="bottom"/>
          </w:tcPr>
          <w:p w14:paraId="35D09DC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DC9"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DC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DCB"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DCC"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DCD"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9DCE" w14:textId="77777777" w:rsidR="00D42204" w:rsidRDefault="00D42204">
            <w:pPr>
              <w:rPr>
                <w:rFonts w:ascii="宋体"/>
              </w:rPr>
            </w:pPr>
          </w:p>
        </w:tc>
        <w:tc>
          <w:tcPr>
            <w:tcW w:w="0" w:type="auto"/>
            <w:shd w:val="clear" w:color="auto" w:fill="auto"/>
            <w:vAlign w:val="bottom"/>
          </w:tcPr>
          <w:p w14:paraId="35D09DCF" w14:textId="77777777" w:rsidR="00D42204" w:rsidRDefault="00D42204">
            <w:pPr>
              <w:rPr>
                <w:rFonts w:ascii="宋体"/>
                <w:vanish/>
              </w:rPr>
            </w:pPr>
          </w:p>
        </w:tc>
        <w:tc>
          <w:tcPr>
            <w:tcW w:w="0" w:type="auto"/>
            <w:shd w:val="clear" w:color="auto" w:fill="auto"/>
            <w:vAlign w:val="bottom"/>
          </w:tcPr>
          <w:p w14:paraId="35D09DD0" w14:textId="77777777" w:rsidR="00D42204" w:rsidRDefault="00D42204">
            <w:pPr>
              <w:rPr>
                <w:rFonts w:ascii="宋体"/>
                <w:vanish/>
              </w:rPr>
            </w:pPr>
          </w:p>
        </w:tc>
      </w:tr>
      <w:tr w:rsidR="00D42204" w14:paraId="35D09DDB" w14:textId="77777777">
        <w:trPr>
          <w:jc w:val="center"/>
        </w:trPr>
        <w:tc>
          <w:tcPr>
            <w:tcW w:w="0" w:type="auto"/>
            <w:gridSpan w:val="3"/>
            <w:shd w:val="clear" w:color="auto" w:fill="FFFFFF"/>
            <w:tcMar>
              <w:top w:w="40" w:type="dxa"/>
              <w:left w:w="20" w:type="dxa"/>
              <w:bottom w:w="40" w:type="dxa"/>
              <w:right w:w="20" w:type="dxa"/>
            </w:tcMar>
            <w:vAlign w:val="center"/>
          </w:tcPr>
          <w:p w14:paraId="35D09DD2" w14:textId="77777777" w:rsidR="00D42204" w:rsidRDefault="004E439D">
            <w:pPr>
              <w:textAlignment w:val="center"/>
            </w:pPr>
            <w:r>
              <w:rPr>
                <w:rFonts w:ascii="Times New Roman" w:eastAsia="宋体" w:hAnsi="Times New Roman"/>
                <w:b/>
                <w:bCs/>
                <w:i/>
                <w:iCs/>
                <w:color w:val="000000"/>
                <w:sz w:val="16"/>
                <w:szCs w:val="16"/>
              </w:rPr>
              <w:t xml:space="preserve">Excluding Fuel </w:t>
            </w:r>
            <w:r>
              <w:rPr>
                <w:rFonts w:ascii="Times New Roman" w:eastAsia="宋体" w:hAnsi="Times New Roman"/>
                <w:b/>
                <w:bCs/>
                <w:i/>
                <w:iCs/>
                <w:color w:val="000000"/>
                <w:sz w:val="10"/>
                <w:szCs w:val="10"/>
              </w:rPr>
              <w:t>(1)</w:t>
            </w:r>
          </w:p>
        </w:tc>
        <w:tc>
          <w:tcPr>
            <w:tcW w:w="0" w:type="auto"/>
            <w:gridSpan w:val="3"/>
            <w:shd w:val="clear" w:color="auto" w:fill="FFFFFF"/>
            <w:tcMar>
              <w:top w:w="0" w:type="dxa"/>
              <w:left w:w="20" w:type="dxa"/>
              <w:bottom w:w="0" w:type="dxa"/>
              <w:right w:w="20" w:type="dxa"/>
            </w:tcMar>
            <w:vAlign w:val="bottom"/>
          </w:tcPr>
          <w:p w14:paraId="35D09DD3"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DD4"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DD5"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DD6"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DD7"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9DD8" w14:textId="77777777" w:rsidR="00D42204" w:rsidRDefault="00D42204">
            <w:pPr>
              <w:rPr>
                <w:rFonts w:ascii="宋体"/>
              </w:rPr>
            </w:pPr>
          </w:p>
        </w:tc>
        <w:tc>
          <w:tcPr>
            <w:tcW w:w="0" w:type="auto"/>
            <w:shd w:val="clear" w:color="auto" w:fill="auto"/>
            <w:vAlign w:val="bottom"/>
          </w:tcPr>
          <w:p w14:paraId="35D09DD9" w14:textId="77777777" w:rsidR="00D42204" w:rsidRDefault="00D42204">
            <w:pPr>
              <w:rPr>
                <w:rFonts w:ascii="宋体"/>
                <w:vanish/>
              </w:rPr>
            </w:pPr>
          </w:p>
        </w:tc>
        <w:tc>
          <w:tcPr>
            <w:tcW w:w="0" w:type="auto"/>
            <w:shd w:val="clear" w:color="auto" w:fill="auto"/>
            <w:vAlign w:val="bottom"/>
          </w:tcPr>
          <w:p w14:paraId="35D09DDA" w14:textId="77777777" w:rsidR="00D42204" w:rsidRDefault="00D42204">
            <w:pPr>
              <w:rPr>
                <w:rFonts w:ascii="宋体"/>
                <w:vanish/>
              </w:rPr>
            </w:pPr>
          </w:p>
        </w:tc>
      </w:tr>
      <w:tr w:rsidR="00D42204" w14:paraId="35D09DEB" w14:textId="77777777">
        <w:trPr>
          <w:jc w:val="center"/>
        </w:trPr>
        <w:tc>
          <w:tcPr>
            <w:tcW w:w="0" w:type="auto"/>
            <w:gridSpan w:val="3"/>
            <w:shd w:val="clear" w:color="auto" w:fill="CCEEFF"/>
            <w:tcMar>
              <w:top w:w="40" w:type="dxa"/>
              <w:left w:w="245" w:type="dxa"/>
              <w:bottom w:w="40" w:type="dxa"/>
              <w:right w:w="20" w:type="dxa"/>
            </w:tcMar>
            <w:vAlign w:val="center"/>
          </w:tcPr>
          <w:p w14:paraId="35D09DDC" w14:textId="77777777" w:rsidR="00D42204" w:rsidRDefault="004E439D">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35D09DDD"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DDE"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DDF" w14:textId="77777777" w:rsidR="00D42204" w:rsidRDefault="004E439D">
            <w:pPr>
              <w:jc w:val="right"/>
              <w:textAlignment w:val="center"/>
            </w:pPr>
            <w:r>
              <w:rPr>
                <w:rFonts w:ascii="Times New Roman" w:eastAsia="宋体" w:hAnsi="Times New Roman"/>
                <w:color w:val="000000"/>
                <w:sz w:val="16"/>
                <w:szCs w:val="16"/>
              </w:rPr>
              <w:t>64,860 </w:t>
            </w:r>
          </w:p>
        </w:tc>
        <w:tc>
          <w:tcPr>
            <w:tcW w:w="0" w:type="auto"/>
            <w:shd w:val="clear" w:color="auto" w:fill="CCEEFF"/>
            <w:tcMar>
              <w:top w:w="40" w:type="dxa"/>
              <w:left w:w="0" w:type="dxa"/>
              <w:bottom w:w="40" w:type="dxa"/>
              <w:right w:w="20" w:type="dxa"/>
            </w:tcMar>
            <w:vAlign w:val="center"/>
          </w:tcPr>
          <w:p w14:paraId="35D09DE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DE1"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DE2"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DE3" w14:textId="77777777" w:rsidR="00D42204" w:rsidRDefault="004E439D">
            <w:pPr>
              <w:jc w:val="right"/>
              <w:textAlignment w:val="center"/>
            </w:pPr>
            <w:r>
              <w:rPr>
                <w:rFonts w:ascii="Times New Roman" w:eastAsia="宋体" w:hAnsi="Times New Roman"/>
                <w:color w:val="000000"/>
                <w:sz w:val="16"/>
                <w:szCs w:val="16"/>
              </w:rPr>
              <w:t>59,184 </w:t>
            </w:r>
          </w:p>
        </w:tc>
        <w:tc>
          <w:tcPr>
            <w:tcW w:w="0" w:type="auto"/>
            <w:shd w:val="clear" w:color="auto" w:fill="CCEEFF"/>
            <w:tcMar>
              <w:top w:w="40" w:type="dxa"/>
              <w:left w:w="0" w:type="dxa"/>
              <w:bottom w:w="40" w:type="dxa"/>
              <w:right w:w="20" w:type="dxa"/>
            </w:tcMar>
            <w:vAlign w:val="center"/>
          </w:tcPr>
          <w:p w14:paraId="35D09DE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DE5"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DE6"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DE7" w14:textId="77777777" w:rsidR="00D42204" w:rsidRDefault="004E439D">
            <w:pPr>
              <w:jc w:val="right"/>
              <w:textAlignment w:val="center"/>
            </w:pPr>
            <w:r>
              <w:rPr>
                <w:rFonts w:ascii="Times New Roman" w:eastAsia="宋体" w:hAnsi="Times New Roman"/>
                <w:color w:val="000000"/>
                <w:sz w:val="16"/>
                <w:szCs w:val="16"/>
              </w:rPr>
              <w:t>52,792 </w:t>
            </w:r>
          </w:p>
        </w:tc>
        <w:tc>
          <w:tcPr>
            <w:tcW w:w="0" w:type="auto"/>
            <w:shd w:val="clear" w:color="auto" w:fill="CCEEFF"/>
            <w:tcMar>
              <w:top w:w="40" w:type="dxa"/>
              <w:left w:w="0" w:type="dxa"/>
              <w:bottom w:w="40" w:type="dxa"/>
              <w:right w:w="20" w:type="dxa"/>
            </w:tcMar>
            <w:vAlign w:val="center"/>
          </w:tcPr>
          <w:p w14:paraId="35D09DE8" w14:textId="77777777" w:rsidR="00D42204" w:rsidRDefault="00D42204">
            <w:pPr>
              <w:jc w:val="right"/>
              <w:rPr>
                <w:rFonts w:ascii="宋体"/>
              </w:rPr>
            </w:pPr>
          </w:p>
        </w:tc>
        <w:tc>
          <w:tcPr>
            <w:tcW w:w="0" w:type="auto"/>
            <w:shd w:val="clear" w:color="auto" w:fill="auto"/>
            <w:vAlign w:val="bottom"/>
          </w:tcPr>
          <w:p w14:paraId="35D09DE9" w14:textId="77777777" w:rsidR="00D42204" w:rsidRDefault="00D42204">
            <w:pPr>
              <w:rPr>
                <w:rFonts w:ascii="宋体"/>
                <w:vanish/>
              </w:rPr>
            </w:pPr>
          </w:p>
        </w:tc>
        <w:tc>
          <w:tcPr>
            <w:tcW w:w="0" w:type="auto"/>
            <w:shd w:val="clear" w:color="auto" w:fill="auto"/>
            <w:vAlign w:val="bottom"/>
          </w:tcPr>
          <w:p w14:paraId="35D09DEA" w14:textId="77777777" w:rsidR="00D42204" w:rsidRDefault="00D42204">
            <w:pPr>
              <w:rPr>
                <w:rFonts w:ascii="宋体"/>
                <w:vanish/>
              </w:rPr>
            </w:pPr>
          </w:p>
        </w:tc>
      </w:tr>
      <w:tr w:rsidR="00D42204" w14:paraId="35D09DF8" w14:textId="77777777">
        <w:trPr>
          <w:jc w:val="center"/>
        </w:trPr>
        <w:tc>
          <w:tcPr>
            <w:tcW w:w="0" w:type="auto"/>
            <w:gridSpan w:val="3"/>
            <w:shd w:val="clear" w:color="auto" w:fill="FFFFFF"/>
            <w:tcMar>
              <w:top w:w="40" w:type="dxa"/>
              <w:left w:w="245" w:type="dxa"/>
              <w:bottom w:w="40" w:type="dxa"/>
              <w:right w:w="20" w:type="dxa"/>
            </w:tcMar>
            <w:vAlign w:val="center"/>
          </w:tcPr>
          <w:p w14:paraId="35D09DEC" w14:textId="77777777" w:rsidR="00D42204" w:rsidRDefault="004E439D">
            <w:pPr>
              <w:textAlignment w:val="center"/>
            </w:pPr>
            <w:r>
              <w:rPr>
                <w:rFonts w:ascii="Times New Roman" w:eastAsia="宋体" w:hAnsi="Times New Roman"/>
                <w:color w:val="000000"/>
                <w:sz w:val="16"/>
                <w:szCs w:val="16"/>
              </w:rPr>
              <w:t>Percentage change from comparable period</w:t>
            </w:r>
          </w:p>
        </w:tc>
        <w:tc>
          <w:tcPr>
            <w:tcW w:w="0" w:type="auto"/>
            <w:gridSpan w:val="3"/>
            <w:shd w:val="clear" w:color="auto" w:fill="FFFFFF"/>
            <w:tcMar>
              <w:top w:w="0" w:type="dxa"/>
              <w:left w:w="20" w:type="dxa"/>
              <w:bottom w:w="0" w:type="dxa"/>
              <w:right w:w="20" w:type="dxa"/>
            </w:tcMar>
            <w:vAlign w:val="bottom"/>
          </w:tcPr>
          <w:p w14:paraId="35D09DE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DEE" w14:textId="77777777" w:rsidR="00D42204" w:rsidRDefault="004E439D">
            <w:pPr>
              <w:jc w:val="right"/>
              <w:textAlignment w:val="center"/>
            </w:pPr>
            <w:r>
              <w:rPr>
                <w:rFonts w:ascii="Times New Roman" w:eastAsia="宋体" w:hAnsi="Times New Roman"/>
                <w:color w:val="000000"/>
                <w:sz w:val="16"/>
                <w:szCs w:val="16"/>
              </w:rPr>
              <w:t>9.6 </w:t>
            </w:r>
          </w:p>
        </w:tc>
        <w:tc>
          <w:tcPr>
            <w:tcW w:w="0" w:type="auto"/>
            <w:shd w:val="clear" w:color="auto" w:fill="FFFFFF"/>
            <w:tcMar>
              <w:top w:w="40" w:type="dxa"/>
              <w:left w:w="0" w:type="dxa"/>
              <w:bottom w:w="40" w:type="dxa"/>
              <w:right w:w="20" w:type="dxa"/>
            </w:tcMar>
            <w:vAlign w:val="center"/>
          </w:tcPr>
          <w:p w14:paraId="35D09DEF"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DF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DF1" w14:textId="77777777" w:rsidR="00D42204" w:rsidRDefault="004E439D">
            <w:pPr>
              <w:jc w:val="right"/>
              <w:textAlignment w:val="center"/>
            </w:pPr>
            <w:r>
              <w:rPr>
                <w:rFonts w:ascii="Times New Roman" w:eastAsia="宋体" w:hAnsi="Times New Roman"/>
                <w:color w:val="000000"/>
                <w:sz w:val="16"/>
                <w:szCs w:val="16"/>
              </w:rPr>
              <w:t>12.1 </w:t>
            </w:r>
          </w:p>
        </w:tc>
        <w:tc>
          <w:tcPr>
            <w:tcW w:w="0" w:type="auto"/>
            <w:shd w:val="clear" w:color="auto" w:fill="FFFFFF"/>
            <w:tcMar>
              <w:top w:w="40" w:type="dxa"/>
              <w:left w:w="0" w:type="dxa"/>
              <w:bottom w:w="40" w:type="dxa"/>
              <w:right w:w="20" w:type="dxa"/>
            </w:tcMar>
            <w:vAlign w:val="center"/>
          </w:tcPr>
          <w:p w14:paraId="35D09DF2"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DF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DF4" w14:textId="77777777" w:rsidR="00D42204" w:rsidRDefault="004E439D">
            <w:pPr>
              <w:jc w:val="right"/>
              <w:textAlignment w:val="center"/>
            </w:pPr>
            <w:r>
              <w:rPr>
                <w:rFonts w:ascii="Times New Roman" w:eastAsia="宋体" w:hAnsi="Times New Roman"/>
                <w:color w:val="000000"/>
                <w:sz w:val="16"/>
                <w:szCs w:val="16"/>
              </w:rPr>
              <w:t>0.9 </w:t>
            </w:r>
          </w:p>
        </w:tc>
        <w:tc>
          <w:tcPr>
            <w:tcW w:w="0" w:type="auto"/>
            <w:shd w:val="clear" w:color="auto" w:fill="FFFFFF"/>
            <w:tcMar>
              <w:top w:w="40" w:type="dxa"/>
              <w:left w:w="0" w:type="dxa"/>
              <w:bottom w:w="40" w:type="dxa"/>
              <w:right w:w="20" w:type="dxa"/>
            </w:tcMar>
            <w:vAlign w:val="center"/>
          </w:tcPr>
          <w:p w14:paraId="35D09DF5" w14:textId="77777777" w:rsidR="00D42204" w:rsidRDefault="004E439D">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35D09DF6" w14:textId="77777777" w:rsidR="00D42204" w:rsidRDefault="00D42204">
            <w:pPr>
              <w:rPr>
                <w:rFonts w:ascii="宋体"/>
                <w:vanish/>
              </w:rPr>
            </w:pPr>
          </w:p>
        </w:tc>
        <w:tc>
          <w:tcPr>
            <w:tcW w:w="0" w:type="auto"/>
            <w:shd w:val="clear" w:color="auto" w:fill="auto"/>
            <w:vAlign w:val="bottom"/>
          </w:tcPr>
          <w:p w14:paraId="35D09DF7" w14:textId="77777777" w:rsidR="00D42204" w:rsidRDefault="00D42204">
            <w:pPr>
              <w:rPr>
                <w:rFonts w:ascii="宋体"/>
                <w:vanish/>
              </w:rPr>
            </w:pPr>
          </w:p>
        </w:tc>
      </w:tr>
      <w:tr w:rsidR="00D42204" w14:paraId="35D09E08" w14:textId="77777777">
        <w:trPr>
          <w:jc w:val="center"/>
        </w:trPr>
        <w:tc>
          <w:tcPr>
            <w:tcW w:w="0" w:type="auto"/>
            <w:gridSpan w:val="3"/>
            <w:shd w:val="clear" w:color="auto" w:fill="CCEEFF"/>
            <w:tcMar>
              <w:top w:w="40" w:type="dxa"/>
              <w:left w:w="245" w:type="dxa"/>
              <w:bottom w:w="40" w:type="dxa"/>
              <w:right w:w="20" w:type="dxa"/>
            </w:tcMar>
            <w:vAlign w:val="center"/>
          </w:tcPr>
          <w:p w14:paraId="35D09DF9" w14:textId="77777777" w:rsidR="00D42204" w:rsidRDefault="004E439D">
            <w:pPr>
              <w:textAlignment w:val="center"/>
            </w:pPr>
            <w:r>
              <w:rPr>
                <w:rFonts w:ascii="Times New Roman" w:eastAsia="宋体" w:hAnsi="Times New Roman"/>
                <w:color w:val="000000"/>
                <w:sz w:val="16"/>
                <w:szCs w:val="16"/>
              </w:rPr>
              <w:t>Operating income</w:t>
            </w:r>
          </w:p>
        </w:tc>
        <w:tc>
          <w:tcPr>
            <w:tcW w:w="0" w:type="auto"/>
            <w:gridSpan w:val="3"/>
            <w:shd w:val="clear" w:color="auto" w:fill="CCEEFF"/>
            <w:tcMar>
              <w:top w:w="0" w:type="dxa"/>
              <w:left w:w="20" w:type="dxa"/>
              <w:bottom w:w="0" w:type="dxa"/>
              <w:right w:w="20" w:type="dxa"/>
            </w:tcMar>
            <w:vAlign w:val="bottom"/>
          </w:tcPr>
          <w:p w14:paraId="35D09DFA"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DFB"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DFC" w14:textId="77777777" w:rsidR="00D42204" w:rsidRDefault="004E439D">
            <w:pPr>
              <w:jc w:val="right"/>
              <w:textAlignment w:val="center"/>
            </w:pPr>
            <w:r>
              <w:rPr>
                <w:rFonts w:ascii="Times New Roman" w:eastAsia="宋体" w:hAnsi="Times New Roman"/>
                <w:color w:val="000000"/>
                <w:sz w:val="16"/>
                <w:szCs w:val="16"/>
              </w:rPr>
              <w:t>1,923 </w:t>
            </w:r>
          </w:p>
        </w:tc>
        <w:tc>
          <w:tcPr>
            <w:tcW w:w="0" w:type="auto"/>
            <w:shd w:val="clear" w:color="auto" w:fill="CCEEFF"/>
            <w:tcMar>
              <w:top w:w="40" w:type="dxa"/>
              <w:left w:w="0" w:type="dxa"/>
              <w:bottom w:w="40" w:type="dxa"/>
              <w:right w:w="20" w:type="dxa"/>
            </w:tcMar>
            <w:vAlign w:val="center"/>
          </w:tcPr>
          <w:p w14:paraId="35D09DF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DFE"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DFF"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E00" w14:textId="77777777" w:rsidR="00D42204" w:rsidRDefault="004E439D">
            <w:pPr>
              <w:jc w:val="right"/>
              <w:textAlignment w:val="center"/>
            </w:pPr>
            <w:r>
              <w:rPr>
                <w:rFonts w:ascii="Times New Roman" w:eastAsia="宋体" w:hAnsi="Times New Roman"/>
                <w:color w:val="000000"/>
                <w:sz w:val="16"/>
                <w:szCs w:val="16"/>
              </w:rPr>
              <w:t>1,645 </w:t>
            </w:r>
          </w:p>
        </w:tc>
        <w:tc>
          <w:tcPr>
            <w:tcW w:w="0" w:type="auto"/>
            <w:shd w:val="clear" w:color="auto" w:fill="CCEEFF"/>
            <w:tcMar>
              <w:top w:w="40" w:type="dxa"/>
              <w:left w:w="0" w:type="dxa"/>
              <w:bottom w:w="40" w:type="dxa"/>
              <w:right w:w="20" w:type="dxa"/>
            </w:tcMar>
            <w:vAlign w:val="center"/>
          </w:tcPr>
          <w:p w14:paraId="35D09E0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E02"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E03"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E04" w14:textId="77777777" w:rsidR="00D42204" w:rsidRDefault="004E439D">
            <w:pPr>
              <w:jc w:val="right"/>
              <w:textAlignment w:val="center"/>
            </w:pPr>
            <w:r>
              <w:rPr>
                <w:rFonts w:ascii="Times New Roman" w:eastAsia="宋体" w:hAnsi="Times New Roman"/>
                <w:color w:val="000000"/>
                <w:sz w:val="16"/>
                <w:szCs w:val="16"/>
              </w:rPr>
              <w:t>1,486 </w:t>
            </w:r>
          </w:p>
        </w:tc>
        <w:tc>
          <w:tcPr>
            <w:tcW w:w="0" w:type="auto"/>
            <w:shd w:val="clear" w:color="auto" w:fill="CCEEFF"/>
            <w:tcMar>
              <w:top w:w="40" w:type="dxa"/>
              <w:left w:w="0" w:type="dxa"/>
              <w:bottom w:w="40" w:type="dxa"/>
              <w:right w:w="20" w:type="dxa"/>
            </w:tcMar>
            <w:vAlign w:val="center"/>
          </w:tcPr>
          <w:p w14:paraId="35D09E05" w14:textId="77777777" w:rsidR="00D42204" w:rsidRDefault="00D42204">
            <w:pPr>
              <w:jc w:val="right"/>
              <w:rPr>
                <w:rFonts w:ascii="宋体"/>
              </w:rPr>
            </w:pPr>
          </w:p>
        </w:tc>
        <w:tc>
          <w:tcPr>
            <w:tcW w:w="0" w:type="auto"/>
            <w:shd w:val="clear" w:color="auto" w:fill="auto"/>
            <w:vAlign w:val="bottom"/>
          </w:tcPr>
          <w:p w14:paraId="35D09E06" w14:textId="77777777" w:rsidR="00D42204" w:rsidRDefault="00D42204">
            <w:pPr>
              <w:rPr>
                <w:rFonts w:ascii="宋体"/>
                <w:vanish/>
              </w:rPr>
            </w:pPr>
          </w:p>
        </w:tc>
        <w:tc>
          <w:tcPr>
            <w:tcW w:w="0" w:type="auto"/>
            <w:shd w:val="clear" w:color="auto" w:fill="auto"/>
            <w:vAlign w:val="bottom"/>
          </w:tcPr>
          <w:p w14:paraId="35D09E07" w14:textId="77777777" w:rsidR="00D42204" w:rsidRDefault="00D42204">
            <w:pPr>
              <w:rPr>
                <w:rFonts w:ascii="宋体"/>
                <w:vanish/>
              </w:rPr>
            </w:pPr>
          </w:p>
        </w:tc>
      </w:tr>
      <w:tr w:rsidR="00D42204" w14:paraId="35D09E15" w14:textId="77777777">
        <w:trPr>
          <w:jc w:val="center"/>
        </w:trPr>
        <w:tc>
          <w:tcPr>
            <w:tcW w:w="0" w:type="auto"/>
            <w:gridSpan w:val="3"/>
            <w:shd w:val="clear" w:color="auto" w:fill="FFFFFF"/>
            <w:tcMar>
              <w:top w:w="40" w:type="dxa"/>
              <w:left w:w="245" w:type="dxa"/>
              <w:bottom w:w="40" w:type="dxa"/>
              <w:right w:w="20" w:type="dxa"/>
            </w:tcMar>
            <w:vAlign w:val="center"/>
          </w:tcPr>
          <w:p w14:paraId="35D09E09" w14:textId="77777777" w:rsidR="00D42204" w:rsidRDefault="004E439D">
            <w:pPr>
              <w:textAlignment w:val="center"/>
            </w:pPr>
            <w:r>
              <w:rPr>
                <w:rFonts w:ascii="Times New Roman" w:eastAsia="宋体" w:hAnsi="Times New Roman"/>
                <w:color w:val="000000"/>
                <w:sz w:val="16"/>
                <w:szCs w:val="16"/>
              </w:rPr>
              <w:t>Operating income as a percentage of net sales</w:t>
            </w:r>
          </w:p>
        </w:tc>
        <w:tc>
          <w:tcPr>
            <w:tcW w:w="0" w:type="auto"/>
            <w:gridSpan w:val="3"/>
            <w:shd w:val="clear" w:color="auto" w:fill="FFFFFF"/>
            <w:tcMar>
              <w:top w:w="0" w:type="dxa"/>
              <w:left w:w="20" w:type="dxa"/>
              <w:bottom w:w="0" w:type="dxa"/>
              <w:right w:w="20" w:type="dxa"/>
            </w:tcMar>
            <w:vAlign w:val="bottom"/>
          </w:tcPr>
          <w:p w14:paraId="35D09E0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E0B" w14:textId="77777777" w:rsidR="00D42204" w:rsidRDefault="004E439D">
            <w:pPr>
              <w:jc w:val="right"/>
              <w:textAlignment w:val="center"/>
            </w:pPr>
            <w:r>
              <w:rPr>
                <w:rFonts w:ascii="Times New Roman" w:eastAsia="宋体" w:hAnsi="Times New Roman"/>
                <w:color w:val="000000"/>
                <w:sz w:val="16"/>
                <w:szCs w:val="16"/>
              </w:rPr>
              <w:t>3.0 </w:t>
            </w:r>
          </w:p>
        </w:tc>
        <w:tc>
          <w:tcPr>
            <w:tcW w:w="0" w:type="auto"/>
            <w:shd w:val="clear" w:color="auto" w:fill="FFFFFF"/>
            <w:tcMar>
              <w:top w:w="40" w:type="dxa"/>
              <w:left w:w="0" w:type="dxa"/>
              <w:bottom w:w="40" w:type="dxa"/>
              <w:right w:w="20" w:type="dxa"/>
            </w:tcMar>
            <w:vAlign w:val="center"/>
          </w:tcPr>
          <w:p w14:paraId="35D09E0C"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E0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E0E" w14:textId="77777777" w:rsidR="00D42204" w:rsidRDefault="004E439D">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35D09E0F"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9E1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E11" w14:textId="77777777" w:rsidR="00D42204" w:rsidRDefault="004E439D">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35D09E12" w14:textId="77777777" w:rsidR="00D42204" w:rsidRDefault="004E439D">
            <w:pPr>
              <w:jc w:val="right"/>
              <w:textAlignment w:val="center"/>
            </w:pPr>
            <w:r>
              <w:rPr>
                <w:rFonts w:ascii="Times New Roman" w:eastAsia="宋体" w:hAnsi="Times New Roman"/>
                <w:color w:val="000000"/>
                <w:sz w:val="16"/>
                <w:szCs w:val="16"/>
              </w:rPr>
              <w:t>%</w:t>
            </w:r>
          </w:p>
        </w:tc>
        <w:tc>
          <w:tcPr>
            <w:tcW w:w="0" w:type="auto"/>
            <w:shd w:val="clear" w:color="auto" w:fill="auto"/>
            <w:vAlign w:val="bottom"/>
          </w:tcPr>
          <w:p w14:paraId="35D09E13" w14:textId="77777777" w:rsidR="00D42204" w:rsidRDefault="00D42204">
            <w:pPr>
              <w:rPr>
                <w:rFonts w:ascii="宋体"/>
                <w:vanish/>
              </w:rPr>
            </w:pPr>
          </w:p>
        </w:tc>
        <w:tc>
          <w:tcPr>
            <w:tcW w:w="0" w:type="auto"/>
            <w:shd w:val="clear" w:color="auto" w:fill="auto"/>
            <w:vAlign w:val="bottom"/>
          </w:tcPr>
          <w:p w14:paraId="35D09E14" w14:textId="77777777" w:rsidR="00D42204" w:rsidRDefault="00D42204">
            <w:pPr>
              <w:rPr>
                <w:rFonts w:ascii="宋体"/>
                <w:vanish/>
              </w:rPr>
            </w:pPr>
          </w:p>
        </w:tc>
      </w:tr>
    </w:tbl>
    <w:p w14:paraId="35D09E16" w14:textId="77777777" w:rsidR="00D42204" w:rsidRDefault="004E439D">
      <w:pPr>
        <w:spacing w:after="100"/>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We believe the "Excluding Fuel" information is useful to investors because it permits investors to understand the effect of the Sam's Club segment's fuel sales on its results of operations, which are impacted by the volatility of fue</w:t>
      </w:r>
      <w:r>
        <w:rPr>
          <w:rFonts w:ascii="Times New Roman" w:eastAsia="宋体" w:hAnsi="Times New Roman"/>
          <w:color w:val="000000"/>
          <w:sz w:val="16"/>
          <w:szCs w:val="16"/>
        </w:rPr>
        <w:t xml:space="preserve">l prices. Volatility in fuel prices may continue to impact the operating results of the Sam's Club segment in the future. Management uses such information to better measure underlying operating results in the segment. </w:t>
      </w:r>
    </w:p>
    <w:p w14:paraId="35D09E17" w14:textId="77777777" w:rsidR="00D42204" w:rsidRDefault="004E439D">
      <w:pPr>
        <w:spacing w:before="100"/>
      </w:pPr>
      <w:r>
        <w:rPr>
          <w:rFonts w:ascii="Times New Roman" w:eastAsia="宋体" w:hAnsi="Times New Roman"/>
          <w:color w:val="000000"/>
          <w:sz w:val="20"/>
          <w:szCs w:val="20"/>
        </w:rPr>
        <w:t xml:space="preserve">Net sales for the Sam's Club segment </w:t>
      </w:r>
      <w:r>
        <w:rPr>
          <w:rFonts w:ascii="Times New Roman" w:eastAsia="宋体" w:hAnsi="Times New Roman"/>
          <w:color w:val="000000"/>
          <w:sz w:val="20"/>
          <w:szCs w:val="20"/>
        </w:rPr>
        <w:t>increased $9.6 billion or 15.1% and $5.1 billion or 8.7% for fiscal 2022 and 2021, respectively, when compared to the previous fiscal year. For fiscal 2022, the increase was primarily due to comparable sales growth, including fuel, of 15.0%. Comparable sal</w:t>
      </w:r>
      <w:r>
        <w:rPr>
          <w:rFonts w:ascii="Times New Roman" w:eastAsia="宋体" w:hAnsi="Times New Roman"/>
          <w:color w:val="000000"/>
          <w:sz w:val="20"/>
          <w:szCs w:val="20"/>
        </w:rPr>
        <w:t>es benefited from growth in transactions and average ticket due to increased consumer spending, which was aided by government stimulus, and also includes some higher inflation impacts in certain merchandise categories compared to recent years. The growth i</w:t>
      </w:r>
      <w:r>
        <w:rPr>
          <w:rFonts w:ascii="Times New Roman" w:eastAsia="宋体" w:hAnsi="Times New Roman"/>
          <w:color w:val="000000"/>
          <w:sz w:val="20"/>
          <w:szCs w:val="20"/>
        </w:rPr>
        <w:t>n comparable sales was partially offset by our decision to remove tobacco from certain club locations. Sam's Club eCommerce sales positively contributed approximately 1.3% to comparable sales. For fiscal 2021, the increase was primarily due to comparable s</w:t>
      </w:r>
      <w:r>
        <w:rPr>
          <w:rFonts w:ascii="Times New Roman" w:eastAsia="宋体" w:hAnsi="Times New Roman"/>
          <w:color w:val="000000"/>
          <w:sz w:val="20"/>
          <w:szCs w:val="20"/>
        </w:rPr>
        <w:t>ales, including fuel, of 8.7%. Comparable sales benefited from growth in transactions and average ticket resulting from the COVID-19 pandemic, partially offset by our decision to remove tobacco from certain club locations and by lower fuel sales. Sam's Clu</w:t>
      </w:r>
      <w:r>
        <w:rPr>
          <w:rFonts w:ascii="Times New Roman" w:eastAsia="宋体" w:hAnsi="Times New Roman"/>
          <w:color w:val="000000"/>
          <w:sz w:val="20"/>
          <w:szCs w:val="20"/>
        </w:rPr>
        <w:t>b eCommerce sales positively contributed approximately 2.2% to comparable sales.</w:t>
      </w:r>
    </w:p>
    <w:p w14:paraId="35D09E18" w14:textId="77777777" w:rsidR="00D42204" w:rsidRDefault="004E439D">
      <w:pPr>
        <w:spacing w:before="100"/>
      </w:pPr>
      <w:r>
        <w:rPr>
          <w:rFonts w:ascii="Times New Roman" w:eastAsia="宋体" w:hAnsi="Times New Roman"/>
          <w:color w:val="000000"/>
          <w:sz w:val="20"/>
          <w:szCs w:val="20"/>
        </w:rPr>
        <w:t>Gross profit rate decreased 68 basis points and increased 65 basis points for fiscal 2022 and 2021, respectively, when compared to the previous fiscal year. For fiscal 2022, t</w:t>
      </w:r>
      <w:r>
        <w:rPr>
          <w:rFonts w:ascii="Times New Roman" w:eastAsia="宋体" w:hAnsi="Times New Roman"/>
          <w:color w:val="000000"/>
          <w:sz w:val="20"/>
          <w:szCs w:val="20"/>
        </w:rPr>
        <w:t xml:space="preserve">he decrease in gross profit rate was primarily due to increased fuel sales which have lower margins, cost inflation, and higher supply chain costs, partially offset by favorable sales mix, including reduced tobacco sales. For fiscal </w:t>
      </w:r>
      <w:r>
        <w:rPr>
          <w:rFonts w:ascii="Times New Roman" w:eastAsia="宋体" w:hAnsi="Times New Roman"/>
          <w:color w:val="000000"/>
          <w:sz w:val="20"/>
          <w:szCs w:val="20"/>
          <w:shd w:val="clear" w:color="auto" w:fill="FFFFFF"/>
        </w:rPr>
        <w:t>2021</w:t>
      </w:r>
      <w:r>
        <w:rPr>
          <w:rFonts w:ascii="Times New Roman" w:eastAsia="宋体" w:hAnsi="Times New Roman"/>
          <w:color w:val="000000"/>
          <w:sz w:val="20"/>
          <w:szCs w:val="20"/>
        </w:rPr>
        <w:t>, gross profit rate</w:t>
      </w:r>
      <w:r>
        <w:rPr>
          <w:rFonts w:ascii="Times New Roman" w:eastAsia="宋体" w:hAnsi="Times New Roman"/>
          <w:color w:val="000000"/>
          <w:sz w:val="20"/>
          <w:szCs w:val="20"/>
        </w:rPr>
        <w:t xml:space="preserve"> increased due to favorable sales mix, including lower fuel and tobacco sales, and improvement in inventory losses which was partially offset by price investment and higher eCommerce fulfillment costs.</w:t>
      </w:r>
    </w:p>
    <w:p w14:paraId="35D09E19" w14:textId="77777777" w:rsidR="00D42204" w:rsidRDefault="004E439D">
      <w:pPr>
        <w:spacing w:before="100"/>
      </w:pPr>
      <w:r>
        <w:rPr>
          <w:rFonts w:ascii="Times New Roman" w:eastAsia="宋体" w:hAnsi="Times New Roman"/>
          <w:color w:val="000000"/>
          <w:sz w:val="20"/>
          <w:szCs w:val="20"/>
        </w:rPr>
        <w:t>Membership and other income increased 13.1% and 6.8% f</w:t>
      </w:r>
      <w:r>
        <w:rPr>
          <w:rFonts w:ascii="Times New Roman" w:eastAsia="宋体" w:hAnsi="Times New Roman"/>
          <w:color w:val="000000"/>
          <w:sz w:val="20"/>
          <w:szCs w:val="20"/>
        </w:rPr>
        <w:t>or fiscal 2022 and 2021, respectively, when compared to the previous fiscal year. For fiscal 2022, the increase was primarily due to growth in total members and increased Plus Member penetration. For fiscal 2021, the increase was primarily due to growth in</w:t>
      </w:r>
      <w:r>
        <w:rPr>
          <w:rFonts w:ascii="Times New Roman" w:eastAsia="宋体" w:hAnsi="Times New Roman"/>
          <w:color w:val="000000"/>
          <w:sz w:val="20"/>
          <w:szCs w:val="20"/>
        </w:rPr>
        <w:t xml:space="preserve"> total members, which benefited from higher overall renewal rates and higher Plus Member penetration. </w:t>
      </w:r>
    </w:p>
    <w:p w14:paraId="35D09E1A" w14:textId="77777777" w:rsidR="00D42204" w:rsidRDefault="004E439D">
      <w:pPr>
        <w:spacing w:before="100"/>
      </w:pPr>
      <w:r>
        <w:rPr>
          <w:rFonts w:ascii="Times New Roman" w:eastAsia="宋体" w:hAnsi="Times New Roman"/>
          <w:color w:val="000000"/>
          <w:sz w:val="20"/>
          <w:szCs w:val="20"/>
        </w:rPr>
        <w:t>Operating expenses as a percentage of segment net sales decreased 82 basis points and increased 42 basis points for fiscal 2022 and 2021, respectively, w</w:t>
      </w:r>
      <w:r>
        <w:rPr>
          <w:rFonts w:ascii="Times New Roman" w:eastAsia="宋体" w:hAnsi="Times New Roman"/>
          <w:color w:val="000000"/>
          <w:sz w:val="20"/>
          <w:szCs w:val="20"/>
        </w:rPr>
        <w:t>hen compared to the previous fiscal year. Fiscal 2022 operating expenses as a percentage of net sales decreased primarily due to higher sales as well as a benefit from $0.2 billion of lower incremental COVID-19 related costs, partially offset by reduced to</w:t>
      </w:r>
      <w:r>
        <w:rPr>
          <w:rFonts w:ascii="Times New Roman" w:eastAsia="宋体" w:hAnsi="Times New Roman"/>
          <w:color w:val="000000"/>
          <w:sz w:val="20"/>
          <w:szCs w:val="20"/>
        </w:rPr>
        <w:t>bacco sales. Despite the increased sales growth described above, fiscal 2021 operating expenses as a percentage of net sales increased primarily due to $0.3 billion of incremental costs related to the pandemic, which included additional costs such as speci</w:t>
      </w:r>
      <w:r>
        <w:rPr>
          <w:rFonts w:ascii="Times New Roman" w:eastAsia="宋体" w:hAnsi="Times New Roman"/>
          <w:color w:val="000000"/>
          <w:sz w:val="20"/>
          <w:szCs w:val="20"/>
        </w:rPr>
        <w:t>al bonuses, expanded cleaning practices and security, expanded sick and emergency leave pay, and outfitting our associates with masks and gloves. Additionally, the increase in operating expense as a percentage of segment net sales was affected by reduced t</w:t>
      </w:r>
      <w:r>
        <w:rPr>
          <w:rFonts w:ascii="Times New Roman" w:eastAsia="宋体" w:hAnsi="Times New Roman"/>
          <w:color w:val="000000"/>
          <w:sz w:val="20"/>
          <w:szCs w:val="20"/>
        </w:rPr>
        <w:t xml:space="preserve">obacco and fuel sales. </w:t>
      </w:r>
    </w:p>
    <w:p w14:paraId="35D09E1B" w14:textId="77777777" w:rsidR="00D42204" w:rsidRDefault="004E439D">
      <w:pPr>
        <w:spacing w:before="100"/>
      </w:pPr>
      <w:r>
        <w:rPr>
          <w:rFonts w:ascii="Times New Roman" w:eastAsia="宋体" w:hAnsi="Times New Roman"/>
          <w:color w:val="000000"/>
          <w:sz w:val="20"/>
          <w:szCs w:val="20"/>
        </w:rPr>
        <w:t xml:space="preserve">As a result of the factors discussed above, segment operating income increased $0.4 billion and $0.3 billion for fiscal </w:t>
      </w:r>
      <w:r>
        <w:rPr>
          <w:rFonts w:ascii="Times New Roman" w:eastAsia="宋体" w:hAnsi="Times New Roman"/>
          <w:color w:val="000000"/>
          <w:sz w:val="20"/>
          <w:szCs w:val="20"/>
          <w:shd w:val="clear" w:color="auto" w:fill="FFFFFF"/>
        </w:rPr>
        <w:t>2022 and</w:t>
      </w:r>
      <w:r>
        <w:rPr>
          <w:rFonts w:ascii="Times New Roman" w:eastAsia="宋体" w:hAnsi="Times New Roman"/>
          <w:color w:val="000000"/>
          <w:sz w:val="20"/>
          <w:szCs w:val="20"/>
        </w:rPr>
        <w:t xml:space="preserve"> 2021, respectively, when compared to the previous fiscal year.</w:t>
      </w:r>
    </w:p>
    <w:p w14:paraId="35D09E1C" w14:textId="77777777" w:rsidR="00D42204" w:rsidRDefault="004E439D">
      <w:pPr>
        <w:spacing w:before="180"/>
      </w:pPr>
      <w:r>
        <w:rPr>
          <w:rFonts w:ascii="Times New Roman" w:eastAsia="宋体" w:hAnsi="Times New Roman"/>
          <w:b/>
          <w:bCs/>
          <w:color w:val="000000"/>
          <w:sz w:val="20"/>
          <w:szCs w:val="20"/>
        </w:rPr>
        <w:t>Liquidity and Capital Resources</w:t>
      </w:r>
    </w:p>
    <w:p w14:paraId="35D09E1D" w14:textId="77777777" w:rsidR="00D42204" w:rsidRDefault="004E439D">
      <w:pPr>
        <w:spacing w:before="100"/>
      </w:pPr>
      <w:r>
        <w:rPr>
          <w:rFonts w:ascii="Times New Roman" w:eastAsia="宋体" w:hAnsi="Times New Roman"/>
          <w:b/>
          <w:bCs/>
          <w:color w:val="000000"/>
          <w:sz w:val="20"/>
          <w:szCs w:val="20"/>
          <w:u w:val="single"/>
        </w:rPr>
        <w:t>Liquidity</w:t>
      </w:r>
    </w:p>
    <w:p w14:paraId="35D09E1E" w14:textId="77777777" w:rsidR="00D42204" w:rsidRDefault="004E439D">
      <w:pPr>
        <w:spacing w:before="100"/>
      </w:pPr>
      <w:r>
        <w:rPr>
          <w:rFonts w:ascii="Times New Roman" w:eastAsia="宋体" w:hAnsi="Times New Roman"/>
          <w:color w:val="000000"/>
          <w:sz w:val="20"/>
          <w:szCs w:val="20"/>
        </w:rPr>
        <w:t>The strength and stabi</w:t>
      </w:r>
      <w:r>
        <w:rPr>
          <w:rFonts w:ascii="Times New Roman" w:eastAsia="宋体" w:hAnsi="Times New Roman"/>
          <w:color w:val="000000"/>
          <w:sz w:val="20"/>
          <w:szCs w:val="20"/>
        </w:rPr>
        <w:t xml:space="preserve">lity of our operations have historically supplied us with a significant source of liquidity. Our cash flows provided by operating activities, supplemented with our long-term debt and short-term borrowings, have been sufficient to fund our operations while </w:t>
      </w:r>
      <w:r>
        <w:rPr>
          <w:rFonts w:ascii="Times New Roman" w:eastAsia="宋体" w:hAnsi="Times New Roman"/>
          <w:color w:val="000000"/>
          <w:sz w:val="20"/>
          <w:szCs w:val="20"/>
        </w:rPr>
        <w:t>allowing us to invest in activities that support the long-term growth of our operations. Generally, some or all of the remaining available cash flow has been used to fund dividends on our common stock and share repurchases. We believe our sources of liquid</w:t>
      </w:r>
      <w:r>
        <w:rPr>
          <w:rFonts w:ascii="Times New Roman" w:eastAsia="宋体" w:hAnsi="Times New Roman"/>
          <w:color w:val="000000"/>
          <w:sz w:val="20"/>
          <w:szCs w:val="20"/>
        </w:rPr>
        <w:t>ity will continue to be sufficient to fund operations, finance our global investment activities, pay dividends and fund our share repurchases for at least the next 12 months and thereafter for the foreseeable future.</w:t>
      </w:r>
    </w:p>
    <w:p w14:paraId="35D09E1F" w14:textId="77777777" w:rsidR="00D42204" w:rsidRDefault="004E439D">
      <w:pPr>
        <w:jc w:val="center"/>
      </w:pPr>
      <w:r>
        <w:rPr>
          <w:rFonts w:ascii="Times New Roman" w:eastAsia="宋体" w:hAnsi="Times New Roman"/>
          <w:color w:val="000000"/>
          <w:sz w:val="20"/>
          <w:szCs w:val="20"/>
        </w:rPr>
        <w:t>41</w:t>
      </w:r>
    </w:p>
    <w:p w14:paraId="35D09E20" w14:textId="77777777" w:rsidR="00D42204" w:rsidRDefault="004E439D">
      <w:r>
        <w:pict w14:anchorId="35D0C384">
          <v:rect id="_x0000_i1065" style="width:415.3pt;height:1.5pt" o:hralign="center" o:hrstd="t" o:hr="t" fillcolor="#a0a0a0" stroked="f"/>
        </w:pict>
      </w:r>
    </w:p>
    <w:p w14:paraId="35D09E21" w14:textId="77777777" w:rsidR="00D42204" w:rsidRDefault="00D42204"/>
    <w:p w14:paraId="35D09E22" w14:textId="77777777" w:rsidR="00D42204" w:rsidRDefault="004E439D">
      <w:pPr>
        <w:spacing w:before="180"/>
      </w:pPr>
      <w:r>
        <w:rPr>
          <w:rFonts w:ascii="Times New Roman" w:eastAsia="宋体" w:hAnsi="Times New Roman"/>
          <w:b/>
          <w:bCs/>
          <w:i/>
          <w:iCs/>
          <w:color w:val="000000"/>
          <w:sz w:val="20"/>
          <w:szCs w:val="20"/>
        </w:rPr>
        <w:t>Net Cash Provided by Operating Ac</w:t>
      </w:r>
      <w:r>
        <w:rPr>
          <w:rFonts w:ascii="Times New Roman" w:eastAsia="宋体" w:hAnsi="Times New Roman"/>
          <w:b/>
          <w:bCs/>
          <w:i/>
          <w:iCs/>
          <w:color w:val="000000"/>
          <w:sz w:val="20"/>
          <w:szCs w:val="20"/>
        </w:rPr>
        <w:t>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073"/>
        <w:gridCol w:w="36"/>
        <w:gridCol w:w="36"/>
        <w:gridCol w:w="36"/>
        <w:gridCol w:w="36"/>
        <w:gridCol w:w="100"/>
        <w:gridCol w:w="818"/>
        <w:gridCol w:w="36"/>
        <w:gridCol w:w="36"/>
        <w:gridCol w:w="36"/>
        <w:gridCol w:w="36"/>
        <w:gridCol w:w="100"/>
        <w:gridCol w:w="818"/>
        <w:gridCol w:w="36"/>
        <w:gridCol w:w="36"/>
        <w:gridCol w:w="36"/>
        <w:gridCol w:w="36"/>
        <w:gridCol w:w="100"/>
        <w:gridCol w:w="818"/>
        <w:gridCol w:w="36"/>
      </w:tblGrid>
      <w:tr w:rsidR="00D42204" w14:paraId="35D09E38" w14:textId="77777777">
        <w:trPr>
          <w:jc w:val="center"/>
        </w:trPr>
        <w:tc>
          <w:tcPr>
            <w:tcW w:w="50" w:type="pct"/>
            <w:shd w:val="clear" w:color="auto" w:fill="auto"/>
            <w:vAlign w:val="bottom"/>
          </w:tcPr>
          <w:p w14:paraId="35D09E23" w14:textId="77777777" w:rsidR="00D42204" w:rsidRDefault="00D42204">
            <w:pPr>
              <w:rPr>
                <w:rFonts w:ascii="宋体"/>
              </w:rPr>
            </w:pPr>
          </w:p>
        </w:tc>
        <w:tc>
          <w:tcPr>
            <w:tcW w:w="3064" w:type="pct"/>
            <w:shd w:val="clear" w:color="auto" w:fill="auto"/>
            <w:vAlign w:val="bottom"/>
          </w:tcPr>
          <w:p w14:paraId="35D09E24" w14:textId="77777777" w:rsidR="00D42204" w:rsidRDefault="00D42204">
            <w:pPr>
              <w:rPr>
                <w:rFonts w:ascii="宋体"/>
              </w:rPr>
            </w:pPr>
          </w:p>
        </w:tc>
        <w:tc>
          <w:tcPr>
            <w:tcW w:w="5" w:type="pct"/>
            <w:shd w:val="clear" w:color="auto" w:fill="auto"/>
            <w:vAlign w:val="bottom"/>
          </w:tcPr>
          <w:p w14:paraId="35D09E25" w14:textId="77777777" w:rsidR="00D42204" w:rsidRDefault="00D42204">
            <w:pPr>
              <w:rPr>
                <w:rFonts w:ascii="宋体"/>
              </w:rPr>
            </w:pPr>
          </w:p>
        </w:tc>
        <w:tc>
          <w:tcPr>
            <w:tcW w:w="5" w:type="pct"/>
            <w:shd w:val="clear" w:color="auto" w:fill="auto"/>
            <w:vAlign w:val="bottom"/>
          </w:tcPr>
          <w:p w14:paraId="35D09E26" w14:textId="77777777" w:rsidR="00D42204" w:rsidRDefault="00D42204">
            <w:pPr>
              <w:rPr>
                <w:rFonts w:ascii="宋体"/>
              </w:rPr>
            </w:pPr>
          </w:p>
        </w:tc>
        <w:tc>
          <w:tcPr>
            <w:tcW w:w="40" w:type="pct"/>
            <w:shd w:val="clear" w:color="auto" w:fill="auto"/>
            <w:vAlign w:val="bottom"/>
          </w:tcPr>
          <w:p w14:paraId="35D09E27" w14:textId="77777777" w:rsidR="00D42204" w:rsidRDefault="00D42204">
            <w:pPr>
              <w:rPr>
                <w:rFonts w:ascii="宋体"/>
              </w:rPr>
            </w:pPr>
          </w:p>
        </w:tc>
        <w:tc>
          <w:tcPr>
            <w:tcW w:w="5" w:type="pct"/>
            <w:shd w:val="clear" w:color="auto" w:fill="auto"/>
            <w:vAlign w:val="bottom"/>
          </w:tcPr>
          <w:p w14:paraId="35D09E28" w14:textId="77777777" w:rsidR="00D42204" w:rsidRDefault="00D42204">
            <w:pPr>
              <w:rPr>
                <w:rFonts w:ascii="宋体"/>
              </w:rPr>
            </w:pPr>
          </w:p>
        </w:tc>
        <w:tc>
          <w:tcPr>
            <w:tcW w:w="50" w:type="pct"/>
            <w:shd w:val="clear" w:color="auto" w:fill="auto"/>
            <w:vAlign w:val="bottom"/>
          </w:tcPr>
          <w:p w14:paraId="35D09E29" w14:textId="77777777" w:rsidR="00D42204" w:rsidRDefault="00D42204">
            <w:pPr>
              <w:rPr>
                <w:rFonts w:ascii="宋体"/>
              </w:rPr>
            </w:pPr>
          </w:p>
        </w:tc>
        <w:tc>
          <w:tcPr>
            <w:tcW w:w="520" w:type="pct"/>
            <w:shd w:val="clear" w:color="auto" w:fill="auto"/>
            <w:vAlign w:val="bottom"/>
          </w:tcPr>
          <w:p w14:paraId="35D09E2A" w14:textId="77777777" w:rsidR="00D42204" w:rsidRDefault="00D42204">
            <w:pPr>
              <w:rPr>
                <w:rFonts w:ascii="宋体"/>
              </w:rPr>
            </w:pPr>
          </w:p>
        </w:tc>
        <w:tc>
          <w:tcPr>
            <w:tcW w:w="5" w:type="pct"/>
            <w:shd w:val="clear" w:color="auto" w:fill="auto"/>
            <w:vAlign w:val="bottom"/>
          </w:tcPr>
          <w:p w14:paraId="35D09E2B" w14:textId="77777777" w:rsidR="00D42204" w:rsidRDefault="00D42204">
            <w:pPr>
              <w:rPr>
                <w:rFonts w:ascii="宋体"/>
              </w:rPr>
            </w:pPr>
          </w:p>
        </w:tc>
        <w:tc>
          <w:tcPr>
            <w:tcW w:w="5" w:type="pct"/>
            <w:shd w:val="clear" w:color="auto" w:fill="auto"/>
            <w:vAlign w:val="bottom"/>
          </w:tcPr>
          <w:p w14:paraId="35D09E2C" w14:textId="77777777" w:rsidR="00D42204" w:rsidRDefault="00D42204">
            <w:pPr>
              <w:rPr>
                <w:rFonts w:ascii="宋体"/>
              </w:rPr>
            </w:pPr>
          </w:p>
        </w:tc>
        <w:tc>
          <w:tcPr>
            <w:tcW w:w="40" w:type="pct"/>
            <w:shd w:val="clear" w:color="auto" w:fill="auto"/>
            <w:vAlign w:val="bottom"/>
          </w:tcPr>
          <w:p w14:paraId="35D09E2D" w14:textId="77777777" w:rsidR="00D42204" w:rsidRDefault="00D42204">
            <w:pPr>
              <w:rPr>
                <w:rFonts w:ascii="宋体"/>
              </w:rPr>
            </w:pPr>
          </w:p>
        </w:tc>
        <w:tc>
          <w:tcPr>
            <w:tcW w:w="5" w:type="pct"/>
            <w:shd w:val="clear" w:color="auto" w:fill="auto"/>
            <w:vAlign w:val="bottom"/>
          </w:tcPr>
          <w:p w14:paraId="35D09E2E" w14:textId="77777777" w:rsidR="00D42204" w:rsidRDefault="00D42204">
            <w:pPr>
              <w:rPr>
                <w:rFonts w:ascii="宋体"/>
              </w:rPr>
            </w:pPr>
          </w:p>
        </w:tc>
        <w:tc>
          <w:tcPr>
            <w:tcW w:w="50" w:type="pct"/>
            <w:shd w:val="clear" w:color="auto" w:fill="auto"/>
            <w:vAlign w:val="bottom"/>
          </w:tcPr>
          <w:p w14:paraId="35D09E2F" w14:textId="77777777" w:rsidR="00D42204" w:rsidRDefault="00D42204">
            <w:pPr>
              <w:rPr>
                <w:rFonts w:ascii="宋体"/>
              </w:rPr>
            </w:pPr>
          </w:p>
        </w:tc>
        <w:tc>
          <w:tcPr>
            <w:tcW w:w="520" w:type="pct"/>
            <w:shd w:val="clear" w:color="auto" w:fill="auto"/>
            <w:vAlign w:val="bottom"/>
          </w:tcPr>
          <w:p w14:paraId="35D09E30" w14:textId="77777777" w:rsidR="00D42204" w:rsidRDefault="00D42204">
            <w:pPr>
              <w:rPr>
                <w:rFonts w:ascii="宋体"/>
              </w:rPr>
            </w:pPr>
          </w:p>
        </w:tc>
        <w:tc>
          <w:tcPr>
            <w:tcW w:w="5" w:type="pct"/>
            <w:shd w:val="clear" w:color="auto" w:fill="auto"/>
            <w:vAlign w:val="bottom"/>
          </w:tcPr>
          <w:p w14:paraId="35D09E31" w14:textId="77777777" w:rsidR="00D42204" w:rsidRDefault="00D42204">
            <w:pPr>
              <w:rPr>
                <w:rFonts w:ascii="宋体"/>
              </w:rPr>
            </w:pPr>
          </w:p>
        </w:tc>
        <w:tc>
          <w:tcPr>
            <w:tcW w:w="5" w:type="pct"/>
            <w:shd w:val="clear" w:color="auto" w:fill="auto"/>
            <w:vAlign w:val="bottom"/>
          </w:tcPr>
          <w:p w14:paraId="35D09E32" w14:textId="77777777" w:rsidR="00D42204" w:rsidRDefault="00D42204">
            <w:pPr>
              <w:rPr>
                <w:rFonts w:ascii="宋体"/>
              </w:rPr>
            </w:pPr>
          </w:p>
        </w:tc>
        <w:tc>
          <w:tcPr>
            <w:tcW w:w="40" w:type="pct"/>
            <w:shd w:val="clear" w:color="auto" w:fill="auto"/>
            <w:vAlign w:val="bottom"/>
          </w:tcPr>
          <w:p w14:paraId="35D09E33" w14:textId="77777777" w:rsidR="00D42204" w:rsidRDefault="00D42204">
            <w:pPr>
              <w:rPr>
                <w:rFonts w:ascii="宋体"/>
              </w:rPr>
            </w:pPr>
          </w:p>
        </w:tc>
        <w:tc>
          <w:tcPr>
            <w:tcW w:w="5" w:type="pct"/>
            <w:shd w:val="clear" w:color="auto" w:fill="auto"/>
            <w:vAlign w:val="bottom"/>
          </w:tcPr>
          <w:p w14:paraId="35D09E34" w14:textId="77777777" w:rsidR="00D42204" w:rsidRDefault="00D42204">
            <w:pPr>
              <w:rPr>
                <w:rFonts w:ascii="宋体"/>
              </w:rPr>
            </w:pPr>
          </w:p>
        </w:tc>
        <w:tc>
          <w:tcPr>
            <w:tcW w:w="50" w:type="pct"/>
            <w:shd w:val="clear" w:color="auto" w:fill="auto"/>
            <w:vAlign w:val="bottom"/>
          </w:tcPr>
          <w:p w14:paraId="35D09E35" w14:textId="77777777" w:rsidR="00D42204" w:rsidRDefault="00D42204">
            <w:pPr>
              <w:rPr>
                <w:rFonts w:ascii="宋体"/>
              </w:rPr>
            </w:pPr>
          </w:p>
        </w:tc>
        <w:tc>
          <w:tcPr>
            <w:tcW w:w="520" w:type="pct"/>
            <w:shd w:val="clear" w:color="auto" w:fill="auto"/>
            <w:vAlign w:val="bottom"/>
          </w:tcPr>
          <w:p w14:paraId="35D09E36" w14:textId="77777777" w:rsidR="00D42204" w:rsidRDefault="00D42204">
            <w:pPr>
              <w:rPr>
                <w:rFonts w:ascii="宋体"/>
              </w:rPr>
            </w:pPr>
          </w:p>
        </w:tc>
        <w:tc>
          <w:tcPr>
            <w:tcW w:w="5" w:type="pct"/>
            <w:shd w:val="clear" w:color="auto" w:fill="auto"/>
            <w:vAlign w:val="bottom"/>
          </w:tcPr>
          <w:p w14:paraId="35D09E37" w14:textId="77777777" w:rsidR="00D42204" w:rsidRDefault="00D42204">
            <w:pPr>
              <w:rPr>
                <w:rFonts w:ascii="宋体"/>
              </w:rPr>
            </w:pPr>
          </w:p>
        </w:tc>
      </w:tr>
      <w:tr w:rsidR="00D42204" w14:paraId="35D09E3C" w14:textId="77777777">
        <w:trPr>
          <w:jc w:val="center"/>
        </w:trPr>
        <w:tc>
          <w:tcPr>
            <w:tcW w:w="0" w:type="auto"/>
            <w:gridSpan w:val="3"/>
            <w:shd w:val="clear" w:color="auto" w:fill="auto"/>
            <w:tcMar>
              <w:top w:w="0" w:type="dxa"/>
              <w:left w:w="20" w:type="dxa"/>
              <w:bottom w:w="0" w:type="dxa"/>
              <w:right w:w="20" w:type="dxa"/>
            </w:tcMar>
            <w:vAlign w:val="bottom"/>
          </w:tcPr>
          <w:p w14:paraId="35D09E39"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E3A"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9E3B" w14:textId="77777777" w:rsidR="00D42204" w:rsidRDefault="004E439D">
            <w:pPr>
              <w:jc w:val="center"/>
              <w:textAlignment w:val="bottom"/>
            </w:pPr>
            <w:r>
              <w:rPr>
                <w:rFonts w:ascii="Times New Roman" w:eastAsia="宋体" w:hAnsi="Times New Roman"/>
                <w:b/>
                <w:bCs/>
                <w:color w:val="000000"/>
                <w:sz w:val="16"/>
                <w:szCs w:val="16"/>
              </w:rPr>
              <w:t>Fiscal</w:t>
            </w:r>
            <w:r>
              <w:rPr>
                <w:rFonts w:ascii="Times New Roman" w:eastAsia="宋体" w:hAnsi="Times New Roman"/>
                <w:b/>
                <w:bCs/>
                <w:color w:val="000000"/>
                <w:sz w:val="16"/>
                <w:szCs w:val="16"/>
              </w:rPr>
              <w:t xml:space="preserve"> Years Ended January 31,</w:t>
            </w:r>
          </w:p>
        </w:tc>
      </w:tr>
      <w:tr w:rsidR="00D42204" w14:paraId="35D09E44" w14:textId="77777777">
        <w:trPr>
          <w:jc w:val="center"/>
        </w:trPr>
        <w:tc>
          <w:tcPr>
            <w:tcW w:w="0" w:type="auto"/>
            <w:gridSpan w:val="3"/>
            <w:shd w:val="clear" w:color="auto" w:fill="auto"/>
            <w:tcMar>
              <w:top w:w="40" w:type="dxa"/>
              <w:left w:w="20" w:type="dxa"/>
              <w:bottom w:w="40" w:type="dxa"/>
              <w:right w:w="20" w:type="dxa"/>
            </w:tcMar>
            <w:vAlign w:val="center"/>
          </w:tcPr>
          <w:p w14:paraId="35D09E3D" w14:textId="77777777" w:rsidR="00D42204" w:rsidRDefault="004E439D">
            <w:pPr>
              <w:textAlignment w:val="center"/>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9E3E"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E3F"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E40"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E41"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E42"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E43"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9E52" w14:textId="77777777">
        <w:trPr>
          <w:jc w:val="center"/>
        </w:trPr>
        <w:tc>
          <w:tcPr>
            <w:tcW w:w="0" w:type="auto"/>
            <w:gridSpan w:val="3"/>
            <w:shd w:val="clear" w:color="auto" w:fill="CCEEFF"/>
            <w:tcMar>
              <w:top w:w="40" w:type="dxa"/>
              <w:left w:w="20" w:type="dxa"/>
              <w:bottom w:w="40" w:type="dxa"/>
              <w:right w:w="20" w:type="dxa"/>
            </w:tcMar>
            <w:vAlign w:val="center"/>
          </w:tcPr>
          <w:p w14:paraId="35D09E45" w14:textId="77777777" w:rsidR="00D42204" w:rsidRDefault="004E439D">
            <w:pPr>
              <w:textAlignment w:val="center"/>
            </w:pPr>
            <w:r>
              <w:rPr>
                <w:rFonts w:ascii="Times New Roman" w:eastAsia="宋体" w:hAnsi="Times New Roman"/>
                <w:color w:val="000000"/>
                <w:sz w:val="16"/>
                <w:szCs w:val="16"/>
              </w:rPr>
              <w:t>Net cash provided by operating activities</w:t>
            </w:r>
          </w:p>
        </w:tc>
        <w:tc>
          <w:tcPr>
            <w:tcW w:w="0" w:type="auto"/>
            <w:gridSpan w:val="3"/>
            <w:shd w:val="clear" w:color="auto" w:fill="CCEEFF"/>
            <w:tcMar>
              <w:top w:w="0" w:type="dxa"/>
              <w:left w:w="20" w:type="dxa"/>
              <w:bottom w:w="0" w:type="dxa"/>
              <w:right w:w="20" w:type="dxa"/>
            </w:tcMar>
            <w:vAlign w:val="bottom"/>
          </w:tcPr>
          <w:p w14:paraId="35D09E46"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E47"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E48" w14:textId="77777777" w:rsidR="00D42204" w:rsidRDefault="004E439D">
            <w:pPr>
              <w:jc w:val="right"/>
              <w:textAlignment w:val="center"/>
            </w:pPr>
            <w:r>
              <w:rPr>
                <w:rFonts w:ascii="Times New Roman" w:eastAsia="宋体" w:hAnsi="Times New Roman"/>
                <w:color w:val="000000"/>
                <w:sz w:val="16"/>
                <w:szCs w:val="16"/>
              </w:rPr>
              <w:t>24,181 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E4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E4A"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E4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E4C" w14:textId="77777777" w:rsidR="00D42204" w:rsidRDefault="004E439D">
            <w:pPr>
              <w:jc w:val="right"/>
              <w:textAlignment w:val="center"/>
            </w:pPr>
            <w:r>
              <w:rPr>
                <w:rFonts w:ascii="Times New Roman" w:eastAsia="宋体" w:hAnsi="Times New Roman"/>
                <w:color w:val="000000"/>
                <w:sz w:val="16"/>
                <w:szCs w:val="16"/>
              </w:rPr>
              <w:t>36,074 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E4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E4E"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E4F"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E50" w14:textId="77777777" w:rsidR="00D42204" w:rsidRDefault="004E439D">
            <w:pPr>
              <w:jc w:val="right"/>
              <w:textAlignment w:val="center"/>
            </w:pPr>
            <w:r>
              <w:rPr>
                <w:rFonts w:ascii="Times New Roman" w:eastAsia="宋体" w:hAnsi="Times New Roman"/>
                <w:color w:val="000000"/>
                <w:sz w:val="16"/>
                <w:szCs w:val="16"/>
              </w:rPr>
              <w:t>25,255 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E51" w14:textId="77777777" w:rsidR="00D42204" w:rsidRDefault="00D42204">
            <w:pPr>
              <w:jc w:val="right"/>
              <w:rPr>
                <w:rFonts w:ascii="宋体"/>
              </w:rPr>
            </w:pPr>
          </w:p>
        </w:tc>
      </w:tr>
    </w:tbl>
    <w:p w14:paraId="35D09E53" w14:textId="77777777" w:rsidR="00D42204" w:rsidRDefault="004E439D">
      <w:pPr>
        <w:spacing w:before="80"/>
      </w:pPr>
      <w:r>
        <w:rPr>
          <w:rFonts w:ascii="Times New Roman" w:eastAsia="宋体" w:hAnsi="Times New Roman"/>
          <w:color w:val="000000"/>
          <w:sz w:val="20"/>
          <w:szCs w:val="20"/>
        </w:rPr>
        <w:t>Net cash provided by operating activities was $24.2 billion, $36.1 billion and $25.3 billion for fiscal 2022, 2021 and 2020, respectively. Net cash provided by operating activities for f</w:t>
      </w:r>
      <w:r>
        <w:rPr>
          <w:rFonts w:ascii="Times New Roman" w:eastAsia="宋体" w:hAnsi="Times New Roman"/>
          <w:color w:val="000000"/>
          <w:sz w:val="20"/>
          <w:szCs w:val="20"/>
        </w:rPr>
        <w:t xml:space="preserve">iscal 2022 decreased when compared to the previous fiscal year primarily due to an increase in inventory costs and purchases to support strong sales and lapping the impact of accelerated inventory sell-through in fiscal 2021, as well as timing and payment </w:t>
      </w:r>
      <w:r>
        <w:rPr>
          <w:rFonts w:ascii="Times New Roman" w:eastAsia="宋体" w:hAnsi="Times New Roman"/>
          <w:color w:val="000000"/>
          <w:sz w:val="20"/>
          <w:szCs w:val="20"/>
        </w:rPr>
        <w:t xml:space="preserve">of wages. The increase in net cash provided by operating activities for fiscal 2021, when compared to the previous fiscal year, was primarily due to the impact of the global health crisis which accelerated inventory sell-through, as well as the timing and </w:t>
      </w:r>
      <w:r>
        <w:rPr>
          <w:rFonts w:ascii="Times New Roman" w:eastAsia="宋体" w:hAnsi="Times New Roman"/>
          <w:color w:val="000000"/>
          <w:sz w:val="20"/>
          <w:szCs w:val="20"/>
        </w:rPr>
        <w:t xml:space="preserve">payment of inventory purchases, incremental COVID-19 related expenses and certain benefit payments. </w:t>
      </w:r>
    </w:p>
    <w:p w14:paraId="35D09E54" w14:textId="77777777" w:rsidR="00D42204" w:rsidRDefault="004E439D">
      <w:pPr>
        <w:spacing w:before="180"/>
      </w:pPr>
      <w:r>
        <w:rPr>
          <w:rFonts w:ascii="Times New Roman" w:eastAsia="宋体" w:hAnsi="Times New Roman"/>
          <w:i/>
          <w:iCs/>
          <w:color w:val="000000"/>
          <w:sz w:val="20"/>
          <w:szCs w:val="20"/>
        </w:rPr>
        <w:t xml:space="preserve">Cash Equivalents and Working Capital Deficit </w:t>
      </w:r>
    </w:p>
    <w:p w14:paraId="35D09E55" w14:textId="77777777" w:rsidR="00D42204" w:rsidRDefault="004E439D">
      <w:pPr>
        <w:spacing w:before="100"/>
      </w:pPr>
      <w:r>
        <w:rPr>
          <w:rFonts w:ascii="Times New Roman" w:eastAsia="宋体" w:hAnsi="Times New Roman"/>
          <w:color w:val="000000"/>
          <w:sz w:val="20"/>
          <w:szCs w:val="20"/>
        </w:rPr>
        <w:t>Cash and cash equivalents were $14.8 billion and $17.7 billion as of January 31, 2022 and 2021, respectively.</w:t>
      </w:r>
      <w:r>
        <w:rPr>
          <w:rFonts w:ascii="Times New Roman" w:eastAsia="宋体" w:hAnsi="Times New Roman"/>
          <w:color w:val="000000"/>
          <w:sz w:val="20"/>
          <w:szCs w:val="20"/>
        </w:rPr>
        <w:t xml:space="preserve"> Our working capital deficit, defined as total current assets less total current liabilities, was $6.3 billion and $2.6 billion as of January 31, 2022 and 2021, respectively. We generally operate with a working capital deficit due to our efficient use of c</w:t>
      </w:r>
      <w:r>
        <w:rPr>
          <w:rFonts w:ascii="Times New Roman" w:eastAsia="宋体" w:hAnsi="Times New Roman"/>
          <w:color w:val="000000"/>
          <w:sz w:val="20"/>
          <w:szCs w:val="20"/>
        </w:rPr>
        <w:t xml:space="preserve">ash in funding operations, consistent access to the capital markets and returns provided to our shareholders in the form of payments of cash dividends and share repurchases. </w:t>
      </w:r>
    </w:p>
    <w:p w14:paraId="35D09E56" w14:textId="77777777" w:rsidR="00D42204" w:rsidRDefault="004E439D">
      <w:pPr>
        <w:spacing w:before="100"/>
      </w:pPr>
      <w:r>
        <w:rPr>
          <w:rFonts w:ascii="Times New Roman" w:eastAsia="宋体" w:hAnsi="Times New Roman"/>
          <w:color w:val="000000"/>
          <w:sz w:val="20"/>
          <w:szCs w:val="20"/>
        </w:rPr>
        <w:t>We use intercompany financing arrangements in an effort to ensure cash can be mad</w:t>
      </w:r>
      <w:r>
        <w:rPr>
          <w:rFonts w:ascii="Times New Roman" w:eastAsia="宋体" w:hAnsi="Times New Roman"/>
          <w:color w:val="000000"/>
          <w:sz w:val="20"/>
          <w:szCs w:val="20"/>
        </w:rPr>
        <w:t>e available in the country in which it is needed with the minimum cost possible. Additionally, from time-to-time, we repatriate earnings and related cash from jurisdictions outside of the U.S.  Historically, U.S. taxes were due upon repatriation of foreign</w:t>
      </w:r>
      <w:r>
        <w:rPr>
          <w:rFonts w:ascii="Times New Roman" w:eastAsia="宋体" w:hAnsi="Times New Roman"/>
          <w:color w:val="000000"/>
          <w:sz w:val="20"/>
          <w:szCs w:val="20"/>
        </w:rPr>
        <w:t xml:space="preserve"> earnings. Due to the enactment of U.S. tax reform, repatriations of foreign earnings will generally be free of U.S. federal tax, but may incur other taxes such as withholding or state taxes. While we are currently evaluating recent regulations issued from</w:t>
      </w:r>
      <w:r>
        <w:rPr>
          <w:rFonts w:ascii="Times New Roman" w:eastAsia="宋体" w:hAnsi="Times New Roman"/>
          <w:color w:val="000000"/>
          <w:sz w:val="20"/>
          <w:szCs w:val="20"/>
        </w:rPr>
        <w:t xml:space="preserve"> the Internal Revenue Service ("IRS") and the U.S. Treasury Department, we do not expect current local laws, other existing limitations on anticipated future repatriations of cash amounts held outside the U.S. to have a material effect on our overall liqui</w:t>
      </w:r>
      <w:r>
        <w:rPr>
          <w:rFonts w:ascii="Times New Roman" w:eastAsia="宋体" w:hAnsi="Times New Roman"/>
          <w:color w:val="000000"/>
          <w:sz w:val="20"/>
          <w:szCs w:val="20"/>
        </w:rPr>
        <w:t>dity, financial position or results of operations.</w:t>
      </w:r>
    </w:p>
    <w:p w14:paraId="35D09E57" w14:textId="77777777" w:rsidR="00D42204" w:rsidRDefault="004E439D">
      <w:pPr>
        <w:spacing w:before="100"/>
      </w:pPr>
      <w:r>
        <w:rPr>
          <w:rFonts w:ascii="Times New Roman" w:eastAsia="宋体" w:hAnsi="Times New Roman"/>
          <w:color w:val="000000"/>
          <w:sz w:val="20"/>
          <w:szCs w:val="20"/>
        </w:rPr>
        <w:t>As of January 31, 2022 and 2021, cash and cash equivalents of $4.3 billion and $2.8 billion, respectively, may not be freely transferable to the U.S. due to local laws or other restrictions. Of the $4.3 bi</w:t>
      </w:r>
      <w:r>
        <w:rPr>
          <w:rFonts w:ascii="Times New Roman" w:eastAsia="宋体" w:hAnsi="Times New Roman"/>
          <w:color w:val="000000"/>
          <w:sz w:val="20"/>
          <w:szCs w:val="20"/>
        </w:rPr>
        <w:t>llion as of January 31, 2022, approximately $2.2 billion can only be accessed through dividends or intercompany financing arrangements subject to approval of the Flipkart minority shareholders; however, this cash is expected to be utilized by Flipkart.</w:t>
      </w:r>
    </w:p>
    <w:p w14:paraId="35D09E58" w14:textId="77777777" w:rsidR="00D42204" w:rsidRDefault="004E439D">
      <w:pPr>
        <w:spacing w:before="180"/>
      </w:pPr>
      <w:r>
        <w:rPr>
          <w:rFonts w:ascii="Times New Roman" w:eastAsia="宋体" w:hAnsi="Times New Roman"/>
          <w:b/>
          <w:bCs/>
          <w:i/>
          <w:iCs/>
          <w:color w:val="000000"/>
          <w:sz w:val="20"/>
          <w:szCs w:val="20"/>
        </w:rPr>
        <w:t>Net</w:t>
      </w:r>
      <w:r>
        <w:rPr>
          <w:rFonts w:ascii="Times New Roman" w:eastAsia="宋体" w:hAnsi="Times New Roman"/>
          <w:b/>
          <w:bCs/>
          <w:i/>
          <w:iCs/>
          <w:color w:val="000000"/>
          <w:sz w:val="20"/>
          <w:szCs w:val="20"/>
        </w:rPr>
        <w:t xml:space="preserve"> Cash Used in Investing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073"/>
        <w:gridCol w:w="36"/>
        <w:gridCol w:w="36"/>
        <w:gridCol w:w="36"/>
        <w:gridCol w:w="36"/>
        <w:gridCol w:w="100"/>
        <w:gridCol w:w="818"/>
        <w:gridCol w:w="36"/>
        <w:gridCol w:w="36"/>
        <w:gridCol w:w="36"/>
        <w:gridCol w:w="36"/>
        <w:gridCol w:w="100"/>
        <w:gridCol w:w="818"/>
        <w:gridCol w:w="36"/>
        <w:gridCol w:w="36"/>
        <w:gridCol w:w="36"/>
        <w:gridCol w:w="36"/>
        <w:gridCol w:w="100"/>
        <w:gridCol w:w="818"/>
        <w:gridCol w:w="36"/>
      </w:tblGrid>
      <w:tr w:rsidR="00D42204" w14:paraId="35D09E6E" w14:textId="77777777">
        <w:trPr>
          <w:jc w:val="center"/>
        </w:trPr>
        <w:tc>
          <w:tcPr>
            <w:tcW w:w="50" w:type="pct"/>
            <w:shd w:val="clear" w:color="auto" w:fill="auto"/>
            <w:vAlign w:val="bottom"/>
          </w:tcPr>
          <w:p w14:paraId="35D09E59" w14:textId="77777777" w:rsidR="00D42204" w:rsidRDefault="00D42204">
            <w:pPr>
              <w:rPr>
                <w:rFonts w:ascii="宋体"/>
              </w:rPr>
            </w:pPr>
          </w:p>
        </w:tc>
        <w:tc>
          <w:tcPr>
            <w:tcW w:w="3064" w:type="pct"/>
            <w:shd w:val="clear" w:color="auto" w:fill="auto"/>
            <w:vAlign w:val="bottom"/>
          </w:tcPr>
          <w:p w14:paraId="35D09E5A" w14:textId="77777777" w:rsidR="00D42204" w:rsidRDefault="00D42204">
            <w:pPr>
              <w:rPr>
                <w:rFonts w:ascii="宋体"/>
              </w:rPr>
            </w:pPr>
          </w:p>
        </w:tc>
        <w:tc>
          <w:tcPr>
            <w:tcW w:w="5" w:type="pct"/>
            <w:shd w:val="clear" w:color="auto" w:fill="auto"/>
            <w:vAlign w:val="bottom"/>
          </w:tcPr>
          <w:p w14:paraId="35D09E5B" w14:textId="77777777" w:rsidR="00D42204" w:rsidRDefault="00D42204">
            <w:pPr>
              <w:rPr>
                <w:rFonts w:ascii="宋体"/>
              </w:rPr>
            </w:pPr>
          </w:p>
        </w:tc>
        <w:tc>
          <w:tcPr>
            <w:tcW w:w="5" w:type="pct"/>
            <w:shd w:val="clear" w:color="auto" w:fill="auto"/>
            <w:vAlign w:val="bottom"/>
          </w:tcPr>
          <w:p w14:paraId="35D09E5C" w14:textId="77777777" w:rsidR="00D42204" w:rsidRDefault="00D42204">
            <w:pPr>
              <w:rPr>
                <w:rFonts w:ascii="宋体"/>
              </w:rPr>
            </w:pPr>
          </w:p>
        </w:tc>
        <w:tc>
          <w:tcPr>
            <w:tcW w:w="40" w:type="pct"/>
            <w:shd w:val="clear" w:color="auto" w:fill="auto"/>
            <w:vAlign w:val="bottom"/>
          </w:tcPr>
          <w:p w14:paraId="35D09E5D" w14:textId="77777777" w:rsidR="00D42204" w:rsidRDefault="00D42204">
            <w:pPr>
              <w:rPr>
                <w:rFonts w:ascii="宋体"/>
              </w:rPr>
            </w:pPr>
          </w:p>
        </w:tc>
        <w:tc>
          <w:tcPr>
            <w:tcW w:w="5" w:type="pct"/>
            <w:shd w:val="clear" w:color="auto" w:fill="auto"/>
            <w:vAlign w:val="bottom"/>
          </w:tcPr>
          <w:p w14:paraId="35D09E5E" w14:textId="77777777" w:rsidR="00D42204" w:rsidRDefault="00D42204">
            <w:pPr>
              <w:rPr>
                <w:rFonts w:ascii="宋体"/>
              </w:rPr>
            </w:pPr>
          </w:p>
        </w:tc>
        <w:tc>
          <w:tcPr>
            <w:tcW w:w="50" w:type="pct"/>
            <w:shd w:val="clear" w:color="auto" w:fill="auto"/>
            <w:vAlign w:val="bottom"/>
          </w:tcPr>
          <w:p w14:paraId="35D09E5F" w14:textId="77777777" w:rsidR="00D42204" w:rsidRDefault="00D42204">
            <w:pPr>
              <w:rPr>
                <w:rFonts w:ascii="宋体"/>
              </w:rPr>
            </w:pPr>
          </w:p>
        </w:tc>
        <w:tc>
          <w:tcPr>
            <w:tcW w:w="520" w:type="pct"/>
            <w:shd w:val="clear" w:color="auto" w:fill="auto"/>
            <w:vAlign w:val="bottom"/>
          </w:tcPr>
          <w:p w14:paraId="35D09E60" w14:textId="77777777" w:rsidR="00D42204" w:rsidRDefault="00D42204">
            <w:pPr>
              <w:rPr>
                <w:rFonts w:ascii="宋体"/>
              </w:rPr>
            </w:pPr>
          </w:p>
        </w:tc>
        <w:tc>
          <w:tcPr>
            <w:tcW w:w="5" w:type="pct"/>
            <w:shd w:val="clear" w:color="auto" w:fill="auto"/>
            <w:vAlign w:val="bottom"/>
          </w:tcPr>
          <w:p w14:paraId="35D09E61" w14:textId="77777777" w:rsidR="00D42204" w:rsidRDefault="00D42204">
            <w:pPr>
              <w:rPr>
                <w:rFonts w:ascii="宋体"/>
              </w:rPr>
            </w:pPr>
          </w:p>
        </w:tc>
        <w:tc>
          <w:tcPr>
            <w:tcW w:w="5" w:type="pct"/>
            <w:shd w:val="clear" w:color="auto" w:fill="auto"/>
            <w:vAlign w:val="bottom"/>
          </w:tcPr>
          <w:p w14:paraId="35D09E62" w14:textId="77777777" w:rsidR="00D42204" w:rsidRDefault="00D42204">
            <w:pPr>
              <w:rPr>
                <w:rFonts w:ascii="宋体"/>
              </w:rPr>
            </w:pPr>
          </w:p>
        </w:tc>
        <w:tc>
          <w:tcPr>
            <w:tcW w:w="40" w:type="pct"/>
            <w:shd w:val="clear" w:color="auto" w:fill="auto"/>
            <w:vAlign w:val="bottom"/>
          </w:tcPr>
          <w:p w14:paraId="35D09E63" w14:textId="77777777" w:rsidR="00D42204" w:rsidRDefault="00D42204">
            <w:pPr>
              <w:rPr>
                <w:rFonts w:ascii="宋体"/>
              </w:rPr>
            </w:pPr>
          </w:p>
        </w:tc>
        <w:tc>
          <w:tcPr>
            <w:tcW w:w="5" w:type="pct"/>
            <w:shd w:val="clear" w:color="auto" w:fill="auto"/>
            <w:vAlign w:val="bottom"/>
          </w:tcPr>
          <w:p w14:paraId="35D09E64" w14:textId="77777777" w:rsidR="00D42204" w:rsidRDefault="00D42204">
            <w:pPr>
              <w:rPr>
                <w:rFonts w:ascii="宋体"/>
              </w:rPr>
            </w:pPr>
          </w:p>
        </w:tc>
        <w:tc>
          <w:tcPr>
            <w:tcW w:w="50" w:type="pct"/>
            <w:shd w:val="clear" w:color="auto" w:fill="auto"/>
            <w:vAlign w:val="bottom"/>
          </w:tcPr>
          <w:p w14:paraId="35D09E65" w14:textId="77777777" w:rsidR="00D42204" w:rsidRDefault="00D42204">
            <w:pPr>
              <w:rPr>
                <w:rFonts w:ascii="宋体"/>
              </w:rPr>
            </w:pPr>
          </w:p>
        </w:tc>
        <w:tc>
          <w:tcPr>
            <w:tcW w:w="520" w:type="pct"/>
            <w:shd w:val="clear" w:color="auto" w:fill="auto"/>
            <w:vAlign w:val="bottom"/>
          </w:tcPr>
          <w:p w14:paraId="35D09E66" w14:textId="77777777" w:rsidR="00D42204" w:rsidRDefault="00D42204">
            <w:pPr>
              <w:rPr>
                <w:rFonts w:ascii="宋体"/>
              </w:rPr>
            </w:pPr>
          </w:p>
        </w:tc>
        <w:tc>
          <w:tcPr>
            <w:tcW w:w="5" w:type="pct"/>
            <w:shd w:val="clear" w:color="auto" w:fill="auto"/>
            <w:vAlign w:val="bottom"/>
          </w:tcPr>
          <w:p w14:paraId="35D09E67" w14:textId="77777777" w:rsidR="00D42204" w:rsidRDefault="00D42204">
            <w:pPr>
              <w:rPr>
                <w:rFonts w:ascii="宋体"/>
              </w:rPr>
            </w:pPr>
          </w:p>
        </w:tc>
        <w:tc>
          <w:tcPr>
            <w:tcW w:w="5" w:type="pct"/>
            <w:shd w:val="clear" w:color="auto" w:fill="auto"/>
            <w:vAlign w:val="bottom"/>
          </w:tcPr>
          <w:p w14:paraId="35D09E68" w14:textId="77777777" w:rsidR="00D42204" w:rsidRDefault="00D42204">
            <w:pPr>
              <w:rPr>
                <w:rFonts w:ascii="宋体"/>
              </w:rPr>
            </w:pPr>
          </w:p>
        </w:tc>
        <w:tc>
          <w:tcPr>
            <w:tcW w:w="40" w:type="pct"/>
            <w:shd w:val="clear" w:color="auto" w:fill="auto"/>
            <w:vAlign w:val="bottom"/>
          </w:tcPr>
          <w:p w14:paraId="35D09E69" w14:textId="77777777" w:rsidR="00D42204" w:rsidRDefault="00D42204">
            <w:pPr>
              <w:rPr>
                <w:rFonts w:ascii="宋体"/>
              </w:rPr>
            </w:pPr>
          </w:p>
        </w:tc>
        <w:tc>
          <w:tcPr>
            <w:tcW w:w="5" w:type="pct"/>
            <w:shd w:val="clear" w:color="auto" w:fill="auto"/>
            <w:vAlign w:val="bottom"/>
          </w:tcPr>
          <w:p w14:paraId="35D09E6A" w14:textId="77777777" w:rsidR="00D42204" w:rsidRDefault="00D42204">
            <w:pPr>
              <w:rPr>
                <w:rFonts w:ascii="宋体"/>
              </w:rPr>
            </w:pPr>
          </w:p>
        </w:tc>
        <w:tc>
          <w:tcPr>
            <w:tcW w:w="50" w:type="pct"/>
            <w:shd w:val="clear" w:color="auto" w:fill="auto"/>
            <w:vAlign w:val="bottom"/>
          </w:tcPr>
          <w:p w14:paraId="35D09E6B" w14:textId="77777777" w:rsidR="00D42204" w:rsidRDefault="00D42204">
            <w:pPr>
              <w:rPr>
                <w:rFonts w:ascii="宋体"/>
              </w:rPr>
            </w:pPr>
          </w:p>
        </w:tc>
        <w:tc>
          <w:tcPr>
            <w:tcW w:w="520" w:type="pct"/>
            <w:shd w:val="clear" w:color="auto" w:fill="auto"/>
            <w:vAlign w:val="bottom"/>
          </w:tcPr>
          <w:p w14:paraId="35D09E6C" w14:textId="77777777" w:rsidR="00D42204" w:rsidRDefault="00D42204">
            <w:pPr>
              <w:rPr>
                <w:rFonts w:ascii="宋体"/>
              </w:rPr>
            </w:pPr>
          </w:p>
        </w:tc>
        <w:tc>
          <w:tcPr>
            <w:tcW w:w="5" w:type="pct"/>
            <w:shd w:val="clear" w:color="auto" w:fill="auto"/>
            <w:vAlign w:val="bottom"/>
          </w:tcPr>
          <w:p w14:paraId="35D09E6D" w14:textId="77777777" w:rsidR="00D42204" w:rsidRDefault="00D42204">
            <w:pPr>
              <w:rPr>
                <w:rFonts w:ascii="宋体"/>
              </w:rPr>
            </w:pPr>
          </w:p>
        </w:tc>
      </w:tr>
      <w:tr w:rsidR="00D42204" w14:paraId="35D09E72" w14:textId="77777777">
        <w:trPr>
          <w:jc w:val="center"/>
        </w:trPr>
        <w:tc>
          <w:tcPr>
            <w:tcW w:w="0" w:type="auto"/>
            <w:gridSpan w:val="3"/>
            <w:shd w:val="clear" w:color="auto" w:fill="auto"/>
            <w:tcMar>
              <w:top w:w="40" w:type="dxa"/>
              <w:left w:w="20" w:type="dxa"/>
              <w:bottom w:w="40" w:type="dxa"/>
              <w:right w:w="20" w:type="dxa"/>
            </w:tcMar>
            <w:vAlign w:val="center"/>
          </w:tcPr>
          <w:p w14:paraId="35D09E6F" w14:textId="77777777" w:rsidR="00D42204" w:rsidRDefault="004E439D">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9E70"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9E71" w14:textId="77777777" w:rsidR="00D42204" w:rsidRDefault="004E439D">
            <w:pPr>
              <w:jc w:val="center"/>
              <w:textAlignment w:val="bottom"/>
            </w:pPr>
            <w:r>
              <w:rPr>
                <w:rFonts w:ascii="Times New Roman" w:eastAsia="宋体" w:hAnsi="Times New Roman"/>
                <w:b/>
                <w:bCs/>
                <w:color w:val="000000"/>
                <w:sz w:val="16"/>
                <w:szCs w:val="16"/>
              </w:rPr>
              <w:t>Fisca</w:t>
            </w:r>
            <w:r>
              <w:rPr>
                <w:rFonts w:ascii="Times New Roman" w:eastAsia="宋体" w:hAnsi="Times New Roman"/>
                <w:b/>
                <w:bCs/>
                <w:color w:val="000000"/>
                <w:sz w:val="16"/>
                <w:szCs w:val="16"/>
              </w:rPr>
              <w:t>l Years Ended January 31,</w:t>
            </w:r>
          </w:p>
        </w:tc>
      </w:tr>
      <w:tr w:rsidR="00D42204" w14:paraId="35D09E7A" w14:textId="77777777">
        <w:trPr>
          <w:jc w:val="center"/>
        </w:trPr>
        <w:tc>
          <w:tcPr>
            <w:tcW w:w="0" w:type="auto"/>
            <w:gridSpan w:val="3"/>
            <w:shd w:val="clear" w:color="auto" w:fill="auto"/>
            <w:tcMar>
              <w:top w:w="40" w:type="dxa"/>
              <w:left w:w="20" w:type="dxa"/>
              <w:bottom w:w="40" w:type="dxa"/>
              <w:right w:w="20" w:type="dxa"/>
            </w:tcMar>
            <w:vAlign w:val="center"/>
          </w:tcPr>
          <w:p w14:paraId="35D09E73" w14:textId="77777777" w:rsidR="00D42204" w:rsidRDefault="004E439D">
            <w:pPr>
              <w:textAlignment w:val="center"/>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9E74"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E75" w14:textId="77777777" w:rsidR="00D42204" w:rsidRDefault="004E439D">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E76"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E77" w14:textId="77777777" w:rsidR="00D42204" w:rsidRDefault="004E439D">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E78"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E79" w14:textId="77777777" w:rsidR="00D42204" w:rsidRDefault="004E439D">
            <w:pPr>
              <w:jc w:val="center"/>
              <w:textAlignment w:val="center"/>
            </w:pPr>
            <w:r>
              <w:rPr>
                <w:rFonts w:ascii="Times New Roman" w:eastAsia="宋体" w:hAnsi="Times New Roman"/>
                <w:b/>
                <w:bCs/>
                <w:color w:val="000000"/>
                <w:sz w:val="16"/>
                <w:szCs w:val="16"/>
              </w:rPr>
              <w:t>2020</w:t>
            </w:r>
          </w:p>
        </w:tc>
      </w:tr>
      <w:tr w:rsidR="00D42204" w14:paraId="35D09E88" w14:textId="77777777">
        <w:trPr>
          <w:jc w:val="center"/>
        </w:trPr>
        <w:tc>
          <w:tcPr>
            <w:tcW w:w="0" w:type="auto"/>
            <w:gridSpan w:val="3"/>
            <w:shd w:val="clear" w:color="auto" w:fill="CCEEFF"/>
            <w:tcMar>
              <w:top w:w="40" w:type="dxa"/>
              <w:left w:w="20" w:type="dxa"/>
              <w:bottom w:w="40" w:type="dxa"/>
              <w:right w:w="20" w:type="dxa"/>
            </w:tcMar>
            <w:vAlign w:val="center"/>
          </w:tcPr>
          <w:p w14:paraId="35D09E7B" w14:textId="77777777" w:rsidR="00D42204" w:rsidRDefault="004E439D">
            <w:pPr>
              <w:textAlignment w:val="center"/>
            </w:pPr>
            <w:r>
              <w:rPr>
                <w:rFonts w:ascii="Times New Roman" w:eastAsia="宋体" w:hAnsi="Times New Roman"/>
                <w:color w:val="000000"/>
                <w:sz w:val="16"/>
                <w:szCs w:val="16"/>
              </w:rPr>
              <w:t xml:space="preserve">Net cash used in investing activities </w:t>
            </w:r>
          </w:p>
        </w:tc>
        <w:tc>
          <w:tcPr>
            <w:tcW w:w="0" w:type="auto"/>
            <w:gridSpan w:val="3"/>
            <w:shd w:val="clear" w:color="auto" w:fill="CCEEFF"/>
            <w:tcMar>
              <w:top w:w="0" w:type="dxa"/>
              <w:left w:w="20" w:type="dxa"/>
              <w:bottom w:w="0" w:type="dxa"/>
              <w:right w:w="20" w:type="dxa"/>
            </w:tcMar>
            <w:vAlign w:val="bottom"/>
          </w:tcPr>
          <w:p w14:paraId="35D09E7C"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E7D"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E7E" w14:textId="77777777" w:rsidR="00D42204" w:rsidRDefault="004E439D">
            <w:pPr>
              <w:jc w:val="right"/>
              <w:textAlignment w:val="center"/>
            </w:pPr>
            <w:r>
              <w:rPr>
                <w:rFonts w:ascii="Times New Roman" w:eastAsia="宋体" w:hAnsi="Times New Roman"/>
                <w:color w:val="000000"/>
                <w:sz w:val="16"/>
                <w:szCs w:val="16"/>
              </w:rPr>
              <w:t>(6,015)</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E7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E80"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E81"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E82" w14:textId="77777777" w:rsidR="00D42204" w:rsidRDefault="004E439D">
            <w:pPr>
              <w:jc w:val="right"/>
              <w:textAlignment w:val="center"/>
            </w:pPr>
            <w:r>
              <w:rPr>
                <w:rFonts w:ascii="Times New Roman" w:eastAsia="宋体" w:hAnsi="Times New Roman"/>
                <w:color w:val="000000"/>
                <w:sz w:val="16"/>
                <w:szCs w:val="16"/>
              </w:rPr>
              <w:t>(10,071)</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E8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E84"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E85"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E86" w14:textId="77777777" w:rsidR="00D42204" w:rsidRDefault="004E439D">
            <w:pPr>
              <w:jc w:val="right"/>
              <w:textAlignment w:val="center"/>
            </w:pPr>
            <w:r>
              <w:rPr>
                <w:rFonts w:ascii="Times New Roman" w:eastAsia="宋体" w:hAnsi="Times New Roman"/>
                <w:color w:val="000000"/>
                <w:sz w:val="16"/>
                <w:szCs w:val="16"/>
              </w:rPr>
              <w:t>(9,128)</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E87" w14:textId="77777777" w:rsidR="00D42204" w:rsidRDefault="00D42204">
            <w:pPr>
              <w:jc w:val="right"/>
              <w:rPr>
                <w:rFonts w:ascii="宋体"/>
              </w:rPr>
            </w:pPr>
          </w:p>
        </w:tc>
      </w:tr>
    </w:tbl>
    <w:p w14:paraId="35D09E89" w14:textId="77777777" w:rsidR="00D42204" w:rsidRDefault="004E439D">
      <w:pPr>
        <w:spacing w:before="80"/>
      </w:pPr>
      <w:r>
        <w:rPr>
          <w:rFonts w:ascii="Times New Roman" w:eastAsia="宋体" w:hAnsi="Times New Roman"/>
          <w:color w:val="000000"/>
          <w:sz w:val="20"/>
          <w:szCs w:val="20"/>
        </w:rPr>
        <w:t xml:space="preserve">Net cash used in investing activities was $6.0 billion, $10.1 billion and $9.1 billion for fiscal 2022, 2021 and 2020, respectively, and generally consisted of capital expenditures. Net </w:t>
      </w:r>
      <w:r>
        <w:rPr>
          <w:rFonts w:ascii="Times New Roman" w:eastAsia="宋体" w:hAnsi="Times New Roman"/>
          <w:color w:val="000000"/>
          <w:sz w:val="20"/>
          <w:szCs w:val="20"/>
        </w:rPr>
        <w:t>cash used in investing activities decreased $4.1 billion for fiscal 2022 when compared to the previous fiscal year primarily due to the net proceeds received from the divestitures of Asda and Seiyu, partially offset by increased capital expenditures. Net c</w:t>
      </w:r>
      <w:r>
        <w:rPr>
          <w:rFonts w:ascii="Times New Roman" w:eastAsia="宋体" w:hAnsi="Times New Roman"/>
          <w:color w:val="000000"/>
          <w:sz w:val="20"/>
          <w:szCs w:val="20"/>
        </w:rPr>
        <w:t xml:space="preserve">ash used in investing activities increased $0.9 billion for fiscal 2021 when compared to the previous fiscal year, primarily as a result of lapping the net proceeds received from the sale of our banking operations in Walmart Canada and the change in other </w:t>
      </w:r>
      <w:r>
        <w:rPr>
          <w:rFonts w:ascii="Times New Roman" w:eastAsia="宋体" w:hAnsi="Times New Roman"/>
          <w:color w:val="000000"/>
          <w:sz w:val="20"/>
          <w:szCs w:val="20"/>
        </w:rPr>
        <w:t xml:space="preserve">investing activities, partially offset by decreased capital expenditures. </w:t>
      </w:r>
    </w:p>
    <w:p w14:paraId="35D09E8A" w14:textId="77777777" w:rsidR="00D42204" w:rsidRDefault="004E439D">
      <w:pPr>
        <w:spacing w:before="180"/>
      </w:pPr>
      <w:r>
        <w:rPr>
          <w:rFonts w:ascii="Times New Roman" w:eastAsia="宋体" w:hAnsi="Times New Roman"/>
          <w:i/>
          <w:iCs/>
          <w:color w:val="000000"/>
          <w:sz w:val="20"/>
          <w:szCs w:val="20"/>
        </w:rPr>
        <w:t>Capital expenditures</w:t>
      </w:r>
    </w:p>
    <w:p w14:paraId="35D09E8B" w14:textId="77777777" w:rsidR="00D42204" w:rsidRDefault="004E439D">
      <w:pPr>
        <w:spacing w:before="100"/>
      </w:pPr>
      <w:r>
        <w:rPr>
          <w:rFonts w:ascii="Times New Roman" w:eastAsia="宋体" w:hAnsi="Times New Roman"/>
          <w:color w:val="000000"/>
          <w:sz w:val="20"/>
          <w:szCs w:val="20"/>
        </w:rPr>
        <w:t>Refer to the "</w:t>
      </w:r>
      <w:hyperlink r:id="rId104" w:anchor="i1ba69ebb72ec48f9b754a5e96c4cdf3f_82" w:history="1">
        <w:r>
          <w:rPr>
            <w:rStyle w:val="a5"/>
            <w:rFonts w:ascii="Times New Roman" w:eastAsia="宋体" w:hAnsi="Times New Roman"/>
            <w:sz w:val="20"/>
            <w:szCs w:val="20"/>
          </w:rPr>
          <w:t>Strategic Capital Allocation</w:t>
        </w:r>
      </w:hyperlink>
      <w:r>
        <w:rPr>
          <w:rFonts w:ascii="Times New Roman" w:eastAsia="宋体" w:hAnsi="Times New Roman"/>
          <w:color w:val="000000"/>
          <w:sz w:val="20"/>
          <w:szCs w:val="20"/>
        </w:rPr>
        <w:t xml:space="preserve">" section in our </w:t>
      </w:r>
      <w:hyperlink r:id="rId105" w:anchor="i1ba69ebb72ec48f9b754a5e96c4cdf3f_73" w:history="1">
        <w:r>
          <w:rPr>
            <w:rStyle w:val="a5"/>
            <w:rFonts w:ascii="Times New Roman" w:eastAsia="宋体" w:hAnsi="Times New Roman"/>
            <w:sz w:val="20"/>
            <w:szCs w:val="20"/>
          </w:rPr>
          <w:t>Company Performance Metrics</w:t>
        </w:r>
      </w:hyperlink>
      <w:r>
        <w:rPr>
          <w:rFonts w:ascii="Times New Roman" w:eastAsia="宋体" w:hAnsi="Times New Roman"/>
          <w:color w:val="000000"/>
          <w:sz w:val="20"/>
          <w:szCs w:val="20"/>
        </w:rPr>
        <w:t xml:space="preserve"> for capital expenditure</w:t>
      </w:r>
      <w:r>
        <w:rPr>
          <w:rFonts w:ascii="Times New Roman" w:eastAsia="宋体" w:hAnsi="Times New Roman"/>
          <w:color w:val="000000"/>
          <w:sz w:val="20"/>
          <w:szCs w:val="20"/>
        </w:rPr>
        <w:t xml:space="preserve"> detail for fiscal 2022 and 2021. For the fiscal year ending January 31, 2023 ("fiscal 2023"), we project capital expenditures will be approximately $18 billion, with a focus on supply chain, automation, customer-facing initiatives and technology. </w:t>
      </w:r>
    </w:p>
    <w:p w14:paraId="35D09E8C" w14:textId="77777777" w:rsidR="00D42204" w:rsidRDefault="004E439D">
      <w:pPr>
        <w:spacing w:before="180"/>
      </w:pPr>
      <w:r>
        <w:rPr>
          <w:rFonts w:ascii="Times New Roman" w:eastAsia="宋体" w:hAnsi="Times New Roman"/>
          <w:b/>
          <w:bCs/>
          <w:i/>
          <w:iCs/>
          <w:color w:val="000000"/>
          <w:sz w:val="20"/>
          <w:szCs w:val="20"/>
        </w:rPr>
        <w:t>Net Cas</w:t>
      </w:r>
      <w:r>
        <w:rPr>
          <w:rFonts w:ascii="Times New Roman" w:eastAsia="宋体" w:hAnsi="Times New Roman"/>
          <w:b/>
          <w:bCs/>
          <w:i/>
          <w:iCs/>
          <w:color w:val="000000"/>
          <w:sz w:val="20"/>
          <w:szCs w:val="20"/>
        </w:rPr>
        <w:t>h Used in Financing Activities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073"/>
        <w:gridCol w:w="36"/>
        <w:gridCol w:w="36"/>
        <w:gridCol w:w="36"/>
        <w:gridCol w:w="36"/>
        <w:gridCol w:w="100"/>
        <w:gridCol w:w="818"/>
        <w:gridCol w:w="36"/>
        <w:gridCol w:w="36"/>
        <w:gridCol w:w="36"/>
        <w:gridCol w:w="36"/>
        <w:gridCol w:w="100"/>
        <w:gridCol w:w="818"/>
        <w:gridCol w:w="36"/>
        <w:gridCol w:w="36"/>
        <w:gridCol w:w="36"/>
        <w:gridCol w:w="36"/>
        <w:gridCol w:w="100"/>
        <w:gridCol w:w="818"/>
        <w:gridCol w:w="36"/>
      </w:tblGrid>
      <w:tr w:rsidR="00D42204" w14:paraId="35D09EA2" w14:textId="77777777">
        <w:trPr>
          <w:jc w:val="center"/>
        </w:trPr>
        <w:tc>
          <w:tcPr>
            <w:tcW w:w="50" w:type="pct"/>
            <w:shd w:val="clear" w:color="auto" w:fill="auto"/>
            <w:vAlign w:val="bottom"/>
          </w:tcPr>
          <w:p w14:paraId="35D09E8D" w14:textId="77777777" w:rsidR="00D42204" w:rsidRDefault="00D42204">
            <w:pPr>
              <w:rPr>
                <w:rFonts w:ascii="宋体"/>
              </w:rPr>
            </w:pPr>
          </w:p>
        </w:tc>
        <w:tc>
          <w:tcPr>
            <w:tcW w:w="3064" w:type="pct"/>
            <w:shd w:val="clear" w:color="auto" w:fill="auto"/>
            <w:vAlign w:val="bottom"/>
          </w:tcPr>
          <w:p w14:paraId="35D09E8E" w14:textId="77777777" w:rsidR="00D42204" w:rsidRDefault="00D42204">
            <w:pPr>
              <w:rPr>
                <w:rFonts w:ascii="宋体"/>
              </w:rPr>
            </w:pPr>
          </w:p>
        </w:tc>
        <w:tc>
          <w:tcPr>
            <w:tcW w:w="5" w:type="pct"/>
            <w:shd w:val="clear" w:color="auto" w:fill="auto"/>
            <w:vAlign w:val="bottom"/>
          </w:tcPr>
          <w:p w14:paraId="35D09E8F" w14:textId="77777777" w:rsidR="00D42204" w:rsidRDefault="00D42204">
            <w:pPr>
              <w:rPr>
                <w:rFonts w:ascii="宋体"/>
              </w:rPr>
            </w:pPr>
          </w:p>
        </w:tc>
        <w:tc>
          <w:tcPr>
            <w:tcW w:w="5" w:type="pct"/>
            <w:shd w:val="clear" w:color="auto" w:fill="auto"/>
            <w:vAlign w:val="bottom"/>
          </w:tcPr>
          <w:p w14:paraId="35D09E90" w14:textId="77777777" w:rsidR="00D42204" w:rsidRDefault="00D42204">
            <w:pPr>
              <w:rPr>
                <w:rFonts w:ascii="宋体"/>
              </w:rPr>
            </w:pPr>
          </w:p>
        </w:tc>
        <w:tc>
          <w:tcPr>
            <w:tcW w:w="40" w:type="pct"/>
            <w:shd w:val="clear" w:color="auto" w:fill="auto"/>
            <w:vAlign w:val="bottom"/>
          </w:tcPr>
          <w:p w14:paraId="35D09E91" w14:textId="77777777" w:rsidR="00D42204" w:rsidRDefault="00D42204">
            <w:pPr>
              <w:rPr>
                <w:rFonts w:ascii="宋体"/>
              </w:rPr>
            </w:pPr>
          </w:p>
        </w:tc>
        <w:tc>
          <w:tcPr>
            <w:tcW w:w="5" w:type="pct"/>
            <w:shd w:val="clear" w:color="auto" w:fill="auto"/>
            <w:vAlign w:val="bottom"/>
          </w:tcPr>
          <w:p w14:paraId="35D09E92" w14:textId="77777777" w:rsidR="00D42204" w:rsidRDefault="00D42204">
            <w:pPr>
              <w:rPr>
                <w:rFonts w:ascii="宋体"/>
              </w:rPr>
            </w:pPr>
          </w:p>
        </w:tc>
        <w:tc>
          <w:tcPr>
            <w:tcW w:w="50" w:type="pct"/>
            <w:shd w:val="clear" w:color="auto" w:fill="auto"/>
            <w:vAlign w:val="bottom"/>
          </w:tcPr>
          <w:p w14:paraId="35D09E93" w14:textId="77777777" w:rsidR="00D42204" w:rsidRDefault="00D42204">
            <w:pPr>
              <w:rPr>
                <w:rFonts w:ascii="宋体"/>
              </w:rPr>
            </w:pPr>
          </w:p>
        </w:tc>
        <w:tc>
          <w:tcPr>
            <w:tcW w:w="520" w:type="pct"/>
            <w:shd w:val="clear" w:color="auto" w:fill="auto"/>
            <w:vAlign w:val="bottom"/>
          </w:tcPr>
          <w:p w14:paraId="35D09E94" w14:textId="77777777" w:rsidR="00D42204" w:rsidRDefault="00D42204">
            <w:pPr>
              <w:rPr>
                <w:rFonts w:ascii="宋体"/>
              </w:rPr>
            </w:pPr>
          </w:p>
        </w:tc>
        <w:tc>
          <w:tcPr>
            <w:tcW w:w="5" w:type="pct"/>
            <w:shd w:val="clear" w:color="auto" w:fill="auto"/>
            <w:vAlign w:val="bottom"/>
          </w:tcPr>
          <w:p w14:paraId="35D09E95" w14:textId="77777777" w:rsidR="00D42204" w:rsidRDefault="00D42204">
            <w:pPr>
              <w:rPr>
                <w:rFonts w:ascii="宋体"/>
              </w:rPr>
            </w:pPr>
          </w:p>
        </w:tc>
        <w:tc>
          <w:tcPr>
            <w:tcW w:w="5" w:type="pct"/>
            <w:shd w:val="clear" w:color="auto" w:fill="auto"/>
            <w:vAlign w:val="bottom"/>
          </w:tcPr>
          <w:p w14:paraId="35D09E96" w14:textId="77777777" w:rsidR="00D42204" w:rsidRDefault="00D42204">
            <w:pPr>
              <w:rPr>
                <w:rFonts w:ascii="宋体"/>
              </w:rPr>
            </w:pPr>
          </w:p>
        </w:tc>
        <w:tc>
          <w:tcPr>
            <w:tcW w:w="40" w:type="pct"/>
            <w:shd w:val="clear" w:color="auto" w:fill="auto"/>
            <w:vAlign w:val="bottom"/>
          </w:tcPr>
          <w:p w14:paraId="35D09E97" w14:textId="77777777" w:rsidR="00D42204" w:rsidRDefault="00D42204">
            <w:pPr>
              <w:rPr>
                <w:rFonts w:ascii="宋体"/>
              </w:rPr>
            </w:pPr>
          </w:p>
        </w:tc>
        <w:tc>
          <w:tcPr>
            <w:tcW w:w="5" w:type="pct"/>
            <w:shd w:val="clear" w:color="auto" w:fill="auto"/>
            <w:vAlign w:val="bottom"/>
          </w:tcPr>
          <w:p w14:paraId="35D09E98" w14:textId="77777777" w:rsidR="00D42204" w:rsidRDefault="00D42204">
            <w:pPr>
              <w:rPr>
                <w:rFonts w:ascii="宋体"/>
              </w:rPr>
            </w:pPr>
          </w:p>
        </w:tc>
        <w:tc>
          <w:tcPr>
            <w:tcW w:w="50" w:type="pct"/>
            <w:shd w:val="clear" w:color="auto" w:fill="auto"/>
            <w:vAlign w:val="bottom"/>
          </w:tcPr>
          <w:p w14:paraId="35D09E99" w14:textId="77777777" w:rsidR="00D42204" w:rsidRDefault="00D42204">
            <w:pPr>
              <w:rPr>
                <w:rFonts w:ascii="宋体"/>
              </w:rPr>
            </w:pPr>
          </w:p>
        </w:tc>
        <w:tc>
          <w:tcPr>
            <w:tcW w:w="520" w:type="pct"/>
            <w:shd w:val="clear" w:color="auto" w:fill="auto"/>
            <w:vAlign w:val="bottom"/>
          </w:tcPr>
          <w:p w14:paraId="35D09E9A" w14:textId="77777777" w:rsidR="00D42204" w:rsidRDefault="00D42204">
            <w:pPr>
              <w:rPr>
                <w:rFonts w:ascii="宋体"/>
              </w:rPr>
            </w:pPr>
          </w:p>
        </w:tc>
        <w:tc>
          <w:tcPr>
            <w:tcW w:w="5" w:type="pct"/>
            <w:shd w:val="clear" w:color="auto" w:fill="auto"/>
            <w:vAlign w:val="bottom"/>
          </w:tcPr>
          <w:p w14:paraId="35D09E9B" w14:textId="77777777" w:rsidR="00D42204" w:rsidRDefault="00D42204">
            <w:pPr>
              <w:rPr>
                <w:rFonts w:ascii="宋体"/>
              </w:rPr>
            </w:pPr>
          </w:p>
        </w:tc>
        <w:tc>
          <w:tcPr>
            <w:tcW w:w="5" w:type="pct"/>
            <w:shd w:val="clear" w:color="auto" w:fill="auto"/>
            <w:vAlign w:val="bottom"/>
          </w:tcPr>
          <w:p w14:paraId="35D09E9C" w14:textId="77777777" w:rsidR="00D42204" w:rsidRDefault="00D42204">
            <w:pPr>
              <w:rPr>
                <w:rFonts w:ascii="宋体"/>
              </w:rPr>
            </w:pPr>
          </w:p>
        </w:tc>
        <w:tc>
          <w:tcPr>
            <w:tcW w:w="40" w:type="pct"/>
            <w:shd w:val="clear" w:color="auto" w:fill="auto"/>
            <w:vAlign w:val="bottom"/>
          </w:tcPr>
          <w:p w14:paraId="35D09E9D" w14:textId="77777777" w:rsidR="00D42204" w:rsidRDefault="00D42204">
            <w:pPr>
              <w:rPr>
                <w:rFonts w:ascii="宋体"/>
              </w:rPr>
            </w:pPr>
          </w:p>
        </w:tc>
        <w:tc>
          <w:tcPr>
            <w:tcW w:w="5" w:type="pct"/>
            <w:shd w:val="clear" w:color="auto" w:fill="auto"/>
            <w:vAlign w:val="bottom"/>
          </w:tcPr>
          <w:p w14:paraId="35D09E9E" w14:textId="77777777" w:rsidR="00D42204" w:rsidRDefault="00D42204">
            <w:pPr>
              <w:rPr>
                <w:rFonts w:ascii="宋体"/>
              </w:rPr>
            </w:pPr>
          </w:p>
        </w:tc>
        <w:tc>
          <w:tcPr>
            <w:tcW w:w="50" w:type="pct"/>
            <w:shd w:val="clear" w:color="auto" w:fill="auto"/>
            <w:vAlign w:val="bottom"/>
          </w:tcPr>
          <w:p w14:paraId="35D09E9F" w14:textId="77777777" w:rsidR="00D42204" w:rsidRDefault="00D42204">
            <w:pPr>
              <w:rPr>
                <w:rFonts w:ascii="宋体"/>
              </w:rPr>
            </w:pPr>
          </w:p>
        </w:tc>
        <w:tc>
          <w:tcPr>
            <w:tcW w:w="520" w:type="pct"/>
            <w:shd w:val="clear" w:color="auto" w:fill="auto"/>
            <w:vAlign w:val="bottom"/>
          </w:tcPr>
          <w:p w14:paraId="35D09EA0" w14:textId="77777777" w:rsidR="00D42204" w:rsidRDefault="00D42204">
            <w:pPr>
              <w:rPr>
                <w:rFonts w:ascii="宋体"/>
              </w:rPr>
            </w:pPr>
          </w:p>
        </w:tc>
        <w:tc>
          <w:tcPr>
            <w:tcW w:w="5" w:type="pct"/>
            <w:shd w:val="clear" w:color="auto" w:fill="auto"/>
            <w:vAlign w:val="bottom"/>
          </w:tcPr>
          <w:p w14:paraId="35D09EA1" w14:textId="77777777" w:rsidR="00D42204" w:rsidRDefault="00D42204">
            <w:pPr>
              <w:rPr>
                <w:rFonts w:ascii="宋体"/>
              </w:rPr>
            </w:pPr>
          </w:p>
        </w:tc>
      </w:tr>
      <w:tr w:rsidR="00D42204" w14:paraId="35D09EA6" w14:textId="77777777">
        <w:trPr>
          <w:jc w:val="center"/>
        </w:trPr>
        <w:tc>
          <w:tcPr>
            <w:tcW w:w="0" w:type="auto"/>
            <w:gridSpan w:val="3"/>
            <w:shd w:val="clear" w:color="auto" w:fill="auto"/>
            <w:tcMar>
              <w:top w:w="40" w:type="dxa"/>
              <w:left w:w="20" w:type="dxa"/>
              <w:bottom w:w="40" w:type="dxa"/>
              <w:right w:w="20" w:type="dxa"/>
            </w:tcMar>
            <w:vAlign w:val="center"/>
          </w:tcPr>
          <w:p w14:paraId="35D09EA3" w14:textId="77777777" w:rsidR="00D42204" w:rsidRDefault="004E439D">
            <w:pPr>
              <w:textAlignment w:val="center"/>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9EA4"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9EA5" w14:textId="77777777" w:rsidR="00D42204" w:rsidRDefault="004E439D">
            <w:pPr>
              <w:jc w:val="center"/>
              <w:textAlignment w:val="bottom"/>
            </w:pPr>
            <w:r>
              <w:rPr>
                <w:rFonts w:ascii="Times New Roman" w:eastAsia="宋体" w:hAnsi="Times New Roman"/>
                <w:b/>
                <w:bCs/>
                <w:color w:val="000000"/>
                <w:sz w:val="16"/>
                <w:szCs w:val="16"/>
              </w:rPr>
              <w:t>Fisca</w:t>
            </w:r>
            <w:r>
              <w:rPr>
                <w:rFonts w:ascii="Times New Roman" w:eastAsia="宋体" w:hAnsi="Times New Roman"/>
                <w:b/>
                <w:bCs/>
                <w:color w:val="000000"/>
                <w:sz w:val="16"/>
                <w:szCs w:val="16"/>
              </w:rPr>
              <w:t>l Years Ended January 31,</w:t>
            </w:r>
          </w:p>
        </w:tc>
      </w:tr>
      <w:tr w:rsidR="00D42204" w14:paraId="35D09EAE" w14:textId="77777777">
        <w:trPr>
          <w:jc w:val="center"/>
        </w:trPr>
        <w:tc>
          <w:tcPr>
            <w:tcW w:w="0" w:type="auto"/>
            <w:gridSpan w:val="3"/>
            <w:shd w:val="clear" w:color="auto" w:fill="auto"/>
            <w:tcMar>
              <w:top w:w="40" w:type="dxa"/>
              <w:left w:w="20" w:type="dxa"/>
              <w:bottom w:w="40" w:type="dxa"/>
              <w:right w:w="20" w:type="dxa"/>
            </w:tcMar>
            <w:vAlign w:val="center"/>
          </w:tcPr>
          <w:p w14:paraId="35D09EA7" w14:textId="77777777" w:rsidR="00D42204" w:rsidRDefault="004E439D">
            <w:pPr>
              <w:textAlignment w:val="center"/>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9EA8"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EA9" w14:textId="77777777" w:rsidR="00D42204" w:rsidRDefault="004E439D">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EAA"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EAB" w14:textId="77777777" w:rsidR="00D42204" w:rsidRDefault="004E439D">
            <w:pPr>
              <w:jc w:val="center"/>
              <w:textAlignment w:val="center"/>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EAC"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9EAD" w14:textId="77777777" w:rsidR="00D42204" w:rsidRDefault="004E439D">
            <w:pPr>
              <w:jc w:val="center"/>
              <w:textAlignment w:val="center"/>
            </w:pPr>
            <w:r>
              <w:rPr>
                <w:rFonts w:ascii="Times New Roman" w:eastAsia="宋体" w:hAnsi="Times New Roman"/>
                <w:b/>
                <w:bCs/>
                <w:color w:val="000000"/>
                <w:sz w:val="16"/>
                <w:szCs w:val="16"/>
              </w:rPr>
              <w:t>2020</w:t>
            </w:r>
          </w:p>
        </w:tc>
      </w:tr>
      <w:tr w:rsidR="00D42204" w14:paraId="35D09EBC" w14:textId="77777777">
        <w:trPr>
          <w:jc w:val="center"/>
        </w:trPr>
        <w:tc>
          <w:tcPr>
            <w:tcW w:w="0" w:type="auto"/>
            <w:gridSpan w:val="3"/>
            <w:shd w:val="clear" w:color="auto" w:fill="CCEEFF"/>
            <w:tcMar>
              <w:top w:w="40" w:type="dxa"/>
              <w:left w:w="20" w:type="dxa"/>
              <w:bottom w:w="40" w:type="dxa"/>
              <w:right w:w="20" w:type="dxa"/>
            </w:tcMar>
            <w:vAlign w:val="center"/>
          </w:tcPr>
          <w:p w14:paraId="35D09EAF" w14:textId="77777777" w:rsidR="00D42204" w:rsidRDefault="004E439D">
            <w:pPr>
              <w:textAlignment w:val="center"/>
            </w:pPr>
            <w:r>
              <w:rPr>
                <w:rFonts w:ascii="Times New Roman" w:eastAsia="宋体" w:hAnsi="Times New Roman"/>
                <w:color w:val="000000"/>
                <w:sz w:val="16"/>
                <w:szCs w:val="16"/>
              </w:rPr>
              <w:t>Net cash used in financing activities</w:t>
            </w:r>
          </w:p>
        </w:tc>
        <w:tc>
          <w:tcPr>
            <w:tcW w:w="0" w:type="auto"/>
            <w:gridSpan w:val="3"/>
            <w:shd w:val="clear" w:color="auto" w:fill="CCEEFF"/>
            <w:tcMar>
              <w:top w:w="0" w:type="dxa"/>
              <w:left w:w="20" w:type="dxa"/>
              <w:bottom w:w="0" w:type="dxa"/>
              <w:right w:w="20" w:type="dxa"/>
            </w:tcMar>
            <w:vAlign w:val="bottom"/>
          </w:tcPr>
          <w:p w14:paraId="35D09EB0"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EB1"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EB2" w14:textId="77777777" w:rsidR="00D42204" w:rsidRDefault="004E439D">
            <w:pPr>
              <w:jc w:val="right"/>
              <w:textAlignment w:val="center"/>
            </w:pPr>
            <w:r>
              <w:rPr>
                <w:rFonts w:ascii="Times New Roman" w:eastAsia="宋体" w:hAnsi="Times New Roman"/>
                <w:color w:val="000000"/>
                <w:sz w:val="16"/>
                <w:szCs w:val="16"/>
              </w:rPr>
              <w:t>(22,828)</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EB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EB4"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EB5"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EB6" w14:textId="77777777" w:rsidR="00D42204" w:rsidRDefault="004E439D">
            <w:pPr>
              <w:jc w:val="right"/>
              <w:textAlignment w:val="center"/>
            </w:pPr>
            <w:r>
              <w:rPr>
                <w:rFonts w:ascii="Times New Roman" w:eastAsia="宋体" w:hAnsi="Times New Roman"/>
                <w:color w:val="000000"/>
                <w:sz w:val="16"/>
                <w:szCs w:val="16"/>
              </w:rPr>
              <w:t>(16,117)</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EB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EB8"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EB9"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EBA" w14:textId="77777777" w:rsidR="00D42204" w:rsidRDefault="004E439D">
            <w:pPr>
              <w:jc w:val="right"/>
              <w:textAlignment w:val="center"/>
            </w:pPr>
            <w:r>
              <w:rPr>
                <w:rFonts w:ascii="Times New Roman" w:eastAsia="宋体" w:hAnsi="Times New Roman"/>
                <w:color w:val="000000"/>
                <w:sz w:val="16"/>
                <w:szCs w:val="16"/>
              </w:rPr>
              <w:t>(14,299)</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EBB" w14:textId="77777777" w:rsidR="00D42204" w:rsidRDefault="00D42204">
            <w:pPr>
              <w:jc w:val="right"/>
              <w:rPr>
                <w:rFonts w:ascii="宋体"/>
              </w:rPr>
            </w:pPr>
          </w:p>
        </w:tc>
      </w:tr>
    </w:tbl>
    <w:p w14:paraId="35D09EBD" w14:textId="77777777" w:rsidR="00D42204" w:rsidRDefault="004E439D">
      <w:pPr>
        <w:spacing w:before="80"/>
      </w:pPr>
      <w:r>
        <w:rPr>
          <w:rFonts w:ascii="Times New Roman" w:eastAsia="宋体" w:hAnsi="Times New Roman"/>
          <w:color w:val="000000"/>
          <w:sz w:val="20"/>
          <w:szCs w:val="20"/>
        </w:rPr>
        <w:t>Net cash from financing activities generally consists of transactions related to our short-term and long-term debt, financing obligations, dividends paid and the repurchase of Company st</w:t>
      </w:r>
      <w:r>
        <w:rPr>
          <w:rFonts w:ascii="Times New Roman" w:eastAsia="宋体" w:hAnsi="Times New Roman"/>
          <w:color w:val="000000"/>
          <w:sz w:val="20"/>
          <w:szCs w:val="20"/>
        </w:rPr>
        <w:t>ock. Transactions with noncontrolling interest shareholders are also classified as cash flows from financing activities. Fiscal 2022 net cash used in financing activities increased $6.7 billion when compared to the previous fiscal year. The increase is pri</w:t>
      </w:r>
      <w:r>
        <w:rPr>
          <w:rFonts w:ascii="Times New Roman" w:eastAsia="宋体" w:hAnsi="Times New Roman"/>
          <w:color w:val="000000"/>
          <w:sz w:val="20"/>
          <w:szCs w:val="20"/>
        </w:rPr>
        <w:t xml:space="preserve">marily due to repayments of long-term debt and related payment </w:t>
      </w:r>
    </w:p>
    <w:p w14:paraId="35D09EBE" w14:textId="77777777" w:rsidR="00D42204" w:rsidRDefault="004E439D">
      <w:pPr>
        <w:jc w:val="center"/>
      </w:pPr>
      <w:r>
        <w:rPr>
          <w:rFonts w:ascii="Times New Roman" w:eastAsia="宋体" w:hAnsi="Times New Roman"/>
          <w:color w:val="000000"/>
          <w:sz w:val="20"/>
          <w:szCs w:val="20"/>
        </w:rPr>
        <w:t>42</w:t>
      </w:r>
    </w:p>
    <w:p w14:paraId="35D09EBF" w14:textId="77777777" w:rsidR="00D42204" w:rsidRDefault="004E439D">
      <w:r>
        <w:pict w14:anchorId="35D0C385">
          <v:rect id="_x0000_i1066" style="width:415.3pt;height:1.5pt" o:hralign="center" o:hrstd="t" o:hr="t" fillcolor="#a0a0a0" stroked="f"/>
        </w:pict>
      </w:r>
    </w:p>
    <w:p w14:paraId="35D09EC0" w14:textId="77777777" w:rsidR="00D42204" w:rsidRDefault="00D42204"/>
    <w:p w14:paraId="35D09EC1" w14:textId="77777777" w:rsidR="00D42204" w:rsidRDefault="004E439D">
      <w:pPr>
        <w:spacing w:before="80"/>
      </w:pPr>
      <w:r>
        <w:rPr>
          <w:rFonts w:ascii="Times New Roman" w:eastAsia="宋体" w:hAnsi="Times New Roman"/>
          <w:color w:val="000000"/>
          <w:sz w:val="20"/>
          <w:szCs w:val="20"/>
        </w:rPr>
        <w:t>of premiums for the early extinguishment of certain notes, as well as increased share repurchases, partially offset by new long-term debt issuances in the current year and equity funding</w:t>
      </w:r>
      <w:r>
        <w:rPr>
          <w:rFonts w:ascii="Times New Roman" w:eastAsia="宋体" w:hAnsi="Times New Roman"/>
          <w:color w:val="000000"/>
          <w:sz w:val="20"/>
          <w:szCs w:val="20"/>
        </w:rPr>
        <w:t xml:space="preserve"> from the sale of subsidiary stock. Fiscal 2021 net cash used in financing activities increased $1.8 billion for fiscal 2021 when compared to the previous fiscal year. The increase was primarily due to the timing of issuances and repayments of long-term de</w:t>
      </w:r>
      <w:r>
        <w:rPr>
          <w:rFonts w:ascii="Times New Roman" w:eastAsia="宋体" w:hAnsi="Times New Roman"/>
          <w:color w:val="000000"/>
          <w:sz w:val="20"/>
          <w:szCs w:val="20"/>
        </w:rPr>
        <w:t xml:space="preserve">bt, partially offset by both a reduction in cash used to pay down short-term borrowings as well as share repurchases. </w:t>
      </w:r>
    </w:p>
    <w:p w14:paraId="35D09EC2" w14:textId="77777777" w:rsidR="00D42204" w:rsidRDefault="004E439D">
      <w:pPr>
        <w:spacing w:before="180"/>
      </w:pPr>
      <w:r>
        <w:rPr>
          <w:rFonts w:ascii="Times New Roman" w:eastAsia="宋体" w:hAnsi="Times New Roman"/>
          <w:i/>
          <w:iCs/>
          <w:color w:val="000000"/>
          <w:sz w:val="20"/>
          <w:szCs w:val="20"/>
        </w:rPr>
        <w:t>Sale of Subsidiary Stoc</w:t>
      </w:r>
      <w:r>
        <w:rPr>
          <w:rFonts w:ascii="Times New Roman" w:eastAsia="宋体" w:hAnsi="Times New Roman"/>
          <w:color w:val="000000"/>
          <w:sz w:val="20"/>
          <w:szCs w:val="20"/>
        </w:rPr>
        <w:t>k</w:t>
      </w:r>
    </w:p>
    <w:p w14:paraId="35D09EC3" w14:textId="77777777" w:rsidR="00D42204" w:rsidRDefault="004E439D">
      <w:pPr>
        <w:spacing w:before="100"/>
      </w:pPr>
      <w:r>
        <w:rPr>
          <w:rFonts w:ascii="Times New Roman" w:eastAsia="宋体" w:hAnsi="Times New Roman"/>
          <w:color w:val="000000"/>
          <w:sz w:val="20"/>
          <w:szCs w:val="20"/>
        </w:rPr>
        <w:t xml:space="preserve">During fiscal 2022, the Company received $3.2 billion primarily related to a new equity funding for the </w:t>
      </w:r>
      <w:r>
        <w:rPr>
          <w:rFonts w:ascii="Times New Roman" w:eastAsia="宋体" w:hAnsi="Times New Roman"/>
          <w:color w:val="000000"/>
          <w:sz w:val="20"/>
          <w:szCs w:val="20"/>
        </w:rPr>
        <w:t>Company's majority-owned Flipkart subsidiary, which reduced the Company's ownership from approximately 83% as of January 31, 2021 to approximately 75%.</w:t>
      </w:r>
    </w:p>
    <w:p w14:paraId="35D09EC4" w14:textId="77777777" w:rsidR="00D42204" w:rsidRDefault="004E439D">
      <w:pPr>
        <w:spacing w:before="180"/>
      </w:pPr>
      <w:r>
        <w:rPr>
          <w:rFonts w:ascii="Times New Roman" w:eastAsia="宋体" w:hAnsi="Times New Roman"/>
          <w:i/>
          <w:iCs/>
          <w:color w:val="000000"/>
          <w:sz w:val="20"/>
          <w:szCs w:val="20"/>
        </w:rPr>
        <w:t>Short-term Borrowings</w:t>
      </w:r>
    </w:p>
    <w:p w14:paraId="35D09EC5" w14:textId="77777777" w:rsidR="00D42204" w:rsidRDefault="004E439D">
      <w:pPr>
        <w:spacing w:before="100"/>
      </w:pPr>
      <w:r>
        <w:rPr>
          <w:rFonts w:ascii="Times New Roman" w:eastAsia="宋体" w:hAnsi="Times New Roman"/>
          <w:color w:val="000000"/>
          <w:sz w:val="20"/>
          <w:szCs w:val="20"/>
        </w:rPr>
        <w:t>We generally utilize the liquidity provided by short-term borrowings to provide fu</w:t>
      </w:r>
      <w:r>
        <w:rPr>
          <w:rFonts w:ascii="Times New Roman" w:eastAsia="宋体" w:hAnsi="Times New Roman"/>
          <w:color w:val="000000"/>
          <w:sz w:val="20"/>
          <w:szCs w:val="20"/>
        </w:rPr>
        <w:t>nding for our operations, dividend payments, share repurchases, capital expenditures and other cash requirements. The following table includes additional information related to the Company's short-term borrowings for fiscal 2022, 2021 and 2020:</w:t>
      </w:r>
    </w:p>
    <w:tbl>
      <w:tblPr>
        <w:tblW w:w="4985" w:type="pct"/>
        <w:tblCellMar>
          <w:top w:w="15" w:type="dxa"/>
          <w:left w:w="15" w:type="dxa"/>
          <w:bottom w:w="15" w:type="dxa"/>
          <w:right w:w="15" w:type="dxa"/>
        </w:tblCellMar>
        <w:tblLook w:val="04A0" w:firstRow="1" w:lastRow="0" w:firstColumn="1" w:lastColumn="0" w:noHBand="0" w:noVBand="1"/>
      </w:tblPr>
      <w:tblGrid>
        <w:gridCol w:w="39"/>
        <w:gridCol w:w="4694"/>
        <w:gridCol w:w="38"/>
        <w:gridCol w:w="36"/>
        <w:gridCol w:w="36"/>
        <w:gridCol w:w="36"/>
        <w:gridCol w:w="100"/>
        <w:gridCol w:w="818"/>
        <w:gridCol w:w="154"/>
        <w:gridCol w:w="36"/>
        <w:gridCol w:w="36"/>
        <w:gridCol w:w="36"/>
        <w:gridCol w:w="100"/>
        <w:gridCol w:w="818"/>
        <w:gridCol w:w="154"/>
        <w:gridCol w:w="36"/>
        <w:gridCol w:w="36"/>
        <w:gridCol w:w="36"/>
        <w:gridCol w:w="100"/>
        <w:gridCol w:w="818"/>
        <w:gridCol w:w="154"/>
      </w:tblGrid>
      <w:tr w:rsidR="00D42204" w14:paraId="35D09EDB" w14:textId="77777777">
        <w:tc>
          <w:tcPr>
            <w:tcW w:w="50" w:type="pct"/>
            <w:shd w:val="clear" w:color="auto" w:fill="auto"/>
            <w:vAlign w:val="bottom"/>
          </w:tcPr>
          <w:p w14:paraId="35D09EC6" w14:textId="77777777" w:rsidR="00D42204" w:rsidRDefault="00D42204">
            <w:pPr>
              <w:rPr>
                <w:rFonts w:ascii="宋体"/>
              </w:rPr>
            </w:pPr>
          </w:p>
        </w:tc>
        <w:tc>
          <w:tcPr>
            <w:tcW w:w="2899" w:type="pct"/>
            <w:shd w:val="clear" w:color="auto" w:fill="auto"/>
            <w:vAlign w:val="bottom"/>
          </w:tcPr>
          <w:p w14:paraId="35D09EC7" w14:textId="77777777" w:rsidR="00D42204" w:rsidRDefault="00D42204">
            <w:pPr>
              <w:rPr>
                <w:rFonts w:ascii="宋体"/>
              </w:rPr>
            </w:pPr>
          </w:p>
        </w:tc>
        <w:tc>
          <w:tcPr>
            <w:tcW w:w="5" w:type="pct"/>
            <w:shd w:val="clear" w:color="auto" w:fill="auto"/>
            <w:vAlign w:val="bottom"/>
          </w:tcPr>
          <w:p w14:paraId="35D09EC8" w14:textId="77777777" w:rsidR="00D42204" w:rsidRDefault="00D42204">
            <w:pPr>
              <w:rPr>
                <w:rFonts w:ascii="宋体"/>
              </w:rPr>
            </w:pPr>
          </w:p>
        </w:tc>
        <w:tc>
          <w:tcPr>
            <w:tcW w:w="5" w:type="pct"/>
            <w:shd w:val="clear" w:color="auto" w:fill="auto"/>
            <w:vAlign w:val="bottom"/>
          </w:tcPr>
          <w:p w14:paraId="35D09EC9" w14:textId="77777777" w:rsidR="00D42204" w:rsidRDefault="00D42204">
            <w:pPr>
              <w:rPr>
                <w:rFonts w:ascii="宋体"/>
              </w:rPr>
            </w:pPr>
          </w:p>
        </w:tc>
        <w:tc>
          <w:tcPr>
            <w:tcW w:w="26" w:type="pct"/>
            <w:shd w:val="clear" w:color="auto" w:fill="auto"/>
            <w:vAlign w:val="bottom"/>
          </w:tcPr>
          <w:p w14:paraId="35D09ECA" w14:textId="77777777" w:rsidR="00D42204" w:rsidRDefault="00D42204">
            <w:pPr>
              <w:rPr>
                <w:rFonts w:ascii="宋体"/>
              </w:rPr>
            </w:pPr>
          </w:p>
        </w:tc>
        <w:tc>
          <w:tcPr>
            <w:tcW w:w="5" w:type="pct"/>
            <w:shd w:val="clear" w:color="auto" w:fill="auto"/>
            <w:vAlign w:val="bottom"/>
          </w:tcPr>
          <w:p w14:paraId="35D09ECB" w14:textId="77777777" w:rsidR="00D42204" w:rsidRDefault="00D42204">
            <w:pPr>
              <w:rPr>
                <w:rFonts w:ascii="宋体"/>
              </w:rPr>
            </w:pPr>
          </w:p>
        </w:tc>
        <w:tc>
          <w:tcPr>
            <w:tcW w:w="50" w:type="pct"/>
            <w:shd w:val="clear" w:color="auto" w:fill="auto"/>
            <w:vAlign w:val="bottom"/>
          </w:tcPr>
          <w:p w14:paraId="35D09ECC" w14:textId="77777777" w:rsidR="00D42204" w:rsidRDefault="00D42204">
            <w:pPr>
              <w:rPr>
                <w:rFonts w:ascii="宋体"/>
              </w:rPr>
            </w:pPr>
          </w:p>
        </w:tc>
        <w:tc>
          <w:tcPr>
            <w:tcW w:w="590" w:type="pct"/>
            <w:shd w:val="clear" w:color="auto" w:fill="auto"/>
            <w:vAlign w:val="bottom"/>
          </w:tcPr>
          <w:p w14:paraId="35D09ECD" w14:textId="77777777" w:rsidR="00D42204" w:rsidRDefault="00D42204">
            <w:pPr>
              <w:rPr>
                <w:rFonts w:ascii="宋体"/>
              </w:rPr>
            </w:pPr>
          </w:p>
        </w:tc>
        <w:tc>
          <w:tcPr>
            <w:tcW w:w="5" w:type="pct"/>
            <w:shd w:val="clear" w:color="auto" w:fill="auto"/>
            <w:vAlign w:val="bottom"/>
          </w:tcPr>
          <w:p w14:paraId="35D09ECE" w14:textId="77777777" w:rsidR="00D42204" w:rsidRDefault="00D42204">
            <w:pPr>
              <w:rPr>
                <w:rFonts w:ascii="宋体"/>
              </w:rPr>
            </w:pPr>
          </w:p>
        </w:tc>
        <w:tc>
          <w:tcPr>
            <w:tcW w:w="5" w:type="pct"/>
            <w:shd w:val="clear" w:color="auto" w:fill="auto"/>
            <w:vAlign w:val="bottom"/>
          </w:tcPr>
          <w:p w14:paraId="35D09ECF" w14:textId="77777777" w:rsidR="00D42204" w:rsidRDefault="00D42204">
            <w:pPr>
              <w:rPr>
                <w:rFonts w:ascii="宋体"/>
              </w:rPr>
            </w:pPr>
          </w:p>
        </w:tc>
        <w:tc>
          <w:tcPr>
            <w:tcW w:w="26" w:type="pct"/>
            <w:shd w:val="clear" w:color="auto" w:fill="auto"/>
            <w:vAlign w:val="bottom"/>
          </w:tcPr>
          <w:p w14:paraId="35D09ED0" w14:textId="77777777" w:rsidR="00D42204" w:rsidRDefault="00D42204">
            <w:pPr>
              <w:rPr>
                <w:rFonts w:ascii="宋体"/>
              </w:rPr>
            </w:pPr>
          </w:p>
        </w:tc>
        <w:tc>
          <w:tcPr>
            <w:tcW w:w="5" w:type="pct"/>
            <w:shd w:val="clear" w:color="auto" w:fill="auto"/>
            <w:vAlign w:val="bottom"/>
          </w:tcPr>
          <w:p w14:paraId="35D09ED1" w14:textId="77777777" w:rsidR="00D42204" w:rsidRDefault="00D42204">
            <w:pPr>
              <w:rPr>
                <w:rFonts w:ascii="宋体"/>
              </w:rPr>
            </w:pPr>
          </w:p>
        </w:tc>
        <w:tc>
          <w:tcPr>
            <w:tcW w:w="50" w:type="pct"/>
            <w:shd w:val="clear" w:color="auto" w:fill="auto"/>
            <w:vAlign w:val="bottom"/>
          </w:tcPr>
          <w:p w14:paraId="35D09ED2" w14:textId="77777777" w:rsidR="00D42204" w:rsidRDefault="00D42204">
            <w:pPr>
              <w:rPr>
                <w:rFonts w:ascii="宋体"/>
              </w:rPr>
            </w:pPr>
          </w:p>
        </w:tc>
        <w:tc>
          <w:tcPr>
            <w:tcW w:w="590" w:type="pct"/>
            <w:shd w:val="clear" w:color="auto" w:fill="auto"/>
            <w:vAlign w:val="bottom"/>
          </w:tcPr>
          <w:p w14:paraId="35D09ED3" w14:textId="77777777" w:rsidR="00D42204" w:rsidRDefault="00D42204">
            <w:pPr>
              <w:rPr>
                <w:rFonts w:ascii="宋体"/>
              </w:rPr>
            </w:pPr>
          </w:p>
        </w:tc>
        <w:tc>
          <w:tcPr>
            <w:tcW w:w="5" w:type="pct"/>
            <w:shd w:val="clear" w:color="auto" w:fill="auto"/>
            <w:vAlign w:val="bottom"/>
          </w:tcPr>
          <w:p w14:paraId="35D09ED4" w14:textId="77777777" w:rsidR="00D42204" w:rsidRDefault="00D42204">
            <w:pPr>
              <w:rPr>
                <w:rFonts w:ascii="宋体"/>
              </w:rPr>
            </w:pPr>
          </w:p>
        </w:tc>
        <w:tc>
          <w:tcPr>
            <w:tcW w:w="5" w:type="pct"/>
            <w:shd w:val="clear" w:color="auto" w:fill="auto"/>
            <w:vAlign w:val="bottom"/>
          </w:tcPr>
          <w:p w14:paraId="35D09ED5" w14:textId="77777777" w:rsidR="00D42204" w:rsidRDefault="00D42204">
            <w:pPr>
              <w:rPr>
                <w:rFonts w:ascii="宋体"/>
              </w:rPr>
            </w:pPr>
          </w:p>
        </w:tc>
        <w:tc>
          <w:tcPr>
            <w:tcW w:w="26" w:type="pct"/>
            <w:shd w:val="clear" w:color="auto" w:fill="auto"/>
            <w:vAlign w:val="bottom"/>
          </w:tcPr>
          <w:p w14:paraId="35D09ED6" w14:textId="77777777" w:rsidR="00D42204" w:rsidRDefault="00D42204">
            <w:pPr>
              <w:rPr>
                <w:rFonts w:ascii="宋体"/>
              </w:rPr>
            </w:pPr>
          </w:p>
        </w:tc>
        <w:tc>
          <w:tcPr>
            <w:tcW w:w="5" w:type="pct"/>
            <w:shd w:val="clear" w:color="auto" w:fill="auto"/>
            <w:vAlign w:val="bottom"/>
          </w:tcPr>
          <w:p w14:paraId="35D09ED7" w14:textId="77777777" w:rsidR="00D42204" w:rsidRDefault="00D42204">
            <w:pPr>
              <w:rPr>
                <w:rFonts w:ascii="宋体"/>
              </w:rPr>
            </w:pPr>
          </w:p>
        </w:tc>
        <w:tc>
          <w:tcPr>
            <w:tcW w:w="50" w:type="pct"/>
            <w:shd w:val="clear" w:color="auto" w:fill="auto"/>
            <w:vAlign w:val="bottom"/>
          </w:tcPr>
          <w:p w14:paraId="35D09ED8" w14:textId="77777777" w:rsidR="00D42204" w:rsidRDefault="00D42204">
            <w:pPr>
              <w:rPr>
                <w:rFonts w:ascii="宋体"/>
              </w:rPr>
            </w:pPr>
          </w:p>
        </w:tc>
        <w:tc>
          <w:tcPr>
            <w:tcW w:w="590" w:type="pct"/>
            <w:shd w:val="clear" w:color="auto" w:fill="auto"/>
            <w:vAlign w:val="bottom"/>
          </w:tcPr>
          <w:p w14:paraId="35D09ED9" w14:textId="77777777" w:rsidR="00D42204" w:rsidRDefault="00D42204">
            <w:pPr>
              <w:rPr>
                <w:rFonts w:ascii="宋体"/>
              </w:rPr>
            </w:pPr>
          </w:p>
        </w:tc>
        <w:tc>
          <w:tcPr>
            <w:tcW w:w="5" w:type="pct"/>
            <w:shd w:val="clear" w:color="auto" w:fill="auto"/>
            <w:vAlign w:val="bottom"/>
          </w:tcPr>
          <w:p w14:paraId="35D09EDA" w14:textId="77777777" w:rsidR="00D42204" w:rsidRDefault="00D42204">
            <w:pPr>
              <w:rPr>
                <w:rFonts w:ascii="宋体"/>
              </w:rPr>
            </w:pPr>
          </w:p>
        </w:tc>
      </w:tr>
      <w:tr w:rsidR="00D42204" w14:paraId="35D09EDF" w14:textId="77777777">
        <w:tc>
          <w:tcPr>
            <w:tcW w:w="0" w:type="auto"/>
            <w:gridSpan w:val="3"/>
            <w:shd w:val="clear" w:color="auto" w:fill="auto"/>
            <w:tcMar>
              <w:top w:w="40" w:type="dxa"/>
              <w:left w:w="20" w:type="dxa"/>
              <w:bottom w:w="40" w:type="dxa"/>
              <w:right w:w="20" w:type="dxa"/>
            </w:tcMar>
            <w:vAlign w:val="bottom"/>
          </w:tcPr>
          <w:p w14:paraId="35D09EDC"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9EDD"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9EDE" w14:textId="77777777" w:rsidR="00D42204" w:rsidRDefault="004E439D">
            <w:pPr>
              <w:jc w:val="center"/>
              <w:textAlignment w:val="bottom"/>
            </w:pPr>
            <w:r>
              <w:rPr>
                <w:rFonts w:ascii="Times New Roman" w:eastAsia="宋体" w:hAnsi="Times New Roman"/>
                <w:b/>
                <w:bCs/>
                <w:color w:val="000000"/>
                <w:sz w:val="16"/>
                <w:szCs w:val="16"/>
              </w:rPr>
              <w:t>Fiscal Years Ended January 31,</w:t>
            </w:r>
          </w:p>
        </w:tc>
      </w:tr>
      <w:tr w:rsidR="00D42204" w14:paraId="35D09EE7" w14:textId="77777777">
        <w:tc>
          <w:tcPr>
            <w:tcW w:w="0" w:type="auto"/>
            <w:gridSpan w:val="3"/>
            <w:shd w:val="clear" w:color="auto" w:fill="auto"/>
            <w:tcMar>
              <w:top w:w="40" w:type="dxa"/>
              <w:left w:w="20" w:type="dxa"/>
              <w:bottom w:w="40" w:type="dxa"/>
              <w:right w:w="20" w:type="dxa"/>
            </w:tcMar>
            <w:vAlign w:val="bottom"/>
          </w:tcPr>
          <w:p w14:paraId="35D09EE0"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9EE1"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EE2"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EE3"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EE4"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EE5"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EE6"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9EF5" w14:textId="77777777">
        <w:tc>
          <w:tcPr>
            <w:tcW w:w="0" w:type="auto"/>
            <w:gridSpan w:val="3"/>
            <w:shd w:val="clear" w:color="auto" w:fill="CCEEFF"/>
            <w:tcMar>
              <w:top w:w="40" w:type="dxa"/>
              <w:left w:w="20" w:type="dxa"/>
              <w:bottom w:w="40" w:type="dxa"/>
              <w:right w:w="20" w:type="dxa"/>
            </w:tcMar>
            <w:vAlign w:val="center"/>
          </w:tcPr>
          <w:p w14:paraId="35D09EE8" w14:textId="77777777" w:rsidR="00D42204" w:rsidRDefault="004E439D">
            <w:pPr>
              <w:textAlignment w:val="center"/>
            </w:pPr>
            <w:r>
              <w:rPr>
                <w:rFonts w:ascii="Times New Roman" w:eastAsia="宋体" w:hAnsi="Times New Roman"/>
                <w:color w:val="000000"/>
                <w:sz w:val="16"/>
                <w:szCs w:val="16"/>
              </w:rPr>
              <w:t>Maximum amount outstanding at any month-end</w:t>
            </w:r>
          </w:p>
        </w:tc>
        <w:tc>
          <w:tcPr>
            <w:tcW w:w="0" w:type="auto"/>
            <w:gridSpan w:val="3"/>
            <w:shd w:val="clear" w:color="auto" w:fill="CCEEFF"/>
            <w:tcMar>
              <w:top w:w="0" w:type="dxa"/>
              <w:left w:w="20" w:type="dxa"/>
              <w:bottom w:w="0" w:type="dxa"/>
              <w:right w:w="20" w:type="dxa"/>
            </w:tcMar>
            <w:vAlign w:val="bottom"/>
          </w:tcPr>
          <w:p w14:paraId="35D09EE9"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EEA"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EEB" w14:textId="77777777" w:rsidR="00D42204" w:rsidRDefault="004E439D">
            <w:pPr>
              <w:jc w:val="right"/>
              <w:textAlignment w:val="center"/>
            </w:pPr>
            <w:r>
              <w:rPr>
                <w:rFonts w:ascii="Times New Roman" w:eastAsia="宋体" w:hAnsi="Times New Roman"/>
                <w:color w:val="000000"/>
                <w:sz w:val="16"/>
                <w:szCs w:val="16"/>
              </w:rPr>
              <w:t>716 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EE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EED"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EEE"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EEF" w14:textId="77777777" w:rsidR="00D42204" w:rsidRDefault="004E439D">
            <w:pPr>
              <w:jc w:val="right"/>
              <w:textAlignment w:val="center"/>
            </w:pPr>
            <w:r>
              <w:rPr>
                <w:rFonts w:ascii="Times New Roman" w:eastAsia="宋体" w:hAnsi="Times New Roman"/>
                <w:color w:val="000000"/>
                <w:sz w:val="16"/>
                <w:szCs w:val="16"/>
              </w:rPr>
              <w:t>4,048 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EF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EF1"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EF2"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EF3" w14:textId="77777777" w:rsidR="00D42204" w:rsidRDefault="004E439D">
            <w:pPr>
              <w:jc w:val="right"/>
              <w:textAlignment w:val="center"/>
            </w:pPr>
            <w:r>
              <w:rPr>
                <w:rFonts w:ascii="Times New Roman" w:eastAsia="宋体" w:hAnsi="Times New Roman"/>
                <w:color w:val="000000"/>
                <w:sz w:val="16"/>
                <w:szCs w:val="16"/>
              </w:rPr>
              <w:t>13,315 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EF4" w14:textId="77777777" w:rsidR="00D42204" w:rsidRDefault="00D42204">
            <w:pPr>
              <w:jc w:val="right"/>
              <w:rPr>
                <w:rFonts w:ascii="宋体"/>
              </w:rPr>
            </w:pPr>
          </w:p>
        </w:tc>
      </w:tr>
      <w:tr w:rsidR="00D42204" w14:paraId="35D09F00" w14:textId="77777777">
        <w:tc>
          <w:tcPr>
            <w:tcW w:w="0" w:type="auto"/>
            <w:gridSpan w:val="3"/>
            <w:shd w:val="clear" w:color="auto" w:fill="FFFFFF"/>
            <w:tcMar>
              <w:top w:w="40" w:type="dxa"/>
              <w:left w:w="20" w:type="dxa"/>
              <w:bottom w:w="40" w:type="dxa"/>
              <w:right w:w="20" w:type="dxa"/>
            </w:tcMar>
            <w:vAlign w:val="center"/>
          </w:tcPr>
          <w:p w14:paraId="35D09EF6" w14:textId="77777777" w:rsidR="00D42204" w:rsidRDefault="004E439D">
            <w:pPr>
              <w:textAlignment w:val="center"/>
            </w:pPr>
            <w:r>
              <w:rPr>
                <w:rFonts w:ascii="Times New Roman" w:eastAsia="宋体" w:hAnsi="Times New Roman"/>
                <w:color w:val="000000"/>
                <w:sz w:val="16"/>
                <w:szCs w:val="16"/>
              </w:rPr>
              <w:t>Average daily short-term borrowings</w:t>
            </w:r>
          </w:p>
        </w:tc>
        <w:tc>
          <w:tcPr>
            <w:tcW w:w="0" w:type="auto"/>
            <w:gridSpan w:val="3"/>
            <w:shd w:val="clear" w:color="auto" w:fill="FFFFFF"/>
            <w:tcMar>
              <w:top w:w="0" w:type="dxa"/>
              <w:left w:w="20" w:type="dxa"/>
              <w:bottom w:w="0" w:type="dxa"/>
              <w:right w:w="20" w:type="dxa"/>
            </w:tcMar>
            <w:vAlign w:val="bottom"/>
          </w:tcPr>
          <w:p w14:paraId="35D09EF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EF8" w14:textId="77777777" w:rsidR="00D42204" w:rsidRDefault="004E439D">
            <w:pPr>
              <w:jc w:val="right"/>
              <w:textAlignment w:val="center"/>
            </w:pPr>
            <w:r>
              <w:rPr>
                <w:rFonts w:ascii="Times New Roman" w:eastAsia="宋体" w:hAnsi="Times New Roman"/>
                <w:color w:val="000000"/>
                <w:sz w:val="16"/>
                <w:szCs w:val="16"/>
              </w:rPr>
              <w:t>626 </w:t>
            </w:r>
          </w:p>
        </w:tc>
        <w:tc>
          <w:tcPr>
            <w:tcW w:w="0" w:type="auto"/>
            <w:shd w:val="clear" w:color="auto" w:fill="FFFFFF"/>
            <w:tcMar>
              <w:top w:w="40" w:type="dxa"/>
              <w:left w:w="0" w:type="dxa"/>
              <w:bottom w:w="40" w:type="dxa"/>
              <w:right w:w="20" w:type="dxa"/>
            </w:tcMar>
            <w:vAlign w:val="center"/>
          </w:tcPr>
          <w:p w14:paraId="35D09EF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EF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EFB" w14:textId="77777777" w:rsidR="00D42204" w:rsidRDefault="004E439D">
            <w:pPr>
              <w:jc w:val="right"/>
              <w:textAlignment w:val="center"/>
            </w:pPr>
            <w:r>
              <w:rPr>
                <w:rFonts w:ascii="Times New Roman" w:eastAsia="宋体" w:hAnsi="Times New Roman"/>
                <w:color w:val="000000"/>
                <w:sz w:val="16"/>
                <w:szCs w:val="16"/>
              </w:rPr>
              <w:t>1,577 </w:t>
            </w:r>
          </w:p>
        </w:tc>
        <w:tc>
          <w:tcPr>
            <w:tcW w:w="0" w:type="auto"/>
            <w:shd w:val="clear" w:color="auto" w:fill="FFFFFF"/>
            <w:tcMar>
              <w:top w:w="40" w:type="dxa"/>
              <w:left w:w="0" w:type="dxa"/>
              <w:bottom w:w="40" w:type="dxa"/>
              <w:right w:w="20" w:type="dxa"/>
            </w:tcMar>
            <w:vAlign w:val="center"/>
          </w:tcPr>
          <w:p w14:paraId="35D09EF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EF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EFE" w14:textId="77777777" w:rsidR="00D42204" w:rsidRDefault="004E439D">
            <w:pPr>
              <w:jc w:val="right"/>
              <w:textAlignment w:val="center"/>
            </w:pPr>
            <w:r>
              <w:rPr>
                <w:rFonts w:ascii="Times New Roman" w:eastAsia="宋体" w:hAnsi="Times New Roman"/>
                <w:color w:val="000000"/>
                <w:sz w:val="16"/>
                <w:szCs w:val="16"/>
              </w:rPr>
              <w:t>7,120 </w:t>
            </w:r>
          </w:p>
        </w:tc>
        <w:tc>
          <w:tcPr>
            <w:tcW w:w="0" w:type="auto"/>
            <w:shd w:val="clear" w:color="auto" w:fill="FFFFFF"/>
            <w:tcMar>
              <w:top w:w="40" w:type="dxa"/>
              <w:left w:w="0" w:type="dxa"/>
              <w:bottom w:w="40" w:type="dxa"/>
              <w:right w:w="20" w:type="dxa"/>
            </w:tcMar>
            <w:vAlign w:val="center"/>
          </w:tcPr>
          <w:p w14:paraId="35D09EFF" w14:textId="77777777" w:rsidR="00D42204" w:rsidRDefault="00D42204">
            <w:pPr>
              <w:jc w:val="right"/>
              <w:rPr>
                <w:rFonts w:ascii="宋体"/>
              </w:rPr>
            </w:pPr>
          </w:p>
        </w:tc>
      </w:tr>
      <w:tr w:rsidR="00D42204" w14:paraId="35D09F0B" w14:textId="77777777">
        <w:tc>
          <w:tcPr>
            <w:tcW w:w="0" w:type="auto"/>
            <w:gridSpan w:val="3"/>
            <w:shd w:val="clear" w:color="auto" w:fill="CCEEFF"/>
            <w:tcMar>
              <w:top w:w="40" w:type="dxa"/>
              <w:left w:w="20" w:type="dxa"/>
              <w:bottom w:w="40" w:type="dxa"/>
              <w:right w:w="20" w:type="dxa"/>
            </w:tcMar>
            <w:vAlign w:val="center"/>
          </w:tcPr>
          <w:p w14:paraId="35D09F01" w14:textId="77777777" w:rsidR="00D42204" w:rsidRDefault="004E439D">
            <w:pPr>
              <w:textAlignment w:val="center"/>
            </w:pPr>
            <w:r>
              <w:rPr>
                <w:rFonts w:ascii="Times New Roman" w:eastAsia="宋体" w:hAnsi="Times New Roman"/>
                <w:color w:val="000000"/>
                <w:sz w:val="16"/>
                <w:szCs w:val="16"/>
              </w:rPr>
              <w:t>Annual weighted-average interest rate</w:t>
            </w:r>
          </w:p>
        </w:tc>
        <w:tc>
          <w:tcPr>
            <w:tcW w:w="0" w:type="auto"/>
            <w:gridSpan w:val="3"/>
            <w:shd w:val="clear" w:color="auto" w:fill="CCEEFF"/>
            <w:tcMar>
              <w:top w:w="0" w:type="dxa"/>
              <w:left w:w="20" w:type="dxa"/>
              <w:bottom w:w="0" w:type="dxa"/>
              <w:right w:w="20" w:type="dxa"/>
            </w:tcMar>
            <w:vAlign w:val="bottom"/>
          </w:tcPr>
          <w:p w14:paraId="35D09F0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F03" w14:textId="77777777" w:rsidR="00D42204" w:rsidRDefault="004E439D">
            <w:pPr>
              <w:jc w:val="right"/>
              <w:textAlignment w:val="center"/>
            </w:pPr>
            <w:r>
              <w:rPr>
                <w:rFonts w:ascii="Times New Roman" w:eastAsia="宋体" w:hAnsi="Times New Roman"/>
                <w:color w:val="000000"/>
                <w:sz w:val="16"/>
                <w:szCs w:val="16"/>
              </w:rPr>
              <w:t>3.7 </w:t>
            </w:r>
          </w:p>
        </w:tc>
        <w:tc>
          <w:tcPr>
            <w:tcW w:w="0" w:type="auto"/>
            <w:shd w:val="clear" w:color="auto" w:fill="CCEEFF"/>
            <w:tcMar>
              <w:top w:w="40" w:type="dxa"/>
              <w:left w:w="0" w:type="dxa"/>
              <w:bottom w:w="40" w:type="dxa"/>
              <w:right w:w="20" w:type="dxa"/>
            </w:tcMar>
            <w:vAlign w:val="center"/>
          </w:tcPr>
          <w:p w14:paraId="35D09F04"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9F0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F06" w14:textId="77777777" w:rsidR="00D42204" w:rsidRDefault="004E439D">
            <w:pPr>
              <w:jc w:val="right"/>
              <w:textAlignment w:val="center"/>
            </w:pPr>
            <w:r>
              <w:rPr>
                <w:rFonts w:ascii="Times New Roman" w:eastAsia="宋体" w:hAnsi="Times New Roman"/>
                <w:color w:val="000000"/>
                <w:sz w:val="16"/>
                <w:szCs w:val="16"/>
              </w:rPr>
              <w:t>3.1 </w:t>
            </w:r>
          </w:p>
        </w:tc>
        <w:tc>
          <w:tcPr>
            <w:tcW w:w="0" w:type="auto"/>
            <w:shd w:val="clear" w:color="auto" w:fill="CCEEFF"/>
            <w:tcMar>
              <w:top w:w="40" w:type="dxa"/>
              <w:left w:w="0" w:type="dxa"/>
              <w:bottom w:w="40" w:type="dxa"/>
              <w:right w:w="20" w:type="dxa"/>
            </w:tcMar>
            <w:vAlign w:val="center"/>
          </w:tcPr>
          <w:p w14:paraId="35D09F07"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9F0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F09" w14:textId="77777777" w:rsidR="00D42204" w:rsidRDefault="004E439D">
            <w:pPr>
              <w:jc w:val="right"/>
              <w:textAlignment w:val="center"/>
            </w:pPr>
            <w:r>
              <w:rPr>
                <w:rFonts w:ascii="Times New Roman" w:eastAsia="宋体" w:hAnsi="Times New Roman"/>
                <w:color w:val="000000"/>
                <w:sz w:val="16"/>
                <w:szCs w:val="16"/>
              </w:rPr>
              <w:t>2.5 </w:t>
            </w:r>
          </w:p>
        </w:tc>
        <w:tc>
          <w:tcPr>
            <w:tcW w:w="0" w:type="auto"/>
            <w:shd w:val="clear" w:color="auto" w:fill="CCEEFF"/>
            <w:tcMar>
              <w:top w:w="40" w:type="dxa"/>
              <w:left w:w="0" w:type="dxa"/>
              <w:bottom w:w="40" w:type="dxa"/>
              <w:right w:w="20" w:type="dxa"/>
            </w:tcMar>
            <w:vAlign w:val="center"/>
          </w:tcPr>
          <w:p w14:paraId="35D09F0A" w14:textId="77777777" w:rsidR="00D42204" w:rsidRDefault="004E439D">
            <w:pPr>
              <w:jc w:val="right"/>
              <w:textAlignment w:val="center"/>
            </w:pPr>
            <w:r>
              <w:rPr>
                <w:rFonts w:ascii="Times New Roman" w:eastAsia="宋体" w:hAnsi="Times New Roman"/>
                <w:color w:val="000000"/>
                <w:sz w:val="16"/>
                <w:szCs w:val="16"/>
              </w:rPr>
              <w:t>%</w:t>
            </w:r>
          </w:p>
        </w:tc>
      </w:tr>
    </w:tbl>
    <w:p w14:paraId="35D09F0C" w14:textId="77777777" w:rsidR="00D42204" w:rsidRDefault="004E439D">
      <w:pPr>
        <w:spacing w:before="80"/>
      </w:pPr>
      <w:r>
        <w:rPr>
          <w:rFonts w:ascii="Times New Roman" w:eastAsia="宋体" w:hAnsi="Times New Roman"/>
          <w:color w:val="000000"/>
          <w:sz w:val="20"/>
          <w:szCs w:val="20"/>
        </w:rPr>
        <w:t>Shor</w:t>
      </w:r>
      <w:r>
        <w:rPr>
          <w:rFonts w:ascii="Times New Roman" w:eastAsia="宋体" w:hAnsi="Times New Roman"/>
          <w:color w:val="000000"/>
          <w:sz w:val="20"/>
          <w:szCs w:val="20"/>
        </w:rPr>
        <w:t xml:space="preserve">t-term borrowings as of January 31, 2022 and 2021 were $0.4 billion and $0.2 billion, respectively, with weighted-average interest rates of 2.9% and 1.9%, respectively. We also have $15.0 billion of various undrawn committed lines of credit in the U.S. as </w:t>
      </w:r>
      <w:r>
        <w:rPr>
          <w:rFonts w:ascii="Times New Roman" w:eastAsia="宋体" w:hAnsi="Times New Roman"/>
          <w:color w:val="000000"/>
          <w:sz w:val="20"/>
          <w:szCs w:val="20"/>
        </w:rPr>
        <w:t>of January 31, 2022 that provide additional liquidity, if needed. Additionally, we maintain access to various credit facilities outside of the U.S. to further support our Walmart International segment operations, as needed.</w:t>
      </w:r>
    </w:p>
    <w:p w14:paraId="35D09F0D" w14:textId="77777777" w:rsidR="00D42204" w:rsidRDefault="004E439D">
      <w:pPr>
        <w:spacing w:before="100"/>
      </w:pPr>
      <w:r>
        <w:rPr>
          <w:rFonts w:ascii="Times New Roman" w:eastAsia="宋体" w:hAnsi="Times New Roman"/>
          <w:color w:val="000000"/>
          <w:sz w:val="20"/>
          <w:szCs w:val="20"/>
        </w:rPr>
        <w:t xml:space="preserve">As of January 31, 2022, we have </w:t>
      </w:r>
      <w:r>
        <w:rPr>
          <w:rFonts w:ascii="Times New Roman" w:eastAsia="宋体" w:hAnsi="Times New Roman"/>
          <w:color w:val="000000"/>
          <w:sz w:val="20"/>
          <w:szCs w:val="20"/>
        </w:rPr>
        <w:t>$1.8 billion of syndicated and fronted letters of credit available, of which $1.7 billion was drawn and represents an unrecorded current obligation.</w:t>
      </w:r>
    </w:p>
    <w:p w14:paraId="35D09F0E" w14:textId="77777777" w:rsidR="00D42204" w:rsidRDefault="004E439D">
      <w:pPr>
        <w:spacing w:before="180"/>
      </w:pPr>
      <w:r>
        <w:rPr>
          <w:rFonts w:ascii="Times New Roman" w:eastAsia="宋体" w:hAnsi="Times New Roman"/>
          <w:i/>
          <w:iCs/>
          <w:color w:val="000000"/>
          <w:sz w:val="20"/>
          <w:szCs w:val="20"/>
        </w:rPr>
        <w:t>Long-term Debt</w:t>
      </w:r>
    </w:p>
    <w:p w14:paraId="35D09F0F" w14:textId="77777777" w:rsidR="00D42204" w:rsidRDefault="004E439D">
      <w:pPr>
        <w:spacing w:before="100"/>
      </w:pPr>
      <w:r>
        <w:rPr>
          <w:rFonts w:ascii="Times New Roman" w:eastAsia="宋体" w:hAnsi="Times New Roman"/>
          <w:color w:val="000000"/>
          <w:sz w:val="20"/>
          <w:szCs w:val="20"/>
        </w:rPr>
        <w:t xml:space="preserve">The following table provides the changes in our long-term debt for fiscal 2022: </w:t>
      </w:r>
    </w:p>
    <w:tbl>
      <w:tblPr>
        <w:tblW w:w="4993" w:type="pct"/>
        <w:tblCellMar>
          <w:top w:w="15" w:type="dxa"/>
          <w:left w:w="15" w:type="dxa"/>
          <w:bottom w:w="15" w:type="dxa"/>
          <w:right w:w="15" w:type="dxa"/>
        </w:tblCellMar>
        <w:tblLook w:val="04A0" w:firstRow="1" w:lastRow="0" w:firstColumn="1" w:lastColumn="0" w:noHBand="0" w:noVBand="1"/>
      </w:tblPr>
      <w:tblGrid>
        <w:gridCol w:w="41"/>
        <w:gridCol w:w="3914"/>
        <w:gridCol w:w="38"/>
        <w:gridCol w:w="36"/>
        <w:gridCol w:w="137"/>
        <w:gridCol w:w="36"/>
        <w:gridCol w:w="101"/>
        <w:gridCol w:w="1098"/>
        <w:gridCol w:w="36"/>
        <w:gridCol w:w="36"/>
        <w:gridCol w:w="137"/>
        <w:gridCol w:w="36"/>
        <w:gridCol w:w="101"/>
        <w:gridCol w:w="1098"/>
        <w:gridCol w:w="36"/>
        <w:gridCol w:w="36"/>
        <w:gridCol w:w="137"/>
        <w:gridCol w:w="36"/>
        <w:gridCol w:w="100"/>
        <w:gridCol w:w="1098"/>
        <w:gridCol w:w="36"/>
      </w:tblGrid>
      <w:tr w:rsidR="00D42204" w14:paraId="35D09F25" w14:textId="77777777">
        <w:tc>
          <w:tcPr>
            <w:tcW w:w="50" w:type="pct"/>
            <w:shd w:val="clear" w:color="auto" w:fill="auto"/>
            <w:vAlign w:val="bottom"/>
          </w:tcPr>
          <w:p w14:paraId="35D09F10" w14:textId="77777777" w:rsidR="00D42204" w:rsidRDefault="00D42204">
            <w:pPr>
              <w:rPr>
                <w:rFonts w:ascii="宋体"/>
              </w:rPr>
            </w:pPr>
          </w:p>
        </w:tc>
        <w:tc>
          <w:tcPr>
            <w:tcW w:w="2375" w:type="pct"/>
            <w:shd w:val="clear" w:color="auto" w:fill="auto"/>
            <w:vAlign w:val="bottom"/>
          </w:tcPr>
          <w:p w14:paraId="35D09F11" w14:textId="77777777" w:rsidR="00D42204" w:rsidRDefault="00D42204">
            <w:pPr>
              <w:rPr>
                <w:rFonts w:ascii="宋体"/>
              </w:rPr>
            </w:pPr>
          </w:p>
        </w:tc>
        <w:tc>
          <w:tcPr>
            <w:tcW w:w="5" w:type="pct"/>
            <w:shd w:val="clear" w:color="auto" w:fill="auto"/>
            <w:vAlign w:val="bottom"/>
          </w:tcPr>
          <w:p w14:paraId="35D09F12" w14:textId="77777777" w:rsidR="00D42204" w:rsidRDefault="00D42204">
            <w:pPr>
              <w:rPr>
                <w:rFonts w:ascii="宋体"/>
              </w:rPr>
            </w:pPr>
          </w:p>
        </w:tc>
        <w:tc>
          <w:tcPr>
            <w:tcW w:w="5" w:type="pct"/>
            <w:shd w:val="clear" w:color="auto" w:fill="auto"/>
            <w:vAlign w:val="bottom"/>
          </w:tcPr>
          <w:p w14:paraId="35D09F13" w14:textId="77777777" w:rsidR="00D42204" w:rsidRDefault="00D42204">
            <w:pPr>
              <w:rPr>
                <w:rFonts w:ascii="宋体"/>
              </w:rPr>
            </w:pPr>
          </w:p>
        </w:tc>
        <w:tc>
          <w:tcPr>
            <w:tcW w:w="107" w:type="pct"/>
            <w:shd w:val="clear" w:color="auto" w:fill="auto"/>
            <w:vAlign w:val="bottom"/>
          </w:tcPr>
          <w:p w14:paraId="35D09F14" w14:textId="77777777" w:rsidR="00D42204" w:rsidRDefault="00D42204">
            <w:pPr>
              <w:rPr>
                <w:rFonts w:ascii="宋体"/>
              </w:rPr>
            </w:pPr>
          </w:p>
        </w:tc>
        <w:tc>
          <w:tcPr>
            <w:tcW w:w="5" w:type="pct"/>
            <w:shd w:val="clear" w:color="auto" w:fill="auto"/>
            <w:vAlign w:val="bottom"/>
          </w:tcPr>
          <w:p w14:paraId="35D09F15" w14:textId="77777777" w:rsidR="00D42204" w:rsidRDefault="00D42204">
            <w:pPr>
              <w:rPr>
                <w:rFonts w:ascii="宋体"/>
              </w:rPr>
            </w:pPr>
          </w:p>
        </w:tc>
        <w:tc>
          <w:tcPr>
            <w:tcW w:w="50" w:type="pct"/>
            <w:shd w:val="clear" w:color="auto" w:fill="auto"/>
            <w:vAlign w:val="bottom"/>
          </w:tcPr>
          <w:p w14:paraId="35D09F16" w14:textId="77777777" w:rsidR="00D42204" w:rsidRDefault="00D42204">
            <w:pPr>
              <w:rPr>
                <w:rFonts w:ascii="宋体"/>
              </w:rPr>
            </w:pPr>
          </w:p>
        </w:tc>
        <w:tc>
          <w:tcPr>
            <w:tcW w:w="684" w:type="pct"/>
            <w:shd w:val="clear" w:color="auto" w:fill="auto"/>
            <w:vAlign w:val="bottom"/>
          </w:tcPr>
          <w:p w14:paraId="35D09F17" w14:textId="77777777" w:rsidR="00D42204" w:rsidRDefault="00D42204">
            <w:pPr>
              <w:rPr>
                <w:rFonts w:ascii="宋体"/>
              </w:rPr>
            </w:pPr>
          </w:p>
        </w:tc>
        <w:tc>
          <w:tcPr>
            <w:tcW w:w="5" w:type="pct"/>
            <w:shd w:val="clear" w:color="auto" w:fill="auto"/>
            <w:vAlign w:val="bottom"/>
          </w:tcPr>
          <w:p w14:paraId="35D09F18" w14:textId="77777777" w:rsidR="00D42204" w:rsidRDefault="00D42204">
            <w:pPr>
              <w:rPr>
                <w:rFonts w:ascii="宋体"/>
              </w:rPr>
            </w:pPr>
          </w:p>
        </w:tc>
        <w:tc>
          <w:tcPr>
            <w:tcW w:w="5" w:type="pct"/>
            <w:shd w:val="clear" w:color="auto" w:fill="auto"/>
            <w:vAlign w:val="bottom"/>
          </w:tcPr>
          <w:p w14:paraId="35D09F19" w14:textId="77777777" w:rsidR="00D42204" w:rsidRDefault="00D42204">
            <w:pPr>
              <w:rPr>
                <w:rFonts w:ascii="宋体"/>
              </w:rPr>
            </w:pPr>
          </w:p>
        </w:tc>
        <w:tc>
          <w:tcPr>
            <w:tcW w:w="107" w:type="pct"/>
            <w:shd w:val="clear" w:color="auto" w:fill="auto"/>
            <w:vAlign w:val="bottom"/>
          </w:tcPr>
          <w:p w14:paraId="35D09F1A" w14:textId="77777777" w:rsidR="00D42204" w:rsidRDefault="00D42204">
            <w:pPr>
              <w:rPr>
                <w:rFonts w:ascii="宋体"/>
              </w:rPr>
            </w:pPr>
          </w:p>
        </w:tc>
        <w:tc>
          <w:tcPr>
            <w:tcW w:w="5" w:type="pct"/>
            <w:shd w:val="clear" w:color="auto" w:fill="auto"/>
            <w:vAlign w:val="bottom"/>
          </w:tcPr>
          <w:p w14:paraId="35D09F1B" w14:textId="77777777" w:rsidR="00D42204" w:rsidRDefault="00D42204">
            <w:pPr>
              <w:rPr>
                <w:rFonts w:ascii="宋体"/>
              </w:rPr>
            </w:pPr>
          </w:p>
        </w:tc>
        <w:tc>
          <w:tcPr>
            <w:tcW w:w="50" w:type="pct"/>
            <w:shd w:val="clear" w:color="auto" w:fill="auto"/>
            <w:vAlign w:val="bottom"/>
          </w:tcPr>
          <w:p w14:paraId="35D09F1C" w14:textId="77777777" w:rsidR="00D42204" w:rsidRDefault="00D42204">
            <w:pPr>
              <w:rPr>
                <w:rFonts w:ascii="宋体"/>
              </w:rPr>
            </w:pPr>
          </w:p>
        </w:tc>
        <w:tc>
          <w:tcPr>
            <w:tcW w:w="684" w:type="pct"/>
            <w:shd w:val="clear" w:color="auto" w:fill="auto"/>
            <w:vAlign w:val="bottom"/>
          </w:tcPr>
          <w:p w14:paraId="35D09F1D" w14:textId="77777777" w:rsidR="00D42204" w:rsidRDefault="00D42204">
            <w:pPr>
              <w:rPr>
                <w:rFonts w:ascii="宋体"/>
              </w:rPr>
            </w:pPr>
          </w:p>
        </w:tc>
        <w:tc>
          <w:tcPr>
            <w:tcW w:w="5" w:type="pct"/>
            <w:shd w:val="clear" w:color="auto" w:fill="auto"/>
            <w:vAlign w:val="bottom"/>
          </w:tcPr>
          <w:p w14:paraId="35D09F1E" w14:textId="77777777" w:rsidR="00D42204" w:rsidRDefault="00D42204">
            <w:pPr>
              <w:rPr>
                <w:rFonts w:ascii="宋体"/>
              </w:rPr>
            </w:pPr>
          </w:p>
        </w:tc>
        <w:tc>
          <w:tcPr>
            <w:tcW w:w="5" w:type="pct"/>
            <w:shd w:val="clear" w:color="auto" w:fill="auto"/>
            <w:vAlign w:val="bottom"/>
          </w:tcPr>
          <w:p w14:paraId="35D09F1F" w14:textId="77777777" w:rsidR="00D42204" w:rsidRDefault="00D42204">
            <w:pPr>
              <w:rPr>
                <w:rFonts w:ascii="宋体"/>
              </w:rPr>
            </w:pPr>
          </w:p>
        </w:tc>
        <w:tc>
          <w:tcPr>
            <w:tcW w:w="107" w:type="pct"/>
            <w:shd w:val="clear" w:color="auto" w:fill="auto"/>
            <w:vAlign w:val="bottom"/>
          </w:tcPr>
          <w:p w14:paraId="35D09F20" w14:textId="77777777" w:rsidR="00D42204" w:rsidRDefault="00D42204">
            <w:pPr>
              <w:rPr>
                <w:rFonts w:ascii="宋体"/>
              </w:rPr>
            </w:pPr>
          </w:p>
        </w:tc>
        <w:tc>
          <w:tcPr>
            <w:tcW w:w="5" w:type="pct"/>
            <w:shd w:val="clear" w:color="auto" w:fill="auto"/>
            <w:vAlign w:val="bottom"/>
          </w:tcPr>
          <w:p w14:paraId="35D09F21" w14:textId="77777777" w:rsidR="00D42204" w:rsidRDefault="00D42204">
            <w:pPr>
              <w:rPr>
                <w:rFonts w:ascii="宋体"/>
              </w:rPr>
            </w:pPr>
          </w:p>
        </w:tc>
        <w:tc>
          <w:tcPr>
            <w:tcW w:w="50" w:type="pct"/>
            <w:shd w:val="clear" w:color="auto" w:fill="auto"/>
            <w:vAlign w:val="bottom"/>
          </w:tcPr>
          <w:p w14:paraId="35D09F22" w14:textId="77777777" w:rsidR="00D42204" w:rsidRDefault="00D42204">
            <w:pPr>
              <w:rPr>
                <w:rFonts w:ascii="宋体"/>
              </w:rPr>
            </w:pPr>
          </w:p>
        </w:tc>
        <w:tc>
          <w:tcPr>
            <w:tcW w:w="684" w:type="pct"/>
            <w:shd w:val="clear" w:color="auto" w:fill="auto"/>
            <w:vAlign w:val="bottom"/>
          </w:tcPr>
          <w:p w14:paraId="35D09F23" w14:textId="77777777" w:rsidR="00D42204" w:rsidRDefault="00D42204">
            <w:pPr>
              <w:rPr>
                <w:rFonts w:ascii="宋体"/>
              </w:rPr>
            </w:pPr>
          </w:p>
        </w:tc>
        <w:tc>
          <w:tcPr>
            <w:tcW w:w="5" w:type="pct"/>
            <w:shd w:val="clear" w:color="auto" w:fill="auto"/>
            <w:vAlign w:val="bottom"/>
          </w:tcPr>
          <w:p w14:paraId="35D09F24" w14:textId="77777777" w:rsidR="00D42204" w:rsidRDefault="00D42204">
            <w:pPr>
              <w:rPr>
                <w:rFonts w:ascii="宋体"/>
              </w:rPr>
            </w:pPr>
          </w:p>
        </w:tc>
      </w:tr>
      <w:tr w:rsidR="00D42204" w14:paraId="35D09F2D" w14:textId="77777777">
        <w:tc>
          <w:tcPr>
            <w:tcW w:w="0" w:type="auto"/>
            <w:gridSpan w:val="3"/>
            <w:shd w:val="clear" w:color="auto" w:fill="auto"/>
            <w:tcMar>
              <w:top w:w="40" w:type="dxa"/>
              <w:left w:w="20" w:type="dxa"/>
              <w:bottom w:w="40" w:type="dxa"/>
              <w:right w:w="20" w:type="dxa"/>
            </w:tcMar>
            <w:vAlign w:val="bottom"/>
          </w:tcPr>
          <w:p w14:paraId="35D09F26"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9F27"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9F28" w14:textId="77777777" w:rsidR="00D42204" w:rsidRDefault="004E439D">
            <w:pPr>
              <w:jc w:val="center"/>
              <w:textAlignment w:val="bottom"/>
            </w:pPr>
            <w:r>
              <w:rPr>
                <w:rFonts w:ascii="Times New Roman" w:eastAsia="宋体" w:hAnsi="Times New Roman"/>
                <w:b/>
                <w:bCs/>
                <w:color w:val="000000"/>
                <w:sz w:val="16"/>
                <w:szCs w:val="16"/>
              </w:rPr>
              <w:t>Long-term debt due within one year</w:t>
            </w:r>
          </w:p>
        </w:tc>
        <w:tc>
          <w:tcPr>
            <w:tcW w:w="0" w:type="auto"/>
            <w:gridSpan w:val="3"/>
            <w:shd w:val="clear" w:color="auto" w:fill="auto"/>
            <w:tcMar>
              <w:top w:w="0" w:type="dxa"/>
              <w:left w:w="20" w:type="dxa"/>
              <w:bottom w:w="0" w:type="dxa"/>
              <w:right w:w="20" w:type="dxa"/>
            </w:tcMar>
            <w:vAlign w:val="bottom"/>
          </w:tcPr>
          <w:p w14:paraId="35D09F29"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9F2A" w14:textId="77777777" w:rsidR="00D42204" w:rsidRDefault="004E439D">
            <w:pPr>
              <w:jc w:val="center"/>
              <w:textAlignment w:val="bottom"/>
            </w:pPr>
            <w:r>
              <w:rPr>
                <w:rFonts w:ascii="Times New Roman" w:eastAsia="宋体" w:hAnsi="Times New Roman"/>
                <w:b/>
                <w:bCs/>
                <w:color w:val="000000"/>
                <w:sz w:val="16"/>
                <w:szCs w:val="16"/>
              </w:rPr>
              <w:t>Long-term debt</w:t>
            </w:r>
          </w:p>
        </w:tc>
        <w:tc>
          <w:tcPr>
            <w:tcW w:w="0" w:type="auto"/>
            <w:gridSpan w:val="3"/>
            <w:shd w:val="clear" w:color="auto" w:fill="auto"/>
            <w:tcMar>
              <w:top w:w="0" w:type="dxa"/>
              <w:left w:w="20" w:type="dxa"/>
              <w:bottom w:w="0" w:type="dxa"/>
              <w:right w:w="20" w:type="dxa"/>
            </w:tcMar>
            <w:vAlign w:val="bottom"/>
          </w:tcPr>
          <w:p w14:paraId="35D09F2B"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9F2C" w14:textId="77777777" w:rsidR="00D42204" w:rsidRDefault="004E439D">
            <w:pPr>
              <w:jc w:val="center"/>
              <w:textAlignment w:val="bottom"/>
            </w:pPr>
            <w:r>
              <w:rPr>
                <w:rFonts w:ascii="Times New Roman" w:eastAsia="宋体" w:hAnsi="Times New Roman"/>
                <w:b/>
                <w:bCs/>
                <w:color w:val="000000"/>
                <w:sz w:val="16"/>
                <w:szCs w:val="16"/>
              </w:rPr>
              <w:t>Total</w:t>
            </w:r>
          </w:p>
        </w:tc>
      </w:tr>
      <w:tr w:rsidR="00D42204" w14:paraId="35D09F3B" w14:textId="77777777">
        <w:tc>
          <w:tcPr>
            <w:tcW w:w="0" w:type="auto"/>
            <w:gridSpan w:val="3"/>
            <w:shd w:val="clear" w:color="auto" w:fill="CCEEFF"/>
            <w:tcMar>
              <w:top w:w="40" w:type="dxa"/>
              <w:left w:w="20" w:type="dxa"/>
              <w:bottom w:w="40" w:type="dxa"/>
              <w:right w:w="20" w:type="dxa"/>
            </w:tcMar>
            <w:vAlign w:val="center"/>
          </w:tcPr>
          <w:p w14:paraId="35D09F2E" w14:textId="77777777" w:rsidR="00D42204" w:rsidRDefault="004E439D">
            <w:pPr>
              <w:textAlignment w:val="center"/>
            </w:pPr>
            <w:r>
              <w:rPr>
                <w:rFonts w:ascii="Times New Roman" w:eastAsia="宋体" w:hAnsi="Times New Roman"/>
                <w:b/>
                <w:bCs/>
                <w:color w:val="000000"/>
                <w:sz w:val="16"/>
                <w:szCs w:val="16"/>
              </w:rPr>
              <w:t>Balances as of February 1, 2021</w:t>
            </w:r>
          </w:p>
        </w:tc>
        <w:tc>
          <w:tcPr>
            <w:tcW w:w="0" w:type="auto"/>
            <w:gridSpan w:val="3"/>
            <w:shd w:val="clear" w:color="auto" w:fill="CCEEFF"/>
            <w:tcMar>
              <w:top w:w="0" w:type="dxa"/>
              <w:left w:w="20" w:type="dxa"/>
              <w:bottom w:w="0" w:type="dxa"/>
              <w:right w:w="20" w:type="dxa"/>
            </w:tcMar>
            <w:vAlign w:val="bottom"/>
          </w:tcPr>
          <w:p w14:paraId="35D09F2F"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F30"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F31" w14:textId="77777777" w:rsidR="00D42204" w:rsidRDefault="004E439D">
            <w:pPr>
              <w:jc w:val="right"/>
              <w:textAlignment w:val="center"/>
            </w:pPr>
            <w:r>
              <w:rPr>
                <w:rFonts w:ascii="Times New Roman" w:eastAsia="宋体" w:hAnsi="Times New Roman"/>
                <w:color w:val="000000"/>
                <w:sz w:val="16"/>
                <w:szCs w:val="16"/>
              </w:rPr>
              <w:t>3,115 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F3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F33"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F34"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F35" w14:textId="77777777" w:rsidR="00D42204" w:rsidRDefault="004E439D">
            <w:pPr>
              <w:jc w:val="right"/>
              <w:textAlignment w:val="center"/>
            </w:pPr>
            <w:r>
              <w:rPr>
                <w:rFonts w:ascii="Times New Roman" w:eastAsia="宋体" w:hAnsi="Times New Roman"/>
                <w:color w:val="000000"/>
                <w:sz w:val="16"/>
                <w:szCs w:val="16"/>
              </w:rPr>
              <w:t>41,194 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F3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F37"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9F38"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9F39" w14:textId="77777777" w:rsidR="00D42204" w:rsidRDefault="004E439D">
            <w:pPr>
              <w:jc w:val="right"/>
              <w:textAlignment w:val="center"/>
            </w:pPr>
            <w:r>
              <w:rPr>
                <w:rFonts w:ascii="Times New Roman" w:eastAsia="宋体" w:hAnsi="Times New Roman"/>
                <w:color w:val="000000"/>
                <w:sz w:val="16"/>
                <w:szCs w:val="16"/>
              </w:rPr>
              <w:t>44,309 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9F3A" w14:textId="77777777" w:rsidR="00D42204" w:rsidRDefault="00D42204">
            <w:pPr>
              <w:jc w:val="right"/>
              <w:rPr>
                <w:rFonts w:ascii="宋体"/>
              </w:rPr>
            </w:pPr>
          </w:p>
        </w:tc>
      </w:tr>
      <w:tr w:rsidR="00D42204" w14:paraId="35D09F46" w14:textId="77777777">
        <w:tc>
          <w:tcPr>
            <w:tcW w:w="0" w:type="auto"/>
            <w:gridSpan w:val="3"/>
            <w:shd w:val="clear" w:color="auto" w:fill="FFFFFF"/>
            <w:tcMar>
              <w:top w:w="40" w:type="dxa"/>
              <w:left w:w="20" w:type="dxa"/>
              <w:bottom w:w="40" w:type="dxa"/>
              <w:right w:w="20" w:type="dxa"/>
            </w:tcMar>
            <w:vAlign w:val="center"/>
          </w:tcPr>
          <w:p w14:paraId="35D09F3C" w14:textId="77777777" w:rsidR="00D42204" w:rsidRDefault="004E439D">
            <w:pPr>
              <w:textAlignment w:val="center"/>
            </w:pPr>
            <w:r>
              <w:rPr>
                <w:rFonts w:ascii="Times New Roman" w:eastAsia="宋体" w:hAnsi="Times New Roman"/>
                <w:color w:val="000000"/>
                <w:sz w:val="16"/>
                <w:szCs w:val="16"/>
              </w:rPr>
              <w:t>Proceeds from issuance of long-term debt</w:t>
            </w:r>
          </w:p>
        </w:tc>
        <w:tc>
          <w:tcPr>
            <w:tcW w:w="0" w:type="auto"/>
            <w:gridSpan w:val="3"/>
            <w:shd w:val="clear" w:color="auto" w:fill="FFFFFF"/>
            <w:tcMar>
              <w:top w:w="0" w:type="dxa"/>
              <w:left w:w="20" w:type="dxa"/>
              <w:bottom w:w="0" w:type="dxa"/>
              <w:right w:w="20" w:type="dxa"/>
            </w:tcMar>
            <w:vAlign w:val="bottom"/>
          </w:tcPr>
          <w:p w14:paraId="35D09F3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F3E"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F3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F4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F41" w14:textId="77777777" w:rsidR="00D42204" w:rsidRDefault="004E439D">
            <w:pPr>
              <w:jc w:val="right"/>
              <w:textAlignment w:val="center"/>
            </w:pPr>
            <w:r>
              <w:rPr>
                <w:rFonts w:ascii="Times New Roman" w:eastAsia="宋体" w:hAnsi="Times New Roman"/>
                <w:color w:val="000000"/>
                <w:sz w:val="16"/>
                <w:szCs w:val="16"/>
              </w:rPr>
              <w:t>6,945 </w:t>
            </w:r>
          </w:p>
        </w:tc>
        <w:tc>
          <w:tcPr>
            <w:tcW w:w="0" w:type="auto"/>
            <w:shd w:val="clear" w:color="auto" w:fill="FFFFFF"/>
            <w:tcMar>
              <w:top w:w="40" w:type="dxa"/>
              <w:left w:w="0" w:type="dxa"/>
              <w:bottom w:w="40" w:type="dxa"/>
              <w:right w:w="20" w:type="dxa"/>
            </w:tcMar>
            <w:vAlign w:val="center"/>
          </w:tcPr>
          <w:p w14:paraId="35D09F4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F4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F44" w14:textId="77777777" w:rsidR="00D42204" w:rsidRDefault="004E439D">
            <w:pPr>
              <w:jc w:val="right"/>
              <w:textAlignment w:val="center"/>
            </w:pPr>
            <w:r>
              <w:rPr>
                <w:rFonts w:ascii="Times New Roman" w:eastAsia="宋体" w:hAnsi="Times New Roman"/>
                <w:color w:val="000000"/>
                <w:sz w:val="16"/>
                <w:szCs w:val="16"/>
              </w:rPr>
              <w:t>6,945 </w:t>
            </w:r>
          </w:p>
        </w:tc>
        <w:tc>
          <w:tcPr>
            <w:tcW w:w="0" w:type="auto"/>
            <w:shd w:val="clear" w:color="auto" w:fill="FFFFFF"/>
            <w:tcMar>
              <w:top w:w="40" w:type="dxa"/>
              <w:left w:w="0" w:type="dxa"/>
              <w:bottom w:w="40" w:type="dxa"/>
              <w:right w:w="20" w:type="dxa"/>
            </w:tcMar>
            <w:vAlign w:val="center"/>
          </w:tcPr>
          <w:p w14:paraId="35D09F45" w14:textId="77777777" w:rsidR="00D42204" w:rsidRDefault="00D42204">
            <w:pPr>
              <w:jc w:val="right"/>
              <w:rPr>
                <w:rFonts w:ascii="宋体"/>
              </w:rPr>
            </w:pPr>
          </w:p>
        </w:tc>
      </w:tr>
      <w:tr w:rsidR="00D42204" w14:paraId="35D09F51" w14:textId="77777777">
        <w:tc>
          <w:tcPr>
            <w:tcW w:w="0" w:type="auto"/>
            <w:gridSpan w:val="3"/>
            <w:shd w:val="clear" w:color="auto" w:fill="CCEEFF"/>
            <w:tcMar>
              <w:top w:w="40" w:type="dxa"/>
              <w:left w:w="20" w:type="dxa"/>
              <w:bottom w:w="40" w:type="dxa"/>
              <w:right w:w="20" w:type="dxa"/>
            </w:tcMar>
            <w:vAlign w:val="center"/>
          </w:tcPr>
          <w:p w14:paraId="35D09F47" w14:textId="77777777" w:rsidR="00D42204" w:rsidRDefault="004E439D">
            <w:pPr>
              <w:textAlignment w:val="center"/>
            </w:pPr>
            <w:r>
              <w:rPr>
                <w:rFonts w:ascii="Times New Roman" w:eastAsia="宋体" w:hAnsi="Times New Roman"/>
                <w:color w:val="000000"/>
                <w:sz w:val="16"/>
                <w:szCs w:val="16"/>
              </w:rPr>
              <w:t>Repa</w:t>
            </w:r>
            <w:r>
              <w:rPr>
                <w:rFonts w:ascii="Times New Roman" w:eastAsia="宋体" w:hAnsi="Times New Roman"/>
                <w:color w:val="000000"/>
                <w:sz w:val="16"/>
                <w:szCs w:val="16"/>
              </w:rPr>
              <w:t>yments of long-term debt</w:t>
            </w:r>
          </w:p>
        </w:tc>
        <w:tc>
          <w:tcPr>
            <w:tcW w:w="0" w:type="auto"/>
            <w:gridSpan w:val="3"/>
            <w:shd w:val="clear" w:color="auto" w:fill="CCEEFF"/>
            <w:tcMar>
              <w:top w:w="0" w:type="dxa"/>
              <w:left w:w="20" w:type="dxa"/>
              <w:bottom w:w="0" w:type="dxa"/>
              <w:right w:w="20" w:type="dxa"/>
            </w:tcMar>
            <w:vAlign w:val="bottom"/>
          </w:tcPr>
          <w:p w14:paraId="35D09F4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F49" w14:textId="77777777" w:rsidR="00D42204" w:rsidRDefault="004E439D">
            <w:pPr>
              <w:jc w:val="right"/>
              <w:textAlignment w:val="center"/>
            </w:pPr>
            <w:r>
              <w:rPr>
                <w:rFonts w:ascii="Times New Roman" w:eastAsia="宋体" w:hAnsi="Times New Roman"/>
                <w:color w:val="000000"/>
                <w:sz w:val="16"/>
                <w:szCs w:val="16"/>
              </w:rPr>
              <w:t>(3,010)</w:t>
            </w:r>
          </w:p>
        </w:tc>
        <w:tc>
          <w:tcPr>
            <w:tcW w:w="0" w:type="auto"/>
            <w:shd w:val="clear" w:color="auto" w:fill="CCEEFF"/>
            <w:tcMar>
              <w:top w:w="40" w:type="dxa"/>
              <w:left w:w="0" w:type="dxa"/>
              <w:bottom w:w="40" w:type="dxa"/>
              <w:right w:w="20" w:type="dxa"/>
            </w:tcMar>
            <w:vAlign w:val="center"/>
          </w:tcPr>
          <w:p w14:paraId="35D09F4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F4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F4C" w14:textId="77777777" w:rsidR="00D42204" w:rsidRDefault="004E439D">
            <w:pPr>
              <w:jc w:val="right"/>
              <w:textAlignment w:val="center"/>
            </w:pPr>
            <w:r>
              <w:rPr>
                <w:rFonts w:ascii="Times New Roman" w:eastAsia="宋体" w:hAnsi="Times New Roman"/>
                <w:color w:val="000000"/>
                <w:sz w:val="16"/>
                <w:szCs w:val="16"/>
              </w:rPr>
              <w:t>(10,000)</w:t>
            </w:r>
          </w:p>
        </w:tc>
        <w:tc>
          <w:tcPr>
            <w:tcW w:w="0" w:type="auto"/>
            <w:shd w:val="clear" w:color="auto" w:fill="CCEEFF"/>
            <w:tcMar>
              <w:top w:w="40" w:type="dxa"/>
              <w:left w:w="0" w:type="dxa"/>
              <w:bottom w:w="40" w:type="dxa"/>
              <w:right w:w="20" w:type="dxa"/>
            </w:tcMar>
            <w:vAlign w:val="center"/>
          </w:tcPr>
          <w:p w14:paraId="35D09F4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F4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F4F" w14:textId="77777777" w:rsidR="00D42204" w:rsidRDefault="004E439D">
            <w:pPr>
              <w:jc w:val="right"/>
              <w:textAlignment w:val="center"/>
            </w:pPr>
            <w:r>
              <w:rPr>
                <w:rFonts w:ascii="Times New Roman" w:eastAsia="宋体" w:hAnsi="Times New Roman"/>
                <w:color w:val="000000"/>
                <w:sz w:val="16"/>
                <w:szCs w:val="16"/>
              </w:rPr>
              <w:t>(13,010)</w:t>
            </w:r>
          </w:p>
        </w:tc>
        <w:tc>
          <w:tcPr>
            <w:tcW w:w="0" w:type="auto"/>
            <w:shd w:val="clear" w:color="auto" w:fill="CCEEFF"/>
            <w:tcMar>
              <w:top w:w="40" w:type="dxa"/>
              <w:left w:w="0" w:type="dxa"/>
              <w:bottom w:w="40" w:type="dxa"/>
              <w:right w:w="20" w:type="dxa"/>
            </w:tcMar>
            <w:vAlign w:val="center"/>
          </w:tcPr>
          <w:p w14:paraId="35D09F50" w14:textId="77777777" w:rsidR="00D42204" w:rsidRDefault="00D42204">
            <w:pPr>
              <w:jc w:val="right"/>
              <w:rPr>
                <w:rFonts w:ascii="宋体"/>
              </w:rPr>
            </w:pPr>
          </w:p>
        </w:tc>
      </w:tr>
      <w:tr w:rsidR="00D42204" w14:paraId="35D09F5C" w14:textId="77777777">
        <w:tc>
          <w:tcPr>
            <w:tcW w:w="0" w:type="auto"/>
            <w:gridSpan w:val="3"/>
            <w:shd w:val="clear" w:color="auto" w:fill="FFFFFF"/>
            <w:tcMar>
              <w:top w:w="40" w:type="dxa"/>
              <w:left w:w="20" w:type="dxa"/>
              <w:bottom w:w="40" w:type="dxa"/>
              <w:right w:w="20" w:type="dxa"/>
            </w:tcMar>
            <w:vAlign w:val="center"/>
          </w:tcPr>
          <w:p w14:paraId="35D09F52" w14:textId="77777777" w:rsidR="00D42204" w:rsidRDefault="004E439D">
            <w:pPr>
              <w:textAlignment w:val="center"/>
            </w:pPr>
            <w:r>
              <w:rPr>
                <w:rFonts w:ascii="Times New Roman" w:eastAsia="宋体" w:hAnsi="Times New Roman"/>
                <w:color w:val="000000"/>
                <w:sz w:val="16"/>
                <w:szCs w:val="16"/>
              </w:rPr>
              <w:t>Recl</w:t>
            </w:r>
            <w:r>
              <w:rPr>
                <w:rFonts w:ascii="Times New Roman" w:eastAsia="宋体" w:hAnsi="Times New Roman"/>
                <w:color w:val="000000"/>
                <w:sz w:val="16"/>
                <w:szCs w:val="16"/>
              </w:rPr>
              <w:t>assifications of long-term debt</w:t>
            </w:r>
          </w:p>
        </w:tc>
        <w:tc>
          <w:tcPr>
            <w:tcW w:w="0" w:type="auto"/>
            <w:gridSpan w:val="3"/>
            <w:shd w:val="clear" w:color="auto" w:fill="FFFFFF"/>
            <w:tcMar>
              <w:top w:w="0" w:type="dxa"/>
              <w:left w:w="20" w:type="dxa"/>
              <w:bottom w:w="0" w:type="dxa"/>
              <w:right w:w="20" w:type="dxa"/>
            </w:tcMar>
            <w:vAlign w:val="bottom"/>
          </w:tcPr>
          <w:p w14:paraId="35D09F5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F54" w14:textId="77777777" w:rsidR="00D42204" w:rsidRDefault="004E439D">
            <w:pPr>
              <w:jc w:val="right"/>
              <w:textAlignment w:val="center"/>
            </w:pPr>
            <w:r>
              <w:rPr>
                <w:rFonts w:ascii="Times New Roman" w:eastAsia="宋体" w:hAnsi="Times New Roman"/>
                <w:color w:val="000000"/>
                <w:sz w:val="16"/>
                <w:szCs w:val="16"/>
              </w:rPr>
              <w:t>2,687 </w:t>
            </w:r>
          </w:p>
        </w:tc>
        <w:tc>
          <w:tcPr>
            <w:tcW w:w="0" w:type="auto"/>
            <w:shd w:val="clear" w:color="auto" w:fill="FFFFFF"/>
            <w:tcMar>
              <w:top w:w="40" w:type="dxa"/>
              <w:left w:w="0" w:type="dxa"/>
              <w:bottom w:w="40" w:type="dxa"/>
              <w:right w:w="20" w:type="dxa"/>
            </w:tcMar>
            <w:vAlign w:val="center"/>
          </w:tcPr>
          <w:p w14:paraId="35D09F5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F5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F57" w14:textId="77777777" w:rsidR="00D42204" w:rsidRDefault="004E439D">
            <w:pPr>
              <w:jc w:val="right"/>
              <w:textAlignment w:val="center"/>
            </w:pPr>
            <w:r>
              <w:rPr>
                <w:rFonts w:ascii="Times New Roman" w:eastAsia="宋体" w:hAnsi="Times New Roman"/>
                <w:color w:val="000000"/>
                <w:sz w:val="16"/>
                <w:szCs w:val="16"/>
              </w:rPr>
              <w:t>(2,687)</w:t>
            </w:r>
          </w:p>
        </w:tc>
        <w:tc>
          <w:tcPr>
            <w:tcW w:w="0" w:type="auto"/>
            <w:shd w:val="clear" w:color="auto" w:fill="FFFFFF"/>
            <w:tcMar>
              <w:top w:w="40" w:type="dxa"/>
              <w:left w:w="0" w:type="dxa"/>
              <w:bottom w:w="40" w:type="dxa"/>
              <w:right w:w="20" w:type="dxa"/>
            </w:tcMar>
            <w:vAlign w:val="center"/>
          </w:tcPr>
          <w:p w14:paraId="35D09F5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F5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9F5A"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9F5B" w14:textId="77777777" w:rsidR="00D42204" w:rsidRDefault="00D42204">
            <w:pPr>
              <w:jc w:val="right"/>
              <w:rPr>
                <w:rFonts w:ascii="宋体"/>
              </w:rPr>
            </w:pPr>
          </w:p>
        </w:tc>
      </w:tr>
      <w:tr w:rsidR="00D42204" w14:paraId="35D09F67" w14:textId="77777777">
        <w:tc>
          <w:tcPr>
            <w:tcW w:w="0" w:type="auto"/>
            <w:gridSpan w:val="3"/>
            <w:shd w:val="clear" w:color="auto" w:fill="CCEEFF"/>
            <w:tcMar>
              <w:top w:w="40" w:type="dxa"/>
              <w:left w:w="20" w:type="dxa"/>
              <w:bottom w:w="40" w:type="dxa"/>
              <w:right w:w="20" w:type="dxa"/>
            </w:tcMar>
            <w:vAlign w:val="bottom"/>
          </w:tcPr>
          <w:p w14:paraId="35D09F5D" w14:textId="77777777" w:rsidR="00D42204" w:rsidRDefault="004E439D">
            <w:pPr>
              <w:textAlignment w:val="bottom"/>
            </w:pPr>
            <w:r>
              <w:rPr>
                <w:rFonts w:ascii="Times New Roman" w:eastAsia="宋体" w:hAnsi="Times New Roman"/>
                <w:color w:val="000000"/>
                <w:sz w:val="16"/>
                <w:szCs w:val="16"/>
              </w:rPr>
              <w:t>Currency and other adjustments</w:t>
            </w:r>
          </w:p>
        </w:tc>
        <w:tc>
          <w:tcPr>
            <w:tcW w:w="0" w:type="auto"/>
            <w:gridSpan w:val="3"/>
            <w:shd w:val="clear" w:color="auto" w:fill="CCEEFF"/>
            <w:tcMar>
              <w:top w:w="0" w:type="dxa"/>
              <w:left w:w="20" w:type="dxa"/>
              <w:bottom w:w="0" w:type="dxa"/>
              <w:right w:w="20" w:type="dxa"/>
            </w:tcMar>
            <w:vAlign w:val="bottom"/>
          </w:tcPr>
          <w:p w14:paraId="35D09F5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9F5F" w14:textId="77777777" w:rsidR="00D42204" w:rsidRDefault="004E439D">
            <w:pPr>
              <w:jc w:val="right"/>
              <w:textAlignment w:val="center"/>
            </w:pPr>
            <w:r>
              <w:rPr>
                <w:rFonts w:ascii="Times New Roman" w:eastAsia="宋体" w:hAnsi="Times New Roman"/>
                <w:color w:val="000000"/>
                <w:sz w:val="16"/>
                <w:szCs w:val="16"/>
              </w:rPr>
              <w:t>11 </w:t>
            </w:r>
          </w:p>
        </w:tc>
        <w:tc>
          <w:tcPr>
            <w:tcW w:w="0" w:type="auto"/>
            <w:shd w:val="clear" w:color="auto" w:fill="CCEEFF"/>
            <w:tcMar>
              <w:top w:w="40" w:type="dxa"/>
              <w:left w:w="0" w:type="dxa"/>
              <w:bottom w:w="40" w:type="dxa"/>
              <w:right w:w="20" w:type="dxa"/>
            </w:tcMar>
            <w:vAlign w:val="center"/>
          </w:tcPr>
          <w:p w14:paraId="35D09F6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F6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9F62" w14:textId="77777777" w:rsidR="00D42204" w:rsidRDefault="004E439D">
            <w:pPr>
              <w:jc w:val="right"/>
              <w:textAlignment w:val="bottom"/>
            </w:pPr>
            <w:r>
              <w:rPr>
                <w:rFonts w:ascii="Times New Roman" w:eastAsia="宋体" w:hAnsi="Times New Roman"/>
                <w:color w:val="000000"/>
                <w:sz w:val="16"/>
                <w:szCs w:val="16"/>
              </w:rPr>
              <w:t>(588)</w:t>
            </w:r>
          </w:p>
        </w:tc>
        <w:tc>
          <w:tcPr>
            <w:tcW w:w="0" w:type="auto"/>
            <w:shd w:val="clear" w:color="auto" w:fill="CCEEFF"/>
            <w:tcMar>
              <w:top w:w="40" w:type="dxa"/>
              <w:left w:w="0" w:type="dxa"/>
              <w:bottom w:w="40" w:type="dxa"/>
              <w:right w:w="20" w:type="dxa"/>
            </w:tcMar>
            <w:vAlign w:val="bottom"/>
          </w:tcPr>
          <w:p w14:paraId="35D09F6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F6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9F65" w14:textId="77777777" w:rsidR="00D42204" w:rsidRDefault="004E439D">
            <w:pPr>
              <w:jc w:val="right"/>
              <w:textAlignment w:val="bottom"/>
            </w:pPr>
            <w:r>
              <w:rPr>
                <w:rFonts w:ascii="Times New Roman" w:eastAsia="宋体" w:hAnsi="Times New Roman"/>
                <w:color w:val="000000"/>
                <w:sz w:val="16"/>
                <w:szCs w:val="16"/>
              </w:rPr>
              <w:t>(577)</w:t>
            </w:r>
          </w:p>
        </w:tc>
        <w:tc>
          <w:tcPr>
            <w:tcW w:w="0" w:type="auto"/>
            <w:shd w:val="clear" w:color="auto" w:fill="CCEEFF"/>
            <w:tcMar>
              <w:top w:w="40" w:type="dxa"/>
              <w:left w:w="0" w:type="dxa"/>
              <w:bottom w:w="40" w:type="dxa"/>
              <w:right w:w="20" w:type="dxa"/>
            </w:tcMar>
            <w:vAlign w:val="bottom"/>
          </w:tcPr>
          <w:p w14:paraId="35D09F66" w14:textId="77777777" w:rsidR="00D42204" w:rsidRDefault="00D42204">
            <w:pPr>
              <w:jc w:val="right"/>
              <w:rPr>
                <w:rFonts w:ascii="宋体"/>
              </w:rPr>
            </w:pPr>
          </w:p>
        </w:tc>
      </w:tr>
      <w:tr w:rsidR="00D42204" w14:paraId="35D09F75" w14:textId="77777777">
        <w:tc>
          <w:tcPr>
            <w:tcW w:w="0" w:type="auto"/>
            <w:gridSpan w:val="3"/>
            <w:shd w:val="clear" w:color="auto" w:fill="FFFFFF"/>
            <w:tcMar>
              <w:top w:w="40" w:type="dxa"/>
              <w:left w:w="20" w:type="dxa"/>
              <w:bottom w:w="40" w:type="dxa"/>
              <w:right w:w="20" w:type="dxa"/>
            </w:tcMar>
            <w:vAlign w:val="center"/>
          </w:tcPr>
          <w:p w14:paraId="35D09F68" w14:textId="77777777" w:rsidR="00D42204" w:rsidRDefault="004E439D">
            <w:pPr>
              <w:textAlignment w:val="center"/>
            </w:pPr>
            <w:r>
              <w:rPr>
                <w:rFonts w:ascii="Times New Roman" w:eastAsia="宋体" w:hAnsi="Times New Roman"/>
                <w:b/>
                <w:bCs/>
                <w:color w:val="000000"/>
                <w:sz w:val="16"/>
                <w:szCs w:val="16"/>
              </w:rPr>
              <w:t>Balances as of January 31, 2022</w:t>
            </w:r>
          </w:p>
        </w:tc>
        <w:tc>
          <w:tcPr>
            <w:tcW w:w="0" w:type="auto"/>
            <w:gridSpan w:val="3"/>
            <w:shd w:val="clear" w:color="auto" w:fill="FFFFFF"/>
            <w:tcMar>
              <w:top w:w="0" w:type="dxa"/>
              <w:left w:w="20" w:type="dxa"/>
              <w:bottom w:w="0" w:type="dxa"/>
              <w:right w:w="20" w:type="dxa"/>
            </w:tcMar>
            <w:vAlign w:val="bottom"/>
          </w:tcPr>
          <w:p w14:paraId="35D09F69"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9F6A"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9F6B" w14:textId="77777777" w:rsidR="00D42204" w:rsidRDefault="004E439D">
            <w:pPr>
              <w:jc w:val="right"/>
              <w:textAlignment w:val="center"/>
            </w:pPr>
            <w:r>
              <w:rPr>
                <w:rFonts w:ascii="Times New Roman" w:eastAsia="宋体" w:hAnsi="Times New Roman"/>
                <w:color w:val="000000"/>
                <w:sz w:val="16"/>
                <w:szCs w:val="16"/>
              </w:rPr>
              <w:t>2,803 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9F6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F6D"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9F6E"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9F6F" w14:textId="77777777" w:rsidR="00D42204" w:rsidRDefault="004E439D">
            <w:pPr>
              <w:jc w:val="right"/>
              <w:textAlignment w:val="center"/>
            </w:pPr>
            <w:r>
              <w:rPr>
                <w:rFonts w:ascii="Times New Roman" w:eastAsia="宋体" w:hAnsi="Times New Roman"/>
                <w:color w:val="000000"/>
                <w:sz w:val="16"/>
                <w:szCs w:val="16"/>
              </w:rPr>
              <w:t>34,864 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9F7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F71"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9F72"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9F73" w14:textId="77777777" w:rsidR="00D42204" w:rsidRDefault="004E439D">
            <w:pPr>
              <w:jc w:val="right"/>
              <w:textAlignment w:val="center"/>
            </w:pPr>
            <w:r>
              <w:rPr>
                <w:rFonts w:ascii="Times New Roman" w:eastAsia="宋体" w:hAnsi="Times New Roman"/>
                <w:color w:val="000000"/>
                <w:sz w:val="16"/>
                <w:szCs w:val="16"/>
              </w:rPr>
              <w:t>37,667 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9F74" w14:textId="77777777" w:rsidR="00D42204" w:rsidRDefault="00D42204">
            <w:pPr>
              <w:jc w:val="right"/>
              <w:rPr>
                <w:rFonts w:ascii="宋体"/>
              </w:rPr>
            </w:pPr>
          </w:p>
        </w:tc>
      </w:tr>
    </w:tbl>
    <w:p w14:paraId="35D09F76" w14:textId="77777777" w:rsidR="00D42204" w:rsidRDefault="004E439D">
      <w:pPr>
        <w:spacing w:before="80"/>
      </w:pPr>
      <w:r>
        <w:rPr>
          <w:rFonts w:ascii="Times New Roman" w:eastAsia="宋体" w:hAnsi="Times New Roman"/>
          <w:color w:val="000000"/>
          <w:sz w:val="20"/>
          <w:szCs w:val="20"/>
        </w:rPr>
        <w:t>Our total outstanding long-term debt decreased $6.6 billion during fiscal 2022, primarily due to the extinguishment and maturities of certain long-term debt, partially</w:t>
      </w:r>
      <w:r>
        <w:rPr>
          <w:rFonts w:ascii="Times New Roman" w:eastAsia="宋体" w:hAnsi="Times New Roman"/>
          <w:color w:val="000000"/>
          <w:sz w:val="20"/>
          <w:szCs w:val="20"/>
        </w:rPr>
        <w:t xml:space="preserve"> offset by the issuance of new long-term debt in September 2021. Refer to </w:t>
      </w:r>
      <w:hyperlink r:id="rId106" w:anchor="i1ba69ebb72ec48f9b754a5e96c4cdf3f_166" w:history="1">
        <w:r>
          <w:rPr>
            <w:rStyle w:val="a5"/>
            <w:rFonts w:ascii="Times New Roman" w:eastAsia="宋体" w:hAnsi="Times New Roman"/>
            <w:sz w:val="20"/>
            <w:szCs w:val="20"/>
          </w:rPr>
          <w:t xml:space="preserve">Note </w:t>
        </w:r>
      </w:hyperlink>
      <w:hyperlink r:id="rId107" w:anchor="i1ba69ebb72ec48f9b754a5e96c4cdf3f_166" w:history="1">
        <w:r>
          <w:rPr>
            <w:rStyle w:val="a5"/>
            <w:rFonts w:ascii="Times New Roman" w:eastAsia="宋体" w:hAnsi="Times New Roman"/>
            <w:sz w:val="20"/>
            <w:szCs w:val="20"/>
          </w:rPr>
          <w:t>6</w:t>
        </w:r>
      </w:hyperlink>
      <w:r>
        <w:rPr>
          <w:rFonts w:ascii="Times New Roman" w:eastAsia="宋体" w:hAnsi="Times New Roman"/>
          <w:color w:val="000000"/>
          <w:sz w:val="20"/>
          <w:szCs w:val="20"/>
        </w:rPr>
        <w:t xml:space="preserve"> to our Consolidated Financial Statements for details on the maturities, extinguishment and issuances</w:t>
      </w:r>
      <w:r>
        <w:rPr>
          <w:rFonts w:ascii="Times New Roman" w:eastAsia="宋体" w:hAnsi="Times New Roman"/>
          <w:color w:val="000000"/>
          <w:sz w:val="20"/>
          <w:szCs w:val="20"/>
        </w:rPr>
        <w:t xml:space="preserve"> of long-term debt. The early extinguishment of certain long-term debt allowed us to retire higher rate debt to reduce interest expense in future periods. In connection with this early extinguishment of debt, the Company paid premiums of $2.3 billion, whic</w:t>
      </w:r>
      <w:r>
        <w:rPr>
          <w:rFonts w:ascii="Times New Roman" w:eastAsia="宋体" w:hAnsi="Times New Roman"/>
          <w:color w:val="000000"/>
          <w:sz w:val="20"/>
          <w:szCs w:val="20"/>
        </w:rPr>
        <w:t xml:space="preserve">h represents the majority of the $2.4 billion loss recorded on the transaction during fiscal 2022. </w:t>
      </w:r>
    </w:p>
    <w:p w14:paraId="35D09F77" w14:textId="77777777" w:rsidR="00D42204" w:rsidRDefault="004E439D">
      <w:pPr>
        <w:spacing w:before="100"/>
      </w:pPr>
      <w:r>
        <w:rPr>
          <w:rFonts w:ascii="Times New Roman" w:eastAsia="宋体" w:hAnsi="Times New Roman"/>
          <w:color w:val="000000"/>
          <w:sz w:val="20"/>
          <w:szCs w:val="20"/>
        </w:rPr>
        <w:t>Estimated contractual interest payments associated with our long-term debt amount to $16.0 billion, with approximately $1.3 billion expected to be paid in f</w:t>
      </w:r>
      <w:r>
        <w:rPr>
          <w:rFonts w:ascii="Times New Roman" w:eastAsia="宋体" w:hAnsi="Times New Roman"/>
          <w:color w:val="000000"/>
          <w:sz w:val="20"/>
          <w:szCs w:val="20"/>
        </w:rPr>
        <w:t xml:space="preserve">iscal 2023. Estimated interest payments are based on our principal amounts and expected maturities of all debt outstanding as of January 31, 2022 and assumes interest rates remain at current levels for our variable rate instruments. </w:t>
      </w:r>
    </w:p>
    <w:p w14:paraId="35D09F78" w14:textId="77777777" w:rsidR="00D42204" w:rsidRDefault="004E439D">
      <w:pPr>
        <w:spacing w:before="80"/>
      </w:pPr>
      <w:r>
        <w:rPr>
          <w:rFonts w:ascii="Times New Roman" w:eastAsia="宋体" w:hAnsi="Times New Roman"/>
          <w:i/>
          <w:iCs/>
          <w:color w:val="000000"/>
          <w:sz w:val="20"/>
          <w:szCs w:val="20"/>
        </w:rPr>
        <w:t>Dividends</w:t>
      </w:r>
    </w:p>
    <w:p w14:paraId="35D09F79" w14:textId="77777777" w:rsidR="00D42204" w:rsidRDefault="004E439D">
      <w:pPr>
        <w:spacing w:before="100"/>
      </w:pPr>
      <w:r>
        <w:rPr>
          <w:rFonts w:ascii="Times New Roman" w:eastAsia="宋体" w:hAnsi="Times New Roman"/>
          <w:color w:val="000000"/>
          <w:sz w:val="20"/>
          <w:szCs w:val="20"/>
        </w:rPr>
        <w:t>Our total di</w:t>
      </w:r>
      <w:r>
        <w:rPr>
          <w:rFonts w:ascii="Times New Roman" w:eastAsia="宋体" w:hAnsi="Times New Roman"/>
          <w:color w:val="000000"/>
          <w:sz w:val="20"/>
          <w:szCs w:val="20"/>
        </w:rPr>
        <w:t>vidend payments were $6.2 billion, $6.1 billion and $6.0 billion for fiscal 2022, 2021 and 2020, respectively. Effective February 17, 2022, the Board of Directors approved the fiscal 2023 annual dividend of $2.24 per share, an increase over the fiscal 2022</w:t>
      </w:r>
      <w:r>
        <w:rPr>
          <w:rFonts w:ascii="Times New Roman" w:eastAsia="宋体" w:hAnsi="Times New Roman"/>
          <w:color w:val="000000"/>
          <w:sz w:val="20"/>
          <w:szCs w:val="20"/>
        </w:rPr>
        <w:t xml:space="preserve"> annual dividend of $2.20 per share. For fiscal 2023, the annual dividend will be paid in four quarterly installments of $0.56 per share, according to the following record and payable dates:</w:t>
      </w:r>
    </w:p>
    <w:p w14:paraId="35D09F7A" w14:textId="77777777" w:rsidR="00D42204" w:rsidRDefault="004E439D">
      <w:pPr>
        <w:jc w:val="center"/>
      </w:pPr>
      <w:r>
        <w:rPr>
          <w:rFonts w:ascii="Times New Roman" w:eastAsia="宋体" w:hAnsi="Times New Roman"/>
          <w:color w:val="000000"/>
          <w:sz w:val="20"/>
          <w:szCs w:val="20"/>
        </w:rPr>
        <w:t>43</w:t>
      </w:r>
    </w:p>
    <w:p w14:paraId="35D09F7B" w14:textId="77777777" w:rsidR="00D42204" w:rsidRDefault="004E439D">
      <w:r>
        <w:pict w14:anchorId="35D0C386">
          <v:rect id="_x0000_i1067" style="width:415.3pt;height:1.5pt" o:hralign="center" o:hrstd="t" o:hr="t" fillcolor="#a0a0a0" stroked="f"/>
        </w:pict>
      </w:r>
    </w:p>
    <w:p w14:paraId="35D09F7C" w14:textId="77777777" w:rsidR="00D42204" w:rsidRDefault="00D42204"/>
    <w:tbl>
      <w:tblPr>
        <w:tblW w:w="5000" w:type="pct"/>
        <w:tblCellMar>
          <w:top w:w="15" w:type="dxa"/>
          <w:left w:w="15" w:type="dxa"/>
          <w:bottom w:w="15" w:type="dxa"/>
          <w:right w:w="15" w:type="dxa"/>
        </w:tblCellMar>
        <w:tblLook w:val="04A0" w:firstRow="1" w:lastRow="0" w:firstColumn="1" w:lastColumn="0" w:noHBand="0" w:noVBand="1"/>
      </w:tblPr>
      <w:tblGrid>
        <w:gridCol w:w="61"/>
        <w:gridCol w:w="3944"/>
        <w:gridCol w:w="37"/>
        <w:gridCol w:w="36"/>
        <w:gridCol w:w="58"/>
        <w:gridCol w:w="36"/>
        <w:gridCol w:w="61"/>
        <w:gridCol w:w="4066"/>
        <w:gridCol w:w="37"/>
      </w:tblGrid>
      <w:tr w:rsidR="00D42204" w14:paraId="35D09F86" w14:textId="77777777">
        <w:tc>
          <w:tcPr>
            <w:tcW w:w="50" w:type="pct"/>
            <w:shd w:val="clear" w:color="auto" w:fill="auto"/>
            <w:vAlign w:val="bottom"/>
          </w:tcPr>
          <w:p w14:paraId="35D09F7D" w14:textId="77777777" w:rsidR="00D42204" w:rsidRDefault="00D42204">
            <w:pPr>
              <w:rPr>
                <w:rFonts w:ascii="宋体"/>
              </w:rPr>
            </w:pPr>
          </w:p>
        </w:tc>
        <w:tc>
          <w:tcPr>
            <w:tcW w:w="2379" w:type="pct"/>
            <w:shd w:val="clear" w:color="auto" w:fill="auto"/>
            <w:vAlign w:val="bottom"/>
          </w:tcPr>
          <w:p w14:paraId="35D09F7E" w14:textId="77777777" w:rsidR="00D42204" w:rsidRDefault="00D42204">
            <w:pPr>
              <w:rPr>
                <w:rFonts w:ascii="宋体"/>
              </w:rPr>
            </w:pPr>
          </w:p>
        </w:tc>
        <w:tc>
          <w:tcPr>
            <w:tcW w:w="5" w:type="pct"/>
            <w:shd w:val="clear" w:color="auto" w:fill="auto"/>
            <w:vAlign w:val="bottom"/>
          </w:tcPr>
          <w:p w14:paraId="35D09F7F" w14:textId="77777777" w:rsidR="00D42204" w:rsidRDefault="00D42204">
            <w:pPr>
              <w:rPr>
                <w:rFonts w:ascii="宋体"/>
              </w:rPr>
            </w:pPr>
          </w:p>
        </w:tc>
        <w:tc>
          <w:tcPr>
            <w:tcW w:w="5" w:type="pct"/>
            <w:shd w:val="clear" w:color="auto" w:fill="auto"/>
            <w:vAlign w:val="bottom"/>
          </w:tcPr>
          <w:p w14:paraId="35D09F80" w14:textId="77777777" w:rsidR="00D42204" w:rsidRDefault="00D42204">
            <w:pPr>
              <w:rPr>
                <w:rFonts w:ascii="宋体"/>
              </w:rPr>
            </w:pPr>
          </w:p>
        </w:tc>
        <w:tc>
          <w:tcPr>
            <w:tcW w:w="48" w:type="pct"/>
            <w:shd w:val="clear" w:color="auto" w:fill="auto"/>
            <w:vAlign w:val="bottom"/>
          </w:tcPr>
          <w:p w14:paraId="35D09F81" w14:textId="77777777" w:rsidR="00D42204" w:rsidRDefault="00D42204">
            <w:pPr>
              <w:rPr>
                <w:rFonts w:ascii="宋体"/>
              </w:rPr>
            </w:pPr>
          </w:p>
        </w:tc>
        <w:tc>
          <w:tcPr>
            <w:tcW w:w="5" w:type="pct"/>
            <w:shd w:val="clear" w:color="auto" w:fill="auto"/>
            <w:vAlign w:val="bottom"/>
          </w:tcPr>
          <w:p w14:paraId="35D09F82" w14:textId="77777777" w:rsidR="00D42204" w:rsidRDefault="00D42204">
            <w:pPr>
              <w:rPr>
                <w:rFonts w:ascii="宋体"/>
              </w:rPr>
            </w:pPr>
          </w:p>
        </w:tc>
        <w:tc>
          <w:tcPr>
            <w:tcW w:w="50" w:type="pct"/>
            <w:shd w:val="clear" w:color="auto" w:fill="auto"/>
            <w:vAlign w:val="bottom"/>
          </w:tcPr>
          <w:p w14:paraId="35D09F83" w14:textId="77777777" w:rsidR="00D42204" w:rsidRDefault="00D42204">
            <w:pPr>
              <w:rPr>
                <w:rFonts w:ascii="宋体"/>
              </w:rPr>
            </w:pPr>
          </w:p>
        </w:tc>
        <w:tc>
          <w:tcPr>
            <w:tcW w:w="2452" w:type="pct"/>
            <w:shd w:val="clear" w:color="auto" w:fill="auto"/>
            <w:vAlign w:val="bottom"/>
          </w:tcPr>
          <w:p w14:paraId="35D09F84" w14:textId="77777777" w:rsidR="00D42204" w:rsidRDefault="00D42204">
            <w:pPr>
              <w:rPr>
                <w:rFonts w:ascii="宋体"/>
              </w:rPr>
            </w:pPr>
          </w:p>
        </w:tc>
        <w:tc>
          <w:tcPr>
            <w:tcW w:w="5" w:type="pct"/>
            <w:shd w:val="clear" w:color="auto" w:fill="auto"/>
            <w:vAlign w:val="bottom"/>
          </w:tcPr>
          <w:p w14:paraId="35D09F85" w14:textId="77777777" w:rsidR="00D42204" w:rsidRDefault="00D42204">
            <w:pPr>
              <w:rPr>
                <w:rFonts w:ascii="宋体"/>
              </w:rPr>
            </w:pPr>
          </w:p>
        </w:tc>
      </w:tr>
      <w:tr w:rsidR="00D42204" w14:paraId="35D09F8A" w14:textId="77777777">
        <w:tc>
          <w:tcPr>
            <w:tcW w:w="0" w:type="auto"/>
            <w:gridSpan w:val="3"/>
            <w:shd w:val="clear" w:color="auto" w:fill="auto"/>
            <w:tcMar>
              <w:top w:w="40" w:type="dxa"/>
              <w:left w:w="20" w:type="dxa"/>
              <w:bottom w:w="40" w:type="dxa"/>
              <w:right w:w="20" w:type="dxa"/>
            </w:tcMar>
            <w:vAlign w:val="bottom"/>
          </w:tcPr>
          <w:p w14:paraId="35D09F87" w14:textId="77777777" w:rsidR="00D42204" w:rsidRDefault="004E439D">
            <w:pPr>
              <w:textAlignment w:val="bottom"/>
            </w:pPr>
            <w:r>
              <w:rPr>
                <w:rFonts w:ascii="Times New Roman" w:eastAsia="宋体" w:hAnsi="Times New Roman"/>
                <w:b/>
                <w:bCs/>
                <w:color w:val="000000"/>
                <w:sz w:val="16"/>
                <w:szCs w:val="16"/>
              </w:rPr>
              <w:t>Record Date</w:t>
            </w:r>
          </w:p>
        </w:tc>
        <w:tc>
          <w:tcPr>
            <w:tcW w:w="0" w:type="auto"/>
            <w:gridSpan w:val="3"/>
            <w:shd w:val="clear" w:color="auto" w:fill="auto"/>
            <w:tcMar>
              <w:top w:w="0" w:type="dxa"/>
              <w:left w:w="20" w:type="dxa"/>
              <w:bottom w:w="0" w:type="dxa"/>
              <w:right w:w="20" w:type="dxa"/>
            </w:tcMar>
            <w:vAlign w:val="bottom"/>
          </w:tcPr>
          <w:p w14:paraId="35D09F88"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9F89" w14:textId="77777777" w:rsidR="00D42204" w:rsidRDefault="004E439D">
            <w:pPr>
              <w:textAlignment w:val="bottom"/>
            </w:pPr>
            <w:r>
              <w:rPr>
                <w:rFonts w:ascii="Times New Roman" w:eastAsia="宋体" w:hAnsi="Times New Roman"/>
                <w:b/>
                <w:bCs/>
                <w:color w:val="000000"/>
                <w:sz w:val="16"/>
                <w:szCs w:val="16"/>
              </w:rPr>
              <w:t>Payable Date</w:t>
            </w:r>
          </w:p>
        </w:tc>
      </w:tr>
      <w:tr w:rsidR="00D42204" w14:paraId="35D09F8E"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D09F8B" w14:textId="77777777" w:rsidR="00D42204" w:rsidRDefault="004E439D">
            <w:pPr>
              <w:textAlignment w:val="bottom"/>
            </w:pPr>
            <w:r>
              <w:rPr>
                <w:rFonts w:ascii="Times New Roman" w:eastAsia="宋体" w:hAnsi="Times New Roman"/>
                <w:color w:val="000000"/>
                <w:sz w:val="16"/>
                <w:szCs w:val="16"/>
              </w:rPr>
              <w:t>March 18, 2022</w:t>
            </w:r>
          </w:p>
        </w:tc>
        <w:tc>
          <w:tcPr>
            <w:tcW w:w="0" w:type="auto"/>
            <w:gridSpan w:val="3"/>
            <w:shd w:val="clear" w:color="auto" w:fill="CCEEFF"/>
            <w:tcMar>
              <w:top w:w="0" w:type="dxa"/>
              <w:left w:w="20" w:type="dxa"/>
              <w:bottom w:w="0" w:type="dxa"/>
              <w:right w:w="20" w:type="dxa"/>
            </w:tcMar>
            <w:vAlign w:val="bottom"/>
          </w:tcPr>
          <w:p w14:paraId="35D09F8C"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D09F8D" w14:textId="77777777" w:rsidR="00D42204" w:rsidRDefault="004E439D">
            <w:pPr>
              <w:textAlignment w:val="bottom"/>
            </w:pPr>
            <w:r>
              <w:rPr>
                <w:rFonts w:ascii="Times New Roman" w:eastAsia="宋体" w:hAnsi="Times New Roman"/>
                <w:color w:val="000000"/>
                <w:sz w:val="16"/>
                <w:szCs w:val="16"/>
              </w:rPr>
              <w:t>April 4, 2022</w:t>
            </w:r>
          </w:p>
        </w:tc>
      </w:tr>
      <w:tr w:rsidR="00D42204" w14:paraId="35D09F92" w14:textId="77777777">
        <w:tc>
          <w:tcPr>
            <w:tcW w:w="0" w:type="auto"/>
            <w:gridSpan w:val="3"/>
            <w:shd w:val="clear" w:color="auto" w:fill="FFFFFF"/>
            <w:tcMar>
              <w:top w:w="40" w:type="dxa"/>
              <w:left w:w="20" w:type="dxa"/>
              <w:bottom w:w="40" w:type="dxa"/>
              <w:right w:w="20" w:type="dxa"/>
            </w:tcMar>
            <w:vAlign w:val="center"/>
          </w:tcPr>
          <w:p w14:paraId="35D09F8F" w14:textId="77777777" w:rsidR="00D42204" w:rsidRDefault="004E439D">
            <w:pPr>
              <w:textAlignment w:val="center"/>
            </w:pPr>
            <w:r>
              <w:rPr>
                <w:rFonts w:ascii="Times New Roman" w:eastAsia="宋体" w:hAnsi="Times New Roman"/>
                <w:color w:val="000000"/>
                <w:sz w:val="16"/>
                <w:szCs w:val="16"/>
              </w:rPr>
              <w:t>May 6, 2022</w:t>
            </w:r>
          </w:p>
        </w:tc>
        <w:tc>
          <w:tcPr>
            <w:tcW w:w="0" w:type="auto"/>
            <w:gridSpan w:val="3"/>
            <w:shd w:val="clear" w:color="auto" w:fill="FFFFFF"/>
            <w:tcMar>
              <w:top w:w="0" w:type="dxa"/>
              <w:left w:w="20" w:type="dxa"/>
              <w:bottom w:w="0" w:type="dxa"/>
              <w:right w:w="20" w:type="dxa"/>
            </w:tcMar>
            <w:vAlign w:val="bottom"/>
          </w:tcPr>
          <w:p w14:paraId="35D09F90"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9F91" w14:textId="77777777" w:rsidR="00D42204" w:rsidRDefault="004E439D">
            <w:pPr>
              <w:textAlignment w:val="center"/>
            </w:pPr>
            <w:r>
              <w:rPr>
                <w:rFonts w:ascii="Times New Roman" w:eastAsia="宋体" w:hAnsi="Times New Roman"/>
                <w:color w:val="000000"/>
                <w:sz w:val="16"/>
                <w:szCs w:val="16"/>
              </w:rPr>
              <w:t>May 31, 2022</w:t>
            </w:r>
          </w:p>
        </w:tc>
      </w:tr>
      <w:tr w:rsidR="00D42204" w14:paraId="35D09F96" w14:textId="77777777">
        <w:tc>
          <w:tcPr>
            <w:tcW w:w="0" w:type="auto"/>
            <w:gridSpan w:val="3"/>
            <w:shd w:val="clear" w:color="auto" w:fill="CCEEFF"/>
            <w:tcMar>
              <w:top w:w="40" w:type="dxa"/>
              <w:left w:w="20" w:type="dxa"/>
              <w:bottom w:w="40" w:type="dxa"/>
              <w:right w:w="20" w:type="dxa"/>
            </w:tcMar>
            <w:vAlign w:val="bottom"/>
          </w:tcPr>
          <w:p w14:paraId="35D09F93" w14:textId="77777777" w:rsidR="00D42204" w:rsidRDefault="004E439D">
            <w:pPr>
              <w:textAlignment w:val="bottom"/>
            </w:pPr>
            <w:r>
              <w:rPr>
                <w:rFonts w:ascii="Times New Roman" w:eastAsia="宋体" w:hAnsi="Times New Roman"/>
                <w:color w:val="000000"/>
                <w:sz w:val="16"/>
                <w:szCs w:val="16"/>
              </w:rPr>
              <w:t>August 12, 2022</w:t>
            </w:r>
          </w:p>
        </w:tc>
        <w:tc>
          <w:tcPr>
            <w:tcW w:w="0" w:type="auto"/>
            <w:gridSpan w:val="3"/>
            <w:shd w:val="clear" w:color="auto" w:fill="CCEEFF"/>
            <w:tcMar>
              <w:top w:w="0" w:type="dxa"/>
              <w:left w:w="20" w:type="dxa"/>
              <w:bottom w:w="0" w:type="dxa"/>
              <w:right w:w="20" w:type="dxa"/>
            </w:tcMar>
            <w:vAlign w:val="bottom"/>
          </w:tcPr>
          <w:p w14:paraId="35D09F94"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9F95" w14:textId="77777777" w:rsidR="00D42204" w:rsidRDefault="004E439D">
            <w:pPr>
              <w:textAlignment w:val="bottom"/>
            </w:pPr>
            <w:r>
              <w:rPr>
                <w:rFonts w:ascii="Times New Roman" w:eastAsia="宋体" w:hAnsi="Times New Roman"/>
                <w:color w:val="000000"/>
                <w:sz w:val="16"/>
                <w:szCs w:val="16"/>
              </w:rPr>
              <w:t>September 6, 2022</w:t>
            </w:r>
          </w:p>
        </w:tc>
      </w:tr>
      <w:tr w:rsidR="00D42204" w14:paraId="35D09F9A" w14:textId="77777777">
        <w:tc>
          <w:tcPr>
            <w:tcW w:w="0" w:type="auto"/>
            <w:gridSpan w:val="3"/>
            <w:shd w:val="clear" w:color="auto" w:fill="FFFFFF"/>
            <w:tcMar>
              <w:top w:w="40" w:type="dxa"/>
              <w:left w:w="20" w:type="dxa"/>
              <w:bottom w:w="40" w:type="dxa"/>
              <w:right w:w="20" w:type="dxa"/>
            </w:tcMar>
            <w:vAlign w:val="center"/>
          </w:tcPr>
          <w:p w14:paraId="35D09F97" w14:textId="77777777" w:rsidR="00D42204" w:rsidRDefault="004E439D">
            <w:pPr>
              <w:textAlignment w:val="center"/>
            </w:pPr>
            <w:r>
              <w:rPr>
                <w:rFonts w:ascii="Times New Roman" w:eastAsia="宋体" w:hAnsi="Times New Roman"/>
                <w:color w:val="000000"/>
                <w:sz w:val="16"/>
                <w:szCs w:val="16"/>
              </w:rPr>
              <w:t>December 9, 2022</w:t>
            </w:r>
          </w:p>
        </w:tc>
        <w:tc>
          <w:tcPr>
            <w:tcW w:w="0" w:type="auto"/>
            <w:gridSpan w:val="3"/>
            <w:shd w:val="clear" w:color="auto" w:fill="FFFFFF"/>
            <w:tcMar>
              <w:top w:w="0" w:type="dxa"/>
              <w:left w:w="20" w:type="dxa"/>
              <w:bottom w:w="0" w:type="dxa"/>
              <w:right w:w="20" w:type="dxa"/>
            </w:tcMar>
            <w:vAlign w:val="bottom"/>
          </w:tcPr>
          <w:p w14:paraId="35D09F98"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9F99" w14:textId="77777777" w:rsidR="00D42204" w:rsidRDefault="004E439D">
            <w:pPr>
              <w:textAlignment w:val="center"/>
            </w:pPr>
            <w:r>
              <w:rPr>
                <w:rFonts w:ascii="Times New Roman" w:eastAsia="宋体" w:hAnsi="Times New Roman"/>
                <w:color w:val="000000"/>
                <w:sz w:val="16"/>
                <w:szCs w:val="16"/>
              </w:rPr>
              <w:t>January 3, 2023</w:t>
            </w:r>
          </w:p>
        </w:tc>
      </w:tr>
    </w:tbl>
    <w:p w14:paraId="35D09F9B" w14:textId="77777777" w:rsidR="00D42204" w:rsidRDefault="004E439D">
      <w:pPr>
        <w:spacing w:before="120"/>
      </w:pPr>
      <w:r>
        <w:rPr>
          <w:rFonts w:ascii="Times New Roman" w:eastAsia="宋体" w:hAnsi="Times New Roman"/>
          <w:i/>
          <w:iCs/>
          <w:color w:val="000000"/>
          <w:sz w:val="20"/>
          <w:szCs w:val="20"/>
        </w:rPr>
        <w:t xml:space="preserve">Company Share Repurchase Program </w:t>
      </w:r>
    </w:p>
    <w:p w14:paraId="35D09F9C" w14:textId="77777777" w:rsidR="00D42204" w:rsidRDefault="004E439D">
      <w:pPr>
        <w:spacing w:before="100"/>
      </w:pPr>
      <w:r>
        <w:rPr>
          <w:rFonts w:ascii="Times New Roman" w:eastAsia="宋体" w:hAnsi="Times New Roman"/>
          <w:color w:val="000000"/>
          <w:sz w:val="20"/>
          <w:szCs w:val="20"/>
        </w:rPr>
        <w:t>From time to time, the Company repurchases shares of its common stock under share repurchase programs authorized by the Company's Board of Directors. All repurchases made prior to February 22, 2021 were made under the plan in effect at the beginning of fis</w:t>
      </w:r>
      <w:r>
        <w:rPr>
          <w:rFonts w:ascii="Times New Roman" w:eastAsia="宋体" w:hAnsi="Times New Roman"/>
          <w:color w:val="000000"/>
          <w:sz w:val="20"/>
          <w:szCs w:val="20"/>
        </w:rPr>
        <w:t>cal 2022. On February 18, 2021, the Board of Directors approved a new $20.0 billion share repurchase program which has no expiration date or other restrictions limiting the period over which the Company can make repurchases, and beginning February 22, 2021</w:t>
      </w:r>
      <w:r>
        <w:rPr>
          <w:rFonts w:ascii="Times New Roman" w:eastAsia="宋体" w:hAnsi="Times New Roman"/>
          <w:color w:val="000000"/>
          <w:sz w:val="20"/>
          <w:szCs w:val="20"/>
        </w:rPr>
        <w:t>, replaced the previous share repurchase program. As of January 31, 2022, authorization for $10.6 billion of share repurchases remained under the share repurchase program. Any repurchased shares are constructively retired and returned to an unissued status</w:t>
      </w:r>
      <w:r>
        <w:rPr>
          <w:rFonts w:ascii="Times New Roman" w:eastAsia="宋体" w:hAnsi="Times New Roman"/>
          <w:color w:val="000000"/>
          <w:sz w:val="20"/>
          <w:szCs w:val="20"/>
        </w:rPr>
        <w:t xml:space="preserve">. </w:t>
      </w:r>
    </w:p>
    <w:p w14:paraId="35D09F9D" w14:textId="77777777" w:rsidR="00D42204" w:rsidRDefault="004E439D">
      <w:pPr>
        <w:spacing w:before="100"/>
      </w:pPr>
      <w:r>
        <w:rPr>
          <w:rFonts w:ascii="Times New Roman" w:eastAsia="宋体" w:hAnsi="Times New Roman"/>
          <w:color w:val="000000"/>
          <w:sz w:val="20"/>
          <w:szCs w:val="20"/>
        </w:rPr>
        <w:t xml:space="preserve">We regularly review share repurchase activity and consider several factors in determining when to execute share repurchases, including, among other things, current cash needs, capacity for leverage, cost of borrowings, our results of operations and the </w:t>
      </w:r>
      <w:r>
        <w:rPr>
          <w:rFonts w:ascii="Times New Roman" w:eastAsia="宋体" w:hAnsi="Times New Roman"/>
          <w:color w:val="000000"/>
          <w:sz w:val="20"/>
          <w:szCs w:val="20"/>
        </w:rPr>
        <w:t xml:space="preserve">market price of our common stock. We anticipate that a majority of the ongoing share repurchase program will be funded through the Company's free cash flow. In fiscal 2023, we plan to spend at least $10 billion in share repurchases. </w:t>
      </w:r>
    </w:p>
    <w:p w14:paraId="35D09F9E" w14:textId="77777777" w:rsidR="00D42204" w:rsidRDefault="004E439D">
      <w:pPr>
        <w:spacing w:before="100"/>
      </w:pPr>
      <w:r>
        <w:rPr>
          <w:rFonts w:ascii="Times New Roman" w:eastAsia="宋体" w:hAnsi="Times New Roman"/>
          <w:color w:val="000000"/>
          <w:sz w:val="20"/>
          <w:szCs w:val="20"/>
        </w:rPr>
        <w:t>The following table pr</w:t>
      </w:r>
      <w:r>
        <w:rPr>
          <w:rFonts w:ascii="Times New Roman" w:eastAsia="宋体" w:hAnsi="Times New Roman"/>
          <w:color w:val="000000"/>
          <w:sz w:val="20"/>
          <w:szCs w:val="20"/>
        </w:rPr>
        <w:t xml:space="preserve">ovides, on a settlement date basis, the number of shares repurchased, average price paid per share and total amount paid for share repurchases for fiscal 2022, 2021 and 2020: </w:t>
      </w:r>
    </w:p>
    <w:tbl>
      <w:tblPr>
        <w:tblW w:w="4971" w:type="pct"/>
        <w:tblCellMar>
          <w:top w:w="15" w:type="dxa"/>
          <w:left w:w="15" w:type="dxa"/>
          <w:bottom w:w="15" w:type="dxa"/>
          <w:right w:w="15" w:type="dxa"/>
        </w:tblCellMar>
        <w:tblLook w:val="04A0" w:firstRow="1" w:lastRow="0" w:firstColumn="1" w:lastColumn="0" w:noHBand="0" w:noVBand="1"/>
      </w:tblPr>
      <w:tblGrid>
        <w:gridCol w:w="42"/>
        <w:gridCol w:w="5086"/>
        <w:gridCol w:w="37"/>
        <w:gridCol w:w="36"/>
        <w:gridCol w:w="36"/>
        <w:gridCol w:w="36"/>
        <w:gridCol w:w="100"/>
        <w:gridCol w:w="797"/>
        <w:gridCol w:w="36"/>
        <w:gridCol w:w="36"/>
        <w:gridCol w:w="36"/>
        <w:gridCol w:w="36"/>
        <w:gridCol w:w="100"/>
        <w:gridCol w:w="797"/>
        <w:gridCol w:w="36"/>
        <w:gridCol w:w="36"/>
        <w:gridCol w:w="36"/>
        <w:gridCol w:w="36"/>
        <w:gridCol w:w="100"/>
        <w:gridCol w:w="797"/>
        <w:gridCol w:w="36"/>
      </w:tblGrid>
      <w:tr w:rsidR="00D42204" w14:paraId="35D09FB4" w14:textId="77777777">
        <w:tc>
          <w:tcPr>
            <w:tcW w:w="50" w:type="pct"/>
            <w:shd w:val="clear" w:color="auto" w:fill="auto"/>
            <w:vAlign w:val="bottom"/>
          </w:tcPr>
          <w:p w14:paraId="35D09F9F" w14:textId="77777777" w:rsidR="00D42204" w:rsidRDefault="00D42204">
            <w:pPr>
              <w:rPr>
                <w:rFonts w:ascii="宋体"/>
              </w:rPr>
            </w:pPr>
          </w:p>
        </w:tc>
        <w:tc>
          <w:tcPr>
            <w:tcW w:w="3092" w:type="pct"/>
            <w:shd w:val="clear" w:color="auto" w:fill="auto"/>
            <w:vAlign w:val="bottom"/>
          </w:tcPr>
          <w:p w14:paraId="35D09FA0" w14:textId="77777777" w:rsidR="00D42204" w:rsidRDefault="00D42204">
            <w:pPr>
              <w:rPr>
                <w:rFonts w:ascii="宋体"/>
              </w:rPr>
            </w:pPr>
          </w:p>
        </w:tc>
        <w:tc>
          <w:tcPr>
            <w:tcW w:w="5" w:type="pct"/>
            <w:shd w:val="clear" w:color="auto" w:fill="auto"/>
            <w:vAlign w:val="bottom"/>
          </w:tcPr>
          <w:p w14:paraId="35D09FA1" w14:textId="77777777" w:rsidR="00D42204" w:rsidRDefault="00D42204">
            <w:pPr>
              <w:rPr>
                <w:rFonts w:ascii="宋体"/>
              </w:rPr>
            </w:pPr>
          </w:p>
        </w:tc>
        <w:tc>
          <w:tcPr>
            <w:tcW w:w="5" w:type="pct"/>
            <w:shd w:val="clear" w:color="auto" w:fill="auto"/>
            <w:vAlign w:val="bottom"/>
          </w:tcPr>
          <w:p w14:paraId="35D09FA2" w14:textId="77777777" w:rsidR="00D42204" w:rsidRDefault="00D42204">
            <w:pPr>
              <w:rPr>
                <w:rFonts w:ascii="宋体"/>
              </w:rPr>
            </w:pPr>
          </w:p>
        </w:tc>
        <w:tc>
          <w:tcPr>
            <w:tcW w:w="41" w:type="pct"/>
            <w:shd w:val="clear" w:color="auto" w:fill="auto"/>
            <w:vAlign w:val="bottom"/>
          </w:tcPr>
          <w:p w14:paraId="35D09FA3" w14:textId="77777777" w:rsidR="00D42204" w:rsidRDefault="00D42204">
            <w:pPr>
              <w:rPr>
                <w:rFonts w:ascii="宋体"/>
              </w:rPr>
            </w:pPr>
          </w:p>
        </w:tc>
        <w:tc>
          <w:tcPr>
            <w:tcW w:w="5" w:type="pct"/>
            <w:shd w:val="clear" w:color="auto" w:fill="auto"/>
            <w:vAlign w:val="bottom"/>
          </w:tcPr>
          <w:p w14:paraId="35D09FA4" w14:textId="77777777" w:rsidR="00D42204" w:rsidRDefault="00D42204">
            <w:pPr>
              <w:rPr>
                <w:rFonts w:ascii="宋体"/>
              </w:rPr>
            </w:pPr>
          </w:p>
        </w:tc>
        <w:tc>
          <w:tcPr>
            <w:tcW w:w="50" w:type="pct"/>
            <w:shd w:val="clear" w:color="auto" w:fill="auto"/>
            <w:vAlign w:val="bottom"/>
          </w:tcPr>
          <w:p w14:paraId="35D09FA5" w14:textId="77777777" w:rsidR="00D42204" w:rsidRDefault="00D42204">
            <w:pPr>
              <w:rPr>
                <w:rFonts w:ascii="宋体"/>
              </w:rPr>
            </w:pPr>
          </w:p>
        </w:tc>
        <w:tc>
          <w:tcPr>
            <w:tcW w:w="511" w:type="pct"/>
            <w:shd w:val="clear" w:color="auto" w:fill="auto"/>
            <w:vAlign w:val="bottom"/>
          </w:tcPr>
          <w:p w14:paraId="35D09FA6" w14:textId="77777777" w:rsidR="00D42204" w:rsidRDefault="00D42204">
            <w:pPr>
              <w:rPr>
                <w:rFonts w:ascii="宋体"/>
              </w:rPr>
            </w:pPr>
          </w:p>
        </w:tc>
        <w:tc>
          <w:tcPr>
            <w:tcW w:w="5" w:type="pct"/>
            <w:shd w:val="clear" w:color="auto" w:fill="auto"/>
            <w:vAlign w:val="bottom"/>
          </w:tcPr>
          <w:p w14:paraId="35D09FA7" w14:textId="77777777" w:rsidR="00D42204" w:rsidRDefault="00D42204">
            <w:pPr>
              <w:rPr>
                <w:rFonts w:ascii="宋体"/>
              </w:rPr>
            </w:pPr>
          </w:p>
        </w:tc>
        <w:tc>
          <w:tcPr>
            <w:tcW w:w="5" w:type="pct"/>
            <w:shd w:val="clear" w:color="auto" w:fill="auto"/>
            <w:vAlign w:val="bottom"/>
          </w:tcPr>
          <w:p w14:paraId="35D09FA8" w14:textId="77777777" w:rsidR="00D42204" w:rsidRDefault="00D42204">
            <w:pPr>
              <w:rPr>
                <w:rFonts w:ascii="宋体"/>
              </w:rPr>
            </w:pPr>
          </w:p>
        </w:tc>
        <w:tc>
          <w:tcPr>
            <w:tcW w:w="41" w:type="pct"/>
            <w:shd w:val="clear" w:color="auto" w:fill="auto"/>
            <w:vAlign w:val="bottom"/>
          </w:tcPr>
          <w:p w14:paraId="35D09FA9" w14:textId="77777777" w:rsidR="00D42204" w:rsidRDefault="00D42204">
            <w:pPr>
              <w:rPr>
                <w:rFonts w:ascii="宋体"/>
              </w:rPr>
            </w:pPr>
          </w:p>
        </w:tc>
        <w:tc>
          <w:tcPr>
            <w:tcW w:w="5" w:type="pct"/>
            <w:shd w:val="clear" w:color="auto" w:fill="auto"/>
            <w:vAlign w:val="bottom"/>
          </w:tcPr>
          <w:p w14:paraId="35D09FAA" w14:textId="77777777" w:rsidR="00D42204" w:rsidRDefault="00D42204">
            <w:pPr>
              <w:rPr>
                <w:rFonts w:ascii="宋体"/>
              </w:rPr>
            </w:pPr>
          </w:p>
        </w:tc>
        <w:tc>
          <w:tcPr>
            <w:tcW w:w="50" w:type="pct"/>
            <w:shd w:val="clear" w:color="auto" w:fill="auto"/>
            <w:vAlign w:val="bottom"/>
          </w:tcPr>
          <w:p w14:paraId="35D09FAB" w14:textId="77777777" w:rsidR="00D42204" w:rsidRDefault="00D42204">
            <w:pPr>
              <w:rPr>
                <w:rFonts w:ascii="宋体"/>
              </w:rPr>
            </w:pPr>
          </w:p>
        </w:tc>
        <w:tc>
          <w:tcPr>
            <w:tcW w:w="511" w:type="pct"/>
            <w:shd w:val="clear" w:color="auto" w:fill="auto"/>
            <w:vAlign w:val="bottom"/>
          </w:tcPr>
          <w:p w14:paraId="35D09FAC" w14:textId="77777777" w:rsidR="00D42204" w:rsidRDefault="00D42204">
            <w:pPr>
              <w:rPr>
                <w:rFonts w:ascii="宋体"/>
              </w:rPr>
            </w:pPr>
          </w:p>
        </w:tc>
        <w:tc>
          <w:tcPr>
            <w:tcW w:w="5" w:type="pct"/>
            <w:shd w:val="clear" w:color="auto" w:fill="auto"/>
            <w:vAlign w:val="bottom"/>
          </w:tcPr>
          <w:p w14:paraId="35D09FAD" w14:textId="77777777" w:rsidR="00D42204" w:rsidRDefault="00D42204">
            <w:pPr>
              <w:rPr>
                <w:rFonts w:ascii="宋体"/>
              </w:rPr>
            </w:pPr>
          </w:p>
        </w:tc>
        <w:tc>
          <w:tcPr>
            <w:tcW w:w="5" w:type="pct"/>
            <w:shd w:val="clear" w:color="auto" w:fill="auto"/>
            <w:vAlign w:val="bottom"/>
          </w:tcPr>
          <w:p w14:paraId="35D09FAE" w14:textId="77777777" w:rsidR="00D42204" w:rsidRDefault="00D42204">
            <w:pPr>
              <w:rPr>
                <w:rFonts w:ascii="宋体"/>
              </w:rPr>
            </w:pPr>
          </w:p>
        </w:tc>
        <w:tc>
          <w:tcPr>
            <w:tcW w:w="41" w:type="pct"/>
            <w:shd w:val="clear" w:color="auto" w:fill="auto"/>
            <w:vAlign w:val="bottom"/>
          </w:tcPr>
          <w:p w14:paraId="35D09FAF" w14:textId="77777777" w:rsidR="00D42204" w:rsidRDefault="00D42204">
            <w:pPr>
              <w:rPr>
                <w:rFonts w:ascii="宋体"/>
              </w:rPr>
            </w:pPr>
          </w:p>
        </w:tc>
        <w:tc>
          <w:tcPr>
            <w:tcW w:w="5" w:type="pct"/>
            <w:shd w:val="clear" w:color="auto" w:fill="auto"/>
            <w:vAlign w:val="bottom"/>
          </w:tcPr>
          <w:p w14:paraId="35D09FB0" w14:textId="77777777" w:rsidR="00D42204" w:rsidRDefault="00D42204">
            <w:pPr>
              <w:rPr>
                <w:rFonts w:ascii="宋体"/>
              </w:rPr>
            </w:pPr>
          </w:p>
        </w:tc>
        <w:tc>
          <w:tcPr>
            <w:tcW w:w="50" w:type="pct"/>
            <w:shd w:val="clear" w:color="auto" w:fill="auto"/>
            <w:vAlign w:val="bottom"/>
          </w:tcPr>
          <w:p w14:paraId="35D09FB1" w14:textId="77777777" w:rsidR="00D42204" w:rsidRDefault="00D42204">
            <w:pPr>
              <w:rPr>
                <w:rFonts w:ascii="宋体"/>
              </w:rPr>
            </w:pPr>
          </w:p>
        </w:tc>
        <w:tc>
          <w:tcPr>
            <w:tcW w:w="511" w:type="pct"/>
            <w:shd w:val="clear" w:color="auto" w:fill="auto"/>
            <w:vAlign w:val="bottom"/>
          </w:tcPr>
          <w:p w14:paraId="35D09FB2" w14:textId="77777777" w:rsidR="00D42204" w:rsidRDefault="00D42204">
            <w:pPr>
              <w:rPr>
                <w:rFonts w:ascii="宋体"/>
              </w:rPr>
            </w:pPr>
          </w:p>
        </w:tc>
        <w:tc>
          <w:tcPr>
            <w:tcW w:w="5" w:type="pct"/>
            <w:shd w:val="clear" w:color="auto" w:fill="auto"/>
            <w:vAlign w:val="bottom"/>
          </w:tcPr>
          <w:p w14:paraId="35D09FB3" w14:textId="77777777" w:rsidR="00D42204" w:rsidRDefault="00D42204">
            <w:pPr>
              <w:rPr>
                <w:rFonts w:ascii="宋体"/>
              </w:rPr>
            </w:pPr>
          </w:p>
        </w:tc>
      </w:tr>
      <w:tr w:rsidR="00D42204" w14:paraId="35D09FB8" w14:textId="77777777">
        <w:tc>
          <w:tcPr>
            <w:tcW w:w="0" w:type="auto"/>
            <w:gridSpan w:val="3"/>
            <w:shd w:val="clear" w:color="auto" w:fill="auto"/>
            <w:tcMar>
              <w:top w:w="0" w:type="dxa"/>
              <w:left w:w="20" w:type="dxa"/>
              <w:bottom w:w="0" w:type="dxa"/>
              <w:right w:w="20" w:type="dxa"/>
            </w:tcMar>
            <w:vAlign w:val="bottom"/>
          </w:tcPr>
          <w:p w14:paraId="35D09FB5"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9FB6"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9FB7" w14:textId="77777777" w:rsidR="00D42204" w:rsidRDefault="004E439D">
            <w:pPr>
              <w:jc w:val="center"/>
              <w:textAlignment w:val="bottom"/>
            </w:pPr>
            <w:r>
              <w:rPr>
                <w:rFonts w:ascii="Times New Roman" w:eastAsia="宋体" w:hAnsi="Times New Roman"/>
                <w:b/>
                <w:bCs/>
                <w:color w:val="000000"/>
                <w:sz w:val="16"/>
                <w:szCs w:val="16"/>
              </w:rPr>
              <w:t>Fiscal Y</w:t>
            </w:r>
            <w:r>
              <w:rPr>
                <w:rFonts w:ascii="Times New Roman" w:eastAsia="宋体" w:hAnsi="Times New Roman"/>
                <w:b/>
                <w:bCs/>
                <w:color w:val="000000"/>
                <w:sz w:val="16"/>
                <w:szCs w:val="16"/>
              </w:rPr>
              <w:t>ears Ended January 31,</w:t>
            </w:r>
          </w:p>
        </w:tc>
      </w:tr>
      <w:tr w:rsidR="00D42204" w14:paraId="35D09FC0" w14:textId="77777777">
        <w:tc>
          <w:tcPr>
            <w:tcW w:w="0" w:type="auto"/>
            <w:gridSpan w:val="3"/>
            <w:shd w:val="clear" w:color="auto" w:fill="auto"/>
            <w:tcMar>
              <w:top w:w="40" w:type="dxa"/>
              <w:left w:w="20" w:type="dxa"/>
              <w:bottom w:w="40" w:type="dxa"/>
              <w:right w:w="20" w:type="dxa"/>
            </w:tcMar>
            <w:vAlign w:val="bottom"/>
          </w:tcPr>
          <w:p w14:paraId="35D09FB9" w14:textId="77777777" w:rsidR="00D42204" w:rsidRDefault="004E439D">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vAlign w:val="bottom"/>
          </w:tcPr>
          <w:p w14:paraId="35D09FBA"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FBB"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FBC"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FBD"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9FBE"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9FBF"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9FC8" w14:textId="77777777">
        <w:tc>
          <w:tcPr>
            <w:tcW w:w="0" w:type="auto"/>
            <w:gridSpan w:val="3"/>
            <w:shd w:val="clear" w:color="auto" w:fill="CCEEFF"/>
            <w:tcMar>
              <w:top w:w="40" w:type="dxa"/>
              <w:left w:w="20" w:type="dxa"/>
              <w:bottom w:w="40" w:type="dxa"/>
              <w:right w:w="20" w:type="dxa"/>
            </w:tcMar>
            <w:vAlign w:val="center"/>
          </w:tcPr>
          <w:p w14:paraId="35D09FC1" w14:textId="77777777" w:rsidR="00D42204" w:rsidRDefault="004E439D">
            <w:pPr>
              <w:textAlignment w:val="center"/>
            </w:pPr>
            <w:r>
              <w:rPr>
                <w:rFonts w:ascii="Times New Roman" w:eastAsia="宋体" w:hAnsi="Times New Roman"/>
                <w:color w:val="000000"/>
                <w:sz w:val="16"/>
                <w:szCs w:val="16"/>
              </w:rPr>
              <w:t>Total number of shares repurchased</w:t>
            </w:r>
          </w:p>
        </w:tc>
        <w:tc>
          <w:tcPr>
            <w:tcW w:w="0" w:type="auto"/>
            <w:gridSpan w:val="3"/>
            <w:shd w:val="clear" w:color="auto" w:fill="CCEEFF"/>
            <w:tcMar>
              <w:top w:w="0" w:type="dxa"/>
              <w:left w:w="20" w:type="dxa"/>
              <w:bottom w:w="0" w:type="dxa"/>
              <w:right w:w="20" w:type="dxa"/>
            </w:tcMar>
            <w:vAlign w:val="bottom"/>
          </w:tcPr>
          <w:p w14:paraId="35D09FC2"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9FC3" w14:textId="77777777" w:rsidR="00D42204" w:rsidRDefault="004E439D">
            <w:pPr>
              <w:jc w:val="right"/>
              <w:textAlignment w:val="center"/>
            </w:pPr>
            <w:r>
              <w:rPr>
                <w:rFonts w:ascii="Times New Roman" w:eastAsia="宋体" w:hAnsi="Times New Roman"/>
                <w:color w:val="000000"/>
                <w:sz w:val="16"/>
                <w:szCs w:val="16"/>
              </w:rPr>
              <w:t>69.7</w:t>
            </w:r>
          </w:p>
        </w:tc>
        <w:tc>
          <w:tcPr>
            <w:tcW w:w="0" w:type="auto"/>
            <w:gridSpan w:val="3"/>
            <w:shd w:val="clear" w:color="auto" w:fill="CCEEFF"/>
            <w:tcMar>
              <w:top w:w="0" w:type="dxa"/>
              <w:left w:w="20" w:type="dxa"/>
              <w:bottom w:w="0" w:type="dxa"/>
              <w:right w:w="20" w:type="dxa"/>
            </w:tcMar>
            <w:vAlign w:val="bottom"/>
          </w:tcPr>
          <w:p w14:paraId="35D09FC4"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9FC5" w14:textId="77777777" w:rsidR="00D42204" w:rsidRDefault="004E439D">
            <w:pPr>
              <w:jc w:val="right"/>
              <w:textAlignment w:val="center"/>
            </w:pPr>
            <w:r>
              <w:rPr>
                <w:rFonts w:ascii="Times New Roman" w:eastAsia="宋体" w:hAnsi="Times New Roman"/>
                <w:color w:val="000000"/>
                <w:sz w:val="16"/>
                <w:szCs w:val="16"/>
              </w:rPr>
              <w:t>19.4</w:t>
            </w:r>
          </w:p>
        </w:tc>
        <w:tc>
          <w:tcPr>
            <w:tcW w:w="0" w:type="auto"/>
            <w:gridSpan w:val="3"/>
            <w:shd w:val="clear" w:color="auto" w:fill="CCEEFF"/>
            <w:tcMar>
              <w:top w:w="0" w:type="dxa"/>
              <w:left w:w="20" w:type="dxa"/>
              <w:bottom w:w="0" w:type="dxa"/>
              <w:right w:w="20" w:type="dxa"/>
            </w:tcMar>
            <w:vAlign w:val="bottom"/>
          </w:tcPr>
          <w:p w14:paraId="35D09FC6"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9FC7" w14:textId="77777777" w:rsidR="00D42204" w:rsidRDefault="004E439D">
            <w:pPr>
              <w:jc w:val="right"/>
              <w:textAlignment w:val="center"/>
            </w:pPr>
            <w:r>
              <w:rPr>
                <w:rFonts w:ascii="Times New Roman" w:eastAsia="宋体" w:hAnsi="Times New Roman"/>
                <w:color w:val="000000"/>
                <w:sz w:val="16"/>
                <w:szCs w:val="16"/>
              </w:rPr>
              <w:t>53.9</w:t>
            </w:r>
          </w:p>
        </w:tc>
      </w:tr>
      <w:tr w:rsidR="00D42204" w14:paraId="35D09FD6" w14:textId="77777777">
        <w:tc>
          <w:tcPr>
            <w:tcW w:w="0" w:type="auto"/>
            <w:gridSpan w:val="3"/>
            <w:shd w:val="clear" w:color="auto" w:fill="FFFFFF"/>
            <w:tcMar>
              <w:top w:w="40" w:type="dxa"/>
              <w:left w:w="20" w:type="dxa"/>
              <w:bottom w:w="40" w:type="dxa"/>
              <w:right w:w="20" w:type="dxa"/>
            </w:tcMar>
            <w:vAlign w:val="center"/>
          </w:tcPr>
          <w:p w14:paraId="35D09FC9" w14:textId="77777777" w:rsidR="00D42204" w:rsidRDefault="004E439D">
            <w:pPr>
              <w:textAlignment w:val="center"/>
            </w:pPr>
            <w:r>
              <w:rPr>
                <w:rFonts w:ascii="Times New Roman" w:eastAsia="宋体" w:hAnsi="Times New Roman"/>
                <w:color w:val="000000"/>
                <w:sz w:val="16"/>
                <w:szCs w:val="16"/>
              </w:rPr>
              <w:t>Average price paid per share</w:t>
            </w:r>
          </w:p>
        </w:tc>
        <w:tc>
          <w:tcPr>
            <w:tcW w:w="0" w:type="auto"/>
            <w:gridSpan w:val="3"/>
            <w:shd w:val="clear" w:color="auto" w:fill="FFFFFF"/>
            <w:tcMar>
              <w:top w:w="0" w:type="dxa"/>
              <w:left w:w="20" w:type="dxa"/>
              <w:bottom w:w="0" w:type="dxa"/>
              <w:right w:w="20" w:type="dxa"/>
            </w:tcMar>
            <w:vAlign w:val="bottom"/>
          </w:tcPr>
          <w:p w14:paraId="35D09FCA"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9FCB"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9FCC" w14:textId="77777777" w:rsidR="00D42204" w:rsidRDefault="004E439D">
            <w:pPr>
              <w:jc w:val="right"/>
              <w:textAlignment w:val="center"/>
            </w:pPr>
            <w:r>
              <w:rPr>
                <w:rFonts w:ascii="Times New Roman" w:eastAsia="宋体" w:hAnsi="Times New Roman"/>
                <w:color w:val="000000"/>
                <w:sz w:val="16"/>
                <w:szCs w:val="16"/>
              </w:rPr>
              <w:t>140.45 </w:t>
            </w:r>
          </w:p>
        </w:tc>
        <w:tc>
          <w:tcPr>
            <w:tcW w:w="0" w:type="auto"/>
            <w:shd w:val="clear" w:color="auto" w:fill="FFFFFF"/>
            <w:tcMar>
              <w:top w:w="40" w:type="dxa"/>
              <w:left w:w="0" w:type="dxa"/>
              <w:bottom w:w="40" w:type="dxa"/>
              <w:right w:w="20" w:type="dxa"/>
            </w:tcMar>
            <w:vAlign w:val="center"/>
          </w:tcPr>
          <w:p w14:paraId="35D09FC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FCE"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9FCF"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9FD0" w14:textId="77777777" w:rsidR="00D42204" w:rsidRDefault="004E439D">
            <w:pPr>
              <w:jc w:val="right"/>
              <w:textAlignment w:val="center"/>
            </w:pPr>
            <w:r>
              <w:rPr>
                <w:rFonts w:ascii="Times New Roman" w:eastAsia="宋体" w:hAnsi="Times New Roman"/>
                <w:color w:val="000000"/>
                <w:sz w:val="16"/>
                <w:szCs w:val="16"/>
              </w:rPr>
              <w:t>135.20 </w:t>
            </w:r>
          </w:p>
        </w:tc>
        <w:tc>
          <w:tcPr>
            <w:tcW w:w="0" w:type="auto"/>
            <w:shd w:val="clear" w:color="auto" w:fill="FFFFFF"/>
            <w:tcMar>
              <w:top w:w="40" w:type="dxa"/>
              <w:left w:w="0" w:type="dxa"/>
              <w:bottom w:w="40" w:type="dxa"/>
              <w:right w:w="20" w:type="dxa"/>
            </w:tcMar>
            <w:vAlign w:val="center"/>
          </w:tcPr>
          <w:p w14:paraId="35D09FD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9FD2"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9FD3"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9FD4" w14:textId="77777777" w:rsidR="00D42204" w:rsidRDefault="004E439D">
            <w:pPr>
              <w:jc w:val="right"/>
              <w:textAlignment w:val="center"/>
            </w:pPr>
            <w:r>
              <w:rPr>
                <w:rFonts w:ascii="Times New Roman" w:eastAsia="宋体" w:hAnsi="Times New Roman"/>
                <w:color w:val="000000"/>
                <w:sz w:val="16"/>
                <w:szCs w:val="16"/>
              </w:rPr>
              <w:t>105.98 </w:t>
            </w:r>
          </w:p>
        </w:tc>
        <w:tc>
          <w:tcPr>
            <w:tcW w:w="0" w:type="auto"/>
            <w:shd w:val="clear" w:color="auto" w:fill="FFFFFF"/>
            <w:tcMar>
              <w:top w:w="40" w:type="dxa"/>
              <w:left w:w="0" w:type="dxa"/>
              <w:bottom w:w="40" w:type="dxa"/>
              <w:right w:w="20" w:type="dxa"/>
            </w:tcMar>
            <w:vAlign w:val="center"/>
          </w:tcPr>
          <w:p w14:paraId="35D09FD5" w14:textId="77777777" w:rsidR="00D42204" w:rsidRDefault="00D42204">
            <w:pPr>
              <w:jc w:val="right"/>
              <w:rPr>
                <w:rFonts w:ascii="宋体"/>
              </w:rPr>
            </w:pPr>
          </w:p>
        </w:tc>
      </w:tr>
      <w:tr w:rsidR="00D42204" w14:paraId="35D09FE4" w14:textId="77777777">
        <w:tc>
          <w:tcPr>
            <w:tcW w:w="0" w:type="auto"/>
            <w:gridSpan w:val="3"/>
            <w:shd w:val="clear" w:color="auto" w:fill="CCEEFF"/>
            <w:tcMar>
              <w:top w:w="40" w:type="dxa"/>
              <w:left w:w="20" w:type="dxa"/>
              <w:bottom w:w="40" w:type="dxa"/>
              <w:right w:w="20" w:type="dxa"/>
            </w:tcMar>
            <w:vAlign w:val="center"/>
          </w:tcPr>
          <w:p w14:paraId="35D09FD7" w14:textId="77777777" w:rsidR="00D42204" w:rsidRDefault="004E439D">
            <w:pPr>
              <w:textAlignment w:val="center"/>
            </w:pPr>
            <w:r>
              <w:rPr>
                <w:rFonts w:ascii="Times New Roman" w:eastAsia="宋体" w:hAnsi="Times New Roman"/>
                <w:color w:val="000000"/>
                <w:sz w:val="16"/>
                <w:szCs w:val="16"/>
              </w:rPr>
              <w:t>Total amount paid for share repurchases</w:t>
            </w:r>
          </w:p>
        </w:tc>
        <w:tc>
          <w:tcPr>
            <w:tcW w:w="0" w:type="auto"/>
            <w:gridSpan w:val="3"/>
            <w:shd w:val="clear" w:color="auto" w:fill="CCEEFF"/>
            <w:tcMar>
              <w:top w:w="0" w:type="dxa"/>
              <w:left w:w="20" w:type="dxa"/>
              <w:bottom w:w="0" w:type="dxa"/>
              <w:right w:w="20" w:type="dxa"/>
            </w:tcMar>
            <w:vAlign w:val="bottom"/>
          </w:tcPr>
          <w:p w14:paraId="35D09FD8"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FD9"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FDA" w14:textId="77777777" w:rsidR="00D42204" w:rsidRDefault="004E439D">
            <w:pPr>
              <w:jc w:val="right"/>
              <w:textAlignment w:val="center"/>
            </w:pPr>
            <w:r>
              <w:rPr>
                <w:rFonts w:ascii="Times New Roman" w:eastAsia="宋体" w:hAnsi="Times New Roman"/>
                <w:color w:val="000000"/>
                <w:sz w:val="16"/>
                <w:szCs w:val="16"/>
              </w:rPr>
              <w:t>9,787 </w:t>
            </w:r>
          </w:p>
        </w:tc>
        <w:tc>
          <w:tcPr>
            <w:tcW w:w="0" w:type="auto"/>
            <w:shd w:val="clear" w:color="auto" w:fill="CCEEFF"/>
            <w:tcMar>
              <w:top w:w="40" w:type="dxa"/>
              <w:left w:w="0" w:type="dxa"/>
              <w:bottom w:w="40" w:type="dxa"/>
              <w:right w:w="20" w:type="dxa"/>
            </w:tcMar>
            <w:vAlign w:val="center"/>
          </w:tcPr>
          <w:p w14:paraId="35D09FD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FDC"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FDD"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FDE" w14:textId="77777777" w:rsidR="00D42204" w:rsidRDefault="004E439D">
            <w:pPr>
              <w:jc w:val="right"/>
              <w:textAlignment w:val="center"/>
            </w:pPr>
            <w:r>
              <w:rPr>
                <w:rFonts w:ascii="Times New Roman" w:eastAsia="宋体" w:hAnsi="Times New Roman"/>
                <w:color w:val="000000"/>
                <w:sz w:val="16"/>
                <w:szCs w:val="16"/>
              </w:rPr>
              <w:t>2,625 </w:t>
            </w:r>
          </w:p>
        </w:tc>
        <w:tc>
          <w:tcPr>
            <w:tcW w:w="0" w:type="auto"/>
            <w:shd w:val="clear" w:color="auto" w:fill="CCEEFF"/>
            <w:tcMar>
              <w:top w:w="40" w:type="dxa"/>
              <w:left w:w="0" w:type="dxa"/>
              <w:bottom w:w="40" w:type="dxa"/>
              <w:right w:w="20" w:type="dxa"/>
            </w:tcMar>
            <w:vAlign w:val="center"/>
          </w:tcPr>
          <w:p w14:paraId="35D09FD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9FE0"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9FE1"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9FE2" w14:textId="77777777" w:rsidR="00D42204" w:rsidRDefault="004E439D">
            <w:pPr>
              <w:jc w:val="right"/>
              <w:textAlignment w:val="center"/>
            </w:pPr>
            <w:r>
              <w:rPr>
                <w:rFonts w:ascii="Times New Roman" w:eastAsia="宋体" w:hAnsi="Times New Roman"/>
                <w:color w:val="000000"/>
                <w:sz w:val="16"/>
                <w:szCs w:val="16"/>
              </w:rPr>
              <w:t>5,717 </w:t>
            </w:r>
          </w:p>
        </w:tc>
        <w:tc>
          <w:tcPr>
            <w:tcW w:w="0" w:type="auto"/>
            <w:shd w:val="clear" w:color="auto" w:fill="CCEEFF"/>
            <w:tcMar>
              <w:top w:w="40" w:type="dxa"/>
              <w:left w:w="0" w:type="dxa"/>
              <w:bottom w:w="40" w:type="dxa"/>
              <w:right w:w="20" w:type="dxa"/>
            </w:tcMar>
            <w:vAlign w:val="center"/>
          </w:tcPr>
          <w:p w14:paraId="35D09FE3" w14:textId="77777777" w:rsidR="00D42204" w:rsidRDefault="00D42204">
            <w:pPr>
              <w:jc w:val="right"/>
              <w:rPr>
                <w:rFonts w:ascii="宋体"/>
              </w:rPr>
            </w:pPr>
          </w:p>
        </w:tc>
      </w:tr>
    </w:tbl>
    <w:p w14:paraId="35D09FE5" w14:textId="77777777" w:rsidR="00D42204" w:rsidRDefault="004E439D">
      <w:pPr>
        <w:spacing w:before="120"/>
      </w:pPr>
      <w:r>
        <w:rPr>
          <w:rFonts w:ascii="Times New Roman" w:eastAsia="宋体" w:hAnsi="Times New Roman"/>
          <w:i/>
          <w:iCs/>
          <w:color w:val="000000"/>
          <w:sz w:val="20"/>
          <w:szCs w:val="20"/>
        </w:rPr>
        <w:t>Material Cash Requirements</w:t>
      </w:r>
    </w:p>
    <w:p w14:paraId="35D09FE6" w14:textId="77777777" w:rsidR="00D42204" w:rsidRDefault="004E439D">
      <w:pPr>
        <w:spacing w:before="100"/>
      </w:pPr>
      <w:r>
        <w:rPr>
          <w:rFonts w:ascii="Times New Roman" w:eastAsia="宋体" w:hAnsi="Times New Roman"/>
          <w:color w:val="000000"/>
          <w:sz w:val="20"/>
          <w:szCs w:val="20"/>
        </w:rPr>
        <w:t xml:space="preserve">Material cash requirements from operating activities primarily consist of inventory purchases, employee related costs, taxes, interest and other general operating expenses, which we </w:t>
      </w:r>
      <w:r>
        <w:rPr>
          <w:rFonts w:ascii="Times New Roman" w:eastAsia="宋体" w:hAnsi="Times New Roman"/>
          <w:color w:val="000000"/>
          <w:sz w:val="20"/>
          <w:szCs w:val="20"/>
        </w:rPr>
        <w:t xml:space="preserve">expect to be primarily satisfied by our cash from operations. Other material cash requirements from known contractual and other obligations include short-term borrowings, long-term debt and related interest payments, leases and purchase obligations. See </w:t>
      </w:r>
      <w:hyperlink r:id="rId108" w:anchor="i1ba69ebb72ec48f9b754a5e96c4cdf3f_166" w:history="1">
        <w:r>
          <w:rPr>
            <w:rStyle w:val="a5"/>
            <w:rFonts w:ascii="Times New Roman" w:eastAsia="宋体" w:hAnsi="Times New Roman"/>
            <w:sz w:val="20"/>
            <w:szCs w:val="20"/>
          </w:rPr>
          <w:t>Note 6</w:t>
        </w:r>
      </w:hyperlink>
      <w:r>
        <w:rPr>
          <w:rFonts w:ascii="Times New Roman" w:eastAsia="宋体" w:hAnsi="Times New Roman"/>
          <w:color w:val="000000"/>
          <w:sz w:val="20"/>
          <w:szCs w:val="20"/>
        </w:rPr>
        <w:t xml:space="preserve"> and </w:t>
      </w:r>
      <w:hyperlink r:id="rId109" w:anchor="i1ba69ebb72ec48f9b754a5e96c4cdf3f_169"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xml:space="preserve"> to our Consolidated Financial Statements for information regarding outstanding short-term borrowings and long-term debt, and leases, respectively.</w:t>
      </w:r>
    </w:p>
    <w:p w14:paraId="35D09FE7" w14:textId="77777777" w:rsidR="00D42204" w:rsidRDefault="004E439D">
      <w:pPr>
        <w:spacing w:before="100"/>
      </w:pPr>
      <w:r>
        <w:rPr>
          <w:rFonts w:ascii="Times New Roman" w:eastAsia="宋体" w:hAnsi="Times New Roman"/>
          <w:color w:val="000000"/>
          <w:sz w:val="20"/>
          <w:szCs w:val="20"/>
        </w:rPr>
        <w:t>As of January 31, 2022, the Company has $</w:t>
      </w:r>
      <w:r>
        <w:rPr>
          <w:rFonts w:ascii="Times New Roman" w:eastAsia="宋体" w:hAnsi="Times New Roman"/>
          <w:color w:val="000000"/>
          <w:sz w:val="20"/>
          <w:szCs w:val="20"/>
        </w:rPr>
        <w:t xml:space="preserve">27.9 billion of unrecorded purchase obligations outstanding, of which $9.3 billion is due within one year. Purchase obligations include legally binding contracts, such as firm commitments for inventory and utility purchases, as well as commitments to make </w:t>
      </w:r>
      <w:r>
        <w:rPr>
          <w:rFonts w:ascii="Times New Roman" w:eastAsia="宋体" w:hAnsi="Times New Roman"/>
          <w:color w:val="000000"/>
          <w:sz w:val="20"/>
          <w:szCs w:val="20"/>
        </w:rPr>
        <w:t xml:space="preserve">capital expenditures, software acquisition and license commitments and legally binding service contracts. Contractual obligations for the purchase of goods or services are defined as agreements that are enforceable and legally binding and that specify all </w:t>
      </w:r>
      <w:r>
        <w:rPr>
          <w:rFonts w:ascii="Times New Roman" w:eastAsia="宋体" w:hAnsi="Times New Roman"/>
          <w:color w:val="000000"/>
          <w:sz w:val="20"/>
          <w:szCs w:val="20"/>
        </w:rPr>
        <w:t xml:space="preserve">significant terms, including: fixed or minimum quantities to be purchased; fixed, minimum or variable price provisions; and the approximate timing of the transaction. Contracts that specify the Company will purchase all or a portion of its requirements of </w:t>
      </w:r>
      <w:r>
        <w:rPr>
          <w:rFonts w:ascii="Times New Roman" w:eastAsia="宋体" w:hAnsi="Times New Roman"/>
          <w:color w:val="000000"/>
          <w:sz w:val="20"/>
          <w:szCs w:val="20"/>
        </w:rPr>
        <w:t>a specific product or service from a supplier, but do not include a fixed or minimum quantity, are excluded from the obligations quantified above. Accordingly, purchase orders for inventory are also excluded as purchase orders represent authorizations to p</w:t>
      </w:r>
      <w:r>
        <w:rPr>
          <w:rFonts w:ascii="Times New Roman" w:eastAsia="宋体" w:hAnsi="Times New Roman"/>
          <w:color w:val="000000"/>
          <w:sz w:val="20"/>
          <w:szCs w:val="20"/>
        </w:rPr>
        <w:t>urchase rather than binding agreements. Our purchase orders are based on our current inventory needs and are fulfilled by our suppliers within short time periods. We also enter into contracts for outsourced services; however, the obligations under these co</w:t>
      </w:r>
      <w:r>
        <w:rPr>
          <w:rFonts w:ascii="Times New Roman" w:eastAsia="宋体" w:hAnsi="Times New Roman"/>
          <w:color w:val="000000"/>
          <w:sz w:val="20"/>
          <w:szCs w:val="20"/>
        </w:rPr>
        <w:t>ntracts are not significant and the contracts generally contain clauses allowing for cancellation without significant penalty. Timing of payments and actual amounts paid may be different depending on the timing of receipt of goods or services or changes to</w:t>
      </w:r>
      <w:r>
        <w:rPr>
          <w:rFonts w:ascii="Times New Roman" w:eastAsia="宋体" w:hAnsi="Times New Roman"/>
          <w:color w:val="000000"/>
          <w:sz w:val="20"/>
          <w:szCs w:val="20"/>
        </w:rPr>
        <w:t xml:space="preserve"> agreed-upon amounts for some obligations.</w:t>
      </w:r>
    </w:p>
    <w:p w14:paraId="35D09FE8" w14:textId="77777777" w:rsidR="00D42204" w:rsidRDefault="004E439D">
      <w:pPr>
        <w:spacing w:before="100"/>
      </w:pPr>
      <w:r>
        <w:rPr>
          <w:rFonts w:ascii="Times New Roman" w:eastAsia="宋体" w:hAnsi="Times New Roman"/>
          <w:b/>
          <w:bCs/>
          <w:color w:val="000000"/>
          <w:sz w:val="20"/>
          <w:szCs w:val="20"/>
          <w:u w:val="single"/>
        </w:rPr>
        <w:t>Capital Resources</w:t>
      </w:r>
    </w:p>
    <w:p w14:paraId="35D09FE9" w14:textId="77777777" w:rsidR="00D42204" w:rsidRDefault="004E439D">
      <w:pPr>
        <w:spacing w:before="100"/>
      </w:pPr>
      <w:r>
        <w:rPr>
          <w:rFonts w:ascii="Times New Roman" w:eastAsia="宋体" w:hAnsi="Times New Roman"/>
          <w:color w:val="000000"/>
          <w:sz w:val="20"/>
          <w:szCs w:val="20"/>
        </w:rPr>
        <w:t xml:space="preserve">We believe our cash flows from operations, current cash position, short-term borrowings and access to capital markets will continue to be sufficient to meet our anticipated cash </w:t>
      </w:r>
      <w:r>
        <w:rPr>
          <w:rFonts w:ascii="Times New Roman" w:eastAsia="宋体" w:hAnsi="Times New Roman"/>
          <w:color w:val="000000"/>
          <w:sz w:val="20"/>
          <w:szCs w:val="20"/>
        </w:rPr>
        <w:t>requirements and contractual obligations, which includes funding seasonal buildups in merchandise inventories and funding our capital expenditures, acquisitions, dividend payments and share repurchases.</w:t>
      </w:r>
    </w:p>
    <w:p w14:paraId="35D09FEA" w14:textId="77777777" w:rsidR="00D42204" w:rsidRDefault="004E439D">
      <w:pPr>
        <w:spacing w:before="100"/>
      </w:pPr>
      <w:r>
        <w:rPr>
          <w:rFonts w:ascii="Times New Roman" w:eastAsia="宋体" w:hAnsi="Times New Roman"/>
          <w:color w:val="000000"/>
          <w:sz w:val="20"/>
          <w:szCs w:val="20"/>
        </w:rPr>
        <w:t>We have strong commercial paper and long-term debt ra</w:t>
      </w:r>
      <w:r>
        <w:rPr>
          <w:rFonts w:ascii="Times New Roman" w:eastAsia="宋体" w:hAnsi="Times New Roman"/>
          <w:color w:val="000000"/>
          <w:sz w:val="20"/>
          <w:szCs w:val="20"/>
        </w:rPr>
        <w:t xml:space="preserve">tings that have enabled and should continue to enable us to refinance our debt as it becomes due at favorable rates in capital markets. As of January 31, 2022, the ratings assigned to our commercial paper and rated series of our outstanding long-term debt </w:t>
      </w:r>
      <w:r>
        <w:rPr>
          <w:rFonts w:ascii="Times New Roman" w:eastAsia="宋体" w:hAnsi="Times New Roman"/>
          <w:color w:val="000000"/>
          <w:sz w:val="20"/>
          <w:szCs w:val="20"/>
        </w:rPr>
        <w:t>were as follows:</w:t>
      </w:r>
    </w:p>
    <w:p w14:paraId="35D09FEB" w14:textId="77777777" w:rsidR="00D42204" w:rsidRDefault="004E439D">
      <w:pPr>
        <w:jc w:val="center"/>
      </w:pPr>
      <w:r>
        <w:rPr>
          <w:rFonts w:ascii="Times New Roman" w:eastAsia="宋体" w:hAnsi="Times New Roman"/>
          <w:color w:val="000000"/>
          <w:sz w:val="20"/>
          <w:szCs w:val="20"/>
        </w:rPr>
        <w:t>44</w:t>
      </w:r>
    </w:p>
    <w:p w14:paraId="35D09FEC" w14:textId="77777777" w:rsidR="00D42204" w:rsidRDefault="004E439D">
      <w:r>
        <w:pict w14:anchorId="35D0C387">
          <v:rect id="_x0000_i1068" style="width:415.3pt;height:1.5pt" o:hralign="center" o:hrstd="t" o:hr="t" fillcolor="#a0a0a0" stroked="f"/>
        </w:pict>
      </w:r>
    </w:p>
    <w:p w14:paraId="35D09FED" w14:textId="77777777" w:rsidR="00D42204" w:rsidRDefault="00D42204"/>
    <w:tbl>
      <w:tblPr>
        <w:tblW w:w="4993" w:type="pct"/>
        <w:jc w:val="center"/>
        <w:tblCellMar>
          <w:top w:w="15" w:type="dxa"/>
          <w:left w:w="15" w:type="dxa"/>
          <w:bottom w:w="15" w:type="dxa"/>
          <w:right w:w="15" w:type="dxa"/>
        </w:tblCellMar>
        <w:tblLook w:val="04A0" w:firstRow="1" w:lastRow="0" w:firstColumn="1" w:lastColumn="0" w:noHBand="0" w:noVBand="1"/>
      </w:tblPr>
      <w:tblGrid>
        <w:gridCol w:w="58"/>
        <w:gridCol w:w="3260"/>
        <w:gridCol w:w="37"/>
        <w:gridCol w:w="37"/>
        <w:gridCol w:w="153"/>
        <w:gridCol w:w="36"/>
        <w:gridCol w:w="58"/>
        <w:gridCol w:w="2163"/>
        <w:gridCol w:w="36"/>
        <w:gridCol w:w="37"/>
        <w:gridCol w:w="153"/>
        <w:gridCol w:w="36"/>
        <w:gridCol w:w="59"/>
        <w:gridCol w:w="2165"/>
        <w:gridCol w:w="36"/>
      </w:tblGrid>
      <w:tr w:rsidR="00D42204" w14:paraId="35D09FFD" w14:textId="77777777">
        <w:trPr>
          <w:jc w:val="center"/>
        </w:trPr>
        <w:tc>
          <w:tcPr>
            <w:tcW w:w="50" w:type="pct"/>
            <w:shd w:val="clear" w:color="auto" w:fill="auto"/>
            <w:vAlign w:val="bottom"/>
          </w:tcPr>
          <w:p w14:paraId="35D09FEE" w14:textId="77777777" w:rsidR="00D42204" w:rsidRDefault="00D42204">
            <w:pPr>
              <w:rPr>
                <w:rFonts w:ascii="宋体"/>
              </w:rPr>
            </w:pPr>
          </w:p>
        </w:tc>
        <w:tc>
          <w:tcPr>
            <w:tcW w:w="1972" w:type="pct"/>
            <w:shd w:val="clear" w:color="auto" w:fill="auto"/>
            <w:vAlign w:val="bottom"/>
          </w:tcPr>
          <w:p w14:paraId="35D09FEF" w14:textId="77777777" w:rsidR="00D42204" w:rsidRDefault="00D42204">
            <w:pPr>
              <w:rPr>
                <w:rFonts w:ascii="宋体"/>
              </w:rPr>
            </w:pPr>
          </w:p>
        </w:tc>
        <w:tc>
          <w:tcPr>
            <w:tcW w:w="5" w:type="pct"/>
            <w:shd w:val="clear" w:color="auto" w:fill="auto"/>
            <w:vAlign w:val="bottom"/>
          </w:tcPr>
          <w:p w14:paraId="35D09FF0" w14:textId="77777777" w:rsidR="00D42204" w:rsidRDefault="00D42204">
            <w:pPr>
              <w:rPr>
                <w:rFonts w:ascii="宋体"/>
              </w:rPr>
            </w:pPr>
          </w:p>
        </w:tc>
        <w:tc>
          <w:tcPr>
            <w:tcW w:w="5" w:type="pct"/>
            <w:shd w:val="clear" w:color="auto" w:fill="auto"/>
            <w:vAlign w:val="bottom"/>
          </w:tcPr>
          <w:p w14:paraId="35D09FF1" w14:textId="77777777" w:rsidR="00D42204" w:rsidRDefault="00D42204">
            <w:pPr>
              <w:rPr>
                <w:rFonts w:ascii="宋体"/>
              </w:rPr>
            </w:pPr>
          </w:p>
        </w:tc>
        <w:tc>
          <w:tcPr>
            <w:tcW w:w="107" w:type="pct"/>
            <w:shd w:val="clear" w:color="auto" w:fill="auto"/>
            <w:vAlign w:val="bottom"/>
          </w:tcPr>
          <w:p w14:paraId="35D09FF2" w14:textId="77777777" w:rsidR="00D42204" w:rsidRDefault="00D42204">
            <w:pPr>
              <w:rPr>
                <w:rFonts w:ascii="宋体"/>
              </w:rPr>
            </w:pPr>
          </w:p>
        </w:tc>
        <w:tc>
          <w:tcPr>
            <w:tcW w:w="5" w:type="pct"/>
            <w:shd w:val="clear" w:color="auto" w:fill="auto"/>
            <w:vAlign w:val="bottom"/>
          </w:tcPr>
          <w:p w14:paraId="35D09FF3" w14:textId="77777777" w:rsidR="00D42204" w:rsidRDefault="00D42204">
            <w:pPr>
              <w:rPr>
                <w:rFonts w:ascii="宋体"/>
              </w:rPr>
            </w:pPr>
          </w:p>
        </w:tc>
        <w:tc>
          <w:tcPr>
            <w:tcW w:w="50" w:type="pct"/>
            <w:shd w:val="clear" w:color="auto" w:fill="auto"/>
            <w:vAlign w:val="bottom"/>
          </w:tcPr>
          <w:p w14:paraId="35D09FF4" w14:textId="77777777" w:rsidR="00D42204" w:rsidRDefault="00D42204">
            <w:pPr>
              <w:rPr>
                <w:rFonts w:ascii="宋体"/>
              </w:rPr>
            </w:pPr>
          </w:p>
        </w:tc>
        <w:tc>
          <w:tcPr>
            <w:tcW w:w="1313" w:type="pct"/>
            <w:shd w:val="clear" w:color="auto" w:fill="auto"/>
            <w:vAlign w:val="bottom"/>
          </w:tcPr>
          <w:p w14:paraId="35D09FF5" w14:textId="77777777" w:rsidR="00D42204" w:rsidRDefault="00D42204">
            <w:pPr>
              <w:rPr>
                <w:rFonts w:ascii="宋体"/>
              </w:rPr>
            </w:pPr>
          </w:p>
        </w:tc>
        <w:tc>
          <w:tcPr>
            <w:tcW w:w="5" w:type="pct"/>
            <w:shd w:val="clear" w:color="auto" w:fill="auto"/>
            <w:vAlign w:val="bottom"/>
          </w:tcPr>
          <w:p w14:paraId="35D09FF6" w14:textId="77777777" w:rsidR="00D42204" w:rsidRDefault="00D42204">
            <w:pPr>
              <w:rPr>
                <w:rFonts w:ascii="宋体"/>
              </w:rPr>
            </w:pPr>
          </w:p>
        </w:tc>
        <w:tc>
          <w:tcPr>
            <w:tcW w:w="5" w:type="pct"/>
            <w:shd w:val="clear" w:color="auto" w:fill="auto"/>
            <w:vAlign w:val="bottom"/>
          </w:tcPr>
          <w:p w14:paraId="35D09FF7" w14:textId="77777777" w:rsidR="00D42204" w:rsidRDefault="00D42204">
            <w:pPr>
              <w:rPr>
                <w:rFonts w:ascii="宋体"/>
              </w:rPr>
            </w:pPr>
          </w:p>
        </w:tc>
        <w:tc>
          <w:tcPr>
            <w:tcW w:w="107" w:type="pct"/>
            <w:shd w:val="clear" w:color="auto" w:fill="auto"/>
            <w:vAlign w:val="bottom"/>
          </w:tcPr>
          <w:p w14:paraId="35D09FF8" w14:textId="77777777" w:rsidR="00D42204" w:rsidRDefault="00D42204">
            <w:pPr>
              <w:rPr>
                <w:rFonts w:ascii="宋体"/>
              </w:rPr>
            </w:pPr>
          </w:p>
        </w:tc>
        <w:tc>
          <w:tcPr>
            <w:tcW w:w="5" w:type="pct"/>
            <w:shd w:val="clear" w:color="auto" w:fill="auto"/>
            <w:vAlign w:val="bottom"/>
          </w:tcPr>
          <w:p w14:paraId="35D09FF9" w14:textId="77777777" w:rsidR="00D42204" w:rsidRDefault="00D42204">
            <w:pPr>
              <w:rPr>
                <w:rFonts w:ascii="宋体"/>
              </w:rPr>
            </w:pPr>
          </w:p>
        </w:tc>
        <w:tc>
          <w:tcPr>
            <w:tcW w:w="50" w:type="pct"/>
            <w:shd w:val="clear" w:color="auto" w:fill="auto"/>
            <w:vAlign w:val="bottom"/>
          </w:tcPr>
          <w:p w14:paraId="35D09FFA" w14:textId="77777777" w:rsidR="00D42204" w:rsidRDefault="00D42204">
            <w:pPr>
              <w:rPr>
                <w:rFonts w:ascii="宋体"/>
              </w:rPr>
            </w:pPr>
          </w:p>
        </w:tc>
        <w:tc>
          <w:tcPr>
            <w:tcW w:w="1314" w:type="pct"/>
            <w:shd w:val="clear" w:color="auto" w:fill="auto"/>
            <w:vAlign w:val="bottom"/>
          </w:tcPr>
          <w:p w14:paraId="35D09FFB" w14:textId="77777777" w:rsidR="00D42204" w:rsidRDefault="00D42204">
            <w:pPr>
              <w:rPr>
                <w:rFonts w:ascii="宋体"/>
              </w:rPr>
            </w:pPr>
          </w:p>
        </w:tc>
        <w:tc>
          <w:tcPr>
            <w:tcW w:w="5" w:type="pct"/>
            <w:shd w:val="clear" w:color="auto" w:fill="auto"/>
            <w:vAlign w:val="bottom"/>
          </w:tcPr>
          <w:p w14:paraId="35D09FFC" w14:textId="77777777" w:rsidR="00D42204" w:rsidRDefault="00D42204">
            <w:pPr>
              <w:rPr>
                <w:rFonts w:ascii="宋体"/>
              </w:rPr>
            </w:pPr>
          </w:p>
        </w:tc>
      </w:tr>
      <w:tr w:rsidR="00D42204" w14:paraId="35D0A003" w14:textId="77777777">
        <w:trPr>
          <w:jc w:val="center"/>
        </w:trPr>
        <w:tc>
          <w:tcPr>
            <w:tcW w:w="0" w:type="auto"/>
            <w:gridSpan w:val="3"/>
            <w:shd w:val="clear" w:color="auto" w:fill="auto"/>
            <w:tcMar>
              <w:top w:w="40" w:type="dxa"/>
              <w:left w:w="20" w:type="dxa"/>
              <w:bottom w:w="40" w:type="dxa"/>
              <w:right w:w="20" w:type="dxa"/>
            </w:tcMar>
            <w:vAlign w:val="bottom"/>
          </w:tcPr>
          <w:p w14:paraId="35D09FFE" w14:textId="77777777" w:rsidR="00D42204" w:rsidRDefault="004E439D">
            <w:pPr>
              <w:textAlignment w:val="bottom"/>
            </w:pPr>
            <w:r>
              <w:rPr>
                <w:rFonts w:ascii="Times New Roman" w:eastAsia="宋体" w:hAnsi="Times New Roman"/>
                <w:b/>
                <w:bCs/>
                <w:color w:val="000000"/>
                <w:sz w:val="16"/>
                <w:szCs w:val="16"/>
              </w:rPr>
              <w:t>Rating agency</w:t>
            </w:r>
          </w:p>
        </w:tc>
        <w:tc>
          <w:tcPr>
            <w:tcW w:w="0" w:type="auto"/>
            <w:gridSpan w:val="3"/>
            <w:shd w:val="clear" w:color="auto" w:fill="auto"/>
            <w:tcMar>
              <w:top w:w="40" w:type="dxa"/>
              <w:left w:w="20" w:type="dxa"/>
              <w:bottom w:w="40" w:type="dxa"/>
              <w:right w:w="20" w:type="dxa"/>
            </w:tcMar>
            <w:vAlign w:val="bottom"/>
          </w:tcPr>
          <w:p w14:paraId="35D09FFF"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A000" w14:textId="77777777" w:rsidR="00D42204" w:rsidRDefault="004E439D">
            <w:pPr>
              <w:jc w:val="center"/>
              <w:textAlignment w:val="bottom"/>
            </w:pPr>
            <w:r>
              <w:rPr>
                <w:rFonts w:ascii="Times New Roman" w:eastAsia="宋体" w:hAnsi="Times New Roman"/>
                <w:b/>
                <w:bCs/>
                <w:color w:val="000000"/>
                <w:sz w:val="16"/>
                <w:szCs w:val="16"/>
              </w:rPr>
              <w:t>Commercial paper</w:t>
            </w:r>
          </w:p>
        </w:tc>
        <w:tc>
          <w:tcPr>
            <w:tcW w:w="0" w:type="auto"/>
            <w:gridSpan w:val="3"/>
            <w:shd w:val="clear" w:color="auto" w:fill="auto"/>
            <w:tcMar>
              <w:top w:w="40" w:type="dxa"/>
              <w:left w:w="20" w:type="dxa"/>
              <w:bottom w:w="40" w:type="dxa"/>
              <w:right w:w="20" w:type="dxa"/>
            </w:tcMar>
            <w:vAlign w:val="bottom"/>
          </w:tcPr>
          <w:p w14:paraId="35D0A001"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A002" w14:textId="77777777" w:rsidR="00D42204" w:rsidRDefault="004E439D">
            <w:pPr>
              <w:jc w:val="center"/>
              <w:textAlignment w:val="bottom"/>
            </w:pPr>
            <w:r>
              <w:rPr>
                <w:rFonts w:ascii="Times New Roman" w:eastAsia="宋体" w:hAnsi="Times New Roman"/>
                <w:b/>
                <w:bCs/>
                <w:color w:val="000000"/>
                <w:sz w:val="16"/>
                <w:szCs w:val="16"/>
              </w:rPr>
              <w:t>Long-term debt</w:t>
            </w:r>
          </w:p>
        </w:tc>
      </w:tr>
      <w:tr w:rsidR="00D42204" w14:paraId="35D0A009"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A004" w14:textId="77777777" w:rsidR="00D42204" w:rsidRDefault="004E439D">
            <w:pPr>
              <w:textAlignment w:val="center"/>
            </w:pPr>
            <w:r>
              <w:rPr>
                <w:rFonts w:ascii="Times New Roman" w:eastAsia="宋体" w:hAnsi="Times New Roman"/>
                <w:color w:val="000000"/>
                <w:sz w:val="16"/>
                <w:szCs w:val="16"/>
              </w:rPr>
              <w:t>Standard &amp; Poor's</w:t>
            </w:r>
          </w:p>
        </w:tc>
        <w:tc>
          <w:tcPr>
            <w:tcW w:w="0" w:type="auto"/>
            <w:gridSpan w:val="3"/>
            <w:shd w:val="clear" w:color="auto" w:fill="CCEEFF"/>
            <w:tcMar>
              <w:top w:w="40" w:type="dxa"/>
              <w:left w:w="20" w:type="dxa"/>
              <w:bottom w:w="40" w:type="dxa"/>
              <w:right w:w="20" w:type="dxa"/>
            </w:tcMar>
            <w:vAlign w:val="center"/>
          </w:tcPr>
          <w:p w14:paraId="35D0A005" w14:textId="77777777" w:rsidR="00D42204" w:rsidRDefault="004E439D">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A006" w14:textId="77777777" w:rsidR="00D42204" w:rsidRDefault="004E439D">
            <w:pPr>
              <w:jc w:val="center"/>
              <w:textAlignment w:val="center"/>
            </w:pPr>
            <w:r>
              <w:rPr>
                <w:rFonts w:ascii="Times New Roman" w:eastAsia="宋体" w:hAnsi="Times New Roman"/>
                <w:color w:val="000000"/>
                <w:sz w:val="16"/>
                <w:szCs w:val="16"/>
              </w:rPr>
              <w:t>A-1+</w:t>
            </w:r>
          </w:p>
        </w:tc>
        <w:tc>
          <w:tcPr>
            <w:tcW w:w="0" w:type="auto"/>
            <w:gridSpan w:val="3"/>
            <w:shd w:val="clear" w:color="auto" w:fill="CCEEFF"/>
            <w:tcMar>
              <w:top w:w="40" w:type="dxa"/>
              <w:left w:w="20" w:type="dxa"/>
              <w:bottom w:w="40" w:type="dxa"/>
              <w:right w:w="20" w:type="dxa"/>
            </w:tcMar>
            <w:vAlign w:val="center"/>
          </w:tcPr>
          <w:p w14:paraId="35D0A007" w14:textId="77777777" w:rsidR="00D42204" w:rsidRDefault="004E439D">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A008" w14:textId="77777777" w:rsidR="00D42204" w:rsidRDefault="004E439D">
            <w:pPr>
              <w:jc w:val="center"/>
              <w:textAlignment w:val="center"/>
            </w:pPr>
            <w:r>
              <w:rPr>
                <w:rFonts w:ascii="Times New Roman" w:eastAsia="宋体" w:hAnsi="Times New Roman"/>
                <w:color w:val="000000"/>
                <w:sz w:val="16"/>
                <w:szCs w:val="16"/>
              </w:rPr>
              <w:t>AA</w:t>
            </w:r>
          </w:p>
        </w:tc>
      </w:tr>
      <w:tr w:rsidR="00D42204" w14:paraId="35D0A00F" w14:textId="77777777">
        <w:trPr>
          <w:jc w:val="center"/>
        </w:trPr>
        <w:tc>
          <w:tcPr>
            <w:tcW w:w="0" w:type="auto"/>
            <w:gridSpan w:val="3"/>
            <w:shd w:val="clear" w:color="auto" w:fill="FFFFFF"/>
            <w:tcMar>
              <w:top w:w="40" w:type="dxa"/>
              <w:left w:w="20" w:type="dxa"/>
              <w:bottom w:w="40" w:type="dxa"/>
              <w:right w:w="20" w:type="dxa"/>
            </w:tcMar>
            <w:vAlign w:val="center"/>
          </w:tcPr>
          <w:p w14:paraId="35D0A00A" w14:textId="77777777" w:rsidR="00D42204" w:rsidRDefault="004E439D">
            <w:pPr>
              <w:textAlignment w:val="center"/>
            </w:pPr>
            <w:r>
              <w:rPr>
                <w:rFonts w:ascii="Times New Roman" w:eastAsia="宋体" w:hAnsi="Times New Roman"/>
                <w:color w:val="000000"/>
                <w:sz w:val="16"/>
                <w:szCs w:val="16"/>
              </w:rPr>
              <w:t>Moody's Investors Service</w:t>
            </w:r>
          </w:p>
        </w:tc>
        <w:tc>
          <w:tcPr>
            <w:tcW w:w="0" w:type="auto"/>
            <w:gridSpan w:val="3"/>
            <w:shd w:val="clear" w:color="auto" w:fill="FFFFFF"/>
            <w:tcMar>
              <w:top w:w="40" w:type="dxa"/>
              <w:left w:w="20" w:type="dxa"/>
              <w:bottom w:w="40" w:type="dxa"/>
              <w:right w:w="20" w:type="dxa"/>
            </w:tcMar>
            <w:vAlign w:val="center"/>
          </w:tcPr>
          <w:p w14:paraId="35D0A00B" w14:textId="77777777" w:rsidR="00D42204" w:rsidRDefault="004E439D">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35D0A00C" w14:textId="77777777" w:rsidR="00D42204" w:rsidRDefault="004E439D">
            <w:pPr>
              <w:jc w:val="center"/>
              <w:textAlignment w:val="center"/>
            </w:pPr>
            <w:r>
              <w:rPr>
                <w:rFonts w:ascii="Times New Roman" w:eastAsia="宋体" w:hAnsi="Times New Roman"/>
                <w:color w:val="000000"/>
                <w:sz w:val="16"/>
                <w:szCs w:val="16"/>
              </w:rPr>
              <w:t>P-1</w:t>
            </w:r>
          </w:p>
        </w:tc>
        <w:tc>
          <w:tcPr>
            <w:tcW w:w="0" w:type="auto"/>
            <w:gridSpan w:val="3"/>
            <w:shd w:val="clear" w:color="auto" w:fill="FFFFFF"/>
            <w:tcMar>
              <w:top w:w="40" w:type="dxa"/>
              <w:left w:w="20" w:type="dxa"/>
              <w:bottom w:w="40" w:type="dxa"/>
              <w:right w:w="20" w:type="dxa"/>
            </w:tcMar>
            <w:vAlign w:val="center"/>
          </w:tcPr>
          <w:p w14:paraId="35D0A00D" w14:textId="77777777" w:rsidR="00D42204" w:rsidRDefault="004E439D">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35D0A00E" w14:textId="77777777" w:rsidR="00D42204" w:rsidRDefault="004E439D">
            <w:pPr>
              <w:jc w:val="center"/>
              <w:textAlignment w:val="center"/>
            </w:pPr>
            <w:r>
              <w:rPr>
                <w:rFonts w:ascii="Times New Roman" w:eastAsia="宋体" w:hAnsi="Times New Roman"/>
                <w:color w:val="000000"/>
                <w:sz w:val="16"/>
                <w:szCs w:val="16"/>
              </w:rPr>
              <w:t>Aa2</w:t>
            </w:r>
          </w:p>
        </w:tc>
      </w:tr>
      <w:tr w:rsidR="00D42204" w14:paraId="35D0A015" w14:textId="77777777">
        <w:trPr>
          <w:jc w:val="center"/>
        </w:trPr>
        <w:tc>
          <w:tcPr>
            <w:tcW w:w="0" w:type="auto"/>
            <w:gridSpan w:val="3"/>
            <w:shd w:val="clear" w:color="auto" w:fill="CCEEFF"/>
            <w:tcMar>
              <w:top w:w="40" w:type="dxa"/>
              <w:left w:w="20" w:type="dxa"/>
              <w:bottom w:w="40" w:type="dxa"/>
              <w:right w:w="20" w:type="dxa"/>
            </w:tcMar>
            <w:vAlign w:val="center"/>
          </w:tcPr>
          <w:p w14:paraId="35D0A010" w14:textId="77777777" w:rsidR="00D42204" w:rsidRDefault="004E439D">
            <w:pPr>
              <w:textAlignment w:val="center"/>
            </w:pPr>
            <w:r>
              <w:rPr>
                <w:rFonts w:ascii="Times New Roman" w:eastAsia="宋体" w:hAnsi="Times New Roman"/>
                <w:color w:val="000000"/>
                <w:sz w:val="16"/>
                <w:szCs w:val="16"/>
              </w:rPr>
              <w:t>Fitch Ratings</w:t>
            </w:r>
          </w:p>
        </w:tc>
        <w:tc>
          <w:tcPr>
            <w:tcW w:w="0" w:type="auto"/>
            <w:gridSpan w:val="3"/>
            <w:shd w:val="clear" w:color="auto" w:fill="CCEEFF"/>
            <w:tcMar>
              <w:top w:w="40" w:type="dxa"/>
              <w:left w:w="20" w:type="dxa"/>
              <w:bottom w:w="40" w:type="dxa"/>
              <w:right w:w="20" w:type="dxa"/>
            </w:tcMar>
            <w:vAlign w:val="center"/>
          </w:tcPr>
          <w:p w14:paraId="35D0A011" w14:textId="77777777" w:rsidR="00D42204" w:rsidRDefault="004E439D">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35D0A012" w14:textId="77777777" w:rsidR="00D42204" w:rsidRDefault="004E439D">
            <w:pPr>
              <w:jc w:val="center"/>
              <w:textAlignment w:val="center"/>
            </w:pPr>
            <w:r>
              <w:rPr>
                <w:rFonts w:ascii="Times New Roman" w:eastAsia="宋体" w:hAnsi="Times New Roman"/>
                <w:color w:val="000000"/>
                <w:sz w:val="16"/>
                <w:szCs w:val="16"/>
              </w:rPr>
              <w:t>F1+</w:t>
            </w:r>
          </w:p>
        </w:tc>
        <w:tc>
          <w:tcPr>
            <w:tcW w:w="0" w:type="auto"/>
            <w:gridSpan w:val="3"/>
            <w:shd w:val="clear" w:color="auto" w:fill="CCEEFF"/>
            <w:tcMar>
              <w:top w:w="40" w:type="dxa"/>
              <w:left w:w="20" w:type="dxa"/>
              <w:bottom w:w="40" w:type="dxa"/>
              <w:right w:w="20" w:type="dxa"/>
            </w:tcMar>
            <w:vAlign w:val="center"/>
          </w:tcPr>
          <w:p w14:paraId="35D0A013" w14:textId="77777777" w:rsidR="00D42204" w:rsidRDefault="004E439D">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35D0A014" w14:textId="77777777" w:rsidR="00D42204" w:rsidRDefault="004E439D">
            <w:pPr>
              <w:jc w:val="center"/>
              <w:textAlignment w:val="center"/>
            </w:pPr>
            <w:r>
              <w:rPr>
                <w:rFonts w:ascii="Times New Roman" w:eastAsia="宋体" w:hAnsi="Times New Roman"/>
                <w:color w:val="000000"/>
                <w:sz w:val="16"/>
                <w:szCs w:val="16"/>
              </w:rPr>
              <w:t>AA</w:t>
            </w:r>
          </w:p>
        </w:tc>
      </w:tr>
    </w:tbl>
    <w:p w14:paraId="35D0A016" w14:textId="77777777" w:rsidR="00D42204" w:rsidRDefault="004E439D">
      <w:pPr>
        <w:spacing w:before="100"/>
      </w:pPr>
      <w:r>
        <w:rPr>
          <w:rFonts w:ascii="Times New Roman" w:eastAsia="宋体" w:hAnsi="Times New Roman"/>
          <w:color w:val="000000"/>
          <w:sz w:val="20"/>
          <w:szCs w:val="20"/>
        </w:rPr>
        <w:t xml:space="preserve">Credit rating agencies review their ratings </w:t>
      </w:r>
      <w:r>
        <w:rPr>
          <w:rFonts w:ascii="Times New Roman" w:eastAsia="宋体" w:hAnsi="Times New Roman"/>
          <w:color w:val="000000"/>
          <w:sz w:val="20"/>
          <w:szCs w:val="20"/>
        </w:rPr>
        <w:t>periodically and, therefore, the credit ratings assigned to us by each agency may be subject to revision at any time. Accordingly, we are not able to predict whether our current credit ratings will remain consistent over time. Factors that could affect our</w:t>
      </w:r>
      <w:r>
        <w:rPr>
          <w:rFonts w:ascii="Times New Roman" w:eastAsia="宋体" w:hAnsi="Times New Roman"/>
          <w:color w:val="000000"/>
          <w:sz w:val="20"/>
          <w:szCs w:val="20"/>
        </w:rPr>
        <w:t xml:space="preserve"> credit ratings include changes in our operating performance, the general economic environment, conditions in the retail industry, our financial position, including our total debt and capitalization, and changes in our business strategy. Any downgrade of o</w:t>
      </w:r>
      <w:r>
        <w:rPr>
          <w:rFonts w:ascii="Times New Roman" w:eastAsia="宋体" w:hAnsi="Times New Roman"/>
          <w:color w:val="000000"/>
          <w:sz w:val="20"/>
          <w:szCs w:val="20"/>
        </w:rPr>
        <w:t>ur credit ratings by a credit rating agency could increase our future borrowing costs or impair our ability to access capital and credit markets on terms commercially acceptable to us. In addition, any downgrade of our current short-term credit ratings cou</w:t>
      </w:r>
      <w:r>
        <w:rPr>
          <w:rFonts w:ascii="Times New Roman" w:eastAsia="宋体" w:hAnsi="Times New Roman"/>
          <w:color w:val="000000"/>
          <w:sz w:val="20"/>
          <w:szCs w:val="20"/>
        </w:rPr>
        <w:t xml:space="preserve">ld impair our ability to access the commercial paper markets with the same flexibility that we have experienced historically, potentially requiring us to rely more heavily on more expensive types of debt financing. The credit rating agency ratings are not </w:t>
      </w:r>
      <w:r>
        <w:rPr>
          <w:rFonts w:ascii="Times New Roman" w:eastAsia="宋体" w:hAnsi="Times New Roman"/>
          <w:color w:val="000000"/>
          <w:sz w:val="20"/>
          <w:szCs w:val="20"/>
        </w:rPr>
        <w:t>recommendations to buy, sell or hold our commercial paper or debt securities. Each rating may be subject to revision or withdrawal at any time by the assigning rating organization and should be evaluated independently of any other rating. Moreover, each cr</w:t>
      </w:r>
      <w:r>
        <w:rPr>
          <w:rFonts w:ascii="Times New Roman" w:eastAsia="宋体" w:hAnsi="Times New Roman"/>
          <w:color w:val="000000"/>
          <w:sz w:val="20"/>
          <w:szCs w:val="20"/>
        </w:rPr>
        <w:t>edit rating is specific to the security to which it applies.</w:t>
      </w:r>
    </w:p>
    <w:p w14:paraId="35D0A017" w14:textId="77777777" w:rsidR="00D42204" w:rsidRDefault="004E439D">
      <w:pPr>
        <w:spacing w:before="180"/>
      </w:pPr>
      <w:r>
        <w:rPr>
          <w:rFonts w:ascii="Times New Roman" w:eastAsia="宋体" w:hAnsi="Times New Roman"/>
          <w:b/>
          <w:bCs/>
          <w:color w:val="000000"/>
          <w:sz w:val="20"/>
          <w:szCs w:val="20"/>
        </w:rPr>
        <w:t>Other Matters</w:t>
      </w:r>
    </w:p>
    <w:p w14:paraId="35D0A018" w14:textId="77777777" w:rsidR="00D42204" w:rsidRDefault="004E439D">
      <w:pPr>
        <w:spacing w:before="180"/>
      </w:pPr>
      <w:r>
        <w:rPr>
          <w:rFonts w:ascii="Times New Roman" w:eastAsia="宋体" w:hAnsi="Times New Roman"/>
          <w:color w:val="000000"/>
          <w:sz w:val="20"/>
          <w:szCs w:val="20"/>
        </w:rPr>
        <w:t xml:space="preserve">In </w:t>
      </w:r>
      <w:hyperlink r:id="rId110" w:anchor="i1ba69ebb72ec48f9b754a5e96c4cdf3f_184" w:history="1">
        <w:r>
          <w:rPr>
            <w:rStyle w:val="a5"/>
            <w:rFonts w:ascii="Times New Roman" w:eastAsia="宋体" w:hAnsi="Times New Roman"/>
            <w:sz w:val="20"/>
            <w:szCs w:val="20"/>
          </w:rPr>
          <w:t>Note 10</w:t>
        </w:r>
      </w:hyperlink>
      <w:r>
        <w:rPr>
          <w:rFonts w:ascii="Times New Roman" w:eastAsia="宋体" w:hAnsi="Times New Roman"/>
          <w:color w:val="000000"/>
          <w:sz w:val="20"/>
          <w:szCs w:val="20"/>
        </w:rPr>
        <w:t xml:space="preserve"> to our Consolidated Financial Statements, which is captioned "Contingencies" and appears in </w:t>
      </w:r>
      <w:hyperlink r:id="rId111" w:anchor="i1ba69ebb72ec48f9b754a5e96c4cdf3f_55" w:history="1">
        <w:r>
          <w:rPr>
            <w:rStyle w:val="a5"/>
            <w:rFonts w:ascii="Times New Roman" w:eastAsia="宋体" w:hAnsi="Times New Roman"/>
            <w:sz w:val="20"/>
            <w:szCs w:val="20"/>
          </w:rPr>
          <w:t>Part I</w:t>
        </w:r>
      </w:hyperlink>
      <w:hyperlink r:id="rId112" w:anchor="i1ba69ebb72ec48f9b754a5e96c4cdf3f_55" w:history="1">
        <w:r>
          <w:rPr>
            <w:rStyle w:val="a5"/>
            <w:rFonts w:ascii="Times New Roman" w:eastAsia="宋体" w:hAnsi="Times New Roman"/>
            <w:sz w:val="20"/>
            <w:szCs w:val="20"/>
          </w:rPr>
          <w:t>I</w:t>
        </w:r>
      </w:hyperlink>
      <w:r>
        <w:rPr>
          <w:rFonts w:ascii="Times New Roman" w:eastAsia="宋体" w:hAnsi="Times New Roman"/>
          <w:color w:val="000000"/>
          <w:sz w:val="20"/>
          <w:szCs w:val="20"/>
        </w:rPr>
        <w:t xml:space="preserve"> of this Annual Report on Form 10-K under the caption "</w:t>
      </w:r>
      <w:hyperlink r:id="rId113" w:anchor="i1ba69ebb72ec48f9b754a5e96c4cdf3f_121" w:history="1">
        <w:r>
          <w:rPr>
            <w:rStyle w:val="a5"/>
            <w:rFonts w:ascii="Times New Roman" w:eastAsia="宋体" w:hAnsi="Times New Roman"/>
            <w:sz w:val="20"/>
            <w:szCs w:val="20"/>
          </w:rPr>
          <w:t>Item 8. Financial Statements and Supplementary Data</w:t>
        </w:r>
      </w:hyperlink>
      <w:r>
        <w:rPr>
          <w:rFonts w:ascii="Times New Roman" w:eastAsia="宋体" w:hAnsi="Times New Roman"/>
          <w:color w:val="000000"/>
          <w:sz w:val="20"/>
          <w:szCs w:val="20"/>
        </w:rPr>
        <w:t>," we discuss, under the sub-caption "</w:t>
      </w:r>
      <w:r>
        <w:rPr>
          <w:rFonts w:ascii="Times New Roman" w:eastAsia="宋体" w:hAnsi="Times New Roman"/>
          <w:i/>
          <w:iCs/>
          <w:color w:val="000000"/>
          <w:sz w:val="20"/>
          <w:szCs w:val="20"/>
        </w:rPr>
        <w:t>Opioids Litigation</w:t>
      </w:r>
      <w:r>
        <w:rPr>
          <w:rFonts w:ascii="Times New Roman" w:eastAsia="宋体" w:hAnsi="Times New Roman"/>
          <w:color w:val="000000"/>
          <w:sz w:val="20"/>
          <w:szCs w:val="20"/>
        </w:rPr>
        <w:t xml:space="preserve">," the Prescription Opiate Litigation and other matters, including certain risks arising therefrom. In that </w:t>
      </w:r>
      <w:hyperlink r:id="rId114" w:anchor="i1ba69ebb72ec48f9b754a5e96c4cdf3f_184" w:history="1">
        <w:r>
          <w:rPr>
            <w:rStyle w:val="a5"/>
            <w:rFonts w:ascii="Times New Roman" w:eastAsia="宋体" w:hAnsi="Times New Roman"/>
            <w:sz w:val="20"/>
            <w:szCs w:val="20"/>
          </w:rPr>
          <w:t>Note 10</w:t>
        </w:r>
      </w:hyperlink>
      <w:r>
        <w:rPr>
          <w:rFonts w:ascii="Times New Roman" w:eastAsia="宋体" w:hAnsi="Times New Roman"/>
          <w:color w:val="000000"/>
          <w:sz w:val="20"/>
          <w:szCs w:val="20"/>
        </w:rPr>
        <w:t>, we also discuss, under the sub-caption "</w:t>
      </w:r>
      <w:r>
        <w:rPr>
          <w:rFonts w:ascii="Times New Roman" w:eastAsia="宋体" w:hAnsi="Times New Roman"/>
          <w:i/>
          <w:iCs/>
          <w:color w:val="000000"/>
          <w:sz w:val="20"/>
          <w:szCs w:val="20"/>
        </w:rPr>
        <w:t xml:space="preserve">Asda Equal Value Claims," </w:t>
      </w:r>
      <w:r>
        <w:rPr>
          <w:rFonts w:ascii="Times New Roman" w:eastAsia="宋体" w:hAnsi="Times New Roman"/>
          <w:color w:val="000000"/>
          <w:sz w:val="20"/>
          <w:szCs w:val="20"/>
        </w:rPr>
        <w:t xml:space="preserve">the Company's indemnification obligation for the Asda Equal </w:t>
      </w:r>
      <w:r>
        <w:rPr>
          <w:rFonts w:ascii="Times New Roman" w:eastAsia="宋体" w:hAnsi="Times New Roman"/>
          <w:color w:val="000000"/>
          <w:sz w:val="20"/>
          <w:szCs w:val="20"/>
        </w:rPr>
        <w:t xml:space="preserve">Value Claims matter. We discuss various legal proceedings related to the Federal and State Prescription Opiate Litigation, DOJ Opioid Civil Litigation and Opioids Related Securities Class Actions and Derivative Litigation in </w:t>
      </w:r>
      <w:hyperlink r:id="rId115" w:anchor="i1ba69ebb72ec48f9b754a5e96c4cdf3f_10" w:history="1">
        <w:r>
          <w:rPr>
            <w:rStyle w:val="a5"/>
            <w:rFonts w:ascii="Times New Roman" w:eastAsia="宋体" w:hAnsi="Times New Roman"/>
            <w:sz w:val="20"/>
            <w:szCs w:val="20"/>
          </w:rPr>
          <w:t>Part I</w:t>
        </w:r>
      </w:hyperlink>
      <w:r>
        <w:rPr>
          <w:rFonts w:ascii="Times New Roman" w:eastAsia="宋体" w:hAnsi="Times New Roman"/>
          <w:color w:val="000000"/>
          <w:sz w:val="20"/>
          <w:szCs w:val="20"/>
        </w:rPr>
        <w:t xml:space="preserve"> of this Annual Report on Form 10-K under the caption "</w:t>
      </w:r>
      <w:hyperlink r:id="rId116" w:anchor="i1ba69ebb72ec48f9b754a5e96c4cdf3f_49" w:history="1">
        <w:r>
          <w:rPr>
            <w:rStyle w:val="a5"/>
            <w:rFonts w:ascii="Times New Roman" w:eastAsia="宋体" w:hAnsi="Times New Roman"/>
            <w:sz w:val="20"/>
            <w:szCs w:val="20"/>
          </w:rPr>
          <w:t>Item 3. Legal Proceedings</w:t>
        </w:r>
      </w:hyperlink>
      <w:r>
        <w:rPr>
          <w:rFonts w:ascii="Times New Roman" w:eastAsia="宋体" w:hAnsi="Times New Roman"/>
          <w:color w:val="000000"/>
          <w:sz w:val="20"/>
          <w:szCs w:val="20"/>
        </w:rPr>
        <w:t>," under the sub-caption "I. Supplemental Information." We also discuss items related to the Asda Equal Value Claims matter, the Money Transfer Agent S</w:t>
      </w:r>
      <w:r>
        <w:rPr>
          <w:rFonts w:ascii="Times New Roman" w:eastAsia="宋体" w:hAnsi="Times New Roman"/>
          <w:color w:val="000000"/>
          <w:sz w:val="20"/>
          <w:szCs w:val="20"/>
        </w:rPr>
        <w:t xml:space="preserve">ervices Proceedings matter and the Foreign Direct Investment matters in </w:t>
      </w:r>
      <w:hyperlink r:id="rId117" w:anchor="i1ba69ebb72ec48f9b754a5e96c4cdf3f_10" w:history="1">
        <w:r>
          <w:rPr>
            <w:rStyle w:val="a5"/>
            <w:rFonts w:ascii="Times New Roman" w:eastAsia="宋体" w:hAnsi="Times New Roman"/>
            <w:sz w:val="20"/>
            <w:szCs w:val="20"/>
          </w:rPr>
          <w:t>Part I</w:t>
        </w:r>
      </w:hyperlink>
      <w:r>
        <w:rPr>
          <w:rFonts w:ascii="Times New Roman" w:eastAsia="宋体" w:hAnsi="Times New Roman"/>
          <w:color w:val="000000"/>
          <w:sz w:val="20"/>
          <w:szCs w:val="20"/>
        </w:rPr>
        <w:t xml:space="preserve"> of this Annual Report on</w:t>
      </w:r>
      <w:r>
        <w:rPr>
          <w:rFonts w:ascii="Times New Roman" w:eastAsia="宋体" w:hAnsi="Times New Roman"/>
          <w:color w:val="000000"/>
          <w:sz w:val="20"/>
          <w:szCs w:val="20"/>
        </w:rPr>
        <w:t xml:space="preserve"> Form 10-K under the caption "</w:t>
      </w:r>
      <w:hyperlink r:id="rId118" w:anchor="i1ba69ebb72ec48f9b754a5e96c4cdf3f_49" w:history="1">
        <w:r>
          <w:rPr>
            <w:rStyle w:val="a5"/>
            <w:rFonts w:ascii="Times New Roman" w:eastAsia="宋体" w:hAnsi="Times New Roman"/>
            <w:sz w:val="20"/>
            <w:szCs w:val="20"/>
          </w:rPr>
          <w:t>Item 3. Legal Proceedings</w:t>
        </w:r>
      </w:hyperlink>
      <w:r>
        <w:rPr>
          <w:rFonts w:ascii="Times New Roman" w:eastAsia="宋体" w:hAnsi="Times New Roman"/>
          <w:color w:val="000000"/>
          <w:sz w:val="20"/>
          <w:szCs w:val="20"/>
        </w:rPr>
        <w:t>," under the sub-caption "II. Certain Other Matt</w:t>
      </w:r>
      <w:r>
        <w:rPr>
          <w:rFonts w:ascii="Times New Roman" w:eastAsia="宋体" w:hAnsi="Times New Roman"/>
          <w:color w:val="000000"/>
          <w:sz w:val="20"/>
          <w:szCs w:val="20"/>
        </w:rPr>
        <w:t>ers." We also discuss an environmental matter with the State of California in</w:t>
      </w:r>
      <w:hyperlink r:id="rId119" w:anchor="i1ba69ebb72ec48f9b754a5e96c4cdf3f_10" w:history="1">
        <w:r>
          <w:rPr>
            <w:rStyle w:val="a5"/>
            <w:rFonts w:ascii="Times New Roman" w:eastAsia="宋体" w:hAnsi="Times New Roman"/>
            <w:sz w:val="20"/>
            <w:szCs w:val="20"/>
          </w:rPr>
          <w:t xml:space="preserve"> Part I</w:t>
        </w:r>
      </w:hyperlink>
      <w:r>
        <w:rPr>
          <w:rFonts w:ascii="Times New Roman" w:eastAsia="宋体" w:hAnsi="Times New Roman"/>
          <w:color w:val="000000"/>
          <w:sz w:val="20"/>
          <w:szCs w:val="20"/>
        </w:rPr>
        <w:t xml:space="preserve"> of this Annual Rep</w:t>
      </w:r>
      <w:r>
        <w:rPr>
          <w:rFonts w:ascii="Times New Roman" w:eastAsia="宋体" w:hAnsi="Times New Roman"/>
          <w:color w:val="000000"/>
          <w:sz w:val="20"/>
          <w:szCs w:val="20"/>
        </w:rPr>
        <w:t>ort on Form 10-K under the caption "</w:t>
      </w:r>
      <w:hyperlink r:id="rId120" w:anchor="i1ba69ebb72ec48f9b754a5e96c4cdf3f_49" w:history="1">
        <w:r>
          <w:rPr>
            <w:rStyle w:val="a5"/>
            <w:rFonts w:ascii="Times New Roman" w:eastAsia="宋体" w:hAnsi="Times New Roman"/>
            <w:sz w:val="20"/>
            <w:szCs w:val="20"/>
          </w:rPr>
          <w:t>Item 3. Legal Proceedings</w:t>
        </w:r>
      </w:hyperlink>
      <w:r>
        <w:rPr>
          <w:rFonts w:ascii="Times New Roman" w:eastAsia="宋体" w:hAnsi="Times New Roman"/>
          <w:color w:val="000000"/>
          <w:sz w:val="20"/>
          <w:szCs w:val="20"/>
        </w:rPr>
        <w:t>," under the sub-caption "III. Environment</w:t>
      </w:r>
      <w:r>
        <w:rPr>
          <w:rFonts w:ascii="Times New Roman" w:eastAsia="宋体" w:hAnsi="Times New Roman"/>
          <w:color w:val="000000"/>
          <w:sz w:val="20"/>
          <w:szCs w:val="20"/>
        </w:rPr>
        <w:t>al Matters." The foregoing matters and other matters described elsewhere in this Annual Report on Form 10-K represent contingent liabilities of the Company that may or may not result in the incurrence of a material liability by the Company upon their final</w:t>
      </w:r>
      <w:r>
        <w:rPr>
          <w:rFonts w:ascii="Times New Roman" w:eastAsia="宋体" w:hAnsi="Times New Roman"/>
          <w:color w:val="000000"/>
          <w:sz w:val="20"/>
          <w:szCs w:val="20"/>
        </w:rPr>
        <w:t xml:space="preserve"> resolution.</w:t>
      </w:r>
    </w:p>
    <w:p w14:paraId="35D0A019" w14:textId="77777777" w:rsidR="00D42204" w:rsidRDefault="004E439D">
      <w:pPr>
        <w:spacing w:before="180"/>
      </w:pPr>
      <w:r>
        <w:rPr>
          <w:rFonts w:ascii="Times New Roman" w:eastAsia="宋体" w:hAnsi="Times New Roman"/>
          <w:b/>
          <w:bCs/>
          <w:color w:val="000000"/>
          <w:sz w:val="20"/>
          <w:szCs w:val="20"/>
        </w:rPr>
        <w:t>Summary of Critical Accounting Estimates</w:t>
      </w:r>
    </w:p>
    <w:p w14:paraId="35D0A01A" w14:textId="77777777" w:rsidR="00D42204" w:rsidRDefault="004E439D">
      <w:pPr>
        <w:spacing w:before="100"/>
      </w:pPr>
      <w:r>
        <w:rPr>
          <w:rFonts w:ascii="Times New Roman" w:eastAsia="宋体" w:hAnsi="Times New Roman"/>
          <w:color w:val="000000"/>
          <w:sz w:val="20"/>
          <w:szCs w:val="20"/>
        </w:rPr>
        <w:t xml:space="preserve">Management strives to report our financial results in a clear and understandable manner, although in some cases accounting and disclosure rules are complex and require us to use technical </w:t>
      </w:r>
      <w:r>
        <w:rPr>
          <w:rFonts w:ascii="Times New Roman" w:eastAsia="宋体" w:hAnsi="Times New Roman"/>
          <w:color w:val="000000"/>
          <w:sz w:val="20"/>
          <w:szCs w:val="20"/>
        </w:rPr>
        <w:t>terminology. In preparing the Company's Consolidated Financial Statements, we follow accounting principles generally accepted in the U.S. These principles require us to make certain estimates and apply judgments that affect our financial position and resul</w:t>
      </w:r>
      <w:r>
        <w:rPr>
          <w:rFonts w:ascii="Times New Roman" w:eastAsia="宋体" w:hAnsi="Times New Roman"/>
          <w:color w:val="000000"/>
          <w:sz w:val="20"/>
          <w:szCs w:val="20"/>
        </w:rPr>
        <w:t>ts of operations as reflected in our financial statements. These judgments and estimates are based on past events and expectations of future outcomes. Actual results may differ from our estimates.</w:t>
      </w:r>
    </w:p>
    <w:p w14:paraId="35D0A01B" w14:textId="77777777" w:rsidR="00D42204" w:rsidRDefault="004E439D">
      <w:pPr>
        <w:spacing w:before="100"/>
      </w:pPr>
      <w:r>
        <w:rPr>
          <w:rFonts w:ascii="Times New Roman" w:eastAsia="宋体" w:hAnsi="Times New Roman"/>
          <w:color w:val="000000"/>
          <w:sz w:val="20"/>
          <w:szCs w:val="20"/>
        </w:rPr>
        <w:t>Management continually reviews our accounting policies, how</w:t>
      </w:r>
      <w:r>
        <w:rPr>
          <w:rFonts w:ascii="Times New Roman" w:eastAsia="宋体" w:hAnsi="Times New Roman"/>
          <w:color w:val="000000"/>
          <w:sz w:val="20"/>
          <w:szCs w:val="20"/>
        </w:rPr>
        <w:t xml:space="preserve"> they are applied and how they are reported and disclosed in our financial statements. Following is a summary of our critical accounting estimates and how they are applied in preparation of the financial statements.</w:t>
      </w:r>
    </w:p>
    <w:p w14:paraId="35D0A01C" w14:textId="77777777" w:rsidR="00D42204" w:rsidRDefault="004E439D">
      <w:pPr>
        <w:spacing w:before="180" w:after="120"/>
      </w:pPr>
      <w:r>
        <w:rPr>
          <w:rFonts w:ascii="Times New Roman" w:eastAsia="宋体" w:hAnsi="Times New Roman"/>
          <w:b/>
          <w:bCs/>
          <w:i/>
          <w:iCs/>
          <w:color w:val="000000"/>
          <w:sz w:val="20"/>
          <w:szCs w:val="20"/>
        </w:rPr>
        <w:t>Inventories</w:t>
      </w:r>
    </w:p>
    <w:p w14:paraId="35D0A01D" w14:textId="77777777" w:rsidR="00D42204" w:rsidRDefault="004E439D">
      <w:r>
        <w:rPr>
          <w:rFonts w:ascii="Times New Roman" w:eastAsia="宋体" w:hAnsi="Times New Roman"/>
          <w:color w:val="000000"/>
          <w:sz w:val="20"/>
          <w:szCs w:val="20"/>
        </w:rPr>
        <w:t xml:space="preserve">We value inventories at the </w:t>
      </w:r>
      <w:r>
        <w:rPr>
          <w:rFonts w:ascii="Times New Roman" w:eastAsia="宋体" w:hAnsi="Times New Roman"/>
          <w:color w:val="000000"/>
          <w:sz w:val="20"/>
          <w:szCs w:val="20"/>
        </w:rPr>
        <w:t xml:space="preserve">lower of cost or market as determined primarily by the retail inventory method of accounting, using the last-in, first-out ("LIFO") method for Walmart U.S. segment's inventories. The inventory at the Sam's Club segment is valued using the weighted-average </w:t>
      </w:r>
      <w:r>
        <w:rPr>
          <w:rFonts w:ascii="Times New Roman" w:eastAsia="宋体" w:hAnsi="Times New Roman"/>
          <w:color w:val="000000"/>
          <w:sz w:val="20"/>
          <w:szCs w:val="20"/>
        </w:rPr>
        <w:t>cost LIFO method. When necessary, we record a LIFO provision for the estimated annual effect of inflation, and these estimates are adjusted to actual results determined at year-end. Our LIFO provision is calculated based on inventory levels, markup rates a</w:t>
      </w:r>
      <w:r>
        <w:rPr>
          <w:rFonts w:ascii="Times New Roman" w:eastAsia="宋体" w:hAnsi="Times New Roman"/>
          <w:color w:val="000000"/>
          <w:sz w:val="20"/>
          <w:szCs w:val="20"/>
        </w:rPr>
        <w:t>nd internally generated retail price indices. As a measure of sensitivity, a 1% increase to our retail price indices would not have resulted in a decrease to the carrying value of inventory. As of January 31, 2022 and 2021, our inventories valued at LIFO a</w:t>
      </w:r>
      <w:r>
        <w:rPr>
          <w:rFonts w:ascii="Times New Roman" w:eastAsia="宋体" w:hAnsi="Times New Roman"/>
          <w:color w:val="000000"/>
          <w:sz w:val="20"/>
          <w:szCs w:val="20"/>
        </w:rPr>
        <w:t>pproximated those inventories as if they were valued at first-in, first-out ("FIFO").</w:t>
      </w:r>
    </w:p>
    <w:p w14:paraId="35D0A01E" w14:textId="77777777" w:rsidR="00D42204" w:rsidRDefault="004E439D">
      <w:pPr>
        <w:jc w:val="center"/>
      </w:pPr>
      <w:r>
        <w:rPr>
          <w:rFonts w:ascii="Times New Roman" w:eastAsia="宋体" w:hAnsi="Times New Roman"/>
          <w:color w:val="000000"/>
          <w:sz w:val="20"/>
          <w:szCs w:val="20"/>
        </w:rPr>
        <w:t>45</w:t>
      </w:r>
    </w:p>
    <w:p w14:paraId="35D0A01F" w14:textId="77777777" w:rsidR="00D42204" w:rsidRDefault="004E439D">
      <w:r>
        <w:pict w14:anchorId="35D0C388">
          <v:rect id="_x0000_i1069" style="width:415.3pt;height:1.5pt" o:hralign="center" o:hrstd="t" o:hr="t" fillcolor="#a0a0a0" stroked="f"/>
        </w:pict>
      </w:r>
    </w:p>
    <w:p w14:paraId="35D0A020" w14:textId="77777777" w:rsidR="00D42204" w:rsidRDefault="00D42204"/>
    <w:p w14:paraId="35D0A021" w14:textId="77777777" w:rsidR="00D42204" w:rsidRDefault="004E439D">
      <w:pPr>
        <w:spacing w:before="180"/>
      </w:pPr>
      <w:r>
        <w:rPr>
          <w:rFonts w:ascii="Times New Roman" w:eastAsia="宋体" w:hAnsi="Times New Roman"/>
          <w:b/>
          <w:bCs/>
          <w:i/>
          <w:iCs/>
          <w:color w:val="000000"/>
          <w:sz w:val="20"/>
          <w:szCs w:val="20"/>
        </w:rPr>
        <w:t>Impairment of Assets</w:t>
      </w:r>
    </w:p>
    <w:p w14:paraId="35D0A022" w14:textId="77777777" w:rsidR="00D42204" w:rsidRDefault="004E439D">
      <w:pPr>
        <w:spacing w:before="100"/>
      </w:pPr>
      <w:r>
        <w:rPr>
          <w:rFonts w:ascii="Times New Roman" w:eastAsia="宋体" w:hAnsi="Times New Roman"/>
          <w:color w:val="000000"/>
          <w:sz w:val="20"/>
          <w:szCs w:val="20"/>
        </w:rPr>
        <w:t xml:space="preserve">We evaluate long-lived assets for indicators of impairment whenever events or changes in circumstances indicate their carrying amounts may not </w:t>
      </w:r>
      <w:r>
        <w:rPr>
          <w:rFonts w:ascii="Times New Roman" w:eastAsia="宋体" w:hAnsi="Times New Roman"/>
          <w:color w:val="000000"/>
          <w:sz w:val="20"/>
          <w:szCs w:val="20"/>
        </w:rPr>
        <w:t>be recoverable. Management's judgments regarding the existence of impairment indicators are based on market conditions and financial performance. The evaluation of long-lived assets is performed at the lowest level of identifiable cash flows, which is gene</w:t>
      </w:r>
      <w:r>
        <w:rPr>
          <w:rFonts w:ascii="Times New Roman" w:eastAsia="宋体" w:hAnsi="Times New Roman"/>
          <w:color w:val="000000"/>
          <w:sz w:val="20"/>
          <w:szCs w:val="20"/>
        </w:rPr>
        <w:t>rally at the individual store level. The variability of these factors depends on a number of conditions, including uncertainty about future events and changes in demographics. Thus, our accounting estimates may change from period to period. These factors c</w:t>
      </w:r>
      <w:r>
        <w:rPr>
          <w:rFonts w:ascii="Times New Roman" w:eastAsia="宋体" w:hAnsi="Times New Roman"/>
          <w:color w:val="000000"/>
          <w:sz w:val="20"/>
          <w:szCs w:val="20"/>
        </w:rPr>
        <w:t>ould cause management to conclude that indicators of impairment exist and require impairment tests be performed, which could result in management determining the value of long-lived assets is impaired, resulting in a write-down of the related long-lived as</w:t>
      </w:r>
      <w:r>
        <w:rPr>
          <w:rFonts w:ascii="Times New Roman" w:eastAsia="宋体" w:hAnsi="Times New Roman"/>
          <w:color w:val="000000"/>
          <w:sz w:val="20"/>
          <w:szCs w:val="20"/>
        </w:rPr>
        <w:t xml:space="preserve">sets. Impairment charges on assets held and used were immaterial in fiscal 2022, 2021 and 2020. As a measure of sensitivity, fiscal 2022 impairment would not change materially with a 10% decrease in the undiscounted cash flows for the stores or clubs with </w:t>
      </w:r>
      <w:r>
        <w:rPr>
          <w:rFonts w:ascii="Times New Roman" w:eastAsia="宋体" w:hAnsi="Times New Roman"/>
          <w:color w:val="000000"/>
          <w:sz w:val="20"/>
          <w:szCs w:val="20"/>
        </w:rPr>
        <w:t xml:space="preserve">indicators of impairment. </w:t>
      </w:r>
    </w:p>
    <w:p w14:paraId="35D0A023" w14:textId="77777777" w:rsidR="00D42204" w:rsidRDefault="004E439D">
      <w:pPr>
        <w:spacing w:before="100"/>
      </w:pPr>
      <w:r>
        <w:rPr>
          <w:rFonts w:ascii="Times New Roman" w:eastAsia="宋体" w:hAnsi="Times New Roman"/>
          <w:color w:val="000000"/>
          <w:sz w:val="20"/>
          <w:szCs w:val="20"/>
        </w:rPr>
        <w:t>In fiscal 2021, the Company's operations in Argentina, the United Kingdom and Japan met the held for sale criteria. As a result, the individual disposal groups were measured at fair value, less costs to sell, which resulted in im</w:t>
      </w:r>
      <w:r>
        <w:rPr>
          <w:rFonts w:ascii="Times New Roman" w:eastAsia="宋体" w:hAnsi="Times New Roman"/>
          <w:color w:val="000000"/>
          <w:sz w:val="20"/>
          <w:szCs w:val="20"/>
        </w:rPr>
        <w:t>pairment charges that were included in the total estimated pre-tax loss of $8.3 billion recorded in fiscal 2021, as well as $0.4 billion in incremental charges associated with the United Kingdom and Japan divestitures upon closing of the transactions durin</w:t>
      </w:r>
      <w:r>
        <w:rPr>
          <w:rFonts w:ascii="Times New Roman" w:eastAsia="宋体" w:hAnsi="Times New Roman"/>
          <w:color w:val="000000"/>
          <w:sz w:val="20"/>
          <w:szCs w:val="20"/>
        </w:rPr>
        <w:t xml:space="preserve">g the first quarter of fiscal 2022. Refer to </w:t>
      </w:r>
      <w:hyperlink r:id="rId121" w:anchor="i1ba69ebb72ec48f9b754a5e96c4cdf3f_190"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xml:space="preserve">. </w:t>
      </w:r>
    </w:p>
    <w:p w14:paraId="35D0A024" w14:textId="77777777" w:rsidR="00D42204" w:rsidRDefault="004E439D">
      <w:pPr>
        <w:spacing w:before="180" w:after="120"/>
      </w:pPr>
      <w:r>
        <w:rPr>
          <w:rFonts w:ascii="Times New Roman" w:eastAsia="宋体" w:hAnsi="Times New Roman"/>
          <w:b/>
          <w:bCs/>
          <w:i/>
          <w:iCs/>
          <w:color w:val="000000"/>
          <w:sz w:val="20"/>
          <w:szCs w:val="20"/>
        </w:rPr>
        <w:t>Business Combinations, Goodwill, and Acquired I</w:t>
      </w:r>
      <w:r>
        <w:rPr>
          <w:rFonts w:ascii="Times New Roman" w:eastAsia="宋体" w:hAnsi="Times New Roman"/>
          <w:b/>
          <w:bCs/>
          <w:i/>
          <w:iCs/>
          <w:color w:val="000000"/>
          <w:sz w:val="20"/>
          <w:szCs w:val="20"/>
        </w:rPr>
        <w:t>ntangible Assets</w:t>
      </w:r>
    </w:p>
    <w:p w14:paraId="35D0A025" w14:textId="77777777" w:rsidR="00D42204" w:rsidRDefault="004E439D">
      <w:r>
        <w:rPr>
          <w:rFonts w:ascii="Times New Roman" w:eastAsia="宋体" w:hAnsi="Times New Roman"/>
          <w:color w:val="000000"/>
          <w:sz w:val="20"/>
          <w:szCs w:val="20"/>
        </w:rPr>
        <w:t xml:space="preserve">We account for business combinations using the acquisition method of accounting, which requires that once control is obtained, all the assets acquired and liabilities assumed, including amounts attributable to noncontrolling </w:t>
      </w:r>
      <w:r>
        <w:rPr>
          <w:rFonts w:ascii="Times New Roman" w:eastAsia="宋体" w:hAnsi="Times New Roman"/>
          <w:color w:val="000000"/>
          <w:sz w:val="20"/>
          <w:szCs w:val="20"/>
        </w:rPr>
        <w:t>interests, are recorded at their respective fair values at the date of acquisition. The determination of fair values of identifiable assets and liabilities requires estimates and the use of valuation techniques when market value is not readily available. F</w:t>
      </w:r>
      <w:r>
        <w:rPr>
          <w:rFonts w:ascii="Times New Roman" w:eastAsia="宋体" w:hAnsi="Times New Roman"/>
          <w:color w:val="000000"/>
          <w:sz w:val="20"/>
          <w:szCs w:val="20"/>
        </w:rPr>
        <w:t>or intangible assets acquired in a business combination, we typically use the income method. Significant estimates in valuing certain intangible assets include, but are not limited to, the amount and timing of future cash flows, growth rates, discount rate</w:t>
      </w:r>
      <w:r>
        <w:rPr>
          <w:rFonts w:ascii="Times New Roman" w:eastAsia="宋体" w:hAnsi="Times New Roman"/>
          <w:color w:val="000000"/>
          <w:sz w:val="20"/>
          <w:szCs w:val="20"/>
        </w:rPr>
        <w:t>s and useful lives. The excess of the purchase price over fair values of identifiable assets and liabilities is recorded as goodwill.</w:t>
      </w:r>
    </w:p>
    <w:p w14:paraId="35D0A026" w14:textId="77777777" w:rsidR="00D42204" w:rsidRDefault="004E439D">
      <w:pPr>
        <w:spacing w:before="100"/>
      </w:pPr>
      <w:r>
        <w:rPr>
          <w:rFonts w:ascii="Times New Roman" w:eastAsia="宋体" w:hAnsi="Times New Roman"/>
          <w:color w:val="000000"/>
          <w:sz w:val="20"/>
          <w:szCs w:val="20"/>
        </w:rPr>
        <w:t>Goodwill is typically assigned to the reporting unit which consolidates the acquisition. Components within the same report</w:t>
      </w:r>
      <w:r>
        <w:rPr>
          <w:rFonts w:ascii="Times New Roman" w:eastAsia="宋体" w:hAnsi="Times New Roman"/>
          <w:color w:val="000000"/>
          <w:sz w:val="20"/>
          <w:szCs w:val="20"/>
        </w:rPr>
        <w:t>able segment are aggregated and deemed a single reporting unit if the components have similar economic characteristics. As of January 31, 2022, our reporting units consisted of Walmart U.S., Walmart International and Sam's Club. Goodwill and other indefini</w:t>
      </w:r>
      <w:r>
        <w:rPr>
          <w:rFonts w:ascii="Times New Roman" w:eastAsia="宋体" w:hAnsi="Times New Roman"/>
          <w:color w:val="000000"/>
          <w:sz w:val="20"/>
          <w:szCs w:val="20"/>
        </w:rPr>
        <w:t xml:space="preserve">te-lived acquired intangible assets are not amortized but are evaluated for impairment annually or whenever events or changes in circumstances indicate that the value of a certain asset may be impaired. Generally, this evaluation begins with a qualitative </w:t>
      </w:r>
      <w:r>
        <w:rPr>
          <w:rFonts w:ascii="Times New Roman" w:eastAsia="宋体" w:hAnsi="Times New Roman"/>
          <w:color w:val="000000"/>
          <w:sz w:val="20"/>
          <w:szCs w:val="20"/>
        </w:rPr>
        <w:t xml:space="preserve">assessment to determine whether a quantitative impairment test is necessary. If we determine, after performing an assessment based on the qualitative factors, that the fair value of the reporting unit is more likely than not less than the carrying amount, </w:t>
      </w:r>
      <w:r>
        <w:rPr>
          <w:rFonts w:ascii="Times New Roman" w:eastAsia="宋体" w:hAnsi="Times New Roman"/>
          <w:color w:val="000000"/>
          <w:sz w:val="20"/>
          <w:szCs w:val="20"/>
        </w:rPr>
        <w:t>or that a fair value of the reporting unit substantially in excess of the carrying amount cannot be assured, then a quantitative impairment test would be performed. The quantitative test for impairment requires management to make judgments relating to futu</w:t>
      </w:r>
      <w:r>
        <w:rPr>
          <w:rFonts w:ascii="Times New Roman" w:eastAsia="宋体" w:hAnsi="Times New Roman"/>
          <w:color w:val="000000"/>
          <w:sz w:val="20"/>
          <w:szCs w:val="20"/>
        </w:rPr>
        <w:t>re cash flows, growth rates and economic and market conditions. These evaluations are based on determining the fair value of a reporting unit or asset using a valuation method such as discounted cash flow or a relative, market-based approach. Historically,</w:t>
      </w:r>
      <w:r>
        <w:rPr>
          <w:rFonts w:ascii="Times New Roman" w:eastAsia="宋体" w:hAnsi="Times New Roman"/>
          <w:color w:val="000000"/>
          <w:sz w:val="20"/>
          <w:szCs w:val="20"/>
        </w:rPr>
        <w:t xml:space="preserve"> our reporting units have generated sufficient returns to recover the cost of goodwill, as the fair value significantly exceeded the carrying value. Our indefinite-lived acquired intangible assets have also historically generated sufficient returns to reco</w:t>
      </w:r>
      <w:r>
        <w:rPr>
          <w:rFonts w:ascii="Times New Roman" w:eastAsia="宋体" w:hAnsi="Times New Roman"/>
          <w:color w:val="000000"/>
          <w:sz w:val="20"/>
          <w:szCs w:val="20"/>
        </w:rPr>
        <w:t>ver their cost. Because of the nature of the factors used in these tests, if different conditions occur in future periods, future operating results could be materially impacted. Due to certain strategic restructuring decisions, we recorded approximately $0</w:t>
      </w:r>
      <w:r>
        <w:rPr>
          <w:rFonts w:ascii="Times New Roman" w:eastAsia="宋体" w:hAnsi="Times New Roman"/>
          <w:color w:val="000000"/>
          <w:sz w:val="20"/>
          <w:szCs w:val="20"/>
        </w:rPr>
        <w:t>.7 billion in impairment in fiscal 2020 related to acquired trade names and acquired developed software.</w:t>
      </w:r>
    </w:p>
    <w:p w14:paraId="35D0A027" w14:textId="77777777" w:rsidR="00D42204" w:rsidRDefault="004E439D">
      <w:pPr>
        <w:spacing w:before="180" w:after="120"/>
      </w:pPr>
      <w:r>
        <w:rPr>
          <w:rFonts w:ascii="Times New Roman" w:eastAsia="宋体" w:hAnsi="Times New Roman"/>
          <w:b/>
          <w:bCs/>
          <w:i/>
          <w:iCs/>
          <w:color w:val="000000"/>
          <w:sz w:val="20"/>
          <w:szCs w:val="20"/>
        </w:rPr>
        <w:t>Contingencies</w:t>
      </w:r>
    </w:p>
    <w:p w14:paraId="35D0A028" w14:textId="77777777" w:rsidR="00D42204" w:rsidRDefault="004E439D">
      <w:r>
        <w:rPr>
          <w:rFonts w:ascii="Times New Roman" w:eastAsia="宋体" w:hAnsi="Times New Roman"/>
          <w:color w:val="000000"/>
          <w:sz w:val="20"/>
          <w:szCs w:val="20"/>
        </w:rPr>
        <w:t xml:space="preserve">We are involved in a number of legal proceedings. We record a liability when it is probable that a loss has been incurred and the amount </w:t>
      </w:r>
      <w:r>
        <w:rPr>
          <w:rFonts w:ascii="Times New Roman" w:eastAsia="宋体" w:hAnsi="Times New Roman"/>
          <w:color w:val="000000"/>
          <w:sz w:val="20"/>
          <w:szCs w:val="20"/>
        </w:rPr>
        <w:t>is reasonably estimable. We also perform an assessment of the materiality of loss contingencies where a loss is either not probable or it is reasonably possible that a loss could be incurred in excess of amounts accrued. If a loss or an additional loss has</w:t>
      </w:r>
      <w:r>
        <w:rPr>
          <w:rFonts w:ascii="Times New Roman" w:eastAsia="宋体" w:hAnsi="Times New Roman"/>
          <w:color w:val="000000"/>
          <w:sz w:val="20"/>
          <w:szCs w:val="20"/>
        </w:rPr>
        <w:t xml:space="preserve"> at least a reasonable possibility of occurring and the impact on the financial statements would be material, we provide disclosure of the loss contingency in the footnotes to our financial statements. We review all contingencies at least quarterly to dete</w:t>
      </w:r>
      <w:r>
        <w:rPr>
          <w:rFonts w:ascii="Times New Roman" w:eastAsia="宋体" w:hAnsi="Times New Roman"/>
          <w:color w:val="000000"/>
          <w:sz w:val="20"/>
          <w:szCs w:val="20"/>
        </w:rPr>
        <w:t>rmine whether the likelihood of loss has changed and to assess whether a reasonable estimate of the loss or the range of the loss can be made. Although we are not able to predict the outcome or reasonably estimate a range of possible losses in certain matt</w:t>
      </w:r>
      <w:r>
        <w:rPr>
          <w:rFonts w:ascii="Times New Roman" w:eastAsia="宋体" w:hAnsi="Times New Roman"/>
          <w:color w:val="000000"/>
          <w:sz w:val="20"/>
          <w:szCs w:val="20"/>
        </w:rPr>
        <w:t xml:space="preserve">ers described in </w:t>
      </w:r>
      <w:hyperlink r:id="rId122" w:anchor="i1ba69ebb72ec48f9b754a5e96c4cdf3f_184" w:history="1">
        <w:r>
          <w:rPr>
            <w:rStyle w:val="a5"/>
            <w:rFonts w:ascii="Times New Roman" w:eastAsia="宋体" w:hAnsi="Times New Roman"/>
            <w:sz w:val="20"/>
            <w:szCs w:val="20"/>
          </w:rPr>
          <w:t>Note 10</w:t>
        </w:r>
      </w:hyperlink>
      <w:r>
        <w:rPr>
          <w:rFonts w:ascii="Times New Roman" w:eastAsia="宋体" w:hAnsi="Times New Roman"/>
          <w:color w:val="000000"/>
          <w:sz w:val="20"/>
          <w:szCs w:val="20"/>
        </w:rPr>
        <w:t xml:space="preserve"> to our Consolidated Financial Statements and have not recorded an associated </w:t>
      </w:r>
      <w:r>
        <w:rPr>
          <w:rFonts w:ascii="Times New Roman" w:eastAsia="宋体" w:hAnsi="Times New Roman"/>
          <w:color w:val="000000"/>
          <w:sz w:val="20"/>
          <w:szCs w:val="20"/>
        </w:rPr>
        <w:t>accrual related to these matters, an adverse judgment or negotiated resolution in any of these matters could have a material adverse effect on our business, reputation, financial position, results of operations or cash flows.</w:t>
      </w:r>
    </w:p>
    <w:p w14:paraId="35D0A029" w14:textId="77777777" w:rsidR="00D42204" w:rsidRDefault="004E439D">
      <w:pPr>
        <w:jc w:val="center"/>
      </w:pPr>
      <w:r>
        <w:rPr>
          <w:rFonts w:ascii="Times New Roman" w:eastAsia="宋体" w:hAnsi="Times New Roman"/>
          <w:color w:val="000000"/>
          <w:sz w:val="20"/>
          <w:szCs w:val="20"/>
        </w:rPr>
        <w:t>46</w:t>
      </w:r>
    </w:p>
    <w:p w14:paraId="35D0A02A" w14:textId="77777777" w:rsidR="00D42204" w:rsidRDefault="004E439D">
      <w:r>
        <w:pict w14:anchorId="35D0C389">
          <v:rect id="_x0000_i1070" style="width:415.3pt;height:1.5pt" o:hralign="center" o:hrstd="t" o:hr="t" fillcolor="#a0a0a0" stroked="f"/>
        </w:pict>
      </w:r>
    </w:p>
    <w:p w14:paraId="35D0A02B" w14:textId="77777777" w:rsidR="00D42204" w:rsidRDefault="00D42204"/>
    <w:p w14:paraId="35D0A02C" w14:textId="77777777" w:rsidR="00D42204" w:rsidRDefault="004E439D">
      <w:pPr>
        <w:spacing w:before="180"/>
      </w:pPr>
      <w:r>
        <w:rPr>
          <w:rFonts w:ascii="Times New Roman" w:eastAsia="宋体" w:hAnsi="Times New Roman"/>
          <w:b/>
          <w:bCs/>
          <w:i/>
          <w:iCs/>
          <w:color w:val="000000"/>
          <w:sz w:val="20"/>
          <w:szCs w:val="20"/>
        </w:rPr>
        <w:t>Income Taxes</w:t>
      </w:r>
    </w:p>
    <w:p w14:paraId="35D0A02D" w14:textId="77777777" w:rsidR="00D42204" w:rsidRDefault="004E439D">
      <w:pPr>
        <w:spacing w:before="100"/>
      </w:pPr>
      <w:r>
        <w:rPr>
          <w:rFonts w:ascii="Times New Roman" w:eastAsia="宋体" w:hAnsi="Times New Roman"/>
          <w:color w:val="000000"/>
          <w:sz w:val="20"/>
          <w:szCs w:val="20"/>
        </w:rPr>
        <w:t>Income taxes have a significant effect on our net earnings. We are subject to income taxes in the U.S. and numerous foreign jurisdictions. Accordingly, the determination of our provision for income taxes requires judgment, the use of estimates in certain c</w:t>
      </w:r>
      <w:r>
        <w:rPr>
          <w:rFonts w:ascii="Times New Roman" w:eastAsia="宋体" w:hAnsi="Times New Roman"/>
          <w:color w:val="000000"/>
          <w:sz w:val="20"/>
          <w:szCs w:val="20"/>
        </w:rPr>
        <w:t>ases and the interpretation and application of complex tax laws. Our effective income tax rate is affected by many factors, including changes in our assessment of certain tax contingencies, increases and decreases in valuation allowances, changes in tax la</w:t>
      </w:r>
      <w:r>
        <w:rPr>
          <w:rFonts w:ascii="Times New Roman" w:eastAsia="宋体" w:hAnsi="Times New Roman"/>
          <w:color w:val="000000"/>
          <w:sz w:val="20"/>
          <w:szCs w:val="20"/>
        </w:rPr>
        <w:t>w, outcomes of administrative audits, the impact of discrete items and the mix of earnings among our U.S. and international operations where the statutory rates are generally higher than the U.S. statutory rate, and may fluctuate as a result.</w:t>
      </w:r>
    </w:p>
    <w:p w14:paraId="35D0A02E" w14:textId="77777777" w:rsidR="00D42204" w:rsidRDefault="004E439D">
      <w:pPr>
        <w:spacing w:before="100"/>
      </w:pPr>
      <w:r>
        <w:rPr>
          <w:rFonts w:ascii="Times New Roman" w:eastAsia="宋体" w:hAnsi="Times New Roman"/>
          <w:color w:val="000000"/>
          <w:sz w:val="20"/>
          <w:szCs w:val="20"/>
        </w:rPr>
        <w:t>Our tax retur</w:t>
      </w:r>
      <w:r>
        <w:rPr>
          <w:rFonts w:ascii="Times New Roman" w:eastAsia="宋体" w:hAnsi="Times New Roman"/>
          <w:color w:val="000000"/>
          <w:sz w:val="20"/>
          <w:szCs w:val="20"/>
        </w:rPr>
        <w:t>ns are routinely audited and settlements of issues raised in these audits sometimes affect our tax provisions. The benefits of uncertain tax positions are recorded in our financial statements only after determining a more likely than not probability that t</w:t>
      </w:r>
      <w:r>
        <w:rPr>
          <w:rFonts w:ascii="Times New Roman" w:eastAsia="宋体" w:hAnsi="Times New Roman"/>
          <w:color w:val="000000"/>
          <w:sz w:val="20"/>
          <w:szCs w:val="20"/>
        </w:rPr>
        <w:t>he uncertain tax positions will withstand challenge, if any, from taxing authorities. When facts and circumstances change, we reassess these probabilities and record any changes in the financial statements as appropriate. We account for uncertain tax posit</w:t>
      </w:r>
      <w:r>
        <w:rPr>
          <w:rFonts w:ascii="Times New Roman" w:eastAsia="宋体" w:hAnsi="Times New Roman"/>
          <w:color w:val="000000"/>
          <w:sz w:val="20"/>
          <w:szCs w:val="20"/>
        </w:rPr>
        <w:t xml:space="preserve">ions by determining the minimum recognition threshold that a tax position is required to meet before being recognized in the financial statements. This determination requires the use of judgment in evaluating our tax positions and assessing the timing and </w:t>
      </w:r>
      <w:r>
        <w:rPr>
          <w:rFonts w:ascii="Times New Roman" w:eastAsia="宋体" w:hAnsi="Times New Roman"/>
          <w:color w:val="000000"/>
          <w:sz w:val="20"/>
          <w:szCs w:val="20"/>
        </w:rPr>
        <w:t>amounts of deductible and taxable items.</w:t>
      </w:r>
    </w:p>
    <w:p w14:paraId="35D0A02F" w14:textId="77777777" w:rsidR="00D42204" w:rsidRDefault="004E439D">
      <w:pPr>
        <w:spacing w:before="100"/>
      </w:pPr>
      <w:r>
        <w:rPr>
          <w:rFonts w:ascii="Times New Roman" w:eastAsia="宋体" w:hAnsi="Times New Roman"/>
          <w:color w:val="000000"/>
          <w:sz w:val="20"/>
          <w:szCs w:val="20"/>
        </w:rPr>
        <w:t>Deferred tax assets represent amounts available to reduce income taxes payable on taxable income in future years. Such assets arise because of temporary differences between the financial reporting and tax bases of a</w:t>
      </w:r>
      <w:r>
        <w:rPr>
          <w:rFonts w:ascii="Times New Roman" w:eastAsia="宋体" w:hAnsi="Times New Roman"/>
          <w:color w:val="000000"/>
          <w:sz w:val="20"/>
          <w:szCs w:val="20"/>
        </w:rPr>
        <w:t>ssets and liabilities, as well as from net operating loss and tax credit carryforwards. Deferred tax assets are evaluated for future realization and reduced by a valuation allowance to the extent that a portion is not more likely than not to be realized. M</w:t>
      </w:r>
      <w:r>
        <w:rPr>
          <w:rFonts w:ascii="Times New Roman" w:eastAsia="宋体" w:hAnsi="Times New Roman"/>
          <w:color w:val="000000"/>
          <w:sz w:val="20"/>
          <w:szCs w:val="20"/>
        </w:rPr>
        <w:t>any factors are considered when assessing whether it is more likely than not that the deferred tax assets will be realized, including recent cumulative earnings, expectations of future taxable income, carryforward periods and other relevant quantitative an</w:t>
      </w:r>
      <w:r>
        <w:rPr>
          <w:rFonts w:ascii="Times New Roman" w:eastAsia="宋体" w:hAnsi="Times New Roman"/>
          <w:color w:val="000000"/>
          <w:sz w:val="20"/>
          <w:szCs w:val="20"/>
        </w:rPr>
        <w:t>d qualitative factors. The recoverability of the deferred tax assets is evaluated by assessing the adequacy of future expected taxable income from all sources, including reversal of taxable temporary differences, forecasted operating earnings and available</w:t>
      </w:r>
      <w:r>
        <w:rPr>
          <w:rFonts w:ascii="Times New Roman" w:eastAsia="宋体" w:hAnsi="Times New Roman"/>
          <w:color w:val="000000"/>
          <w:sz w:val="20"/>
          <w:szCs w:val="20"/>
        </w:rPr>
        <w:t xml:space="preserve"> tax planning strategies. This evaluation relies on estimates.</w:t>
      </w:r>
    </w:p>
    <w:p w14:paraId="35D0A030" w14:textId="77777777" w:rsidR="00D42204" w:rsidRDefault="004E439D">
      <w:pPr>
        <w:spacing w:before="100"/>
      </w:pPr>
      <w:r>
        <w:rPr>
          <w:rFonts w:ascii="Times New Roman" w:eastAsia="宋体" w:hAnsi="Times New Roman"/>
          <w:color w:val="000000"/>
          <w:sz w:val="20"/>
          <w:szCs w:val="20"/>
        </w:rPr>
        <w:t>As guidance is issued by the U.S. Treasury Department, the IRS, and other standard-setting bodies, any resulting changes to our estimates will be treated in accordance with the relevant account</w:t>
      </w:r>
      <w:r>
        <w:rPr>
          <w:rFonts w:ascii="Times New Roman" w:eastAsia="宋体" w:hAnsi="Times New Roman"/>
          <w:color w:val="000000"/>
          <w:sz w:val="20"/>
          <w:szCs w:val="20"/>
        </w:rPr>
        <w:t xml:space="preserve">ing guidance. </w:t>
      </w:r>
    </w:p>
    <w:tbl>
      <w:tblPr>
        <w:tblW w:w="4993" w:type="pct"/>
        <w:tblCellMar>
          <w:top w:w="15" w:type="dxa"/>
          <w:left w:w="15" w:type="dxa"/>
          <w:bottom w:w="15" w:type="dxa"/>
          <w:right w:w="15" w:type="dxa"/>
        </w:tblCellMar>
        <w:tblLook w:val="04A0" w:firstRow="1" w:lastRow="0" w:firstColumn="1" w:lastColumn="0" w:noHBand="0" w:noVBand="1"/>
      </w:tblPr>
      <w:tblGrid>
        <w:gridCol w:w="84"/>
        <w:gridCol w:w="826"/>
        <w:gridCol w:w="36"/>
        <w:gridCol w:w="53"/>
        <w:gridCol w:w="7289"/>
        <w:gridCol w:w="36"/>
      </w:tblGrid>
      <w:tr w:rsidR="00D42204" w14:paraId="35D0A037" w14:textId="77777777">
        <w:tc>
          <w:tcPr>
            <w:tcW w:w="50" w:type="pct"/>
            <w:shd w:val="clear" w:color="auto" w:fill="auto"/>
            <w:vAlign w:val="bottom"/>
          </w:tcPr>
          <w:p w14:paraId="35D0A031" w14:textId="77777777" w:rsidR="00D42204" w:rsidRDefault="00D42204">
            <w:pPr>
              <w:rPr>
                <w:rFonts w:ascii="宋体"/>
              </w:rPr>
            </w:pPr>
          </w:p>
        </w:tc>
        <w:tc>
          <w:tcPr>
            <w:tcW w:w="494" w:type="pct"/>
            <w:shd w:val="clear" w:color="auto" w:fill="auto"/>
            <w:vAlign w:val="bottom"/>
          </w:tcPr>
          <w:p w14:paraId="35D0A032" w14:textId="77777777" w:rsidR="00D42204" w:rsidRDefault="00D42204">
            <w:pPr>
              <w:rPr>
                <w:rFonts w:ascii="宋体"/>
              </w:rPr>
            </w:pPr>
          </w:p>
        </w:tc>
        <w:tc>
          <w:tcPr>
            <w:tcW w:w="5" w:type="pct"/>
            <w:shd w:val="clear" w:color="auto" w:fill="auto"/>
            <w:vAlign w:val="bottom"/>
          </w:tcPr>
          <w:p w14:paraId="35D0A033" w14:textId="77777777" w:rsidR="00D42204" w:rsidRDefault="00D42204">
            <w:pPr>
              <w:rPr>
                <w:rFonts w:ascii="宋体"/>
              </w:rPr>
            </w:pPr>
          </w:p>
        </w:tc>
        <w:tc>
          <w:tcPr>
            <w:tcW w:w="50" w:type="pct"/>
            <w:shd w:val="clear" w:color="auto" w:fill="auto"/>
            <w:vAlign w:val="bottom"/>
          </w:tcPr>
          <w:p w14:paraId="35D0A034" w14:textId="77777777" w:rsidR="00D42204" w:rsidRDefault="00D42204">
            <w:pPr>
              <w:rPr>
                <w:rFonts w:ascii="宋体"/>
              </w:rPr>
            </w:pPr>
          </w:p>
        </w:tc>
        <w:tc>
          <w:tcPr>
            <w:tcW w:w="4396" w:type="pct"/>
            <w:shd w:val="clear" w:color="auto" w:fill="auto"/>
            <w:vAlign w:val="bottom"/>
          </w:tcPr>
          <w:p w14:paraId="35D0A035" w14:textId="77777777" w:rsidR="00D42204" w:rsidRDefault="00D42204">
            <w:pPr>
              <w:rPr>
                <w:rFonts w:ascii="宋体"/>
              </w:rPr>
            </w:pPr>
          </w:p>
        </w:tc>
        <w:tc>
          <w:tcPr>
            <w:tcW w:w="5" w:type="pct"/>
            <w:shd w:val="clear" w:color="auto" w:fill="auto"/>
            <w:vAlign w:val="bottom"/>
          </w:tcPr>
          <w:p w14:paraId="35D0A036" w14:textId="77777777" w:rsidR="00D42204" w:rsidRDefault="00D42204">
            <w:pPr>
              <w:rPr>
                <w:rFonts w:ascii="宋体"/>
              </w:rPr>
            </w:pPr>
          </w:p>
        </w:tc>
      </w:tr>
      <w:tr w:rsidR="00D42204" w14:paraId="35D0A03A" w14:textId="77777777">
        <w:tc>
          <w:tcPr>
            <w:tcW w:w="0" w:type="auto"/>
            <w:gridSpan w:val="3"/>
            <w:shd w:val="clear" w:color="auto" w:fill="auto"/>
            <w:tcMar>
              <w:top w:w="40" w:type="dxa"/>
              <w:left w:w="20" w:type="dxa"/>
              <w:bottom w:w="40" w:type="dxa"/>
              <w:right w:w="20" w:type="dxa"/>
            </w:tcMar>
          </w:tcPr>
          <w:p w14:paraId="35D0A038" w14:textId="77777777" w:rsidR="00D42204" w:rsidRDefault="004E439D">
            <w:pPr>
              <w:textAlignment w:val="top"/>
            </w:pPr>
            <w:r>
              <w:rPr>
                <w:rFonts w:ascii="Times New Roman" w:eastAsia="宋体" w:hAnsi="Times New Roman"/>
                <w:b/>
                <w:bCs/>
                <w:color w:val="000000"/>
                <w:sz w:val="20"/>
                <w:szCs w:val="20"/>
                <w:u w:val="single"/>
              </w:rPr>
              <w:t>ITEM 7A.</w:t>
            </w:r>
          </w:p>
        </w:tc>
        <w:tc>
          <w:tcPr>
            <w:tcW w:w="0" w:type="auto"/>
            <w:gridSpan w:val="3"/>
            <w:shd w:val="clear" w:color="auto" w:fill="auto"/>
            <w:tcMar>
              <w:top w:w="40" w:type="dxa"/>
              <w:left w:w="20" w:type="dxa"/>
              <w:bottom w:w="40" w:type="dxa"/>
              <w:right w:w="20" w:type="dxa"/>
            </w:tcMar>
          </w:tcPr>
          <w:p w14:paraId="35D0A039" w14:textId="77777777" w:rsidR="00D42204" w:rsidRDefault="004E439D">
            <w:pPr>
              <w:textAlignment w:val="top"/>
            </w:pPr>
            <w:r>
              <w:rPr>
                <w:rFonts w:ascii="Times New Roman" w:eastAsia="宋体" w:hAnsi="Times New Roman"/>
                <w:b/>
                <w:bCs/>
                <w:color w:val="000000"/>
                <w:sz w:val="20"/>
                <w:szCs w:val="20"/>
                <w:u w:val="single"/>
              </w:rPr>
              <w:t>QUANTITATIVE AND QUALITATIVE DISCLOSURES ABOUT MARKET RISK</w:t>
            </w:r>
          </w:p>
        </w:tc>
      </w:tr>
    </w:tbl>
    <w:p w14:paraId="35D0A03B" w14:textId="77777777" w:rsidR="00D42204" w:rsidRDefault="004E439D">
      <w:r>
        <w:rPr>
          <w:rFonts w:ascii="Times New Roman" w:eastAsia="宋体" w:hAnsi="Times New Roman"/>
          <w:b/>
          <w:bCs/>
          <w:color w:val="000000"/>
          <w:sz w:val="20"/>
          <w:szCs w:val="20"/>
        </w:rPr>
        <w:t>Market Risk</w:t>
      </w:r>
    </w:p>
    <w:p w14:paraId="35D0A03C" w14:textId="77777777" w:rsidR="00D42204" w:rsidRDefault="004E439D">
      <w:pPr>
        <w:spacing w:before="100"/>
      </w:pPr>
      <w:r>
        <w:rPr>
          <w:rFonts w:ascii="Times New Roman" w:eastAsia="宋体" w:hAnsi="Times New Roman"/>
          <w:color w:val="000000"/>
          <w:sz w:val="20"/>
          <w:szCs w:val="20"/>
        </w:rPr>
        <w:t xml:space="preserve">In addition to the risks inherent in our operations, we are exposed to certain market risks, including changes in interest rates, currency </w:t>
      </w:r>
      <w:r>
        <w:rPr>
          <w:rFonts w:ascii="Times New Roman" w:eastAsia="宋体" w:hAnsi="Times New Roman"/>
          <w:color w:val="000000"/>
          <w:sz w:val="20"/>
          <w:szCs w:val="20"/>
        </w:rPr>
        <w:t>exchange rates and the fair value of certain equity investments.</w:t>
      </w:r>
    </w:p>
    <w:p w14:paraId="35D0A03D" w14:textId="77777777" w:rsidR="00D42204" w:rsidRDefault="004E439D">
      <w:pPr>
        <w:spacing w:before="100"/>
      </w:pPr>
      <w:r>
        <w:rPr>
          <w:rFonts w:ascii="Times New Roman" w:eastAsia="宋体" w:hAnsi="Times New Roman"/>
          <w:color w:val="000000"/>
          <w:sz w:val="20"/>
          <w:szCs w:val="20"/>
        </w:rPr>
        <w:t>The analysis presented below for each of our market risk sensitive instruments is based on a hypothetical scenario used to calibrate potential risk and does not represent our view of future m</w:t>
      </w:r>
      <w:r>
        <w:rPr>
          <w:rFonts w:ascii="Times New Roman" w:eastAsia="宋体" w:hAnsi="Times New Roman"/>
          <w:color w:val="000000"/>
          <w:sz w:val="20"/>
          <w:szCs w:val="20"/>
        </w:rPr>
        <w:t>arket changes. The effect of a change in a particular assumption is calculated without adjusting any other assumption. In reality, however, a change in one factor could cause a change in another, which may magnify or negate other sensitivities.</w:t>
      </w:r>
    </w:p>
    <w:p w14:paraId="35D0A03E" w14:textId="77777777" w:rsidR="00D42204" w:rsidRDefault="004E439D">
      <w:pPr>
        <w:spacing w:before="180"/>
      </w:pPr>
      <w:r>
        <w:rPr>
          <w:rFonts w:ascii="Times New Roman" w:eastAsia="宋体" w:hAnsi="Times New Roman"/>
          <w:i/>
          <w:iCs/>
          <w:color w:val="000000"/>
          <w:sz w:val="20"/>
          <w:szCs w:val="20"/>
        </w:rPr>
        <w:t>Interest Rate Risk</w:t>
      </w:r>
    </w:p>
    <w:p w14:paraId="35D0A03F" w14:textId="77777777" w:rsidR="00D42204" w:rsidRDefault="004E439D">
      <w:pPr>
        <w:spacing w:before="100"/>
      </w:pPr>
      <w:r>
        <w:rPr>
          <w:rFonts w:ascii="Times New Roman" w:eastAsia="宋体" w:hAnsi="Times New Roman"/>
          <w:color w:val="000000"/>
          <w:sz w:val="20"/>
          <w:szCs w:val="20"/>
        </w:rPr>
        <w:t xml:space="preserve">We are exposed to changes in interest rates as a result of our short-term borrowings and long-term debt. We hedge a portion of our interest rate risk by managing the mix of fixed and variable rate debt and by entering into interest rate </w:t>
      </w:r>
      <w:r>
        <w:rPr>
          <w:rFonts w:ascii="Times New Roman" w:eastAsia="宋体" w:hAnsi="Times New Roman"/>
          <w:color w:val="000000"/>
          <w:sz w:val="20"/>
          <w:szCs w:val="20"/>
        </w:rPr>
        <w:t xml:space="preserve">swaps. For fiscal 2022, the net fair value of our interest rate swaps decreased $0.2 billion primarily due to fluctuations in market interest rates. </w:t>
      </w:r>
    </w:p>
    <w:p w14:paraId="35D0A040" w14:textId="77777777" w:rsidR="00D42204" w:rsidRDefault="004E439D">
      <w:pPr>
        <w:spacing w:before="100"/>
      </w:pPr>
      <w:r>
        <w:rPr>
          <w:rFonts w:ascii="Times New Roman" w:eastAsia="宋体" w:hAnsi="Times New Roman"/>
          <w:color w:val="000000"/>
          <w:sz w:val="20"/>
          <w:szCs w:val="20"/>
        </w:rPr>
        <w:t>The table below provides information about our financial instruments that are sensitive to changes in inte</w:t>
      </w:r>
      <w:r>
        <w:rPr>
          <w:rFonts w:ascii="Times New Roman" w:eastAsia="宋体" w:hAnsi="Times New Roman"/>
          <w:color w:val="000000"/>
          <w:sz w:val="20"/>
          <w:szCs w:val="20"/>
        </w:rPr>
        <w:t>rest rates. For long-term debt, the table represents the principal cash flows and related weighted-average interest rates by expected maturity dates. For interest rate swaps, the table represents the contractual cash flows and weighted-average interest rat</w:t>
      </w:r>
      <w:r>
        <w:rPr>
          <w:rFonts w:ascii="Times New Roman" w:eastAsia="宋体" w:hAnsi="Times New Roman"/>
          <w:color w:val="000000"/>
          <w:sz w:val="20"/>
          <w:szCs w:val="20"/>
        </w:rPr>
        <w:t>es by the contractual maturity date, unless otherwise noted. The notional amounts are used to calculate contractual cash flows to be exchanged under the contracts. The weighted-average variable rates are based upon prevailing market rates as of January 31,</w:t>
      </w:r>
      <w:r>
        <w:rPr>
          <w:rFonts w:ascii="Times New Roman" w:eastAsia="宋体" w:hAnsi="Times New Roman"/>
          <w:color w:val="000000"/>
          <w:sz w:val="20"/>
          <w:szCs w:val="20"/>
        </w:rPr>
        <w:t xml:space="preserve"> 2022.</w:t>
      </w:r>
    </w:p>
    <w:p w14:paraId="35D0A041" w14:textId="77777777" w:rsidR="00D42204" w:rsidRDefault="004E439D">
      <w:pPr>
        <w:jc w:val="center"/>
      </w:pPr>
      <w:r>
        <w:rPr>
          <w:rFonts w:ascii="Times New Roman" w:eastAsia="宋体" w:hAnsi="Times New Roman"/>
          <w:color w:val="000000"/>
          <w:sz w:val="20"/>
          <w:szCs w:val="20"/>
        </w:rPr>
        <w:t>47</w:t>
      </w:r>
    </w:p>
    <w:p w14:paraId="35D0A042" w14:textId="77777777" w:rsidR="00D42204" w:rsidRDefault="004E439D">
      <w:r>
        <w:pict w14:anchorId="35D0C38A">
          <v:rect id="_x0000_i1071" style="width:415.3pt;height:1.5pt" o:hralign="center" o:hrstd="t" o:hr="t" fillcolor="#a0a0a0" stroked="f"/>
        </w:pict>
      </w:r>
    </w:p>
    <w:p w14:paraId="35D0A043" w14:textId="77777777" w:rsidR="00D42204" w:rsidRDefault="00D42204"/>
    <w:tbl>
      <w:tblPr>
        <w:tblW w:w="5000" w:type="pct"/>
        <w:tblCellMar>
          <w:top w:w="15" w:type="dxa"/>
          <w:left w:w="15" w:type="dxa"/>
          <w:bottom w:w="15" w:type="dxa"/>
          <w:right w:w="15" w:type="dxa"/>
        </w:tblCellMar>
        <w:tblLook w:val="04A0" w:firstRow="1" w:lastRow="0" w:firstColumn="1" w:lastColumn="0" w:noHBand="0" w:noVBand="1"/>
      </w:tblPr>
      <w:tblGrid>
        <w:gridCol w:w="52"/>
        <w:gridCol w:w="2250"/>
        <w:gridCol w:w="39"/>
        <w:gridCol w:w="36"/>
        <w:gridCol w:w="36"/>
        <w:gridCol w:w="36"/>
        <w:gridCol w:w="100"/>
        <w:gridCol w:w="457"/>
        <w:gridCol w:w="154"/>
        <w:gridCol w:w="36"/>
        <w:gridCol w:w="36"/>
        <w:gridCol w:w="36"/>
        <w:gridCol w:w="100"/>
        <w:gridCol w:w="458"/>
        <w:gridCol w:w="154"/>
        <w:gridCol w:w="36"/>
        <w:gridCol w:w="36"/>
        <w:gridCol w:w="36"/>
        <w:gridCol w:w="100"/>
        <w:gridCol w:w="460"/>
        <w:gridCol w:w="154"/>
        <w:gridCol w:w="36"/>
        <w:gridCol w:w="36"/>
        <w:gridCol w:w="36"/>
        <w:gridCol w:w="100"/>
        <w:gridCol w:w="460"/>
        <w:gridCol w:w="154"/>
        <w:gridCol w:w="36"/>
        <w:gridCol w:w="36"/>
        <w:gridCol w:w="36"/>
        <w:gridCol w:w="100"/>
        <w:gridCol w:w="460"/>
        <w:gridCol w:w="154"/>
        <w:gridCol w:w="36"/>
        <w:gridCol w:w="36"/>
        <w:gridCol w:w="36"/>
        <w:gridCol w:w="101"/>
        <w:gridCol w:w="685"/>
        <w:gridCol w:w="154"/>
        <w:gridCol w:w="36"/>
        <w:gridCol w:w="36"/>
        <w:gridCol w:w="36"/>
        <w:gridCol w:w="100"/>
        <w:gridCol w:w="480"/>
        <w:gridCol w:w="154"/>
      </w:tblGrid>
      <w:tr w:rsidR="00D42204" w14:paraId="35D0A071" w14:textId="77777777">
        <w:tc>
          <w:tcPr>
            <w:tcW w:w="50" w:type="pct"/>
            <w:shd w:val="clear" w:color="auto" w:fill="auto"/>
            <w:vAlign w:val="bottom"/>
          </w:tcPr>
          <w:p w14:paraId="35D0A044" w14:textId="77777777" w:rsidR="00D42204" w:rsidRDefault="00D42204">
            <w:pPr>
              <w:rPr>
                <w:rFonts w:ascii="宋体"/>
              </w:rPr>
            </w:pPr>
          </w:p>
        </w:tc>
        <w:tc>
          <w:tcPr>
            <w:tcW w:w="1465" w:type="pct"/>
            <w:shd w:val="clear" w:color="auto" w:fill="auto"/>
            <w:vAlign w:val="bottom"/>
          </w:tcPr>
          <w:p w14:paraId="35D0A045" w14:textId="77777777" w:rsidR="00D42204" w:rsidRDefault="00D42204">
            <w:pPr>
              <w:rPr>
                <w:rFonts w:ascii="宋体"/>
              </w:rPr>
            </w:pPr>
          </w:p>
        </w:tc>
        <w:tc>
          <w:tcPr>
            <w:tcW w:w="5" w:type="pct"/>
            <w:shd w:val="clear" w:color="auto" w:fill="auto"/>
            <w:vAlign w:val="bottom"/>
          </w:tcPr>
          <w:p w14:paraId="35D0A046" w14:textId="77777777" w:rsidR="00D42204" w:rsidRDefault="00D42204">
            <w:pPr>
              <w:rPr>
                <w:rFonts w:ascii="宋体"/>
              </w:rPr>
            </w:pPr>
          </w:p>
        </w:tc>
        <w:tc>
          <w:tcPr>
            <w:tcW w:w="5" w:type="pct"/>
            <w:shd w:val="clear" w:color="auto" w:fill="auto"/>
            <w:vAlign w:val="bottom"/>
          </w:tcPr>
          <w:p w14:paraId="35D0A047" w14:textId="77777777" w:rsidR="00D42204" w:rsidRDefault="00D42204">
            <w:pPr>
              <w:rPr>
                <w:rFonts w:ascii="宋体"/>
              </w:rPr>
            </w:pPr>
          </w:p>
        </w:tc>
        <w:tc>
          <w:tcPr>
            <w:tcW w:w="26" w:type="pct"/>
            <w:shd w:val="clear" w:color="auto" w:fill="auto"/>
            <w:vAlign w:val="bottom"/>
          </w:tcPr>
          <w:p w14:paraId="35D0A048" w14:textId="77777777" w:rsidR="00D42204" w:rsidRDefault="00D42204">
            <w:pPr>
              <w:rPr>
                <w:rFonts w:ascii="宋体"/>
              </w:rPr>
            </w:pPr>
          </w:p>
        </w:tc>
        <w:tc>
          <w:tcPr>
            <w:tcW w:w="5" w:type="pct"/>
            <w:shd w:val="clear" w:color="auto" w:fill="auto"/>
            <w:vAlign w:val="bottom"/>
          </w:tcPr>
          <w:p w14:paraId="35D0A049" w14:textId="77777777" w:rsidR="00D42204" w:rsidRDefault="00D42204">
            <w:pPr>
              <w:rPr>
                <w:rFonts w:ascii="宋体"/>
              </w:rPr>
            </w:pPr>
          </w:p>
        </w:tc>
        <w:tc>
          <w:tcPr>
            <w:tcW w:w="50" w:type="pct"/>
            <w:shd w:val="clear" w:color="auto" w:fill="auto"/>
            <w:vAlign w:val="bottom"/>
          </w:tcPr>
          <w:p w14:paraId="35D0A04A" w14:textId="77777777" w:rsidR="00D42204" w:rsidRDefault="00D42204">
            <w:pPr>
              <w:rPr>
                <w:rFonts w:ascii="宋体"/>
              </w:rPr>
            </w:pPr>
          </w:p>
        </w:tc>
        <w:tc>
          <w:tcPr>
            <w:tcW w:w="405" w:type="pct"/>
            <w:shd w:val="clear" w:color="auto" w:fill="auto"/>
            <w:vAlign w:val="bottom"/>
          </w:tcPr>
          <w:p w14:paraId="35D0A04B" w14:textId="77777777" w:rsidR="00D42204" w:rsidRDefault="00D42204">
            <w:pPr>
              <w:rPr>
                <w:rFonts w:ascii="宋体"/>
              </w:rPr>
            </w:pPr>
          </w:p>
        </w:tc>
        <w:tc>
          <w:tcPr>
            <w:tcW w:w="5" w:type="pct"/>
            <w:shd w:val="clear" w:color="auto" w:fill="auto"/>
            <w:vAlign w:val="bottom"/>
          </w:tcPr>
          <w:p w14:paraId="35D0A04C" w14:textId="77777777" w:rsidR="00D42204" w:rsidRDefault="00D42204">
            <w:pPr>
              <w:rPr>
                <w:rFonts w:ascii="宋体"/>
              </w:rPr>
            </w:pPr>
          </w:p>
        </w:tc>
        <w:tc>
          <w:tcPr>
            <w:tcW w:w="5" w:type="pct"/>
            <w:shd w:val="clear" w:color="auto" w:fill="auto"/>
            <w:vAlign w:val="bottom"/>
          </w:tcPr>
          <w:p w14:paraId="35D0A04D" w14:textId="77777777" w:rsidR="00D42204" w:rsidRDefault="00D42204">
            <w:pPr>
              <w:rPr>
                <w:rFonts w:ascii="宋体"/>
              </w:rPr>
            </w:pPr>
          </w:p>
        </w:tc>
        <w:tc>
          <w:tcPr>
            <w:tcW w:w="26" w:type="pct"/>
            <w:shd w:val="clear" w:color="auto" w:fill="auto"/>
            <w:vAlign w:val="bottom"/>
          </w:tcPr>
          <w:p w14:paraId="35D0A04E" w14:textId="77777777" w:rsidR="00D42204" w:rsidRDefault="00D42204">
            <w:pPr>
              <w:rPr>
                <w:rFonts w:ascii="宋体"/>
              </w:rPr>
            </w:pPr>
          </w:p>
        </w:tc>
        <w:tc>
          <w:tcPr>
            <w:tcW w:w="5" w:type="pct"/>
            <w:shd w:val="clear" w:color="auto" w:fill="auto"/>
            <w:vAlign w:val="bottom"/>
          </w:tcPr>
          <w:p w14:paraId="35D0A04F" w14:textId="77777777" w:rsidR="00D42204" w:rsidRDefault="00D42204">
            <w:pPr>
              <w:rPr>
                <w:rFonts w:ascii="宋体"/>
              </w:rPr>
            </w:pPr>
          </w:p>
        </w:tc>
        <w:tc>
          <w:tcPr>
            <w:tcW w:w="50" w:type="pct"/>
            <w:shd w:val="clear" w:color="auto" w:fill="auto"/>
            <w:vAlign w:val="bottom"/>
          </w:tcPr>
          <w:p w14:paraId="35D0A050" w14:textId="77777777" w:rsidR="00D42204" w:rsidRDefault="00D42204">
            <w:pPr>
              <w:rPr>
                <w:rFonts w:ascii="宋体"/>
              </w:rPr>
            </w:pPr>
          </w:p>
        </w:tc>
        <w:tc>
          <w:tcPr>
            <w:tcW w:w="405" w:type="pct"/>
            <w:shd w:val="clear" w:color="auto" w:fill="auto"/>
            <w:vAlign w:val="bottom"/>
          </w:tcPr>
          <w:p w14:paraId="35D0A051" w14:textId="77777777" w:rsidR="00D42204" w:rsidRDefault="00D42204">
            <w:pPr>
              <w:rPr>
                <w:rFonts w:ascii="宋体"/>
              </w:rPr>
            </w:pPr>
          </w:p>
        </w:tc>
        <w:tc>
          <w:tcPr>
            <w:tcW w:w="5" w:type="pct"/>
            <w:shd w:val="clear" w:color="auto" w:fill="auto"/>
            <w:vAlign w:val="bottom"/>
          </w:tcPr>
          <w:p w14:paraId="35D0A052" w14:textId="77777777" w:rsidR="00D42204" w:rsidRDefault="00D42204">
            <w:pPr>
              <w:rPr>
                <w:rFonts w:ascii="宋体"/>
              </w:rPr>
            </w:pPr>
          </w:p>
        </w:tc>
        <w:tc>
          <w:tcPr>
            <w:tcW w:w="5" w:type="pct"/>
            <w:shd w:val="clear" w:color="auto" w:fill="auto"/>
            <w:vAlign w:val="bottom"/>
          </w:tcPr>
          <w:p w14:paraId="35D0A053" w14:textId="77777777" w:rsidR="00D42204" w:rsidRDefault="00D42204">
            <w:pPr>
              <w:rPr>
                <w:rFonts w:ascii="宋体"/>
              </w:rPr>
            </w:pPr>
          </w:p>
        </w:tc>
        <w:tc>
          <w:tcPr>
            <w:tcW w:w="26" w:type="pct"/>
            <w:shd w:val="clear" w:color="auto" w:fill="auto"/>
            <w:vAlign w:val="bottom"/>
          </w:tcPr>
          <w:p w14:paraId="35D0A054" w14:textId="77777777" w:rsidR="00D42204" w:rsidRDefault="00D42204">
            <w:pPr>
              <w:rPr>
                <w:rFonts w:ascii="宋体"/>
              </w:rPr>
            </w:pPr>
          </w:p>
        </w:tc>
        <w:tc>
          <w:tcPr>
            <w:tcW w:w="5" w:type="pct"/>
            <w:shd w:val="clear" w:color="auto" w:fill="auto"/>
            <w:vAlign w:val="bottom"/>
          </w:tcPr>
          <w:p w14:paraId="35D0A055" w14:textId="77777777" w:rsidR="00D42204" w:rsidRDefault="00D42204">
            <w:pPr>
              <w:rPr>
                <w:rFonts w:ascii="宋体"/>
              </w:rPr>
            </w:pPr>
          </w:p>
        </w:tc>
        <w:tc>
          <w:tcPr>
            <w:tcW w:w="50" w:type="pct"/>
            <w:shd w:val="clear" w:color="auto" w:fill="auto"/>
            <w:vAlign w:val="bottom"/>
          </w:tcPr>
          <w:p w14:paraId="35D0A056" w14:textId="77777777" w:rsidR="00D42204" w:rsidRDefault="00D42204">
            <w:pPr>
              <w:rPr>
                <w:rFonts w:ascii="宋体"/>
              </w:rPr>
            </w:pPr>
          </w:p>
        </w:tc>
        <w:tc>
          <w:tcPr>
            <w:tcW w:w="405" w:type="pct"/>
            <w:shd w:val="clear" w:color="auto" w:fill="auto"/>
            <w:vAlign w:val="bottom"/>
          </w:tcPr>
          <w:p w14:paraId="35D0A057" w14:textId="77777777" w:rsidR="00D42204" w:rsidRDefault="00D42204">
            <w:pPr>
              <w:rPr>
                <w:rFonts w:ascii="宋体"/>
              </w:rPr>
            </w:pPr>
          </w:p>
        </w:tc>
        <w:tc>
          <w:tcPr>
            <w:tcW w:w="5" w:type="pct"/>
            <w:shd w:val="clear" w:color="auto" w:fill="auto"/>
            <w:vAlign w:val="bottom"/>
          </w:tcPr>
          <w:p w14:paraId="35D0A058" w14:textId="77777777" w:rsidR="00D42204" w:rsidRDefault="00D42204">
            <w:pPr>
              <w:rPr>
                <w:rFonts w:ascii="宋体"/>
              </w:rPr>
            </w:pPr>
          </w:p>
        </w:tc>
        <w:tc>
          <w:tcPr>
            <w:tcW w:w="5" w:type="pct"/>
            <w:shd w:val="clear" w:color="auto" w:fill="auto"/>
            <w:vAlign w:val="bottom"/>
          </w:tcPr>
          <w:p w14:paraId="35D0A059" w14:textId="77777777" w:rsidR="00D42204" w:rsidRDefault="00D42204">
            <w:pPr>
              <w:rPr>
                <w:rFonts w:ascii="宋体"/>
              </w:rPr>
            </w:pPr>
          </w:p>
        </w:tc>
        <w:tc>
          <w:tcPr>
            <w:tcW w:w="26" w:type="pct"/>
            <w:shd w:val="clear" w:color="auto" w:fill="auto"/>
            <w:vAlign w:val="bottom"/>
          </w:tcPr>
          <w:p w14:paraId="35D0A05A" w14:textId="77777777" w:rsidR="00D42204" w:rsidRDefault="00D42204">
            <w:pPr>
              <w:rPr>
                <w:rFonts w:ascii="宋体"/>
              </w:rPr>
            </w:pPr>
          </w:p>
        </w:tc>
        <w:tc>
          <w:tcPr>
            <w:tcW w:w="5" w:type="pct"/>
            <w:shd w:val="clear" w:color="auto" w:fill="auto"/>
            <w:vAlign w:val="bottom"/>
          </w:tcPr>
          <w:p w14:paraId="35D0A05B" w14:textId="77777777" w:rsidR="00D42204" w:rsidRDefault="00D42204">
            <w:pPr>
              <w:rPr>
                <w:rFonts w:ascii="宋体"/>
              </w:rPr>
            </w:pPr>
          </w:p>
        </w:tc>
        <w:tc>
          <w:tcPr>
            <w:tcW w:w="50" w:type="pct"/>
            <w:shd w:val="clear" w:color="auto" w:fill="auto"/>
            <w:vAlign w:val="bottom"/>
          </w:tcPr>
          <w:p w14:paraId="35D0A05C" w14:textId="77777777" w:rsidR="00D42204" w:rsidRDefault="00D42204">
            <w:pPr>
              <w:rPr>
                <w:rFonts w:ascii="宋体"/>
              </w:rPr>
            </w:pPr>
          </w:p>
        </w:tc>
        <w:tc>
          <w:tcPr>
            <w:tcW w:w="405" w:type="pct"/>
            <w:shd w:val="clear" w:color="auto" w:fill="auto"/>
            <w:vAlign w:val="bottom"/>
          </w:tcPr>
          <w:p w14:paraId="35D0A05D" w14:textId="77777777" w:rsidR="00D42204" w:rsidRDefault="00D42204">
            <w:pPr>
              <w:rPr>
                <w:rFonts w:ascii="宋体"/>
              </w:rPr>
            </w:pPr>
          </w:p>
        </w:tc>
        <w:tc>
          <w:tcPr>
            <w:tcW w:w="5" w:type="pct"/>
            <w:shd w:val="clear" w:color="auto" w:fill="auto"/>
            <w:vAlign w:val="bottom"/>
          </w:tcPr>
          <w:p w14:paraId="35D0A05E" w14:textId="77777777" w:rsidR="00D42204" w:rsidRDefault="00D42204">
            <w:pPr>
              <w:rPr>
                <w:rFonts w:ascii="宋体"/>
              </w:rPr>
            </w:pPr>
          </w:p>
        </w:tc>
        <w:tc>
          <w:tcPr>
            <w:tcW w:w="5" w:type="pct"/>
            <w:shd w:val="clear" w:color="auto" w:fill="auto"/>
            <w:vAlign w:val="bottom"/>
          </w:tcPr>
          <w:p w14:paraId="35D0A05F" w14:textId="77777777" w:rsidR="00D42204" w:rsidRDefault="00D42204">
            <w:pPr>
              <w:rPr>
                <w:rFonts w:ascii="宋体"/>
              </w:rPr>
            </w:pPr>
          </w:p>
        </w:tc>
        <w:tc>
          <w:tcPr>
            <w:tcW w:w="26" w:type="pct"/>
            <w:shd w:val="clear" w:color="auto" w:fill="auto"/>
            <w:vAlign w:val="bottom"/>
          </w:tcPr>
          <w:p w14:paraId="35D0A060" w14:textId="77777777" w:rsidR="00D42204" w:rsidRDefault="00D42204">
            <w:pPr>
              <w:rPr>
                <w:rFonts w:ascii="宋体"/>
              </w:rPr>
            </w:pPr>
          </w:p>
        </w:tc>
        <w:tc>
          <w:tcPr>
            <w:tcW w:w="5" w:type="pct"/>
            <w:shd w:val="clear" w:color="auto" w:fill="auto"/>
            <w:vAlign w:val="bottom"/>
          </w:tcPr>
          <w:p w14:paraId="35D0A061" w14:textId="77777777" w:rsidR="00D42204" w:rsidRDefault="00D42204">
            <w:pPr>
              <w:rPr>
                <w:rFonts w:ascii="宋体"/>
              </w:rPr>
            </w:pPr>
          </w:p>
        </w:tc>
        <w:tc>
          <w:tcPr>
            <w:tcW w:w="50" w:type="pct"/>
            <w:shd w:val="clear" w:color="auto" w:fill="auto"/>
            <w:vAlign w:val="bottom"/>
          </w:tcPr>
          <w:p w14:paraId="35D0A062" w14:textId="77777777" w:rsidR="00D42204" w:rsidRDefault="00D42204">
            <w:pPr>
              <w:rPr>
                <w:rFonts w:ascii="宋体"/>
              </w:rPr>
            </w:pPr>
          </w:p>
        </w:tc>
        <w:tc>
          <w:tcPr>
            <w:tcW w:w="405" w:type="pct"/>
            <w:shd w:val="clear" w:color="auto" w:fill="auto"/>
            <w:vAlign w:val="bottom"/>
          </w:tcPr>
          <w:p w14:paraId="35D0A063" w14:textId="77777777" w:rsidR="00D42204" w:rsidRDefault="00D42204">
            <w:pPr>
              <w:rPr>
                <w:rFonts w:ascii="宋体"/>
              </w:rPr>
            </w:pPr>
          </w:p>
        </w:tc>
        <w:tc>
          <w:tcPr>
            <w:tcW w:w="5" w:type="pct"/>
            <w:shd w:val="clear" w:color="auto" w:fill="auto"/>
            <w:vAlign w:val="bottom"/>
          </w:tcPr>
          <w:p w14:paraId="35D0A064" w14:textId="77777777" w:rsidR="00D42204" w:rsidRDefault="00D42204">
            <w:pPr>
              <w:rPr>
                <w:rFonts w:ascii="宋体"/>
              </w:rPr>
            </w:pPr>
          </w:p>
        </w:tc>
        <w:tc>
          <w:tcPr>
            <w:tcW w:w="5" w:type="pct"/>
            <w:shd w:val="clear" w:color="auto" w:fill="auto"/>
            <w:vAlign w:val="bottom"/>
          </w:tcPr>
          <w:p w14:paraId="35D0A065" w14:textId="77777777" w:rsidR="00D42204" w:rsidRDefault="00D42204">
            <w:pPr>
              <w:rPr>
                <w:rFonts w:ascii="宋体"/>
              </w:rPr>
            </w:pPr>
          </w:p>
        </w:tc>
        <w:tc>
          <w:tcPr>
            <w:tcW w:w="26" w:type="pct"/>
            <w:shd w:val="clear" w:color="auto" w:fill="auto"/>
            <w:vAlign w:val="bottom"/>
          </w:tcPr>
          <w:p w14:paraId="35D0A066" w14:textId="77777777" w:rsidR="00D42204" w:rsidRDefault="00D42204">
            <w:pPr>
              <w:rPr>
                <w:rFonts w:ascii="宋体"/>
              </w:rPr>
            </w:pPr>
          </w:p>
        </w:tc>
        <w:tc>
          <w:tcPr>
            <w:tcW w:w="5" w:type="pct"/>
            <w:shd w:val="clear" w:color="auto" w:fill="auto"/>
            <w:vAlign w:val="bottom"/>
          </w:tcPr>
          <w:p w14:paraId="35D0A067" w14:textId="77777777" w:rsidR="00D42204" w:rsidRDefault="00D42204">
            <w:pPr>
              <w:rPr>
                <w:rFonts w:ascii="宋体"/>
              </w:rPr>
            </w:pPr>
          </w:p>
        </w:tc>
        <w:tc>
          <w:tcPr>
            <w:tcW w:w="50" w:type="pct"/>
            <w:shd w:val="clear" w:color="auto" w:fill="auto"/>
            <w:vAlign w:val="bottom"/>
          </w:tcPr>
          <w:p w14:paraId="35D0A068" w14:textId="77777777" w:rsidR="00D42204" w:rsidRDefault="00D42204">
            <w:pPr>
              <w:rPr>
                <w:rFonts w:ascii="宋体"/>
              </w:rPr>
            </w:pPr>
          </w:p>
        </w:tc>
        <w:tc>
          <w:tcPr>
            <w:tcW w:w="405" w:type="pct"/>
            <w:shd w:val="clear" w:color="auto" w:fill="auto"/>
            <w:vAlign w:val="bottom"/>
          </w:tcPr>
          <w:p w14:paraId="35D0A069" w14:textId="77777777" w:rsidR="00D42204" w:rsidRDefault="00D42204">
            <w:pPr>
              <w:rPr>
                <w:rFonts w:ascii="宋体"/>
              </w:rPr>
            </w:pPr>
          </w:p>
        </w:tc>
        <w:tc>
          <w:tcPr>
            <w:tcW w:w="5" w:type="pct"/>
            <w:shd w:val="clear" w:color="auto" w:fill="auto"/>
            <w:vAlign w:val="bottom"/>
          </w:tcPr>
          <w:p w14:paraId="35D0A06A" w14:textId="77777777" w:rsidR="00D42204" w:rsidRDefault="00D42204">
            <w:pPr>
              <w:rPr>
                <w:rFonts w:ascii="宋体"/>
              </w:rPr>
            </w:pPr>
          </w:p>
        </w:tc>
        <w:tc>
          <w:tcPr>
            <w:tcW w:w="5" w:type="pct"/>
            <w:shd w:val="clear" w:color="auto" w:fill="auto"/>
            <w:vAlign w:val="bottom"/>
          </w:tcPr>
          <w:p w14:paraId="35D0A06B" w14:textId="77777777" w:rsidR="00D42204" w:rsidRDefault="00D42204">
            <w:pPr>
              <w:rPr>
                <w:rFonts w:ascii="宋体"/>
              </w:rPr>
            </w:pPr>
          </w:p>
        </w:tc>
        <w:tc>
          <w:tcPr>
            <w:tcW w:w="26" w:type="pct"/>
            <w:shd w:val="clear" w:color="auto" w:fill="auto"/>
            <w:vAlign w:val="bottom"/>
          </w:tcPr>
          <w:p w14:paraId="35D0A06C" w14:textId="77777777" w:rsidR="00D42204" w:rsidRDefault="00D42204">
            <w:pPr>
              <w:rPr>
                <w:rFonts w:ascii="宋体"/>
              </w:rPr>
            </w:pPr>
          </w:p>
        </w:tc>
        <w:tc>
          <w:tcPr>
            <w:tcW w:w="5" w:type="pct"/>
            <w:shd w:val="clear" w:color="auto" w:fill="auto"/>
            <w:vAlign w:val="bottom"/>
          </w:tcPr>
          <w:p w14:paraId="35D0A06D" w14:textId="77777777" w:rsidR="00D42204" w:rsidRDefault="00D42204">
            <w:pPr>
              <w:rPr>
                <w:rFonts w:ascii="宋体"/>
              </w:rPr>
            </w:pPr>
          </w:p>
        </w:tc>
        <w:tc>
          <w:tcPr>
            <w:tcW w:w="50" w:type="pct"/>
            <w:shd w:val="clear" w:color="auto" w:fill="auto"/>
            <w:vAlign w:val="bottom"/>
          </w:tcPr>
          <w:p w14:paraId="35D0A06E" w14:textId="77777777" w:rsidR="00D42204" w:rsidRDefault="00D42204">
            <w:pPr>
              <w:rPr>
                <w:rFonts w:ascii="宋体"/>
              </w:rPr>
            </w:pPr>
          </w:p>
        </w:tc>
        <w:tc>
          <w:tcPr>
            <w:tcW w:w="406" w:type="pct"/>
            <w:shd w:val="clear" w:color="auto" w:fill="auto"/>
            <w:vAlign w:val="bottom"/>
          </w:tcPr>
          <w:p w14:paraId="35D0A06F" w14:textId="77777777" w:rsidR="00D42204" w:rsidRDefault="00D42204">
            <w:pPr>
              <w:rPr>
                <w:rFonts w:ascii="宋体"/>
              </w:rPr>
            </w:pPr>
          </w:p>
        </w:tc>
        <w:tc>
          <w:tcPr>
            <w:tcW w:w="5" w:type="pct"/>
            <w:shd w:val="clear" w:color="auto" w:fill="auto"/>
            <w:vAlign w:val="bottom"/>
          </w:tcPr>
          <w:p w14:paraId="35D0A070" w14:textId="77777777" w:rsidR="00D42204" w:rsidRDefault="00D42204">
            <w:pPr>
              <w:rPr>
                <w:rFonts w:ascii="宋体"/>
              </w:rPr>
            </w:pPr>
          </w:p>
        </w:tc>
      </w:tr>
      <w:tr w:rsidR="00D42204" w14:paraId="35D0A075" w14:textId="77777777">
        <w:tc>
          <w:tcPr>
            <w:tcW w:w="0" w:type="auto"/>
            <w:gridSpan w:val="3"/>
            <w:shd w:val="clear" w:color="auto" w:fill="auto"/>
            <w:tcMar>
              <w:top w:w="0" w:type="dxa"/>
              <w:left w:w="20" w:type="dxa"/>
              <w:bottom w:w="0" w:type="dxa"/>
              <w:right w:w="20" w:type="dxa"/>
            </w:tcMar>
            <w:vAlign w:val="bottom"/>
          </w:tcPr>
          <w:p w14:paraId="35D0A072"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073" w14:textId="77777777" w:rsidR="00D42204" w:rsidRDefault="00D42204">
            <w:pPr>
              <w:rPr>
                <w:rFonts w:ascii="宋体"/>
              </w:rPr>
            </w:pPr>
          </w:p>
        </w:tc>
        <w:tc>
          <w:tcPr>
            <w:tcW w:w="0" w:type="auto"/>
            <w:gridSpan w:val="39"/>
            <w:shd w:val="clear" w:color="auto" w:fill="auto"/>
            <w:tcMar>
              <w:top w:w="40" w:type="dxa"/>
              <w:left w:w="20" w:type="dxa"/>
              <w:bottom w:w="40" w:type="dxa"/>
              <w:right w:w="20" w:type="dxa"/>
            </w:tcMar>
            <w:vAlign w:val="bottom"/>
          </w:tcPr>
          <w:p w14:paraId="35D0A074" w14:textId="77777777" w:rsidR="00D42204" w:rsidRDefault="004E439D">
            <w:pPr>
              <w:jc w:val="center"/>
              <w:textAlignment w:val="bottom"/>
            </w:pPr>
            <w:r>
              <w:rPr>
                <w:rFonts w:ascii="Times New Roman" w:eastAsia="宋体" w:hAnsi="Times New Roman"/>
                <w:b/>
                <w:bCs/>
                <w:color w:val="000000"/>
                <w:sz w:val="16"/>
                <w:szCs w:val="16"/>
              </w:rPr>
              <w:t>Expected Maturity Date</w:t>
            </w:r>
          </w:p>
        </w:tc>
      </w:tr>
      <w:tr w:rsidR="00D42204" w14:paraId="35D0A085" w14:textId="77777777">
        <w:tc>
          <w:tcPr>
            <w:tcW w:w="0" w:type="auto"/>
            <w:gridSpan w:val="3"/>
            <w:shd w:val="clear" w:color="auto" w:fill="auto"/>
            <w:tcMar>
              <w:top w:w="40" w:type="dxa"/>
              <w:left w:w="20" w:type="dxa"/>
              <w:bottom w:w="40" w:type="dxa"/>
              <w:right w:w="20" w:type="dxa"/>
            </w:tcMar>
            <w:vAlign w:val="bottom"/>
          </w:tcPr>
          <w:p w14:paraId="35D0A076"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A077"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078" w14:textId="77777777" w:rsidR="00D42204" w:rsidRDefault="004E439D">
            <w:pPr>
              <w:jc w:val="center"/>
              <w:textAlignment w:val="bottom"/>
            </w:pPr>
            <w:r>
              <w:rPr>
                <w:rFonts w:ascii="Times New Roman" w:eastAsia="宋体" w:hAnsi="Times New Roman"/>
                <w:b/>
                <w:bCs/>
                <w:color w:val="000000"/>
                <w:sz w:val="16"/>
                <w:szCs w:val="16"/>
              </w:rPr>
              <w:t>Fiscal 2023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079"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07A" w14:textId="77777777" w:rsidR="00D42204" w:rsidRDefault="004E439D">
            <w:pPr>
              <w:jc w:val="center"/>
              <w:textAlignment w:val="bottom"/>
            </w:pPr>
            <w:r>
              <w:rPr>
                <w:rFonts w:ascii="Times New Roman" w:eastAsia="宋体" w:hAnsi="Times New Roman"/>
                <w:b/>
                <w:bCs/>
                <w:color w:val="000000"/>
                <w:sz w:val="16"/>
                <w:szCs w:val="16"/>
              </w:rPr>
              <w:t>Fiscal 2024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07B"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07C" w14:textId="77777777" w:rsidR="00D42204" w:rsidRDefault="004E439D">
            <w:pPr>
              <w:jc w:val="center"/>
              <w:textAlignment w:val="bottom"/>
            </w:pPr>
            <w:r>
              <w:rPr>
                <w:rFonts w:ascii="Times New Roman" w:eastAsia="宋体" w:hAnsi="Times New Roman"/>
                <w:b/>
                <w:bCs/>
                <w:color w:val="000000"/>
                <w:sz w:val="16"/>
                <w:szCs w:val="16"/>
              </w:rPr>
              <w:t>Fiscal 2025</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07D"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07E" w14:textId="77777777" w:rsidR="00D42204" w:rsidRDefault="004E439D">
            <w:pPr>
              <w:jc w:val="center"/>
              <w:textAlignment w:val="bottom"/>
            </w:pPr>
            <w:r>
              <w:rPr>
                <w:rFonts w:ascii="Times New Roman" w:eastAsia="宋体" w:hAnsi="Times New Roman"/>
                <w:b/>
                <w:bCs/>
                <w:color w:val="000000"/>
                <w:sz w:val="16"/>
                <w:szCs w:val="16"/>
              </w:rPr>
              <w:t>Fiscal 2026</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07F"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080" w14:textId="77777777" w:rsidR="00D42204" w:rsidRDefault="004E439D">
            <w:pPr>
              <w:jc w:val="center"/>
              <w:textAlignment w:val="bottom"/>
            </w:pPr>
            <w:r>
              <w:rPr>
                <w:rFonts w:ascii="Times New Roman" w:eastAsia="宋体" w:hAnsi="Times New Roman"/>
                <w:b/>
                <w:bCs/>
                <w:color w:val="000000"/>
                <w:sz w:val="16"/>
                <w:szCs w:val="16"/>
              </w:rPr>
              <w:t>Fiscal 2027</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081"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082" w14:textId="77777777" w:rsidR="00D42204" w:rsidRDefault="004E439D">
            <w:pPr>
              <w:jc w:val="center"/>
              <w:textAlignment w:val="bottom"/>
            </w:pPr>
            <w:r>
              <w:rPr>
                <w:rFonts w:ascii="Times New Roman" w:eastAsia="宋体" w:hAnsi="Times New Roman"/>
                <w:b/>
                <w:bCs/>
                <w:color w:val="000000"/>
                <w:sz w:val="16"/>
                <w:szCs w:val="16"/>
              </w:rPr>
              <w:t>Thereafter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083"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084" w14:textId="77777777" w:rsidR="00D42204" w:rsidRDefault="004E439D">
            <w:pPr>
              <w:jc w:val="center"/>
              <w:textAlignment w:val="bottom"/>
            </w:pPr>
            <w:r>
              <w:rPr>
                <w:rFonts w:ascii="Times New Roman" w:eastAsia="宋体" w:hAnsi="Times New Roman"/>
                <w:b/>
                <w:bCs/>
                <w:color w:val="000000"/>
                <w:sz w:val="16"/>
                <w:szCs w:val="16"/>
              </w:rPr>
              <w:t>Total</w:t>
            </w:r>
          </w:p>
        </w:tc>
      </w:tr>
      <w:tr w:rsidR="00D42204" w14:paraId="35D0A095" w14:textId="77777777">
        <w:tc>
          <w:tcPr>
            <w:tcW w:w="0" w:type="auto"/>
            <w:gridSpan w:val="3"/>
            <w:shd w:val="clear" w:color="auto" w:fill="CCEEFF"/>
            <w:tcMar>
              <w:top w:w="40" w:type="dxa"/>
              <w:left w:w="20" w:type="dxa"/>
              <w:bottom w:w="40" w:type="dxa"/>
              <w:right w:w="20" w:type="dxa"/>
            </w:tcMar>
            <w:vAlign w:val="center"/>
          </w:tcPr>
          <w:p w14:paraId="35D0A086" w14:textId="77777777" w:rsidR="00D42204" w:rsidRDefault="004E439D">
            <w:pPr>
              <w:textAlignment w:val="center"/>
            </w:pPr>
            <w:r>
              <w:rPr>
                <w:rFonts w:ascii="Times New Roman" w:eastAsia="宋体" w:hAnsi="Times New Roman"/>
                <w:b/>
                <w:bCs/>
                <w:color w:val="000000"/>
                <w:sz w:val="16"/>
                <w:szCs w:val="16"/>
              </w:rPr>
              <w:t>Liabilities</w:t>
            </w:r>
          </w:p>
        </w:tc>
        <w:tc>
          <w:tcPr>
            <w:tcW w:w="0" w:type="auto"/>
            <w:gridSpan w:val="3"/>
            <w:shd w:val="clear" w:color="auto" w:fill="CCEEFF"/>
            <w:tcMar>
              <w:top w:w="0" w:type="dxa"/>
              <w:left w:w="20" w:type="dxa"/>
              <w:bottom w:w="0" w:type="dxa"/>
              <w:right w:w="20" w:type="dxa"/>
            </w:tcMar>
            <w:vAlign w:val="bottom"/>
          </w:tcPr>
          <w:p w14:paraId="35D0A087"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08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089"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08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08B"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08C"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08D"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08E"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08F"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090"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091"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09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093"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094" w14:textId="77777777" w:rsidR="00D42204" w:rsidRDefault="00D42204">
            <w:pPr>
              <w:rPr>
                <w:rFonts w:ascii="宋体"/>
              </w:rPr>
            </w:pPr>
          </w:p>
        </w:tc>
      </w:tr>
      <w:tr w:rsidR="00D42204" w14:paraId="35D0A0A5" w14:textId="77777777">
        <w:tc>
          <w:tcPr>
            <w:tcW w:w="0" w:type="auto"/>
            <w:gridSpan w:val="3"/>
            <w:shd w:val="clear" w:color="auto" w:fill="FFFFFF"/>
            <w:tcMar>
              <w:top w:w="40" w:type="dxa"/>
              <w:left w:w="155" w:type="dxa"/>
              <w:bottom w:w="40" w:type="dxa"/>
              <w:right w:w="20" w:type="dxa"/>
            </w:tcMar>
            <w:vAlign w:val="center"/>
          </w:tcPr>
          <w:p w14:paraId="35D0A096" w14:textId="77777777" w:rsidR="00D42204" w:rsidRDefault="004E439D">
            <w:pPr>
              <w:textAlignment w:val="center"/>
            </w:pPr>
            <w:r>
              <w:rPr>
                <w:rFonts w:ascii="Times New Roman" w:eastAsia="宋体" w:hAnsi="Times New Roman"/>
                <w:b/>
                <w:bCs/>
                <w:color w:val="000000"/>
                <w:sz w:val="16"/>
                <w:szCs w:val="16"/>
              </w:rPr>
              <w:t>Short-term borrowings:</w:t>
            </w:r>
          </w:p>
        </w:tc>
        <w:tc>
          <w:tcPr>
            <w:tcW w:w="0" w:type="auto"/>
            <w:gridSpan w:val="3"/>
            <w:shd w:val="clear" w:color="auto" w:fill="FFFFFF"/>
            <w:tcMar>
              <w:top w:w="0" w:type="dxa"/>
              <w:left w:w="20" w:type="dxa"/>
              <w:bottom w:w="0" w:type="dxa"/>
              <w:right w:w="20" w:type="dxa"/>
            </w:tcMar>
            <w:vAlign w:val="bottom"/>
          </w:tcPr>
          <w:p w14:paraId="35D0A097"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098"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099"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09A"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09B"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09C"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09D"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09E"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09F"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0A0"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0A1"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0A2"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0A3"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0A4" w14:textId="77777777" w:rsidR="00D42204" w:rsidRDefault="00D42204">
            <w:pPr>
              <w:rPr>
                <w:rFonts w:ascii="宋体"/>
              </w:rPr>
            </w:pPr>
          </w:p>
        </w:tc>
      </w:tr>
      <w:tr w:rsidR="00D42204" w14:paraId="35D0A0C3" w14:textId="77777777">
        <w:tc>
          <w:tcPr>
            <w:tcW w:w="0" w:type="auto"/>
            <w:gridSpan w:val="3"/>
            <w:shd w:val="clear" w:color="auto" w:fill="CCEEFF"/>
            <w:tcMar>
              <w:top w:w="40" w:type="dxa"/>
              <w:left w:w="380" w:type="dxa"/>
              <w:bottom w:w="40" w:type="dxa"/>
              <w:right w:w="20" w:type="dxa"/>
            </w:tcMar>
            <w:vAlign w:val="center"/>
          </w:tcPr>
          <w:p w14:paraId="35D0A0A6" w14:textId="77777777" w:rsidR="00D42204" w:rsidRDefault="004E439D">
            <w:pPr>
              <w:textAlignment w:val="center"/>
            </w:pPr>
            <w:r>
              <w:rPr>
                <w:rFonts w:ascii="Times New Roman" w:eastAsia="宋体" w:hAnsi="Times New Roman"/>
                <w:color w:val="000000"/>
                <w:sz w:val="16"/>
                <w:szCs w:val="16"/>
              </w:rPr>
              <w:t>Variable rate</w:t>
            </w:r>
          </w:p>
        </w:tc>
        <w:tc>
          <w:tcPr>
            <w:tcW w:w="0" w:type="auto"/>
            <w:gridSpan w:val="3"/>
            <w:shd w:val="clear" w:color="auto" w:fill="CCEEFF"/>
            <w:tcMar>
              <w:top w:w="0" w:type="dxa"/>
              <w:left w:w="20" w:type="dxa"/>
              <w:bottom w:w="0" w:type="dxa"/>
              <w:right w:w="20" w:type="dxa"/>
            </w:tcMar>
            <w:vAlign w:val="bottom"/>
          </w:tcPr>
          <w:p w14:paraId="35D0A0A7"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A0A8"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A0A9" w14:textId="77777777" w:rsidR="00D42204" w:rsidRDefault="004E439D">
            <w:pPr>
              <w:jc w:val="right"/>
              <w:textAlignment w:val="center"/>
            </w:pPr>
            <w:r>
              <w:rPr>
                <w:rFonts w:ascii="Times New Roman" w:eastAsia="宋体" w:hAnsi="Times New Roman"/>
                <w:color w:val="000000"/>
                <w:sz w:val="16"/>
                <w:szCs w:val="16"/>
              </w:rPr>
              <w:t>410 </w:t>
            </w:r>
          </w:p>
        </w:tc>
        <w:tc>
          <w:tcPr>
            <w:tcW w:w="0" w:type="auto"/>
            <w:shd w:val="clear" w:color="auto" w:fill="CCEEFF"/>
            <w:tcMar>
              <w:top w:w="40" w:type="dxa"/>
              <w:left w:w="0" w:type="dxa"/>
              <w:bottom w:w="40" w:type="dxa"/>
              <w:right w:w="20" w:type="dxa"/>
            </w:tcMar>
            <w:vAlign w:val="center"/>
          </w:tcPr>
          <w:p w14:paraId="35D0A0A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0AB"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A0AC"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A0AD"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0A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0AF"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A0B0"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A0B1"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0B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0B3"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A0B4"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A0B5"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0B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0B7"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A0B8"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A0B9"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0B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0BB"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A0BC"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A0BD"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0B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0BF"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A0C0"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A0C1" w14:textId="77777777" w:rsidR="00D42204" w:rsidRDefault="004E439D">
            <w:pPr>
              <w:jc w:val="right"/>
              <w:textAlignment w:val="center"/>
            </w:pPr>
            <w:r>
              <w:rPr>
                <w:rFonts w:ascii="Times New Roman" w:eastAsia="宋体" w:hAnsi="Times New Roman"/>
                <w:color w:val="000000"/>
                <w:sz w:val="16"/>
                <w:szCs w:val="16"/>
              </w:rPr>
              <w:t>410 </w:t>
            </w:r>
          </w:p>
        </w:tc>
        <w:tc>
          <w:tcPr>
            <w:tcW w:w="0" w:type="auto"/>
            <w:shd w:val="clear" w:color="auto" w:fill="CCEEFF"/>
            <w:tcMar>
              <w:top w:w="40" w:type="dxa"/>
              <w:left w:w="0" w:type="dxa"/>
              <w:bottom w:w="40" w:type="dxa"/>
              <w:right w:w="20" w:type="dxa"/>
            </w:tcMar>
            <w:vAlign w:val="center"/>
          </w:tcPr>
          <w:p w14:paraId="35D0A0C2" w14:textId="77777777" w:rsidR="00D42204" w:rsidRDefault="00D42204">
            <w:pPr>
              <w:jc w:val="right"/>
              <w:rPr>
                <w:rFonts w:ascii="宋体"/>
              </w:rPr>
            </w:pPr>
          </w:p>
        </w:tc>
      </w:tr>
      <w:tr w:rsidR="00D42204" w14:paraId="35D0A0DA" w14:textId="77777777">
        <w:tc>
          <w:tcPr>
            <w:tcW w:w="0" w:type="auto"/>
            <w:gridSpan w:val="3"/>
            <w:shd w:val="clear" w:color="auto" w:fill="FFFFFF"/>
            <w:tcMar>
              <w:top w:w="40" w:type="dxa"/>
              <w:left w:w="380" w:type="dxa"/>
              <w:bottom w:w="40" w:type="dxa"/>
              <w:right w:w="20" w:type="dxa"/>
            </w:tcMar>
            <w:vAlign w:val="center"/>
          </w:tcPr>
          <w:p w14:paraId="35D0A0C4" w14:textId="77777777" w:rsidR="00D42204" w:rsidRDefault="004E439D">
            <w:pPr>
              <w:textAlignment w:val="center"/>
            </w:pPr>
            <w:r>
              <w:rPr>
                <w:rFonts w:ascii="Times New Roman" w:eastAsia="宋体" w:hAnsi="Times New Roman"/>
                <w:color w:val="000000"/>
                <w:sz w:val="16"/>
                <w:szCs w:val="16"/>
              </w:rPr>
              <w:t>Weighted-average interest rate</w:t>
            </w:r>
          </w:p>
        </w:tc>
        <w:tc>
          <w:tcPr>
            <w:tcW w:w="0" w:type="auto"/>
            <w:gridSpan w:val="3"/>
            <w:shd w:val="clear" w:color="auto" w:fill="FFFFFF"/>
            <w:tcMar>
              <w:top w:w="0" w:type="dxa"/>
              <w:left w:w="20" w:type="dxa"/>
              <w:bottom w:w="0" w:type="dxa"/>
              <w:right w:w="20" w:type="dxa"/>
            </w:tcMar>
            <w:vAlign w:val="bottom"/>
          </w:tcPr>
          <w:p w14:paraId="35D0A0C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0C6" w14:textId="77777777" w:rsidR="00D42204" w:rsidRDefault="004E439D">
            <w:pPr>
              <w:jc w:val="right"/>
              <w:textAlignment w:val="center"/>
            </w:pPr>
            <w:r>
              <w:rPr>
                <w:rFonts w:ascii="Times New Roman" w:eastAsia="宋体" w:hAnsi="Times New Roman"/>
                <w:color w:val="000000"/>
                <w:sz w:val="16"/>
                <w:szCs w:val="16"/>
              </w:rPr>
              <w:t>2.9 </w:t>
            </w:r>
          </w:p>
        </w:tc>
        <w:tc>
          <w:tcPr>
            <w:tcW w:w="0" w:type="auto"/>
            <w:shd w:val="clear" w:color="auto" w:fill="FFFFFF"/>
            <w:tcMar>
              <w:top w:w="40" w:type="dxa"/>
              <w:left w:w="0" w:type="dxa"/>
              <w:bottom w:w="40" w:type="dxa"/>
              <w:right w:w="20" w:type="dxa"/>
            </w:tcMar>
            <w:vAlign w:val="center"/>
          </w:tcPr>
          <w:p w14:paraId="35D0A0C7"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A0C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0C9"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0CA"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A0C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0CC"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0CD"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A0C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0CF"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0D0"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A0D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0D2"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0D3"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A0D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0D5"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0D6"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A0D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0D8" w14:textId="77777777" w:rsidR="00D42204" w:rsidRDefault="004E439D">
            <w:pPr>
              <w:jc w:val="right"/>
              <w:textAlignment w:val="center"/>
            </w:pPr>
            <w:r>
              <w:rPr>
                <w:rFonts w:ascii="Times New Roman" w:eastAsia="宋体" w:hAnsi="Times New Roman"/>
                <w:color w:val="000000"/>
                <w:sz w:val="16"/>
                <w:szCs w:val="16"/>
              </w:rPr>
              <w:t>2.9 </w:t>
            </w:r>
          </w:p>
        </w:tc>
        <w:tc>
          <w:tcPr>
            <w:tcW w:w="0" w:type="auto"/>
            <w:shd w:val="clear" w:color="auto" w:fill="FFFFFF"/>
            <w:tcMar>
              <w:top w:w="40" w:type="dxa"/>
              <w:left w:w="0" w:type="dxa"/>
              <w:bottom w:w="40" w:type="dxa"/>
              <w:right w:w="20" w:type="dxa"/>
            </w:tcMar>
            <w:vAlign w:val="center"/>
          </w:tcPr>
          <w:p w14:paraId="35D0A0D9"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A0EA" w14:textId="77777777">
        <w:tc>
          <w:tcPr>
            <w:tcW w:w="0" w:type="auto"/>
            <w:gridSpan w:val="3"/>
            <w:shd w:val="clear" w:color="auto" w:fill="CCEEFF"/>
            <w:tcMar>
              <w:top w:w="40" w:type="dxa"/>
              <w:left w:w="20" w:type="dxa"/>
              <w:bottom w:w="40" w:type="dxa"/>
              <w:right w:w="20" w:type="dxa"/>
            </w:tcMar>
            <w:vAlign w:val="center"/>
          </w:tcPr>
          <w:p w14:paraId="35D0A0DB" w14:textId="77777777" w:rsidR="00D42204" w:rsidRDefault="004E439D">
            <w:pPr>
              <w:textAlignment w:val="center"/>
            </w:pPr>
            <w:r>
              <w:rPr>
                <w:rFonts w:ascii="Times New Roman" w:eastAsia="宋体" w:hAnsi="Times New Roman"/>
                <w:b/>
                <w:bCs/>
                <w:color w:val="000000"/>
                <w:sz w:val="16"/>
                <w:szCs w:val="16"/>
              </w:rPr>
              <w:t>Long-term debt</w:t>
            </w:r>
            <w:r>
              <w:rPr>
                <w:rFonts w:ascii="Times New Roman" w:eastAsia="宋体" w:hAnsi="Times New Roman"/>
                <w:b/>
                <w:bCs/>
                <w:color w:val="000000"/>
                <w:sz w:val="10"/>
                <w:szCs w:val="10"/>
              </w:rPr>
              <w:t>(1)</w:t>
            </w:r>
            <w:r>
              <w:rPr>
                <w:rFonts w:ascii="Times New Roman" w:eastAsia="宋体" w:hAnsi="Times New Roman"/>
                <w:b/>
                <w:bCs/>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A0DC"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0DD"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0DE"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0DF"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0E0"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0E1"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0E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0E3"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0E4"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0E5"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0E6"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0E7"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0E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0E9" w14:textId="77777777" w:rsidR="00D42204" w:rsidRDefault="00D42204">
            <w:pPr>
              <w:rPr>
                <w:rFonts w:ascii="宋体"/>
              </w:rPr>
            </w:pPr>
          </w:p>
        </w:tc>
      </w:tr>
      <w:tr w:rsidR="00D42204" w14:paraId="35D0A108" w14:textId="77777777">
        <w:tc>
          <w:tcPr>
            <w:tcW w:w="0" w:type="auto"/>
            <w:gridSpan w:val="3"/>
            <w:shd w:val="clear" w:color="auto" w:fill="FFFFFF"/>
            <w:tcMar>
              <w:top w:w="40" w:type="dxa"/>
              <w:left w:w="380" w:type="dxa"/>
              <w:bottom w:w="40" w:type="dxa"/>
              <w:right w:w="20" w:type="dxa"/>
            </w:tcMar>
            <w:vAlign w:val="center"/>
          </w:tcPr>
          <w:p w14:paraId="35D0A0EB" w14:textId="77777777" w:rsidR="00D42204" w:rsidRDefault="004E439D">
            <w:pPr>
              <w:textAlignment w:val="center"/>
            </w:pPr>
            <w:r>
              <w:rPr>
                <w:rFonts w:ascii="Times New Roman" w:eastAsia="宋体" w:hAnsi="Times New Roman"/>
                <w:color w:val="000000"/>
                <w:sz w:val="16"/>
                <w:szCs w:val="16"/>
              </w:rPr>
              <w:t>Fixed rate</w:t>
            </w:r>
          </w:p>
        </w:tc>
        <w:tc>
          <w:tcPr>
            <w:tcW w:w="0" w:type="auto"/>
            <w:gridSpan w:val="3"/>
            <w:shd w:val="clear" w:color="auto" w:fill="FFFFFF"/>
            <w:tcMar>
              <w:top w:w="0" w:type="dxa"/>
              <w:left w:w="20" w:type="dxa"/>
              <w:bottom w:w="0" w:type="dxa"/>
              <w:right w:w="20" w:type="dxa"/>
            </w:tcMar>
            <w:vAlign w:val="bottom"/>
          </w:tcPr>
          <w:p w14:paraId="35D0A0EC"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0ED"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0EE" w14:textId="77777777" w:rsidR="00D42204" w:rsidRDefault="004E439D">
            <w:pPr>
              <w:jc w:val="right"/>
              <w:textAlignment w:val="center"/>
            </w:pPr>
            <w:r>
              <w:rPr>
                <w:rFonts w:ascii="Times New Roman" w:eastAsia="宋体" w:hAnsi="Times New Roman"/>
                <w:color w:val="000000"/>
                <w:sz w:val="16"/>
                <w:szCs w:val="16"/>
              </w:rPr>
              <w:t>2,803 </w:t>
            </w:r>
          </w:p>
        </w:tc>
        <w:tc>
          <w:tcPr>
            <w:tcW w:w="0" w:type="auto"/>
            <w:shd w:val="clear" w:color="auto" w:fill="FFFFFF"/>
            <w:tcMar>
              <w:top w:w="40" w:type="dxa"/>
              <w:left w:w="0" w:type="dxa"/>
              <w:bottom w:w="40" w:type="dxa"/>
              <w:right w:w="20" w:type="dxa"/>
            </w:tcMar>
            <w:vAlign w:val="center"/>
          </w:tcPr>
          <w:p w14:paraId="35D0A0E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0F0"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0F1"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0F2" w14:textId="77777777" w:rsidR="00D42204" w:rsidRDefault="004E439D">
            <w:pPr>
              <w:jc w:val="right"/>
              <w:textAlignment w:val="center"/>
            </w:pPr>
            <w:r>
              <w:rPr>
                <w:rFonts w:ascii="Times New Roman" w:eastAsia="宋体" w:hAnsi="Times New Roman"/>
                <w:color w:val="000000"/>
                <w:sz w:val="16"/>
                <w:szCs w:val="16"/>
              </w:rPr>
              <w:t>4,224 </w:t>
            </w:r>
          </w:p>
        </w:tc>
        <w:tc>
          <w:tcPr>
            <w:tcW w:w="0" w:type="auto"/>
            <w:shd w:val="clear" w:color="auto" w:fill="FFFFFF"/>
            <w:tcMar>
              <w:top w:w="40" w:type="dxa"/>
              <w:left w:w="0" w:type="dxa"/>
              <w:bottom w:w="40" w:type="dxa"/>
              <w:right w:w="20" w:type="dxa"/>
            </w:tcMar>
            <w:vAlign w:val="center"/>
          </w:tcPr>
          <w:p w14:paraId="35D0A0F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0F4"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0F5"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0F6" w14:textId="77777777" w:rsidR="00D42204" w:rsidRDefault="004E439D">
            <w:pPr>
              <w:jc w:val="right"/>
              <w:textAlignment w:val="center"/>
            </w:pPr>
            <w:r>
              <w:rPr>
                <w:rFonts w:ascii="Times New Roman" w:eastAsia="宋体" w:hAnsi="Times New Roman"/>
                <w:color w:val="000000"/>
                <w:sz w:val="16"/>
                <w:szCs w:val="16"/>
              </w:rPr>
              <w:t>3,565 </w:t>
            </w:r>
          </w:p>
        </w:tc>
        <w:tc>
          <w:tcPr>
            <w:tcW w:w="0" w:type="auto"/>
            <w:shd w:val="clear" w:color="auto" w:fill="FFFFFF"/>
            <w:tcMar>
              <w:top w:w="40" w:type="dxa"/>
              <w:left w:w="0" w:type="dxa"/>
              <w:bottom w:w="40" w:type="dxa"/>
              <w:right w:w="20" w:type="dxa"/>
            </w:tcMar>
            <w:vAlign w:val="center"/>
          </w:tcPr>
          <w:p w14:paraId="35D0A0F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0F8"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0F9"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0FA" w14:textId="77777777" w:rsidR="00D42204" w:rsidRDefault="004E439D">
            <w:pPr>
              <w:jc w:val="right"/>
              <w:textAlignment w:val="center"/>
            </w:pPr>
            <w:r>
              <w:rPr>
                <w:rFonts w:ascii="Times New Roman" w:eastAsia="宋体" w:hAnsi="Times New Roman"/>
                <w:color w:val="000000"/>
                <w:sz w:val="16"/>
                <w:szCs w:val="16"/>
              </w:rPr>
              <w:t>857 </w:t>
            </w:r>
          </w:p>
        </w:tc>
        <w:tc>
          <w:tcPr>
            <w:tcW w:w="0" w:type="auto"/>
            <w:shd w:val="clear" w:color="auto" w:fill="FFFFFF"/>
            <w:tcMar>
              <w:top w:w="40" w:type="dxa"/>
              <w:left w:w="0" w:type="dxa"/>
              <w:bottom w:w="40" w:type="dxa"/>
              <w:right w:w="20" w:type="dxa"/>
            </w:tcMar>
            <w:vAlign w:val="center"/>
          </w:tcPr>
          <w:p w14:paraId="35D0A0F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0FC"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0FD"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0FE" w14:textId="77777777" w:rsidR="00D42204" w:rsidRDefault="004E439D">
            <w:pPr>
              <w:jc w:val="right"/>
              <w:textAlignment w:val="center"/>
            </w:pPr>
            <w:r>
              <w:rPr>
                <w:rFonts w:ascii="Times New Roman" w:eastAsia="宋体" w:hAnsi="Times New Roman"/>
                <w:color w:val="000000"/>
                <w:sz w:val="16"/>
                <w:szCs w:val="16"/>
              </w:rPr>
              <w:t>2,757 </w:t>
            </w:r>
          </w:p>
        </w:tc>
        <w:tc>
          <w:tcPr>
            <w:tcW w:w="0" w:type="auto"/>
            <w:shd w:val="clear" w:color="auto" w:fill="FFFFFF"/>
            <w:tcMar>
              <w:top w:w="40" w:type="dxa"/>
              <w:left w:w="0" w:type="dxa"/>
              <w:bottom w:w="40" w:type="dxa"/>
              <w:right w:w="20" w:type="dxa"/>
            </w:tcMar>
            <w:vAlign w:val="center"/>
          </w:tcPr>
          <w:p w14:paraId="35D0A0F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100"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101"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102" w14:textId="77777777" w:rsidR="00D42204" w:rsidRDefault="004E439D">
            <w:pPr>
              <w:jc w:val="right"/>
              <w:textAlignment w:val="center"/>
            </w:pPr>
            <w:r>
              <w:rPr>
                <w:rFonts w:ascii="Times New Roman" w:eastAsia="宋体" w:hAnsi="Times New Roman"/>
                <w:color w:val="000000"/>
                <w:sz w:val="16"/>
                <w:szCs w:val="16"/>
              </w:rPr>
              <w:t>23,461 </w:t>
            </w:r>
          </w:p>
        </w:tc>
        <w:tc>
          <w:tcPr>
            <w:tcW w:w="0" w:type="auto"/>
            <w:shd w:val="clear" w:color="auto" w:fill="FFFFFF"/>
            <w:tcMar>
              <w:top w:w="40" w:type="dxa"/>
              <w:left w:w="0" w:type="dxa"/>
              <w:bottom w:w="40" w:type="dxa"/>
              <w:right w:w="20" w:type="dxa"/>
            </w:tcMar>
            <w:vAlign w:val="center"/>
          </w:tcPr>
          <w:p w14:paraId="35D0A10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104"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105"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106" w14:textId="77777777" w:rsidR="00D42204" w:rsidRDefault="004E439D">
            <w:pPr>
              <w:jc w:val="right"/>
              <w:textAlignment w:val="center"/>
            </w:pPr>
            <w:r>
              <w:rPr>
                <w:rFonts w:ascii="Times New Roman" w:eastAsia="宋体" w:hAnsi="Times New Roman"/>
                <w:color w:val="000000"/>
                <w:sz w:val="16"/>
                <w:szCs w:val="16"/>
              </w:rPr>
              <w:t>37,667 </w:t>
            </w:r>
          </w:p>
        </w:tc>
        <w:tc>
          <w:tcPr>
            <w:tcW w:w="0" w:type="auto"/>
            <w:shd w:val="clear" w:color="auto" w:fill="FFFFFF"/>
            <w:tcMar>
              <w:top w:w="40" w:type="dxa"/>
              <w:left w:w="0" w:type="dxa"/>
              <w:bottom w:w="40" w:type="dxa"/>
              <w:right w:w="20" w:type="dxa"/>
            </w:tcMar>
            <w:vAlign w:val="center"/>
          </w:tcPr>
          <w:p w14:paraId="35D0A107" w14:textId="77777777" w:rsidR="00D42204" w:rsidRDefault="00D42204">
            <w:pPr>
              <w:jc w:val="right"/>
              <w:rPr>
                <w:rFonts w:ascii="宋体"/>
              </w:rPr>
            </w:pPr>
          </w:p>
        </w:tc>
      </w:tr>
      <w:tr w:rsidR="00D42204" w14:paraId="35D0A11F" w14:textId="77777777">
        <w:tc>
          <w:tcPr>
            <w:tcW w:w="0" w:type="auto"/>
            <w:gridSpan w:val="3"/>
            <w:shd w:val="clear" w:color="auto" w:fill="CCEEFF"/>
            <w:tcMar>
              <w:top w:w="40" w:type="dxa"/>
              <w:left w:w="380" w:type="dxa"/>
              <w:bottom w:w="40" w:type="dxa"/>
              <w:right w:w="20" w:type="dxa"/>
            </w:tcMar>
            <w:vAlign w:val="center"/>
          </w:tcPr>
          <w:p w14:paraId="35D0A109" w14:textId="77777777" w:rsidR="00D42204" w:rsidRDefault="004E439D">
            <w:pPr>
              <w:textAlignment w:val="center"/>
            </w:pPr>
            <w:r>
              <w:rPr>
                <w:rFonts w:ascii="Times New Roman" w:eastAsia="宋体" w:hAnsi="Times New Roman"/>
                <w:color w:val="000000"/>
                <w:sz w:val="16"/>
                <w:szCs w:val="16"/>
              </w:rPr>
              <w:t>Weighted-average interest rate</w:t>
            </w:r>
          </w:p>
        </w:tc>
        <w:tc>
          <w:tcPr>
            <w:tcW w:w="0" w:type="auto"/>
            <w:gridSpan w:val="3"/>
            <w:shd w:val="clear" w:color="auto" w:fill="CCEEFF"/>
            <w:tcMar>
              <w:top w:w="0" w:type="dxa"/>
              <w:left w:w="20" w:type="dxa"/>
              <w:bottom w:w="0" w:type="dxa"/>
              <w:right w:w="20" w:type="dxa"/>
            </w:tcMar>
            <w:vAlign w:val="bottom"/>
          </w:tcPr>
          <w:p w14:paraId="35D0A10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10B" w14:textId="77777777" w:rsidR="00D42204" w:rsidRDefault="004E439D">
            <w:pPr>
              <w:jc w:val="right"/>
              <w:textAlignment w:val="center"/>
            </w:pPr>
            <w:r>
              <w:rPr>
                <w:rFonts w:ascii="Times New Roman" w:eastAsia="宋体" w:hAnsi="Times New Roman"/>
                <w:color w:val="000000"/>
                <w:sz w:val="16"/>
                <w:szCs w:val="16"/>
              </w:rPr>
              <w:t>1.7 </w:t>
            </w:r>
          </w:p>
        </w:tc>
        <w:tc>
          <w:tcPr>
            <w:tcW w:w="0" w:type="auto"/>
            <w:shd w:val="clear" w:color="auto" w:fill="CCEEFF"/>
            <w:tcMar>
              <w:top w:w="40" w:type="dxa"/>
              <w:left w:w="0" w:type="dxa"/>
              <w:bottom w:w="40" w:type="dxa"/>
              <w:right w:w="20" w:type="dxa"/>
            </w:tcMar>
            <w:vAlign w:val="center"/>
          </w:tcPr>
          <w:p w14:paraId="35D0A10C"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A10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10E" w14:textId="77777777" w:rsidR="00D42204" w:rsidRDefault="004E439D">
            <w:pPr>
              <w:jc w:val="right"/>
              <w:textAlignment w:val="center"/>
            </w:pPr>
            <w:r>
              <w:rPr>
                <w:rFonts w:ascii="Times New Roman" w:eastAsia="宋体" w:hAnsi="Times New Roman"/>
                <w:color w:val="000000"/>
                <w:sz w:val="16"/>
                <w:szCs w:val="16"/>
              </w:rPr>
              <w:t>3.2 </w:t>
            </w:r>
          </w:p>
        </w:tc>
        <w:tc>
          <w:tcPr>
            <w:tcW w:w="0" w:type="auto"/>
            <w:shd w:val="clear" w:color="auto" w:fill="CCEEFF"/>
            <w:tcMar>
              <w:top w:w="40" w:type="dxa"/>
              <w:left w:w="0" w:type="dxa"/>
              <w:bottom w:w="40" w:type="dxa"/>
              <w:right w:w="20" w:type="dxa"/>
            </w:tcMar>
            <w:vAlign w:val="center"/>
          </w:tcPr>
          <w:p w14:paraId="35D0A10F"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A11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111" w14:textId="77777777" w:rsidR="00D42204" w:rsidRDefault="004E439D">
            <w:pPr>
              <w:jc w:val="right"/>
              <w:textAlignment w:val="center"/>
            </w:pPr>
            <w:r>
              <w:rPr>
                <w:rFonts w:ascii="Times New Roman" w:eastAsia="宋体" w:hAnsi="Times New Roman"/>
                <w:color w:val="000000"/>
                <w:sz w:val="16"/>
                <w:szCs w:val="16"/>
              </w:rPr>
              <w:t>2.9 </w:t>
            </w:r>
          </w:p>
        </w:tc>
        <w:tc>
          <w:tcPr>
            <w:tcW w:w="0" w:type="auto"/>
            <w:shd w:val="clear" w:color="auto" w:fill="CCEEFF"/>
            <w:tcMar>
              <w:top w:w="40" w:type="dxa"/>
              <w:left w:w="0" w:type="dxa"/>
              <w:bottom w:w="40" w:type="dxa"/>
              <w:right w:w="20" w:type="dxa"/>
            </w:tcMar>
            <w:vAlign w:val="center"/>
          </w:tcPr>
          <w:p w14:paraId="35D0A112"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A11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114" w14:textId="77777777" w:rsidR="00D42204" w:rsidRDefault="004E439D">
            <w:pPr>
              <w:jc w:val="right"/>
              <w:textAlignment w:val="center"/>
            </w:pPr>
            <w:r>
              <w:rPr>
                <w:rFonts w:ascii="Times New Roman" w:eastAsia="宋体" w:hAnsi="Times New Roman"/>
                <w:color w:val="000000"/>
                <w:sz w:val="16"/>
                <w:szCs w:val="16"/>
              </w:rPr>
              <w:t>3.6 </w:t>
            </w:r>
          </w:p>
        </w:tc>
        <w:tc>
          <w:tcPr>
            <w:tcW w:w="0" w:type="auto"/>
            <w:shd w:val="clear" w:color="auto" w:fill="CCEEFF"/>
            <w:tcMar>
              <w:top w:w="40" w:type="dxa"/>
              <w:left w:w="0" w:type="dxa"/>
              <w:bottom w:w="40" w:type="dxa"/>
              <w:right w:w="20" w:type="dxa"/>
            </w:tcMar>
            <w:vAlign w:val="center"/>
          </w:tcPr>
          <w:p w14:paraId="35D0A115"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A11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117" w14:textId="77777777" w:rsidR="00D42204" w:rsidRDefault="004E439D">
            <w:pPr>
              <w:jc w:val="right"/>
              <w:textAlignment w:val="center"/>
            </w:pPr>
            <w:r>
              <w:rPr>
                <w:rFonts w:ascii="Times New Roman" w:eastAsia="宋体" w:hAnsi="Times New Roman"/>
                <w:color w:val="000000"/>
                <w:sz w:val="16"/>
                <w:szCs w:val="16"/>
              </w:rPr>
              <w:t>2.0 </w:t>
            </w:r>
          </w:p>
        </w:tc>
        <w:tc>
          <w:tcPr>
            <w:tcW w:w="0" w:type="auto"/>
            <w:shd w:val="clear" w:color="auto" w:fill="CCEEFF"/>
            <w:tcMar>
              <w:top w:w="40" w:type="dxa"/>
              <w:left w:w="0" w:type="dxa"/>
              <w:bottom w:w="40" w:type="dxa"/>
              <w:right w:w="20" w:type="dxa"/>
            </w:tcMar>
            <w:vAlign w:val="center"/>
          </w:tcPr>
          <w:p w14:paraId="35D0A118"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A11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11A" w14:textId="77777777" w:rsidR="00D42204" w:rsidRDefault="004E439D">
            <w:pPr>
              <w:jc w:val="right"/>
              <w:textAlignment w:val="center"/>
            </w:pPr>
            <w:r>
              <w:rPr>
                <w:rFonts w:ascii="Times New Roman" w:eastAsia="宋体" w:hAnsi="Times New Roman"/>
                <w:color w:val="000000"/>
                <w:sz w:val="16"/>
                <w:szCs w:val="16"/>
              </w:rPr>
              <w:t>4.1 </w:t>
            </w:r>
          </w:p>
        </w:tc>
        <w:tc>
          <w:tcPr>
            <w:tcW w:w="0" w:type="auto"/>
            <w:shd w:val="clear" w:color="auto" w:fill="CCEEFF"/>
            <w:tcMar>
              <w:top w:w="40" w:type="dxa"/>
              <w:left w:w="0" w:type="dxa"/>
              <w:bottom w:w="40" w:type="dxa"/>
              <w:right w:w="20" w:type="dxa"/>
            </w:tcMar>
            <w:vAlign w:val="center"/>
          </w:tcPr>
          <w:p w14:paraId="35D0A11B"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A11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11D" w14:textId="77777777" w:rsidR="00D42204" w:rsidRDefault="004E439D">
            <w:pPr>
              <w:jc w:val="right"/>
              <w:textAlignment w:val="center"/>
            </w:pPr>
            <w:r>
              <w:rPr>
                <w:rFonts w:ascii="Times New Roman" w:eastAsia="宋体" w:hAnsi="Times New Roman"/>
                <w:color w:val="000000"/>
                <w:sz w:val="16"/>
                <w:szCs w:val="16"/>
              </w:rPr>
              <w:t>3.6 </w:t>
            </w:r>
          </w:p>
        </w:tc>
        <w:tc>
          <w:tcPr>
            <w:tcW w:w="0" w:type="auto"/>
            <w:shd w:val="clear" w:color="auto" w:fill="CCEEFF"/>
            <w:tcMar>
              <w:top w:w="40" w:type="dxa"/>
              <w:left w:w="0" w:type="dxa"/>
              <w:bottom w:w="40" w:type="dxa"/>
              <w:right w:w="20" w:type="dxa"/>
            </w:tcMar>
            <w:vAlign w:val="center"/>
          </w:tcPr>
          <w:p w14:paraId="35D0A11E"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A12F" w14:textId="77777777">
        <w:trPr>
          <w:hidden/>
        </w:trPr>
        <w:tc>
          <w:tcPr>
            <w:tcW w:w="0" w:type="auto"/>
            <w:gridSpan w:val="3"/>
            <w:shd w:val="clear" w:color="auto" w:fill="auto"/>
            <w:vAlign w:val="bottom"/>
          </w:tcPr>
          <w:p w14:paraId="35D0A120" w14:textId="77777777" w:rsidR="00D42204" w:rsidRDefault="00D42204">
            <w:pPr>
              <w:rPr>
                <w:rFonts w:ascii="宋体"/>
                <w:vanish/>
              </w:rPr>
            </w:pPr>
          </w:p>
        </w:tc>
        <w:tc>
          <w:tcPr>
            <w:tcW w:w="0" w:type="auto"/>
            <w:gridSpan w:val="3"/>
            <w:shd w:val="clear" w:color="auto" w:fill="auto"/>
            <w:vAlign w:val="bottom"/>
          </w:tcPr>
          <w:p w14:paraId="35D0A121" w14:textId="77777777" w:rsidR="00D42204" w:rsidRDefault="00D42204">
            <w:pPr>
              <w:rPr>
                <w:rFonts w:ascii="宋体"/>
                <w:vanish/>
              </w:rPr>
            </w:pPr>
          </w:p>
        </w:tc>
        <w:tc>
          <w:tcPr>
            <w:tcW w:w="0" w:type="auto"/>
            <w:gridSpan w:val="3"/>
            <w:shd w:val="clear" w:color="auto" w:fill="auto"/>
            <w:vAlign w:val="bottom"/>
          </w:tcPr>
          <w:p w14:paraId="35D0A122" w14:textId="77777777" w:rsidR="00D42204" w:rsidRDefault="00D42204">
            <w:pPr>
              <w:rPr>
                <w:rFonts w:ascii="宋体"/>
                <w:vanish/>
              </w:rPr>
            </w:pPr>
          </w:p>
        </w:tc>
        <w:tc>
          <w:tcPr>
            <w:tcW w:w="0" w:type="auto"/>
            <w:gridSpan w:val="3"/>
            <w:shd w:val="clear" w:color="auto" w:fill="auto"/>
            <w:vAlign w:val="bottom"/>
          </w:tcPr>
          <w:p w14:paraId="35D0A123" w14:textId="77777777" w:rsidR="00D42204" w:rsidRDefault="00D42204">
            <w:pPr>
              <w:rPr>
                <w:rFonts w:ascii="宋体"/>
                <w:vanish/>
              </w:rPr>
            </w:pPr>
          </w:p>
        </w:tc>
        <w:tc>
          <w:tcPr>
            <w:tcW w:w="0" w:type="auto"/>
            <w:gridSpan w:val="3"/>
            <w:shd w:val="clear" w:color="auto" w:fill="auto"/>
            <w:vAlign w:val="bottom"/>
          </w:tcPr>
          <w:p w14:paraId="35D0A124" w14:textId="77777777" w:rsidR="00D42204" w:rsidRDefault="00D42204">
            <w:pPr>
              <w:rPr>
                <w:rFonts w:ascii="宋体"/>
                <w:vanish/>
              </w:rPr>
            </w:pPr>
          </w:p>
        </w:tc>
        <w:tc>
          <w:tcPr>
            <w:tcW w:w="0" w:type="auto"/>
            <w:gridSpan w:val="3"/>
            <w:shd w:val="clear" w:color="auto" w:fill="auto"/>
            <w:vAlign w:val="bottom"/>
          </w:tcPr>
          <w:p w14:paraId="35D0A125" w14:textId="77777777" w:rsidR="00D42204" w:rsidRDefault="00D42204">
            <w:pPr>
              <w:rPr>
                <w:rFonts w:ascii="宋体"/>
                <w:vanish/>
              </w:rPr>
            </w:pPr>
          </w:p>
        </w:tc>
        <w:tc>
          <w:tcPr>
            <w:tcW w:w="0" w:type="auto"/>
            <w:gridSpan w:val="3"/>
            <w:shd w:val="clear" w:color="auto" w:fill="auto"/>
            <w:vAlign w:val="bottom"/>
          </w:tcPr>
          <w:p w14:paraId="35D0A126" w14:textId="77777777" w:rsidR="00D42204" w:rsidRDefault="00D42204">
            <w:pPr>
              <w:rPr>
                <w:rFonts w:ascii="宋体"/>
                <w:vanish/>
              </w:rPr>
            </w:pPr>
          </w:p>
        </w:tc>
        <w:tc>
          <w:tcPr>
            <w:tcW w:w="0" w:type="auto"/>
            <w:gridSpan w:val="3"/>
            <w:shd w:val="clear" w:color="auto" w:fill="auto"/>
            <w:vAlign w:val="bottom"/>
          </w:tcPr>
          <w:p w14:paraId="35D0A127" w14:textId="77777777" w:rsidR="00D42204" w:rsidRDefault="00D42204">
            <w:pPr>
              <w:rPr>
                <w:rFonts w:ascii="宋体"/>
                <w:vanish/>
              </w:rPr>
            </w:pPr>
          </w:p>
        </w:tc>
        <w:tc>
          <w:tcPr>
            <w:tcW w:w="0" w:type="auto"/>
            <w:gridSpan w:val="3"/>
            <w:shd w:val="clear" w:color="auto" w:fill="auto"/>
            <w:vAlign w:val="bottom"/>
          </w:tcPr>
          <w:p w14:paraId="35D0A128" w14:textId="77777777" w:rsidR="00D42204" w:rsidRDefault="00D42204">
            <w:pPr>
              <w:rPr>
                <w:rFonts w:ascii="宋体"/>
                <w:vanish/>
              </w:rPr>
            </w:pPr>
          </w:p>
        </w:tc>
        <w:tc>
          <w:tcPr>
            <w:tcW w:w="0" w:type="auto"/>
            <w:gridSpan w:val="3"/>
            <w:shd w:val="clear" w:color="auto" w:fill="auto"/>
            <w:vAlign w:val="bottom"/>
          </w:tcPr>
          <w:p w14:paraId="35D0A129" w14:textId="77777777" w:rsidR="00D42204" w:rsidRDefault="00D42204">
            <w:pPr>
              <w:rPr>
                <w:rFonts w:ascii="宋体"/>
                <w:vanish/>
              </w:rPr>
            </w:pPr>
          </w:p>
        </w:tc>
        <w:tc>
          <w:tcPr>
            <w:tcW w:w="0" w:type="auto"/>
            <w:gridSpan w:val="3"/>
            <w:shd w:val="clear" w:color="auto" w:fill="auto"/>
            <w:vAlign w:val="bottom"/>
          </w:tcPr>
          <w:p w14:paraId="35D0A12A" w14:textId="77777777" w:rsidR="00D42204" w:rsidRDefault="00D42204">
            <w:pPr>
              <w:rPr>
                <w:rFonts w:ascii="宋体"/>
                <w:vanish/>
              </w:rPr>
            </w:pPr>
          </w:p>
        </w:tc>
        <w:tc>
          <w:tcPr>
            <w:tcW w:w="0" w:type="auto"/>
            <w:gridSpan w:val="3"/>
            <w:shd w:val="clear" w:color="auto" w:fill="auto"/>
            <w:vAlign w:val="bottom"/>
          </w:tcPr>
          <w:p w14:paraId="35D0A12B" w14:textId="77777777" w:rsidR="00D42204" w:rsidRDefault="00D42204">
            <w:pPr>
              <w:rPr>
                <w:rFonts w:ascii="宋体"/>
                <w:vanish/>
              </w:rPr>
            </w:pPr>
          </w:p>
        </w:tc>
        <w:tc>
          <w:tcPr>
            <w:tcW w:w="0" w:type="auto"/>
            <w:gridSpan w:val="3"/>
            <w:shd w:val="clear" w:color="auto" w:fill="auto"/>
            <w:vAlign w:val="bottom"/>
          </w:tcPr>
          <w:p w14:paraId="35D0A12C" w14:textId="77777777" w:rsidR="00D42204" w:rsidRDefault="00D42204">
            <w:pPr>
              <w:rPr>
                <w:rFonts w:ascii="宋体"/>
                <w:vanish/>
              </w:rPr>
            </w:pPr>
          </w:p>
        </w:tc>
        <w:tc>
          <w:tcPr>
            <w:tcW w:w="0" w:type="auto"/>
            <w:gridSpan w:val="3"/>
            <w:shd w:val="clear" w:color="auto" w:fill="auto"/>
            <w:vAlign w:val="bottom"/>
          </w:tcPr>
          <w:p w14:paraId="35D0A12D" w14:textId="77777777" w:rsidR="00D42204" w:rsidRDefault="00D42204">
            <w:pPr>
              <w:rPr>
                <w:rFonts w:ascii="宋体"/>
                <w:vanish/>
              </w:rPr>
            </w:pPr>
          </w:p>
        </w:tc>
        <w:tc>
          <w:tcPr>
            <w:tcW w:w="0" w:type="auto"/>
            <w:gridSpan w:val="3"/>
            <w:shd w:val="clear" w:color="auto" w:fill="auto"/>
            <w:vAlign w:val="bottom"/>
          </w:tcPr>
          <w:p w14:paraId="35D0A12E" w14:textId="77777777" w:rsidR="00D42204" w:rsidRDefault="00D42204">
            <w:pPr>
              <w:rPr>
                <w:rFonts w:ascii="宋体"/>
                <w:vanish/>
              </w:rPr>
            </w:pPr>
          </w:p>
        </w:tc>
      </w:tr>
      <w:tr w:rsidR="00D42204" w14:paraId="35D0A13F" w14:textId="77777777">
        <w:trPr>
          <w:hidden/>
        </w:trPr>
        <w:tc>
          <w:tcPr>
            <w:tcW w:w="0" w:type="auto"/>
            <w:gridSpan w:val="3"/>
            <w:shd w:val="clear" w:color="auto" w:fill="auto"/>
            <w:vAlign w:val="bottom"/>
          </w:tcPr>
          <w:p w14:paraId="35D0A130" w14:textId="77777777" w:rsidR="00D42204" w:rsidRDefault="00D42204">
            <w:pPr>
              <w:rPr>
                <w:rFonts w:ascii="宋体"/>
                <w:vanish/>
              </w:rPr>
            </w:pPr>
          </w:p>
        </w:tc>
        <w:tc>
          <w:tcPr>
            <w:tcW w:w="0" w:type="auto"/>
            <w:gridSpan w:val="3"/>
            <w:shd w:val="clear" w:color="auto" w:fill="auto"/>
            <w:vAlign w:val="bottom"/>
          </w:tcPr>
          <w:p w14:paraId="35D0A131" w14:textId="77777777" w:rsidR="00D42204" w:rsidRDefault="00D42204">
            <w:pPr>
              <w:rPr>
                <w:rFonts w:ascii="宋体"/>
                <w:vanish/>
              </w:rPr>
            </w:pPr>
          </w:p>
        </w:tc>
        <w:tc>
          <w:tcPr>
            <w:tcW w:w="0" w:type="auto"/>
            <w:gridSpan w:val="3"/>
            <w:shd w:val="clear" w:color="auto" w:fill="auto"/>
            <w:vAlign w:val="bottom"/>
          </w:tcPr>
          <w:p w14:paraId="35D0A132" w14:textId="77777777" w:rsidR="00D42204" w:rsidRDefault="00D42204">
            <w:pPr>
              <w:rPr>
                <w:rFonts w:ascii="宋体"/>
                <w:vanish/>
              </w:rPr>
            </w:pPr>
          </w:p>
        </w:tc>
        <w:tc>
          <w:tcPr>
            <w:tcW w:w="0" w:type="auto"/>
            <w:gridSpan w:val="3"/>
            <w:shd w:val="clear" w:color="auto" w:fill="auto"/>
            <w:vAlign w:val="bottom"/>
          </w:tcPr>
          <w:p w14:paraId="35D0A133" w14:textId="77777777" w:rsidR="00D42204" w:rsidRDefault="00D42204">
            <w:pPr>
              <w:rPr>
                <w:rFonts w:ascii="宋体"/>
                <w:vanish/>
              </w:rPr>
            </w:pPr>
          </w:p>
        </w:tc>
        <w:tc>
          <w:tcPr>
            <w:tcW w:w="0" w:type="auto"/>
            <w:gridSpan w:val="3"/>
            <w:shd w:val="clear" w:color="auto" w:fill="auto"/>
            <w:vAlign w:val="bottom"/>
          </w:tcPr>
          <w:p w14:paraId="35D0A134" w14:textId="77777777" w:rsidR="00D42204" w:rsidRDefault="00D42204">
            <w:pPr>
              <w:rPr>
                <w:rFonts w:ascii="宋体"/>
                <w:vanish/>
              </w:rPr>
            </w:pPr>
          </w:p>
        </w:tc>
        <w:tc>
          <w:tcPr>
            <w:tcW w:w="0" w:type="auto"/>
            <w:gridSpan w:val="3"/>
            <w:shd w:val="clear" w:color="auto" w:fill="auto"/>
            <w:vAlign w:val="bottom"/>
          </w:tcPr>
          <w:p w14:paraId="35D0A135" w14:textId="77777777" w:rsidR="00D42204" w:rsidRDefault="00D42204">
            <w:pPr>
              <w:rPr>
                <w:rFonts w:ascii="宋体"/>
                <w:vanish/>
              </w:rPr>
            </w:pPr>
          </w:p>
        </w:tc>
        <w:tc>
          <w:tcPr>
            <w:tcW w:w="0" w:type="auto"/>
            <w:gridSpan w:val="3"/>
            <w:shd w:val="clear" w:color="auto" w:fill="auto"/>
            <w:vAlign w:val="bottom"/>
          </w:tcPr>
          <w:p w14:paraId="35D0A136" w14:textId="77777777" w:rsidR="00D42204" w:rsidRDefault="00D42204">
            <w:pPr>
              <w:rPr>
                <w:rFonts w:ascii="宋体"/>
                <w:vanish/>
              </w:rPr>
            </w:pPr>
          </w:p>
        </w:tc>
        <w:tc>
          <w:tcPr>
            <w:tcW w:w="0" w:type="auto"/>
            <w:gridSpan w:val="3"/>
            <w:shd w:val="clear" w:color="auto" w:fill="auto"/>
            <w:vAlign w:val="bottom"/>
          </w:tcPr>
          <w:p w14:paraId="35D0A137" w14:textId="77777777" w:rsidR="00D42204" w:rsidRDefault="00D42204">
            <w:pPr>
              <w:rPr>
                <w:rFonts w:ascii="宋体"/>
                <w:vanish/>
              </w:rPr>
            </w:pPr>
          </w:p>
        </w:tc>
        <w:tc>
          <w:tcPr>
            <w:tcW w:w="0" w:type="auto"/>
            <w:gridSpan w:val="3"/>
            <w:shd w:val="clear" w:color="auto" w:fill="auto"/>
            <w:vAlign w:val="bottom"/>
          </w:tcPr>
          <w:p w14:paraId="35D0A138" w14:textId="77777777" w:rsidR="00D42204" w:rsidRDefault="00D42204">
            <w:pPr>
              <w:rPr>
                <w:rFonts w:ascii="宋体"/>
                <w:vanish/>
              </w:rPr>
            </w:pPr>
          </w:p>
        </w:tc>
        <w:tc>
          <w:tcPr>
            <w:tcW w:w="0" w:type="auto"/>
            <w:gridSpan w:val="3"/>
            <w:shd w:val="clear" w:color="auto" w:fill="auto"/>
            <w:vAlign w:val="bottom"/>
          </w:tcPr>
          <w:p w14:paraId="35D0A139" w14:textId="77777777" w:rsidR="00D42204" w:rsidRDefault="00D42204">
            <w:pPr>
              <w:rPr>
                <w:rFonts w:ascii="宋体"/>
                <w:vanish/>
              </w:rPr>
            </w:pPr>
          </w:p>
        </w:tc>
        <w:tc>
          <w:tcPr>
            <w:tcW w:w="0" w:type="auto"/>
            <w:gridSpan w:val="3"/>
            <w:shd w:val="clear" w:color="auto" w:fill="auto"/>
            <w:vAlign w:val="bottom"/>
          </w:tcPr>
          <w:p w14:paraId="35D0A13A" w14:textId="77777777" w:rsidR="00D42204" w:rsidRDefault="00D42204">
            <w:pPr>
              <w:rPr>
                <w:rFonts w:ascii="宋体"/>
                <w:vanish/>
              </w:rPr>
            </w:pPr>
          </w:p>
        </w:tc>
        <w:tc>
          <w:tcPr>
            <w:tcW w:w="0" w:type="auto"/>
            <w:gridSpan w:val="3"/>
            <w:shd w:val="clear" w:color="auto" w:fill="auto"/>
            <w:vAlign w:val="bottom"/>
          </w:tcPr>
          <w:p w14:paraId="35D0A13B" w14:textId="77777777" w:rsidR="00D42204" w:rsidRDefault="00D42204">
            <w:pPr>
              <w:rPr>
                <w:rFonts w:ascii="宋体"/>
                <w:vanish/>
              </w:rPr>
            </w:pPr>
          </w:p>
        </w:tc>
        <w:tc>
          <w:tcPr>
            <w:tcW w:w="0" w:type="auto"/>
            <w:gridSpan w:val="3"/>
            <w:shd w:val="clear" w:color="auto" w:fill="auto"/>
            <w:vAlign w:val="bottom"/>
          </w:tcPr>
          <w:p w14:paraId="35D0A13C" w14:textId="77777777" w:rsidR="00D42204" w:rsidRDefault="00D42204">
            <w:pPr>
              <w:rPr>
                <w:rFonts w:ascii="宋体"/>
                <w:vanish/>
              </w:rPr>
            </w:pPr>
          </w:p>
        </w:tc>
        <w:tc>
          <w:tcPr>
            <w:tcW w:w="0" w:type="auto"/>
            <w:gridSpan w:val="3"/>
            <w:shd w:val="clear" w:color="auto" w:fill="auto"/>
            <w:vAlign w:val="bottom"/>
          </w:tcPr>
          <w:p w14:paraId="35D0A13D" w14:textId="77777777" w:rsidR="00D42204" w:rsidRDefault="00D42204">
            <w:pPr>
              <w:rPr>
                <w:rFonts w:ascii="宋体"/>
                <w:vanish/>
              </w:rPr>
            </w:pPr>
          </w:p>
        </w:tc>
        <w:tc>
          <w:tcPr>
            <w:tcW w:w="0" w:type="auto"/>
            <w:gridSpan w:val="3"/>
            <w:shd w:val="clear" w:color="auto" w:fill="auto"/>
            <w:vAlign w:val="bottom"/>
          </w:tcPr>
          <w:p w14:paraId="35D0A13E" w14:textId="77777777" w:rsidR="00D42204" w:rsidRDefault="00D42204">
            <w:pPr>
              <w:rPr>
                <w:rFonts w:ascii="宋体"/>
                <w:vanish/>
              </w:rPr>
            </w:pPr>
          </w:p>
        </w:tc>
      </w:tr>
      <w:tr w:rsidR="00D42204" w14:paraId="35D0A14F" w14:textId="77777777">
        <w:tc>
          <w:tcPr>
            <w:tcW w:w="0" w:type="auto"/>
            <w:gridSpan w:val="3"/>
            <w:shd w:val="clear" w:color="auto" w:fill="FFFFFF"/>
            <w:tcMar>
              <w:top w:w="40" w:type="dxa"/>
              <w:left w:w="20" w:type="dxa"/>
              <w:bottom w:w="40" w:type="dxa"/>
              <w:right w:w="20" w:type="dxa"/>
            </w:tcMar>
            <w:vAlign w:val="center"/>
          </w:tcPr>
          <w:p w14:paraId="35D0A140" w14:textId="77777777" w:rsidR="00D42204" w:rsidRDefault="004E439D">
            <w:pPr>
              <w:textAlignment w:val="center"/>
            </w:pPr>
            <w:r>
              <w:rPr>
                <w:rFonts w:ascii="Times New Roman" w:eastAsia="宋体" w:hAnsi="Times New Roman"/>
                <w:b/>
                <w:bCs/>
                <w:color w:val="000000"/>
                <w:sz w:val="16"/>
                <w:szCs w:val="16"/>
              </w:rPr>
              <w:t>Interest rate derivatives</w:t>
            </w:r>
          </w:p>
        </w:tc>
        <w:tc>
          <w:tcPr>
            <w:tcW w:w="0" w:type="auto"/>
            <w:gridSpan w:val="3"/>
            <w:shd w:val="clear" w:color="auto" w:fill="FFFFFF"/>
            <w:tcMar>
              <w:top w:w="0" w:type="dxa"/>
              <w:left w:w="20" w:type="dxa"/>
              <w:bottom w:w="0" w:type="dxa"/>
              <w:right w:w="20" w:type="dxa"/>
            </w:tcMar>
            <w:vAlign w:val="bottom"/>
          </w:tcPr>
          <w:p w14:paraId="35D0A141"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142"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143"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144"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145"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146"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147"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148"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149"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14A"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14B"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14C"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14D"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14E" w14:textId="77777777" w:rsidR="00D42204" w:rsidRDefault="00D42204">
            <w:pPr>
              <w:rPr>
                <w:rFonts w:ascii="宋体"/>
              </w:rPr>
            </w:pPr>
          </w:p>
        </w:tc>
      </w:tr>
      <w:tr w:rsidR="00D42204" w14:paraId="35D0A15F" w14:textId="77777777">
        <w:tc>
          <w:tcPr>
            <w:tcW w:w="0" w:type="auto"/>
            <w:gridSpan w:val="3"/>
            <w:shd w:val="clear" w:color="auto" w:fill="CCEEFF"/>
            <w:tcMar>
              <w:top w:w="40" w:type="dxa"/>
              <w:left w:w="155" w:type="dxa"/>
              <w:bottom w:w="40" w:type="dxa"/>
              <w:right w:w="20" w:type="dxa"/>
            </w:tcMar>
            <w:vAlign w:val="center"/>
          </w:tcPr>
          <w:p w14:paraId="35D0A150" w14:textId="77777777" w:rsidR="00D42204" w:rsidRDefault="004E439D">
            <w:pPr>
              <w:textAlignment w:val="center"/>
            </w:pPr>
            <w:r>
              <w:rPr>
                <w:rFonts w:ascii="Times New Roman" w:eastAsia="宋体" w:hAnsi="Times New Roman"/>
                <w:b/>
                <w:bCs/>
                <w:color w:val="000000"/>
                <w:sz w:val="16"/>
                <w:szCs w:val="16"/>
              </w:rPr>
              <w:t>Interest rate swaps:</w:t>
            </w:r>
          </w:p>
        </w:tc>
        <w:tc>
          <w:tcPr>
            <w:tcW w:w="0" w:type="auto"/>
            <w:gridSpan w:val="3"/>
            <w:shd w:val="clear" w:color="auto" w:fill="CCEEFF"/>
            <w:tcMar>
              <w:top w:w="0" w:type="dxa"/>
              <w:left w:w="20" w:type="dxa"/>
              <w:bottom w:w="0" w:type="dxa"/>
              <w:right w:w="20" w:type="dxa"/>
            </w:tcMar>
            <w:vAlign w:val="bottom"/>
          </w:tcPr>
          <w:p w14:paraId="35D0A151"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15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153"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154"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155"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156"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157"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15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159"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15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15B"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15C"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15D"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15E" w14:textId="77777777" w:rsidR="00D42204" w:rsidRDefault="00D42204">
            <w:pPr>
              <w:rPr>
                <w:rFonts w:ascii="宋体"/>
              </w:rPr>
            </w:pPr>
          </w:p>
        </w:tc>
      </w:tr>
      <w:tr w:rsidR="00D42204" w14:paraId="35D0A17D" w14:textId="77777777">
        <w:tc>
          <w:tcPr>
            <w:tcW w:w="0" w:type="auto"/>
            <w:gridSpan w:val="3"/>
            <w:shd w:val="clear" w:color="auto" w:fill="FFFFFF"/>
            <w:tcMar>
              <w:top w:w="40" w:type="dxa"/>
              <w:left w:w="380" w:type="dxa"/>
              <w:bottom w:w="40" w:type="dxa"/>
              <w:right w:w="20" w:type="dxa"/>
            </w:tcMar>
            <w:vAlign w:val="center"/>
          </w:tcPr>
          <w:p w14:paraId="35D0A160" w14:textId="77777777" w:rsidR="00D42204" w:rsidRDefault="004E439D">
            <w:pPr>
              <w:textAlignment w:val="center"/>
            </w:pPr>
            <w:r>
              <w:rPr>
                <w:rFonts w:ascii="Times New Roman" w:eastAsia="宋体" w:hAnsi="Times New Roman"/>
                <w:color w:val="000000"/>
                <w:sz w:val="16"/>
                <w:szCs w:val="16"/>
              </w:rPr>
              <w:t>Fixed to variable</w:t>
            </w:r>
          </w:p>
        </w:tc>
        <w:tc>
          <w:tcPr>
            <w:tcW w:w="0" w:type="auto"/>
            <w:gridSpan w:val="3"/>
            <w:shd w:val="clear" w:color="auto" w:fill="FFFFFF"/>
            <w:tcMar>
              <w:top w:w="0" w:type="dxa"/>
              <w:left w:w="20" w:type="dxa"/>
              <w:bottom w:w="0" w:type="dxa"/>
              <w:right w:w="20" w:type="dxa"/>
            </w:tcMar>
            <w:vAlign w:val="bottom"/>
          </w:tcPr>
          <w:p w14:paraId="35D0A161"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162"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163"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16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165"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166"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167" w14:textId="77777777" w:rsidR="00D42204" w:rsidRDefault="004E439D">
            <w:pPr>
              <w:jc w:val="right"/>
              <w:textAlignment w:val="center"/>
            </w:pPr>
            <w:r>
              <w:rPr>
                <w:rFonts w:ascii="Times New Roman" w:eastAsia="宋体" w:hAnsi="Times New Roman"/>
                <w:color w:val="000000"/>
                <w:sz w:val="16"/>
                <w:szCs w:val="16"/>
              </w:rPr>
              <w:t>1,750 </w:t>
            </w:r>
          </w:p>
        </w:tc>
        <w:tc>
          <w:tcPr>
            <w:tcW w:w="0" w:type="auto"/>
            <w:shd w:val="clear" w:color="auto" w:fill="FFFFFF"/>
            <w:tcMar>
              <w:top w:w="40" w:type="dxa"/>
              <w:left w:w="0" w:type="dxa"/>
              <w:bottom w:w="40" w:type="dxa"/>
              <w:right w:w="20" w:type="dxa"/>
            </w:tcMar>
            <w:vAlign w:val="center"/>
          </w:tcPr>
          <w:p w14:paraId="35D0A16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169"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16A"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16B" w14:textId="77777777" w:rsidR="00D42204" w:rsidRDefault="004E439D">
            <w:pPr>
              <w:jc w:val="right"/>
              <w:textAlignment w:val="center"/>
            </w:pPr>
            <w:r>
              <w:rPr>
                <w:rFonts w:ascii="Times New Roman" w:eastAsia="宋体" w:hAnsi="Times New Roman"/>
                <w:color w:val="000000"/>
                <w:sz w:val="16"/>
                <w:szCs w:val="16"/>
              </w:rPr>
              <w:t>1,500 </w:t>
            </w:r>
          </w:p>
        </w:tc>
        <w:tc>
          <w:tcPr>
            <w:tcW w:w="0" w:type="auto"/>
            <w:shd w:val="clear" w:color="auto" w:fill="FFFFFF"/>
            <w:tcMar>
              <w:top w:w="40" w:type="dxa"/>
              <w:left w:w="0" w:type="dxa"/>
              <w:bottom w:w="40" w:type="dxa"/>
              <w:right w:w="20" w:type="dxa"/>
            </w:tcMar>
            <w:vAlign w:val="center"/>
          </w:tcPr>
          <w:p w14:paraId="35D0A16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16D"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16E"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16F"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17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171"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172"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173"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17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175"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176"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177" w14:textId="77777777" w:rsidR="00D42204" w:rsidRDefault="004E439D">
            <w:pPr>
              <w:jc w:val="right"/>
              <w:textAlignment w:val="center"/>
            </w:pPr>
            <w:r>
              <w:rPr>
                <w:rFonts w:ascii="Times New Roman" w:eastAsia="宋体" w:hAnsi="Times New Roman"/>
                <w:color w:val="000000"/>
                <w:sz w:val="16"/>
                <w:szCs w:val="16"/>
              </w:rPr>
              <w:t>4,771 </w:t>
            </w:r>
          </w:p>
        </w:tc>
        <w:tc>
          <w:tcPr>
            <w:tcW w:w="0" w:type="auto"/>
            <w:shd w:val="clear" w:color="auto" w:fill="FFFFFF"/>
            <w:tcMar>
              <w:top w:w="40" w:type="dxa"/>
              <w:left w:w="0" w:type="dxa"/>
              <w:bottom w:w="40" w:type="dxa"/>
              <w:right w:w="20" w:type="dxa"/>
            </w:tcMar>
            <w:vAlign w:val="center"/>
          </w:tcPr>
          <w:p w14:paraId="35D0A17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179"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17A"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17B" w14:textId="77777777" w:rsidR="00D42204" w:rsidRDefault="004E439D">
            <w:pPr>
              <w:jc w:val="right"/>
              <w:textAlignment w:val="center"/>
            </w:pPr>
            <w:r>
              <w:rPr>
                <w:rFonts w:ascii="Times New Roman" w:eastAsia="宋体" w:hAnsi="Times New Roman"/>
                <w:color w:val="000000"/>
                <w:sz w:val="16"/>
                <w:szCs w:val="16"/>
              </w:rPr>
              <w:t>8,021 </w:t>
            </w:r>
          </w:p>
        </w:tc>
        <w:tc>
          <w:tcPr>
            <w:tcW w:w="0" w:type="auto"/>
            <w:shd w:val="clear" w:color="auto" w:fill="FFFFFF"/>
            <w:tcMar>
              <w:top w:w="40" w:type="dxa"/>
              <w:left w:w="0" w:type="dxa"/>
              <w:bottom w:w="40" w:type="dxa"/>
              <w:right w:w="20" w:type="dxa"/>
            </w:tcMar>
            <w:vAlign w:val="center"/>
          </w:tcPr>
          <w:p w14:paraId="35D0A17C" w14:textId="77777777" w:rsidR="00D42204" w:rsidRDefault="00D42204">
            <w:pPr>
              <w:jc w:val="right"/>
              <w:rPr>
                <w:rFonts w:ascii="宋体"/>
              </w:rPr>
            </w:pPr>
          </w:p>
        </w:tc>
      </w:tr>
      <w:tr w:rsidR="00D42204" w14:paraId="35D0A194" w14:textId="77777777">
        <w:tc>
          <w:tcPr>
            <w:tcW w:w="0" w:type="auto"/>
            <w:gridSpan w:val="3"/>
            <w:shd w:val="clear" w:color="auto" w:fill="CCEEFF"/>
            <w:tcMar>
              <w:top w:w="40" w:type="dxa"/>
              <w:left w:w="380" w:type="dxa"/>
              <w:bottom w:w="40" w:type="dxa"/>
              <w:right w:w="20" w:type="dxa"/>
            </w:tcMar>
            <w:vAlign w:val="center"/>
          </w:tcPr>
          <w:p w14:paraId="35D0A17E" w14:textId="77777777" w:rsidR="00D42204" w:rsidRDefault="004E439D">
            <w:pPr>
              <w:textAlignment w:val="center"/>
            </w:pPr>
            <w:r>
              <w:rPr>
                <w:rFonts w:ascii="Times New Roman" w:eastAsia="宋体" w:hAnsi="Times New Roman"/>
                <w:color w:val="000000"/>
                <w:sz w:val="16"/>
                <w:szCs w:val="16"/>
              </w:rPr>
              <w:t>Weighted-average pay rate</w:t>
            </w:r>
          </w:p>
        </w:tc>
        <w:tc>
          <w:tcPr>
            <w:tcW w:w="0" w:type="auto"/>
            <w:gridSpan w:val="3"/>
            <w:shd w:val="clear" w:color="auto" w:fill="CCEEFF"/>
            <w:tcMar>
              <w:top w:w="0" w:type="dxa"/>
              <w:left w:w="20" w:type="dxa"/>
              <w:bottom w:w="0" w:type="dxa"/>
              <w:right w:w="20" w:type="dxa"/>
            </w:tcMar>
            <w:vAlign w:val="bottom"/>
          </w:tcPr>
          <w:p w14:paraId="35D0A17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180"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181"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A18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183" w14:textId="77777777" w:rsidR="00D42204" w:rsidRDefault="004E439D">
            <w:pPr>
              <w:jc w:val="right"/>
              <w:textAlignment w:val="center"/>
            </w:pPr>
            <w:r>
              <w:rPr>
                <w:rFonts w:ascii="Times New Roman" w:eastAsia="宋体" w:hAnsi="Times New Roman"/>
                <w:color w:val="000000"/>
                <w:sz w:val="16"/>
                <w:szCs w:val="16"/>
              </w:rPr>
              <w:t>0.7 </w:t>
            </w:r>
          </w:p>
        </w:tc>
        <w:tc>
          <w:tcPr>
            <w:tcW w:w="0" w:type="auto"/>
            <w:shd w:val="clear" w:color="auto" w:fill="CCEEFF"/>
            <w:tcMar>
              <w:top w:w="40" w:type="dxa"/>
              <w:left w:w="0" w:type="dxa"/>
              <w:bottom w:w="40" w:type="dxa"/>
              <w:right w:w="20" w:type="dxa"/>
            </w:tcMar>
            <w:vAlign w:val="center"/>
          </w:tcPr>
          <w:p w14:paraId="35D0A184"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A18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186" w14:textId="77777777" w:rsidR="00D42204" w:rsidRDefault="004E439D">
            <w:pPr>
              <w:jc w:val="right"/>
              <w:textAlignment w:val="center"/>
            </w:pPr>
            <w:r>
              <w:rPr>
                <w:rFonts w:ascii="Times New Roman" w:eastAsia="宋体" w:hAnsi="Times New Roman"/>
                <w:color w:val="000000"/>
                <w:sz w:val="16"/>
                <w:szCs w:val="16"/>
              </w:rPr>
              <w:t>1.4 </w:t>
            </w:r>
          </w:p>
        </w:tc>
        <w:tc>
          <w:tcPr>
            <w:tcW w:w="0" w:type="auto"/>
            <w:shd w:val="clear" w:color="auto" w:fill="CCEEFF"/>
            <w:tcMar>
              <w:top w:w="40" w:type="dxa"/>
              <w:left w:w="0" w:type="dxa"/>
              <w:bottom w:w="40" w:type="dxa"/>
              <w:right w:w="20" w:type="dxa"/>
            </w:tcMar>
            <w:vAlign w:val="center"/>
          </w:tcPr>
          <w:p w14:paraId="35D0A187"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A18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189"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18A"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A18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18C"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18D"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A18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18F" w14:textId="77777777" w:rsidR="00D42204" w:rsidRDefault="004E439D">
            <w:pPr>
              <w:jc w:val="right"/>
              <w:textAlignment w:val="center"/>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center"/>
          </w:tcPr>
          <w:p w14:paraId="35D0A190"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A19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192" w14:textId="77777777" w:rsidR="00D42204" w:rsidRDefault="004E439D">
            <w:pPr>
              <w:jc w:val="right"/>
              <w:textAlignment w:val="center"/>
            </w:pPr>
            <w:r>
              <w:rPr>
                <w:rFonts w:ascii="Times New Roman" w:eastAsia="宋体" w:hAnsi="Times New Roman"/>
                <w:color w:val="000000"/>
                <w:sz w:val="16"/>
                <w:szCs w:val="16"/>
              </w:rPr>
              <w:t>1.2 </w:t>
            </w:r>
          </w:p>
        </w:tc>
        <w:tc>
          <w:tcPr>
            <w:tcW w:w="0" w:type="auto"/>
            <w:shd w:val="clear" w:color="auto" w:fill="CCEEFF"/>
            <w:tcMar>
              <w:top w:w="40" w:type="dxa"/>
              <w:left w:w="0" w:type="dxa"/>
              <w:bottom w:w="40" w:type="dxa"/>
              <w:right w:w="20" w:type="dxa"/>
            </w:tcMar>
            <w:vAlign w:val="center"/>
          </w:tcPr>
          <w:p w14:paraId="35D0A193"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A1AB" w14:textId="77777777">
        <w:tc>
          <w:tcPr>
            <w:tcW w:w="0" w:type="auto"/>
            <w:gridSpan w:val="3"/>
            <w:shd w:val="clear" w:color="auto" w:fill="FFFFFF"/>
            <w:tcMar>
              <w:top w:w="40" w:type="dxa"/>
              <w:left w:w="380" w:type="dxa"/>
              <w:bottom w:w="40" w:type="dxa"/>
              <w:right w:w="20" w:type="dxa"/>
            </w:tcMar>
            <w:vAlign w:val="center"/>
          </w:tcPr>
          <w:p w14:paraId="35D0A195" w14:textId="77777777" w:rsidR="00D42204" w:rsidRDefault="004E439D">
            <w:pPr>
              <w:textAlignment w:val="center"/>
            </w:pPr>
            <w:r>
              <w:rPr>
                <w:rFonts w:ascii="Times New Roman" w:eastAsia="宋体" w:hAnsi="Times New Roman"/>
                <w:color w:val="000000"/>
                <w:sz w:val="16"/>
                <w:szCs w:val="16"/>
              </w:rPr>
              <w:t>Weighted-average receive rate</w:t>
            </w:r>
          </w:p>
        </w:tc>
        <w:tc>
          <w:tcPr>
            <w:tcW w:w="0" w:type="auto"/>
            <w:gridSpan w:val="3"/>
            <w:shd w:val="clear" w:color="auto" w:fill="FFFFFF"/>
            <w:tcMar>
              <w:top w:w="0" w:type="dxa"/>
              <w:left w:w="20" w:type="dxa"/>
              <w:bottom w:w="0" w:type="dxa"/>
              <w:right w:w="20" w:type="dxa"/>
            </w:tcMar>
            <w:vAlign w:val="bottom"/>
          </w:tcPr>
          <w:p w14:paraId="35D0A19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197"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198"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A19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19A" w14:textId="77777777" w:rsidR="00D42204" w:rsidRDefault="004E439D">
            <w:pPr>
              <w:jc w:val="right"/>
              <w:textAlignment w:val="center"/>
            </w:pPr>
            <w:r>
              <w:rPr>
                <w:rFonts w:ascii="Times New Roman" w:eastAsia="宋体" w:hAnsi="Times New Roman"/>
                <w:color w:val="000000"/>
                <w:sz w:val="16"/>
                <w:szCs w:val="16"/>
              </w:rPr>
              <w:t>2.6 </w:t>
            </w:r>
          </w:p>
        </w:tc>
        <w:tc>
          <w:tcPr>
            <w:tcW w:w="0" w:type="auto"/>
            <w:shd w:val="clear" w:color="auto" w:fill="FFFFFF"/>
            <w:tcMar>
              <w:top w:w="40" w:type="dxa"/>
              <w:left w:w="0" w:type="dxa"/>
              <w:bottom w:w="40" w:type="dxa"/>
              <w:right w:w="20" w:type="dxa"/>
            </w:tcMar>
            <w:vAlign w:val="center"/>
          </w:tcPr>
          <w:p w14:paraId="35D0A19B"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A19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19D" w14:textId="77777777" w:rsidR="00D42204" w:rsidRDefault="004E439D">
            <w:pPr>
              <w:jc w:val="right"/>
              <w:textAlignment w:val="center"/>
            </w:pPr>
            <w:r>
              <w:rPr>
                <w:rFonts w:ascii="Times New Roman" w:eastAsia="宋体" w:hAnsi="Times New Roman"/>
                <w:color w:val="000000"/>
                <w:sz w:val="16"/>
                <w:szCs w:val="16"/>
              </w:rPr>
              <w:t>3.3 </w:t>
            </w:r>
          </w:p>
        </w:tc>
        <w:tc>
          <w:tcPr>
            <w:tcW w:w="0" w:type="auto"/>
            <w:shd w:val="clear" w:color="auto" w:fill="FFFFFF"/>
            <w:tcMar>
              <w:top w:w="40" w:type="dxa"/>
              <w:left w:w="0" w:type="dxa"/>
              <w:bottom w:w="40" w:type="dxa"/>
              <w:right w:w="20" w:type="dxa"/>
            </w:tcMar>
            <w:vAlign w:val="center"/>
          </w:tcPr>
          <w:p w14:paraId="35D0A19E"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A19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1A0"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1A1"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A1A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1A3"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1A4"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A1A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1A6" w14:textId="77777777" w:rsidR="00D42204" w:rsidRDefault="004E439D">
            <w:pPr>
              <w:jc w:val="right"/>
              <w:textAlignment w:val="center"/>
            </w:pPr>
            <w:r>
              <w:rPr>
                <w:rFonts w:ascii="Times New Roman" w:eastAsia="宋体" w:hAnsi="Times New Roman"/>
                <w:color w:val="000000"/>
                <w:sz w:val="16"/>
                <w:szCs w:val="16"/>
              </w:rPr>
              <w:t>2.5 </w:t>
            </w:r>
          </w:p>
        </w:tc>
        <w:tc>
          <w:tcPr>
            <w:tcW w:w="0" w:type="auto"/>
            <w:shd w:val="clear" w:color="auto" w:fill="FFFFFF"/>
            <w:tcMar>
              <w:top w:w="40" w:type="dxa"/>
              <w:left w:w="0" w:type="dxa"/>
              <w:bottom w:w="40" w:type="dxa"/>
              <w:right w:w="20" w:type="dxa"/>
            </w:tcMar>
            <w:vAlign w:val="center"/>
          </w:tcPr>
          <w:p w14:paraId="35D0A1A7"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A1A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1A9" w14:textId="77777777" w:rsidR="00D42204" w:rsidRDefault="004E439D">
            <w:pPr>
              <w:jc w:val="right"/>
              <w:textAlignment w:val="center"/>
            </w:pPr>
            <w:r>
              <w:rPr>
                <w:rFonts w:ascii="Times New Roman" w:eastAsia="宋体" w:hAnsi="Times New Roman"/>
                <w:color w:val="000000"/>
                <w:sz w:val="16"/>
                <w:szCs w:val="16"/>
              </w:rPr>
              <w:t>2.7 </w:t>
            </w:r>
          </w:p>
        </w:tc>
        <w:tc>
          <w:tcPr>
            <w:tcW w:w="0" w:type="auto"/>
            <w:shd w:val="clear" w:color="auto" w:fill="FFFFFF"/>
            <w:tcMar>
              <w:top w:w="40" w:type="dxa"/>
              <w:left w:w="0" w:type="dxa"/>
              <w:bottom w:w="40" w:type="dxa"/>
              <w:right w:w="20" w:type="dxa"/>
            </w:tcMar>
            <w:vAlign w:val="center"/>
          </w:tcPr>
          <w:p w14:paraId="35D0A1AA" w14:textId="77777777" w:rsidR="00D42204" w:rsidRDefault="004E439D">
            <w:pPr>
              <w:jc w:val="right"/>
              <w:textAlignment w:val="center"/>
            </w:pPr>
            <w:r>
              <w:rPr>
                <w:rFonts w:ascii="Times New Roman" w:eastAsia="宋体" w:hAnsi="Times New Roman"/>
                <w:color w:val="000000"/>
                <w:sz w:val="16"/>
                <w:szCs w:val="16"/>
              </w:rPr>
              <w:t>%</w:t>
            </w:r>
          </w:p>
        </w:tc>
      </w:tr>
    </w:tbl>
    <w:p w14:paraId="35D0A1AC" w14:textId="77777777" w:rsidR="00D42204" w:rsidRDefault="004E439D">
      <w:pPr>
        <w:ind w:hanging="36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Includes deferred loan costs, discounts, fair value hedges, foreign-held debt and secured debt. </w:t>
      </w:r>
    </w:p>
    <w:p w14:paraId="35D0A1AD" w14:textId="77777777" w:rsidR="00D42204" w:rsidRDefault="004E439D">
      <w:pPr>
        <w:spacing w:before="180"/>
      </w:pPr>
      <w:r>
        <w:rPr>
          <w:rFonts w:ascii="Times New Roman" w:eastAsia="宋体" w:hAnsi="Times New Roman"/>
          <w:color w:val="000000"/>
          <w:sz w:val="20"/>
          <w:szCs w:val="20"/>
        </w:rPr>
        <w:t xml:space="preserve">As of January 31, 2022, our variable rate borrowings, including the effect of our commercial paper and interest rate swaps, represented 22% of </w:t>
      </w:r>
      <w:r>
        <w:rPr>
          <w:rFonts w:ascii="Times New Roman" w:eastAsia="宋体" w:hAnsi="Times New Roman"/>
          <w:color w:val="000000"/>
          <w:sz w:val="20"/>
          <w:szCs w:val="20"/>
        </w:rPr>
        <w:t>our total short-term and long-term debt. Based on January 31, 2022 debt levels, a 100 basis point change in prevailing market rates would cause our annual interest costs to change by approximately $0.1 billion.</w:t>
      </w:r>
    </w:p>
    <w:p w14:paraId="35D0A1AE" w14:textId="77777777" w:rsidR="00D42204" w:rsidRDefault="004E439D">
      <w:pPr>
        <w:spacing w:before="180"/>
      </w:pPr>
      <w:r>
        <w:rPr>
          <w:rFonts w:ascii="Times New Roman" w:eastAsia="宋体" w:hAnsi="Times New Roman"/>
          <w:i/>
          <w:iCs/>
          <w:color w:val="000000"/>
          <w:sz w:val="20"/>
          <w:szCs w:val="20"/>
        </w:rPr>
        <w:t>Foreign Currency Risk</w:t>
      </w:r>
    </w:p>
    <w:p w14:paraId="35D0A1AF" w14:textId="77777777" w:rsidR="00D42204" w:rsidRDefault="004E439D">
      <w:pPr>
        <w:spacing w:before="100"/>
      </w:pPr>
      <w:r>
        <w:rPr>
          <w:rFonts w:ascii="Times New Roman" w:eastAsia="宋体" w:hAnsi="Times New Roman"/>
          <w:color w:val="000000"/>
          <w:sz w:val="20"/>
          <w:szCs w:val="20"/>
        </w:rPr>
        <w:t>We are exposed to fluct</w:t>
      </w:r>
      <w:r>
        <w:rPr>
          <w:rFonts w:ascii="Times New Roman" w:eastAsia="宋体" w:hAnsi="Times New Roman"/>
          <w:color w:val="000000"/>
          <w:sz w:val="20"/>
          <w:szCs w:val="20"/>
        </w:rPr>
        <w:t>uations in currency exchange rates as a result of our investments and operations in countries other than the U.S., as well as our foreign-currency-denominated long-term debt. For fiscal 2022, movements in currency exchange rates and the related impact on t</w:t>
      </w:r>
      <w:r>
        <w:rPr>
          <w:rFonts w:ascii="Times New Roman" w:eastAsia="宋体" w:hAnsi="Times New Roman"/>
          <w:color w:val="000000"/>
          <w:sz w:val="20"/>
          <w:szCs w:val="20"/>
        </w:rPr>
        <w:t xml:space="preserve">he translation of the balance sheets resulted in the $0.6 billion net loss in the currency translation and other category of accumulated other comprehensive loss. </w:t>
      </w:r>
    </w:p>
    <w:p w14:paraId="35D0A1B0" w14:textId="77777777" w:rsidR="00D42204" w:rsidRDefault="004E439D">
      <w:pPr>
        <w:spacing w:before="100"/>
      </w:pPr>
      <w:r>
        <w:rPr>
          <w:rFonts w:ascii="Times New Roman" w:eastAsia="宋体" w:hAnsi="Times New Roman"/>
          <w:color w:val="000000"/>
          <w:sz w:val="20"/>
          <w:szCs w:val="20"/>
        </w:rPr>
        <w:t>We hedge a portion of our foreign currency risk by entering into currency swaps. The aggrega</w:t>
      </w:r>
      <w:r>
        <w:rPr>
          <w:rFonts w:ascii="Times New Roman" w:eastAsia="宋体" w:hAnsi="Times New Roman"/>
          <w:color w:val="000000"/>
          <w:sz w:val="20"/>
          <w:szCs w:val="20"/>
        </w:rPr>
        <w:t>te fair value of these swaps was in a liability position of $1.0 billion and $0.1 billion as of January 31, 2022 and January 31, 2021, respectively. The change in the fair value of these swaps was due to fluctuations in currency exchange rates, primarily d</w:t>
      </w:r>
      <w:r>
        <w:rPr>
          <w:rFonts w:ascii="Times New Roman" w:eastAsia="宋体" w:hAnsi="Times New Roman"/>
          <w:color w:val="000000"/>
          <w:sz w:val="20"/>
          <w:szCs w:val="20"/>
        </w:rPr>
        <w:t>ue to the strengthening of the U.S. dollar relative to certain currencies in fiscal 2022. The hypothetical result of a uniform 10% weakening in the value of the U.S. dollar relative to other currencies underlying these swaps would have resulted in a change</w:t>
      </w:r>
      <w:r>
        <w:rPr>
          <w:rFonts w:ascii="Times New Roman" w:eastAsia="宋体" w:hAnsi="Times New Roman"/>
          <w:color w:val="000000"/>
          <w:sz w:val="20"/>
          <w:szCs w:val="20"/>
        </w:rPr>
        <w:t xml:space="preserve"> in the value of the swaps of $1.0 billion. A hypothetical 10% change in interest rates underlying these swaps from the market rates in effect as of January 31, 2022 would have resulted in a change in the value of the swaps of $40 million.</w:t>
      </w:r>
    </w:p>
    <w:p w14:paraId="35D0A1B1" w14:textId="77777777" w:rsidR="00D42204" w:rsidRDefault="004E439D">
      <w:pPr>
        <w:spacing w:before="100"/>
      </w:pPr>
      <w:r>
        <w:rPr>
          <w:rFonts w:ascii="Times New Roman" w:eastAsia="宋体" w:hAnsi="Times New Roman"/>
          <w:color w:val="000000"/>
          <w:sz w:val="20"/>
          <w:szCs w:val="20"/>
        </w:rPr>
        <w:t>In certain count</w:t>
      </w:r>
      <w:r>
        <w:rPr>
          <w:rFonts w:ascii="Times New Roman" w:eastAsia="宋体" w:hAnsi="Times New Roman"/>
          <w:color w:val="000000"/>
          <w:sz w:val="20"/>
          <w:szCs w:val="20"/>
        </w:rPr>
        <w:t>ries, we also enter into immaterial foreign currency forward contracts to hedge the purchase and payment of purchase commitments denominated in non-functional currencies.</w:t>
      </w:r>
    </w:p>
    <w:p w14:paraId="35D0A1B2" w14:textId="77777777" w:rsidR="00D42204" w:rsidRDefault="004E439D">
      <w:pPr>
        <w:spacing w:before="180" w:after="180"/>
      </w:pPr>
      <w:r>
        <w:rPr>
          <w:rFonts w:ascii="Times New Roman" w:eastAsia="宋体" w:hAnsi="Times New Roman"/>
          <w:i/>
          <w:iCs/>
          <w:color w:val="000000"/>
          <w:sz w:val="20"/>
          <w:szCs w:val="20"/>
        </w:rPr>
        <w:t>Investment Risk</w:t>
      </w:r>
    </w:p>
    <w:p w14:paraId="35D0A1B3" w14:textId="77777777" w:rsidR="00D42204" w:rsidRDefault="004E439D">
      <w:r>
        <w:rPr>
          <w:rFonts w:ascii="Times New Roman" w:eastAsia="宋体" w:hAnsi="Times New Roman"/>
          <w:color w:val="000000"/>
          <w:sz w:val="20"/>
          <w:szCs w:val="20"/>
        </w:rPr>
        <w:t>We are exposed to investment risk primarily related to changes in the</w:t>
      </w:r>
      <w:r>
        <w:rPr>
          <w:rFonts w:ascii="Times New Roman" w:eastAsia="宋体" w:hAnsi="Times New Roman"/>
          <w:color w:val="000000"/>
          <w:sz w:val="20"/>
          <w:szCs w:val="20"/>
        </w:rPr>
        <w:t xml:space="preserve"> stock price of our equity investments with readily determinable fair values. The change in fair value is recorded within other gains and losses and resulted in a loss of $2.4 billion in fiscal 2022 due to net decreases in the stock price of those equity i</w:t>
      </w:r>
      <w:r>
        <w:rPr>
          <w:rFonts w:ascii="Times New Roman" w:eastAsia="宋体" w:hAnsi="Times New Roman"/>
          <w:color w:val="000000"/>
          <w:sz w:val="20"/>
          <w:szCs w:val="20"/>
        </w:rPr>
        <w:t>nvestments. As of January 31, 2022, the fair value of our equity investments with readily determinable fair values was $11.9 billion. As of January 31, 2022, a hypothetical 10% change in the stock price of such investments would have changed the fair value</w:t>
      </w:r>
      <w:r>
        <w:rPr>
          <w:rFonts w:ascii="Times New Roman" w:eastAsia="宋体" w:hAnsi="Times New Roman"/>
          <w:color w:val="000000"/>
          <w:sz w:val="20"/>
          <w:szCs w:val="20"/>
        </w:rPr>
        <w:t xml:space="preserve"> of such investments by approximately $1.2 billion. </w:t>
      </w:r>
    </w:p>
    <w:p w14:paraId="35D0A1B4" w14:textId="77777777" w:rsidR="00D42204" w:rsidRDefault="00D42204">
      <w:pPr>
        <w:spacing w:before="100"/>
      </w:pPr>
    </w:p>
    <w:p w14:paraId="35D0A1B5" w14:textId="77777777" w:rsidR="00D42204" w:rsidRDefault="004E439D">
      <w:pPr>
        <w:jc w:val="center"/>
      </w:pPr>
      <w:r>
        <w:rPr>
          <w:rFonts w:ascii="Times New Roman" w:eastAsia="宋体" w:hAnsi="Times New Roman"/>
          <w:color w:val="000000"/>
          <w:sz w:val="20"/>
          <w:szCs w:val="20"/>
        </w:rPr>
        <w:t>48</w:t>
      </w:r>
    </w:p>
    <w:p w14:paraId="35D0A1B6" w14:textId="77777777" w:rsidR="00D42204" w:rsidRDefault="004E439D">
      <w:r>
        <w:pict w14:anchorId="35D0C38B">
          <v:rect id="_x0000_i1072" style="width:415.3pt;height:1.5pt" o:hralign="center" o:hrstd="t" o:hr="t" fillcolor="#a0a0a0" stroked="f"/>
        </w:pict>
      </w:r>
    </w:p>
    <w:p w14:paraId="35D0A1B7" w14:textId="77777777" w:rsidR="00D42204" w:rsidRDefault="00D42204"/>
    <w:tbl>
      <w:tblPr>
        <w:tblW w:w="4993" w:type="pct"/>
        <w:tblCellMar>
          <w:top w:w="15" w:type="dxa"/>
          <w:left w:w="15" w:type="dxa"/>
          <w:bottom w:w="15" w:type="dxa"/>
          <w:right w:w="15" w:type="dxa"/>
        </w:tblCellMar>
        <w:tblLook w:val="04A0" w:firstRow="1" w:lastRow="0" w:firstColumn="1" w:lastColumn="0" w:noHBand="0" w:noVBand="1"/>
      </w:tblPr>
      <w:tblGrid>
        <w:gridCol w:w="71"/>
        <w:gridCol w:w="806"/>
        <w:gridCol w:w="36"/>
        <w:gridCol w:w="70"/>
        <w:gridCol w:w="7305"/>
        <w:gridCol w:w="36"/>
      </w:tblGrid>
      <w:tr w:rsidR="00D42204" w14:paraId="35D0A1BE" w14:textId="77777777">
        <w:tc>
          <w:tcPr>
            <w:tcW w:w="50" w:type="pct"/>
            <w:shd w:val="clear" w:color="auto" w:fill="auto"/>
            <w:vAlign w:val="bottom"/>
          </w:tcPr>
          <w:p w14:paraId="35D0A1B8" w14:textId="77777777" w:rsidR="00D42204" w:rsidRDefault="00D42204">
            <w:pPr>
              <w:rPr>
                <w:rFonts w:ascii="宋体"/>
              </w:rPr>
            </w:pPr>
          </w:p>
        </w:tc>
        <w:tc>
          <w:tcPr>
            <w:tcW w:w="494" w:type="pct"/>
            <w:shd w:val="clear" w:color="auto" w:fill="auto"/>
            <w:vAlign w:val="bottom"/>
          </w:tcPr>
          <w:p w14:paraId="35D0A1B9" w14:textId="77777777" w:rsidR="00D42204" w:rsidRDefault="00D42204">
            <w:pPr>
              <w:rPr>
                <w:rFonts w:ascii="宋体"/>
              </w:rPr>
            </w:pPr>
          </w:p>
        </w:tc>
        <w:tc>
          <w:tcPr>
            <w:tcW w:w="5" w:type="pct"/>
            <w:shd w:val="clear" w:color="auto" w:fill="auto"/>
            <w:vAlign w:val="bottom"/>
          </w:tcPr>
          <w:p w14:paraId="35D0A1BA" w14:textId="77777777" w:rsidR="00D42204" w:rsidRDefault="00D42204">
            <w:pPr>
              <w:rPr>
                <w:rFonts w:ascii="宋体"/>
              </w:rPr>
            </w:pPr>
          </w:p>
        </w:tc>
        <w:tc>
          <w:tcPr>
            <w:tcW w:w="50" w:type="pct"/>
            <w:shd w:val="clear" w:color="auto" w:fill="auto"/>
            <w:vAlign w:val="bottom"/>
          </w:tcPr>
          <w:p w14:paraId="35D0A1BB" w14:textId="77777777" w:rsidR="00D42204" w:rsidRDefault="00D42204">
            <w:pPr>
              <w:rPr>
                <w:rFonts w:ascii="宋体"/>
              </w:rPr>
            </w:pPr>
          </w:p>
        </w:tc>
        <w:tc>
          <w:tcPr>
            <w:tcW w:w="4396" w:type="pct"/>
            <w:shd w:val="clear" w:color="auto" w:fill="auto"/>
            <w:vAlign w:val="bottom"/>
          </w:tcPr>
          <w:p w14:paraId="35D0A1BC" w14:textId="77777777" w:rsidR="00D42204" w:rsidRDefault="00D42204">
            <w:pPr>
              <w:rPr>
                <w:rFonts w:ascii="宋体"/>
              </w:rPr>
            </w:pPr>
          </w:p>
        </w:tc>
        <w:tc>
          <w:tcPr>
            <w:tcW w:w="5" w:type="pct"/>
            <w:shd w:val="clear" w:color="auto" w:fill="auto"/>
            <w:vAlign w:val="bottom"/>
          </w:tcPr>
          <w:p w14:paraId="35D0A1BD" w14:textId="77777777" w:rsidR="00D42204" w:rsidRDefault="00D42204">
            <w:pPr>
              <w:rPr>
                <w:rFonts w:ascii="宋体"/>
              </w:rPr>
            </w:pPr>
          </w:p>
        </w:tc>
      </w:tr>
      <w:tr w:rsidR="00D42204" w14:paraId="35D0A1C1" w14:textId="77777777">
        <w:tc>
          <w:tcPr>
            <w:tcW w:w="0" w:type="auto"/>
            <w:gridSpan w:val="3"/>
            <w:shd w:val="clear" w:color="auto" w:fill="auto"/>
            <w:tcMar>
              <w:top w:w="40" w:type="dxa"/>
              <w:left w:w="20" w:type="dxa"/>
              <w:bottom w:w="40" w:type="dxa"/>
              <w:right w:w="20" w:type="dxa"/>
            </w:tcMar>
          </w:tcPr>
          <w:p w14:paraId="35D0A1BF" w14:textId="77777777" w:rsidR="00D42204" w:rsidRDefault="004E439D">
            <w:pPr>
              <w:textAlignment w:val="top"/>
            </w:pPr>
            <w:r>
              <w:rPr>
                <w:rFonts w:ascii="Times New Roman" w:eastAsia="宋体" w:hAnsi="Times New Roman"/>
                <w:b/>
                <w:bCs/>
                <w:color w:val="000000"/>
                <w:sz w:val="20"/>
                <w:szCs w:val="20"/>
                <w:u w:val="single"/>
              </w:rPr>
              <w:t>ITEM 8.</w:t>
            </w:r>
          </w:p>
        </w:tc>
        <w:tc>
          <w:tcPr>
            <w:tcW w:w="0" w:type="auto"/>
            <w:gridSpan w:val="3"/>
            <w:shd w:val="clear" w:color="auto" w:fill="auto"/>
            <w:tcMar>
              <w:top w:w="40" w:type="dxa"/>
              <w:left w:w="20" w:type="dxa"/>
              <w:bottom w:w="40" w:type="dxa"/>
              <w:right w:w="20" w:type="dxa"/>
            </w:tcMar>
          </w:tcPr>
          <w:p w14:paraId="35D0A1C0" w14:textId="77777777" w:rsidR="00D42204" w:rsidRDefault="004E439D">
            <w:pPr>
              <w:textAlignment w:val="top"/>
            </w:pPr>
            <w:r>
              <w:rPr>
                <w:rFonts w:ascii="Times New Roman" w:eastAsia="宋体" w:hAnsi="Times New Roman"/>
                <w:b/>
                <w:bCs/>
                <w:color w:val="000000"/>
                <w:sz w:val="20"/>
                <w:szCs w:val="20"/>
                <w:u w:val="single"/>
              </w:rPr>
              <w:t>FINANCIAL STATEMENTS AND SUPPLEMENTARY DATA</w:t>
            </w:r>
          </w:p>
        </w:tc>
      </w:tr>
    </w:tbl>
    <w:p w14:paraId="35D0A1C2" w14:textId="77777777" w:rsidR="00D42204" w:rsidRDefault="004E439D">
      <w:pPr>
        <w:spacing w:before="180"/>
        <w:jc w:val="center"/>
      </w:pPr>
      <w:r>
        <w:rPr>
          <w:rFonts w:ascii="Times New Roman" w:eastAsia="宋体" w:hAnsi="Times New Roman"/>
          <w:b/>
          <w:bCs/>
          <w:color w:val="000000"/>
          <w:sz w:val="20"/>
          <w:szCs w:val="20"/>
        </w:rPr>
        <w:t>Consolidated Financial Statements of Walmart Inc.</w:t>
      </w:r>
    </w:p>
    <w:p w14:paraId="35D0A1C3" w14:textId="77777777" w:rsidR="00D42204" w:rsidRDefault="004E439D">
      <w:pPr>
        <w:jc w:val="center"/>
      </w:pPr>
      <w:r>
        <w:rPr>
          <w:rFonts w:ascii="Times New Roman" w:eastAsia="宋体" w:hAnsi="Times New Roman"/>
          <w:b/>
          <w:bCs/>
          <w:color w:val="000000"/>
          <w:sz w:val="20"/>
          <w:szCs w:val="20"/>
        </w:rPr>
        <w:t>For the Fiscal Year Ended January 31, 2022</w:t>
      </w:r>
    </w:p>
    <w:p w14:paraId="35D0A1C4" w14:textId="77777777" w:rsidR="00D42204" w:rsidRDefault="00D42204">
      <w:pPr>
        <w:jc w:val="center"/>
      </w:pPr>
    </w:p>
    <w:p w14:paraId="35D0A1C5" w14:textId="77777777" w:rsidR="00D42204" w:rsidRDefault="00D42204">
      <w:pPr>
        <w:jc w:val="center"/>
      </w:pPr>
    </w:p>
    <w:p w14:paraId="35D0A1C6" w14:textId="77777777" w:rsidR="00D42204" w:rsidRDefault="00D42204">
      <w:pPr>
        <w:jc w:val="center"/>
      </w:pPr>
    </w:p>
    <w:p w14:paraId="35D0A1C7" w14:textId="77777777" w:rsidR="00D42204" w:rsidRDefault="004E439D">
      <w:pPr>
        <w:jc w:val="center"/>
      </w:pPr>
      <w:r>
        <w:rPr>
          <w:rFonts w:ascii="Times New Roman" w:eastAsia="宋体" w:hAnsi="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6853"/>
        <w:gridCol w:w="38"/>
        <w:gridCol w:w="69"/>
        <w:gridCol w:w="1271"/>
        <w:gridCol w:w="36"/>
      </w:tblGrid>
      <w:tr w:rsidR="00D42204" w14:paraId="35D0A1CE" w14:textId="77777777">
        <w:trPr>
          <w:jc w:val="center"/>
        </w:trPr>
        <w:tc>
          <w:tcPr>
            <w:tcW w:w="50" w:type="pct"/>
            <w:shd w:val="clear" w:color="auto" w:fill="auto"/>
            <w:vAlign w:val="bottom"/>
          </w:tcPr>
          <w:p w14:paraId="35D0A1C8" w14:textId="77777777" w:rsidR="00D42204" w:rsidRDefault="00D42204">
            <w:pPr>
              <w:rPr>
                <w:rFonts w:ascii="宋体"/>
              </w:rPr>
            </w:pPr>
          </w:p>
        </w:tc>
        <w:tc>
          <w:tcPr>
            <w:tcW w:w="4118" w:type="pct"/>
            <w:shd w:val="clear" w:color="auto" w:fill="auto"/>
            <w:vAlign w:val="bottom"/>
          </w:tcPr>
          <w:p w14:paraId="35D0A1C9" w14:textId="77777777" w:rsidR="00D42204" w:rsidRDefault="00D42204">
            <w:pPr>
              <w:rPr>
                <w:rFonts w:ascii="宋体"/>
              </w:rPr>
            </w:pPr>
          </w:p>
        </w:tc>
        <w:tc>
          <w:tcPr>
            <w:tcW w:w="5" w:type="pct"/>
            <w:shd w:val="clear" w:color="auto" w:fill="auto"/>
            <w:vAlign w:val="bottom"/>
          </w:tcPr>
          <w:p w14:paraId="35D0A1CA" w14:textId="77777777" w:rsidR="00D42204" w:rsidRDefault="00D42204">
            <w:pPr>
              <w:rPr>
                <w:rFonts w:ascii="宋体"/>
              </w:rPr>
            </w:pPr>
          </w:p>
        </w:tc>
        <w:tc>
          <w:tcPr>
            <w:tcW w:w="50" w:type="pct"/>
            <w:shd w:val="clear" w:color="auto" w:fill="auto"/>
            <w:vAlign w:val="bottom"/>
          </w:tcPr>
          <w:p w14:paraId="35D0A1CB" w14:textId="77777777" w:rsidR="00D42204" w:rsidRDefault="00D42204">
            <w:pPr>
              <w:rPr>
                <w:rFonts w:ascii="宋体"/>
              </w:rPr>
            </w:pPr>
          </w:p>
        </w:tc>
        <w:tc>
          <w:tcPr>
            <w:tcW w:w="771" w:type="pct"/>
            <w:shd w:val="clear" w:color="auto" w:fill="auto"/>
            <w:vAlign w:val="bottom"/>
          </w:tcPr>
          <w:p w14:paraId="35D0A1CC" w14:textId="77777777" w:rsidR="00D42204" w:rsidRDefault="00D42204">
            <w:pPr>
              <w:rPr>
                <w:rFonts w:ascii="宋体"/>
              </w:rPr>
            </w:pPr>
          </w:p>
        </w:tc>
        <w:tc>
          <w:tcPr>
            <w:tcW w:w="5" w:type="pct"/>
            <w:shd w:val="clear" w:color="auto" w:fill="auto"/>
            <w:vAlign w:val="bottom"/>
          </w:tcPr>
          <w:p w14:paraId="35D0A1CD" w14:textId="77777777" w:rsidR="00D42204" w:rsidRDefault="00D42204">
            <w:pPr>
              <w:rPr>
                <w:rFonts w:ascii="宋体"/>
              </w:rPr>
            </w:pPr>
          </w:p>
        </w:tc>
      </w:tr>
      <w:tr w:rsidR="00D42204" w14:paraId="35D0A1D1" w14:textId="77777777">
        <w:trPr>
          <w:jc w:val="center"/>
        </w:trPr>
        <w:tc>
          <w:tcPr>
            <w:tcW w:w="0" w:type="auto"/>
            <w:gridSpan w:val="3"/>
            <w:shd w:val="clear" w:color="auto" w:fill="auto"/>
            <w:tcMar>
              <w:top w:w="0" w:type="dxa"/>
              <w:left w:w="20" w:type="dxa"/>
              <w:bottom w:w="0" w:type="dxa"/>
              <w:right w:w="20" w:type="dxa"/>
            </w:tcMar>
            <w:vAlign w:val="bottom"/>
          </w:tcPr>
          <w:p w14:paraId="35D0A1CF"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1D0" w14:textId="77777777" w:rsidR="00D42204" w:rsidRDefault="004E439D">
            <w:pPr>
              <w:jc w:val="center"/>
              <w:textAlignment w:val="bottom"/>
            </w:pPr>
            <w:r>
              <w:rPr>
                <w:rFonts w:ascii="Times New Roman" w:eastAsia="宋体" w:hAnsi="Times New Roman"/>
                <w:b/>
                <w:bCs/>
                <w:color w:val="000000"/>
                <w:sz w:val="18"/>
                <w:szCs w:val="18"/>
              </w:rPr>
              <w:t>Page</w:t>
            </w:r>
          </w:p>
        </w:tc>
      </w:tr>
      <w:tr w:rsidR="00D42204" w14:paraId="35D0A1D4" w14:textId="77777777">
        <w:trPr>
          <w:jc w:val="center"/>
        </w:trPr>
        <w:tc>
          <w:tcPr>
            <w:tcW w:w="0" w:type="auto"/>
            <w:gridSpan w:val="3"/>
            <w:shd w:val="clear" w:color="auto" w:fill="CCEEFF"/>
            <w:tcMar>
              <w:top w:w="40" w:type="dxa"/>
              <w:left w:w="20" w:type="dxa"/>
              <w:bottom w:w="40" w:type="dxa"/>
              <w:right w:w="20" w:type="dxa"/>
            </w:tcMar>
            <w:vAlign w:val="bottom"/>
          </w:tcPr>
          <w:p w14:paraId="35D0A1D2" w14:textId="77777777" w:rsidR="00D42204" w:rsidRDefault="004E439D">
            <w:pPr>
              <w:textAlignment w:val="bottom"/>
            </w:pPr>
            <w:hyperlink r:id="rId123" w:anchor="i1ba69ebb72ec48f9b754a5e96c4cdf3f_127" w:history="1">
              <w:r>
                <w:rPr>
                  <w:rStyle w:val="a5"/>
                  <w:rFonts w:ascii="Times New Roman" w:eastAsia="宋体" w:hAnsi="Times New Roman"/>
                  <w:color w:val="000000"/>
                  <w:sz w:val="20"/>
                  <w:szCs w:val="20"/>
                  <w:u w:val="none"/>
                </w:rPr>
                <w:t>Report of Independent Registered Public Accounting Firm</w:t>
              </w:r>
            </w:hyperlink>
            <w:r>
              <w:rPr>
                <w:rFonts w:ascii="Times New Roman" w:eastAsia="宋体" w:hAnsi="Times New Roman"/>
                <w:color w:val="000000"/>
                <w:sz w:val="20"/>
                <w:szCs w:val="20"/>
              </w:rPr>
              <w:t xml:space="preserve"> (PCAOB ID: 42)</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D0A1D3" w14:textId="77777777" w:rsidR="00D42204" w:rsidRDefault="004E439D">
            <w:pPr>
              <w:jc w:val="center"/>
              <w:textAlignment w:val="bottom"/>
            </w:pPr>
            <w:hyperlink r:id="rId124" w:anchor="i1ba69ebb72ec48f9b754a5e96c4cdf3f_127" w:history="1">
              <w:r>
                <w:rPr>
                  <w:rStyle w:val="a5"/>
                  <w:rFonts w:ascii="Times New Roman" w:eastAsia="宋体" w:hAnsi="Times New Roman"/>
                  <w:color w:val="000000"/>
                  <w:sz w:val="20"/>
                  <w:szCs w:val="20"/>
                  <w:u w:val="none"/>
                </w:rPr>
                <w:t>50</w:t>
              </w:r>
            </w:hyperlink>
          </w:p>
        </w:tc>
      </w:tr>
      <w:tr w:rsidR="00D42204" w14:paraId="35D0A1D7" w14:textId="77777777">
        <w:trPr>
          <w:jc w:val="center"/>
        </w:trPr>
        <w:tc>
          <w:tcPr>
            <w:tcW w:w="0" w:type="auto"/>
            <w:gridSpan w:val="3"/>
            <w:shd w:val="clear" w:color="auto" w:fill="FFFFFF"/>
            <w:tcMar>
              <w:top w:w="40" w:type="dxa"/>
              <w:left w:w="20" w:type="dxa"/>
              <w:bottom w:w="40" w:type="dxa"/>
              <w:right w:w="20" w:type="dxa"/>
            </w:tcMar>
            <w:vAlign w:val="bottom"/>
          </w:tcPr>
          <w:p w14:paraId="35D0A1D5" w14:textId="77777777" w:rsidR="00D42204" w:rsidRDefault="004E439D">
            <w:pPr>
              <w:textAlignment w:val="bottom"/>
            </w:pPr>
            <w:hyperlink r:id="rId125" w:anchor="i1ba69ebb72ec48f9b754a5e96c4cdf3f_130" w:history="1">
              <w:r>
                <w:rPr>
                  <w:rStyle w:val="a5"/>
                  <w:rFonts w:ascii="Times New Roman" w:eastAsia="宋体" w:hAnsi="Times New Roman"/>
                  <w:color w:val="000000"/>
                  <w:sz w:val="20"/>
                  <w:szCs w:val="20"/>
                  <w:u w:val="none"/>
                </w:rPr>
                <w:t>Report of Independent Registered Public Accounting Firm on Internal Control over Financial Reporting</w:t>
              </w:r>
            </w:hyperlink>
          </w:p>
        </w:tc>
        <w:tc>
          <w:tcPr>
            <w:tcW w:w="0" w:type="auto"/>
            <w:gridSpan w:val="3"/>
            <w:shd w:val="clear" w:color="auto" w:fill="FFFFFF"/>
            <w:tcMar>
              <w:top w:w="40" w:type="dxa"/>
              <w:left w:w="20" w:type="dxa"/>
              <w:bottom w:w="40" w:type="dxa"/>
              <w:right w:w="20" w:type="dxa"/>
            </w:tcMar>
            <w:vAlign w:val="bottom"/>
          </w:tcPr>
          <w:p w14:paraId="35D0A1D6" w14:textId="77777777" w:rsidR="00D42204" w:rsidRDefault="004E439D">
            <w:pPr>
              <w:jc w:val="center"/>
              <w:textAlignment w:val="bottom"/>
            </w:pPr>
            <w:hyperlink r:id="rId126" w:anchor="i1ba69ebb72ec48f9b754a5e96c4cdf3f_130" w:history="1">
              <w:r>
                <w:rPr>
                  <w:rStyle w:val="a5"/>
                  <w:rFonts w:ascii="Times New Roman" w:eastAsia="宋体" w:hAnsi="Times New Roman"/>
                  <w:color w:val="000000"/>
                  <w:sz w:val="20"/>
                  <w:szCs w:val="20"/>
                  <w:u w:val="none"/>
                </w:rPr>
                <w:t>52</w:t>
              </w:r>
            </w:hyperlink>
          </w:p>
        </w:tc>
      </w:tr>
      <w:tr w:rsidR="00D42204" w14:paraId="35D0A1DA" w14:textId="77777777">
        <w:trPr>
          <w:jc w:val="center"/>
        </w:trPr>
        <w:tc>
          <w:tcPr>
            <w:tcW w:w="0" w:type="auto"/>
            <w:gridSpan w:val="3"/>
            <w:shd w:val="clear" w:color="auto" w:fill="CCEEFF"/>
            <w:tcMar>
              <w:top w:w="40" w:type="dxa"/>
              <w:left w:w="20" w:type="dxa"/>
              <w:bottom w:w="40" w:type="dxa"/>
              <w:right w:w="20" w:type="dxa"/>
            </w:tcMar>
            <w:vAlign w:val="bottom"/>
          </w:tcPr>
          <w:p w14:paraId="35D0A1D8" w14:textId="77777777" w:rsidR="00D42204" w:rsidRDefault="004E439D">
            <w:pPr>
              <w:textAlignment w:val="bottom"/>
            </w:pPr>
            <w:hyperlink r:id="rId127" w:anchor="i1ba69ebb72ec48f9b754a5e96c4cdf3f_133" w:history="1">
              <w:r>
                <w:rPr>
                  <w:rStyle w:val="a5"/>
                  <w:rFonts w:ascii="Times New Roman" w:eastAsia="宋体" w:hAnsi="Times New Roman"/>
                  <w:color w:val="000000"/>
                  <w:sz w:val="20"/>
                  <w:szCs w:val="20"/>
                  <w:u w:val="none"/>
                </w:rPr>
                <w:t>Consolidated Statements of Income</w:t>
              </w:r>
            </w:hyperlink>
          </w:p>
        </w:tc>
        <w:tc>
          <w:tcPr>
            <w:tcW w:w="0" w:type="auto"/>
            <w:gridSpan w:val="3"/>
            <w:shd w:val="clear" w:color="auto" w:fill="CCEEFF"/>
            <w:tcMar>
              <w:top w:w="40" w:type="dxa"/>
              <w:left w:w="20" w:type="dxa"/>
              <w:bottom w:w="40" w:type="dxa"/>
              <w:right w:w="20" w:type="dxa"/>
            </w:tcMar>
            <w:vAlign w:val="bottom"/>
          </w:tcPr>
          <w:p w14:paraId="35D0A1D9" w14:textId="77777777" w:rsidR="00D42204" w:rsidRDefault="004E439D">
            <w:pPr>
              <w:jc w:val="center"/>
              <w:textAlignment w:val="bottom"/>
            </w:pPr>
            <w:hyperlink r:id="rId128" w:anchor="i1ba69ebb72ec48f9b754a5e96c4cdf3f_133" w:history="1">
              <w:r>
                <w:rPr>
                  <w:rStyle w:val="a5"/>
                  <w:rFonts w:ascii="Times New Roman" w:eastAsia="宋体" w:hAnsi="Times New Roman"/>
                  <w:color w:val="000000"/>
                  <w:sz w:val="20"/>
                  <w:szCs w:val="20"/>
                  <w:u w:val="none"/>
                </w:rPr>
                <w:t>53</w:t>
              </w:r>
            </w:hyperlink>
          </w:p>
        </w:tc>
      </w:tr>
      <w:tr w:rsidR="00D42204" w14:paraId="35D0A1DD" w14:textId="77777777">
        <w:trPr>
          <w:jc w:val="center"/>
        </w:trPr>
        <w:tc>
          <w:tcPr>
            <w:tcW w:w="0" w:type="auto"/>
            <w:gridSpan w:val="3"/>
            <w:shd w:val="clear" w:color="auto" w:fill="FFFFFF"/>
            <w:tcMar>
              <w:top w:w="40" w:type="dxa"/>
              <w:left w:w="20" w:type="dxa"/>
              <w:bottom w:w="40" w:type="dxa"/>
              <w:right w:w="20" w:type="dxa"/>
            </w:tcMar>
            <w:vAlign w:val="bottom"/>
          </w:tcPr>
          <w:p w14:paraId="35D0A1DB" w14:textId="77777777" w:rsidR="00D42204" w:rsidRDefault="004E439D">
            <w:pPr>
              <w:textAlignment w:val="bottom"/>
            </w:pPr>
            <w:hyperlink r:id="rId129" w:anchor="i1ba69ebb72ec48f9b754a5e96c4cdf3f_136" w:history="1">
              <w:r>
                <w:rPr>
                  <w:rStyle w:val="a5"/>
                  <w:rFonts w:ascii="Times New Roman" w:eastAsia="宋体" w:hAnsi="Times New Roman"/>
                  <w:color w:val="000000"/>
                  <w:sz w:val="20"/>
                  <w:szCs w:val="20"/>
                  <w:u w:val="none"/>
                </w:rPr>
                <w:t>Consolidated St</w:t>
              </w:r>
              <w:r>
                <w:rPr>
                  <w:rStyle w:val="a5"/>
                  <w:rFonts w:ascii="Times New Roman" w:eastAsia="宋体" w:hAnsi="Times New Roman"/>
                  <w:color w:val="000000"/>
                  <w:sz w:val="20"/>
                  <w:szCs w:val="20"/>
                  <w:u w:val="none"/>
                </w:rPr>
                <w:t>atements of Comprehensive Income</w:t>
              </w:r>
            </w:hyperlink>
          </w:p>
        </w:tc>
        <w:tc>
          <w:tcPr>
            <w:tcW w:w="0" w:type="auto"/>
            <w:gridSpan w:val="3"/>
            <w:shd w:val="clear" w:color="auto" w:fill="FFFFFF"/>
            <w:tcMar>
              <w:top w:w="40" w:type="dxa"/>
              <w:left w:w="20" w:type="dxa"/>
              <w:bottom w:w="40" w:type="dxa"/>
              <w:right w:w="20" w:type="dxa"/>
            </w:tcMar>
            <w:vAlign w:val="bottom"/>
          </w:tcPr>
          <w:p w14:paraId="35D0A1DC" w14:textId="77777777" w:rsidR="00D42204" w:rsidRDefault="004E439D">
            <w:pPr>
              <w:jc w:val="center"/>
              <w:textAlignment w:val="bottom"/>
            </w:pPr>
            <w:hyperlink r:id="rId130" w:anchor="i1ba69ebb72ec48f9b754a5e96c4cdf3f_136" w:history="1">
              <w:r>
                <w:rPr>
                  <w:rStyle w:val="a5"/>
                  <w:rFonts w:ascii="Times New Roman" w:eastAsia="宋体" w:hAnsi="Times New Roman"/>
                  <w:color w:val="000000"/>
                  <w:sz w:val="20"/>
                  <w:szCs w:val="20"/>
                  <w:u w:val="none"/>
                </w:rPr>
                <w:t>54</w:t>
              </w:r>
            </w:hyperlink>
          </w:p>
        </w:tc>
      </w:tr>
      <w:tr w:rsidR="00D42204" w14:paraId="35D0A1E0" w14:textId="77777777">
        <w:trPr>
          <w:jc w:val="center"/>
        </w:trPr>
        <w:tc>
          <w:tcPr>
            <w:tcW w:w="0" w:type="auto"/>
            <w:gridSpan w:val="3"/>
            <w:shd w:val="clear" w:color="auto" w:fill="CCEEFF"/>
            <w:tcMar>
              <w:top w:w="40" w:type="dxa"/>
              <w:left w:w="20" w:type="dxa"/>
              <w:bottom w:w="40" w:type="dxa"/>
              <w:right w:w="20" w:type="dxa"/>
            </w:tcMar>
            <w:vAlign w:val="bottom"/>
          </w:tcPr>
          <w:p w14:paraId="35D0A1DE" w14:textId="77777777" w:rsidR="00D42204" w:rsidRDefault="004E439D">
            <w:pPr>
              <w:textAlignment w:val="bottom"/>
            </w:pPr>
            <w:hyperlink r:id="rId131" w:anchor="i1ba69ebb72ec48f9b754a5e96c4cdf3f_139" w:history="1">
              <w:r>
                <w:rPr>
                  <w:rStyle w:val="a5"/>
                  <w:rFonts w:ascii="Times New Roman" w:eastAsia="宋体" w:hAnsi="Times New Roman"/>
                  <w:color w:val="000000"/>
                  <w:sz w:val="20"/>
                  <w:szCs w:val="20"/>
                  <w:u w:val="none"/>
                </w:rPr>
                <w:t>Consolidated Balance Sheets</w:t>
              </w:r>
            </w:hyperlink>
          </w:p>
        </w:tc>
        <w:tc>
          <w:tcPr>
            <w:tcW w:w="0" w:type="auto"/>
            <w:gridSpan w:val="3"/>
            <w:shd w:val="clear" w:color="auto" w:fill="CCEEFF"/>
            <w:tcMar>
              <w:top w:w="40" w:type="dxa"/>
              <w:left w:w="20" w:type="dxa"/>
              <w:bottom w:w="40" w:type="dxa"/>
              <w:right w:w="20" w:type="dxa"/>
            </w:tcMar>
            <w:vAlign w:val="bottom"/>
          </w:tcPr>
          <w:p w14:paraId="35D0A1DF" w14:textId="77777777" w:rsidR="00D42204" w:rsidRDefault="004E439D">
            <w:pPr>
              <w:jc w:val="center"/>
              <w:textAlignment w:val="bottom"/>
            </w:pPr>
            <w:hyperlink r:id="rId132" w:anchor="i1ba69ebb72ec48f9b754a5e96c4cdf3f_139" w:history="1">
              <w:r>
                <w:rPr>
                  <w:rStyle w:val="a5"/>
                  <w:rFonts w:ascii="Times New Roman" w:eastAsia="宋体" w:hAnsi="Times New Roman"/>
                  <w:color w:val="000000"/>
                  <w:sz w:val="20"/>
                  <w:szCs w:val="20"/>
                  <w:u w:val="none"/>
                </w:rPr>
                <w:t>55</w:t>
              </w:r>
            </w:hyperlink>
          </w:p>
        </w:tc>
      </w:tr>
      <w:tr w:rsidR="00D42204" w14:paraId="35D0A1E3" w14:textId="77777777">
        <w:trPr>
          <w:jc w:val="center"/>
        </w:trPr>
        <w:tc>
          <w:tcPr>
            <w:tcW w:w="0" w:type="auto"/>
            <w:gridSpan w:val="3"/>
            <w:shd w:val="clear" w:color="auto" w:fill="FFFFFF"/>
            <w:tcMar>
              <w:top w:w="40" w:type="dxa"/>
              <w:left w:w="20" w:type="dxa"/>
              <w:bottom w:w="40" w:type="dxa"/>
              <w:right w:w="20" w:type="dxa"/>
            </w:tcMar>
            <w:vAlign w:val="bottom"/>
          </w:tcPr>
          <w:p w14:paraId="35D0A1E1" w14:textId="77777777" w:rsidR="00D42204" w:rsidRDefault="004E439D">
            <w:pPr>
              <w:textAlignment w:val="bottom"/>
            </w:pPr>
            <w:hyperlink r:id="rId133" w:anchor="i1ba69ebb72ec48f9b754a5e96c4cdf3f_142" w:history="1">
              <w:r>
                <w:rPr>
                  <w:rStyle w:val="a5"/>
                  <w:rFonts w:ascii="Times New Roman" w:eastAsia="宋体" w:hAnsi="Times New Roman"/>
                  <w:color w:val="000000"/>
                  <w:sz w:val="20"/>
                  <w:szCs w:val="20"/>
                  <w:u w:val="none"/>
                </w:rPr>
                <w:t>Consolidated Statements of Shareholders' Equity</w:t>
              </w:r>
            </w:hyperlink>
          </w:p>
        </w:tc>
        <w:tc>
          <w:tcPr>
            <w:tcW w:w="0" w:type="auto"/>
            <w:gridSpan w:val="3"/>
            <w:shd w:val="clear" w:color="auto" w:fill="FFFFFF"/>
            <w:tcMar>
              <w:top w:w="40" w:type="dxa"/>
              <w:left w:w="20" w:type="dxa"/>
              <w:bottom w:w="40" w:type="dxa"/>
              <w:right w:w="20" w:type="dxa"/>
            </w:tcMar>
            <w:vAlign w:val="bottom"/>
          </w:tcPr>
          <w:p w14:paraId="35D0A1E2" w14:textId="77777777" w:rsidR="00D42204" w:rsidRDefault="004E439D">
            <w:pPr>
              <w:jc w:val="center"/>
              <w:textAlignment w:val="bottom"/>
            </w:pPr>
            <w:hyperlink r:id="rId134" w:anchor="i1ba69ebb72ec48f9b754a5e96c4cdf3f_142" w:history="1">
              <w:r>
                <w:rPr>
                  <w:rStyle w:val="a5"/>
                  <w:rFonts w:ascii="Times New Roman" w:eastAsia="宋体" w:hAnsi="Times New Roman"/>
                  <w:color w:val="000000"/>
                  <w:sz w:val="20"/>
                  <w:szCs w:val="20"/>
                  <w:u w:val="none"/>
                </w:rPr>
                <w:t>56</w:t>
              </w:r>
            </w:hyperlink>
          </w:p>
        </w:tc>
      </w:tr>
      <w:tr w:rsidR="00D42204" w14:paraId="35D0A1E6" w14:textId="77777777">
        <w:trPr>
          <w:jc w:val="center"/>
        </w:trPr>
        <w:tc>
          <w:tcPr>
            <w:tcW w:w="0" w:type="auto"/>
            <w:gridSpan w:val="3"/>
            <w:shd w:val="clear" w:color="auto" w:fill="CCEEFF"/>
            <w:tcMar>
              <w:top w:w="40" w:type="dxa"/>
              <w:left w:w="20" w:type="dxa"/>
              <w:bottom w:w="40" w:type="dxa"/>
              <w:right w:w="20" w:type="dxa"/>
            </w:tcMar>
            <w:vAlign w:val="bottom"/>
          </w:tcPr>
          <w:p w14:paraId="35D0A1E4" w14:textId="77777777" w:rsidR="00D42204" w:rsidRDefault="004E439D">
            <w:pPr>
              <w:textAlignment w:val="bottom"/>
            </w:pPr>
            <w:hyperlink r:id="rId135" w:anchor="i1ba69ebb72ec48f9b754a5e96c4cdf3f_145" w:history="1">
              <w:r>
                <w:rPr>
                  <w:rStyle w:val="a5"/>
                  <w:rFonts w:ascii="Times New Roman" w:eastAsia="宋体" w:hAnsi="Times New Roman"/>
                  <w:color w:val="000000"/>
                  <w:sz w:val="20"/>
                  <w:szCs w:val="20"/>
                  <w:u w:val="none"/>
                </w:rPr>
                <w:t>Consolidated Statements of Cash Flows</w:t>
              </w:r>
            </w:hyperlink>
          </w:p>
        </w:tc>
        <w:tc>
          <w:tcPr>
            <w:tcW w:w="0" w:type="auto"/>
            <w:gridSpan w:val="3"/>
            <w:shd w:val="clear" w:color="auto" w:fill="CCEEFF"/>
            <w:tcMar>
              <w:top w:w="40" w:type="dxa"/>
              <w:left w:w="20" w:type="dxa"/>
              <w:bottom w:w="40" w:type="dxa"/>
              <w:right w:w="20" w:type="dxa"/>
            </w:tcMar>
            <w:vAlign w:val="bottom"/>
          </w:tcPr>
          <w:p w14:paraId="35D0A1E5" w14:textId="77777777" w:rsidR="00D42204" w:rsidRDefault="004E439D">
            <w:pPr>
              <w:jc w:val="center"/>
              <w:textAlignment w:val="bottom"/>
            </w:pPr>
            <w:hyperlink r:id="rId136" w:anchor="i1ba69ebb72ec48f9b754a5e96c4cdf3f_145" w:history="1">
              <w:r>
                <w:rPr>
                  <w:rStyle w:val="a5"/>
                  <w:rFonts w:ascii="Times New Roman" w:eastAsia="宋体" w:hAnsi="Times New Roman"/>
                  <w:color w:val="000000"/>
                  <w:sz w:val="20"/>
                  <w:szCs w:val="20"/>
                  <w:u w:val="none"/>
                </w:rPr>
                <w:t>57</w:t>
              </w:r>
            </w:hyperlink>
          </w:p>
        </w:tc>
      </w:tr>
      <w:tr w:rsidR="00D42204" w14:paraId="35D0A1E9" w14:textId="77777777">
        <w:trPr>
          <w:jc w:val="center"/>
        </w:trPr>
        <w:tc>
          <w:tcPr>
            <w:tcW w:w="0" w:type="auto"/>
            <w:gridSpan w:val="3"/>
            <w:shd w:val="clear" w:color="auto" w:fill="FFFFFF"/>
            <w:tcMar>
              <w:top w:w="40" w:type="dxa"/>
              <w:left w:w="20" w:type="dxa"/>
              <w:bottom w:w="40" w:type="dxa"/>
              <w:right w:w="20" w:type="dxa"/>
            </w:tcMar>
            <w:vAlign w:val="bottom"/>
          </w:tcPr>
          <w:p w14:paraId="35D0A1E7" w14:textId="77777777" w:rsidR="00D42204" w:rsidRDefault="004E439D">
            <w:pPr>
              <w:textAlignment w:val="bottom"/>
            </w:pPr>
            <w:hyperlink r:id="rId137" w:anchor="i1ba69ebb72ec48f9b754a5e96c4cdf3f_148" w:history="1">
              <w:r>
                <w:rPr>
                  <w:rStyle w:val="a5"/>
                  <w:rFonts w:ascii="Times New Roman" w:eastAsia="宋体" w:hAnsi="Times New Roman"/>
                  <w:color w:val="000000"/>
                  <w:sz w:val="20"/>
                  <w:szCs w:val="20"/>
                  <w:u w:val="none"/>
                </w:rPr>
                <w:t>Notes to Consolidated Financial Statements</w:t>
              </w:r>
            </w:hyperlink>
          </w:p>
        </w:tc>
        <w:tc>
          <w:tcPr>
            <w:tcW w:w="0" w:type="auto"/>
            <w:gridSpan w:val="3"/>
            <w:shd w:val="clear" w:color="auto" w:fill="FFFFFF"/>
            <w:tcMar>
              <w:top w:w="40" w:type="dxa"/>
              <w:left w:w="20" w:type="dxa"/>
              <w:bottom w:w="40" w:type="dxa"/>
              <w:right w:w="20" w:type="dxa"/>
            </w:tcMar>
            <w:vAlign w:val="bottom"/>
          </w:tcPr>
          <w:p w14:paraId="35D0A1E8" w14:textId="77777777" w:rsidR="00D42204" w:rsidRDefault="004E439D">
            <w:pPr>
              <w:jc w:val="center"/>
              <w:textAlignment w:val="bottom"/>
            </w:pPr>
            <w:hyperlink r:id="rId138" w:anchor="i1ba69ebb72ec48f9b754a5e96c4cdf3f_148" w:history="1">
              <w:r>
                <w:rPr>
                  <w:rStyle w:val="a5"/>
                  <w:rFonts w:ascii="Times New Roman" w:eastAsia="宋体" w:hAnsi="Times New Roman"/>
                  <w:color w:val="000000"/>
                  <w:sz w:val="20"/>
                  <w:szCs w:val="20"/>
                  <w:u w:val="none"/>
                </w:rPr>
                <w:t>58</w:t>
              </w:r>
            </w:hyperlink>
          </w:p>
        </w:tc>
      </w:tr>
    </w:tbl>
    <w:p w14:paraId="35D0A1EA" w14:textId="77777777" w:rsidR="00D42204" w:rsidRDefault="00D42204"/>
    <w:p w14:paraId="35D0A1EB" w14:textId="77777777" w:rsidR="00D42204" w:rsidRDefault="004E439D">
      <w:pPr>
        <w:jc w:val="center"/>
      </w:pPr>
      <w:r>
        <w:rPr>
          <w:rFonts w:ascii="Times New Roman" w:eastAsia="宋体" w:hAnsi="Times New Roman"/>
          <w:color w:val="000000"/>
          <w:sz w:val="20"/>
          <w:szCs w:val="20"/>
        </w:rPr>
        <w:t>49</w:t>
      </w:r>
    </w:p>
    <w:p w14:paraId="35D0A1EC" w14:textId="77777777" w:rsidR="00D42204" w:rsidRDefault="004E439D">
      <w:r>
        <w:pict w14:anchorId="35D0C38C">
          <v:rect id="_x0000_i1073" style="width:415.3pt;height:1.5pt" o:hralign="center" o:hrstd="t" o:hr="t" fillcolor="#a0a0a0" stroked="f"/>
        </w:pict>
      </w:r>
    </w:p>
    <w:p w14:paraId="35D0A1ED" w14:textId="77777777" w:rsidR="00D42204" w:rsidRDefault="00D42204"/>
    <w:p w14:paraId="35D0A1EE" w14:textId="77777777" w:rsidR="00D42204" w:rsidRDefault="004E439D">
      <w:pPr>
        <w:jc w:val="center"/>
      </w:pPr>
      <w:r>
        <w:rPr>
          <w:rFonts w:ascii="Times New Roman" w:eastAsia="宋体" w:hAnsi="Times New Roman"/>
          <w:b/>
          <w:bCs/>
          <w:color w:val="000000"/>
          <w:sz w:val="20"/>
          <w:szCs w:val="20"/>
        </w:rPr>
        <w:t>Report of Independent Registered Public Accounting Firm</w:t>
      </w:r>
    </w:p>
    <w:p w14:paraId="35D0A1EF" w14:textId="77777777" w:rsidR="00D42204" w:rsidRDefault="00D42204"/>
    <w:p w14:paraId="35D0A1F0" w14:textId="77777777" w:rsidR="00D42204" w:rsidRDefault="004E439D">
      <w:r>
        <w:rPr>
          <w:rFonts w:ascii="Times New Roman" w:eastAsia="宋体" w:hAnsi="Times New Roman"/>
          <w:color w:val="000000"/>
          <w:sz w:val="20"/>
          <w:szCs w:val="20"/>
        </w:rPr>
        <w:t>To the Shareholders and the Board of Directors of Walmart Inc.</w:t>
      </w:r>
    </w:p>
    <w:p w14:paraId="35D0A1F1" w14:textId="77777777" w:rsidR="00D42204" w:rsidRDefault="00D42204"/>
    <w:p w14:paraId="35D0A1F2" w14:textId="77777777" w:rsidR="00D42204" w:rsidRDefault="004E439D">
      <w:r>
        <w:rPr>
          <w:rFonts w:ascii="Times New Roman" w:eastAsia="宋体" w:hAnsi="Times New Roman"/>
          <w:b/>
          <w:bCs/>
          <w:color w:val="000000"/>
          <w:sz w:val="20"/>
          <w:szCs w:val="20"/>
        </w:rPr>
        <w:t xml:space="preserve">Opinion on the Financial Statements </w:t>
      </w:r>
    </w:p>
    <w:p w14:paraId="35D0A1F3" w14:textId="77777777" w:rsidR="00D42204" w:rsidRDefault="00D42204">
      <w:pPr>
        <w:jc w:val="both"/>
      </w:pPr>
    </w:p>
    <w:p w14:paraId="35D0A1F4" w14:textId="77777777" w:rsidR="00D42204" w:rsidRDefault="004E439D">
      <w:r>
        <w:rPr>
          <w:rFonts w:ascii="Times New Roman" w:eastAsia="宋体" w:hAnsi="Times New Roman"/>
          <w:color w:val="000000"/>
          <w:sz w:val="20"/>
          <w:szCs w:val="20"/>
        </w:rPr>
        <w:t xml:space="preserve">We have audited the accompanying consolidated balance sheets of Walmart Inc. (the Company) as of January 31, 2022 and 2021, the related consolidated statements of income, comprehensive income, shareholders' equity and </w:t>
      </w:r>
      <w:r>
        <w:rPr>
          <w:rFonts w:ascii="Times New Roman" w:eastAsia="宋体" w:hAnsi="Times New Roman"/>
          <w:color w:val="000000"/>
          <w:sz w:val="20"/>
          <w:szCs w:val="20"/>
        </w:rPr>
        <w:t xml:space="preserve">cash flows for each of the three years in the period ended January 31, 2022, and the related notes (collectively referred to as the "Consolidated Financial Statements"). In our opinion, the Consolidated Financial Statements present fairly, in all material </w:t>
      </w:r>
      <w:r>
        <w:rPr>
          <w:rFonts w:ascii="Times New Roman" w:eastAsia="宋体" w:hAnsi="Times New Roman"/>
          <w:color w:val="000000"/>
          <w:sz w:val="20"/>
          <w:szCs w:val="20"/>
        </w:rPr>
        <w:t>respects, the financial position of the Company at January 31, 2022 and 2021, and the results of its operations and its cash flows for each of the three years in the period ended January 31, 2022, in conformity with U.S. generally accepted accounting princ</w:t>
      </w:r>
      <w:r>
        <w:rPr>
          <w:rFonts w:ascii="Times New Roman" w:eastAsia="宋体" w:hAnsi="Times New Roman"/>
          <w:color w:val="000000"/>
          <w:sz w:val="20"/>
          <w:szCs w:val="20"/>
        </w:rPr>
        <w:t>iples.</w:t>
      </w:r>
    </w:p>
    <w:p w14:paraId="35D0A1F5" w14:textId="77777777" w:rsidR="00D42204" w:rsidRDefault="00D42204"/>
    <w:p w14:paraId="35D0A1F6" w14:textId="77777777" w:rsidR="00D42204" w:rsidRDefault="004E439D">
      <w:r>
        <w:rPr>
          <w:rFonts w:ascii="Times New Roman" w:eastAsia="宋体" w:hAnsi="Times New Roman"/>
          <w:color w:val="000000"/>
          <w:sz w:val="20"/>
          <w:szCs w:val="20"/>
        </w:rPr>
        <w:t>We also have audited, in accordance with the standards of the Public Company Accounting Oversight Board (United States) (PCAOB), the Company's internal control over financial reporting as of January 31, 2022, based on criteria established in Intern</w:t>
      </w:r>
      <w:r>
        <w:rPr>
          <w:rFonts w:ascii="Times New Roman" w:eastAsia="宋体" w:hAnsi="Times New Roman"/>
          <w:color w:val="000000"/>
          <w:sz w:val="20"/>
          <w:szCs w:val="20"/>
        </w:rPr>
        <w:t>al Control-Integrated Framework issued by the Committee of Sponsoring Organizations of the Treadway Commission (2013 framework) and our report dated March 18, 2022 expressed an unqualified opinion thereon.</w:t>
      </w:r>
    </w:p>
    <w:p w14:paraId="35D0A1F7" w14:textId="77777777" w:rsidR="00D42204" w:rsidRDefault="00D42204"/>
    <w:p w14:paraId="35D0A1F8" w14:textId="77777777" w:rsidR="00D42204" w:rsidRDefault="004E439D">
      <w:r>
        <w:rPr>
          <w:rFonts w:ascii="Times New Roman" w:eastAsia="宋体" w:hAnsi="Times New Roman"/>
          <w:b/>
          <w:bCs/>
          <w:color w:val="000000"/>
          <w:sz w:val="20"/>
          <w:szCs w:val="20"/>
        </w:rPr>
        <w:t xml:space="preserve">Basis for Opinion </w:t>
      </w:r>
    </w:p>
    <w:p w14:paraId="35D0A1F9" w14:textId="77777777" w:rsidR="00D42204" w:rsidRDefault="00D42204">
      <w:pPr>
        <w:jc w:val="both"/>
      </w:pPr>
    </w:p>
    <w:p w14:paraId="35D0A1FA" w14:textId="77777777" w:rsidR="00D42204" w:rsidRDefault="004E439D">
      <w:r>
        <w:rPr>
          <w:rFonts w:ascii="Times New Roman" w:eastAsia="宋体" w:hAnsi="Times New Roman"/>
          <w:color w:val="000000"/>
          <w:sz w:val="20"/>
          <w:szCs w:val="20"/>
        </w:rPr>
        <w:t>These financial statements ar</w:t>
      </w:r>
      <w:r>
        <w:rPr>
          <w:rFonts w:ascii="Times New Roman" w:eastAsia="宋体" w:hAnsi="Times New Roman"/>
          <w:color w:val="000000"/>
          <w:sz w:val="20"/>
          <w:szCs w:val="20"/>
        </w:rPr>
        <w:t>e the responsibility of the Company's management. Our responsibility is to express an opinion on the Company's financial statements based on our audits. We are a public accounting firm registered with the PCAOB and are required to be independent with respe</w:t>
      </w:r>
      <w:r>
        <w:rPr>
          <w:rFonts w:ascii="Times New Roman" w:eastAsia="宋体" w:hAnsi="Times New Roman"/>
          <w:color w:val="000000"/>
          <w:sz w:val="20"/>
          <w:szCs w:val="20"/>
        </w:rPr>
        <w:t>ct to the Company in accordance with the U.S. federal securities laws and the applicable rules and regulations of the Securities and Exchange Commission and the PCAOB.</w:t>
      </w:r>
    </w:p>
    <w:p w14:paraId="35D0A1FB" w14:textId="77777777" w:rsidR="00D42204" w:rsidRDefault="00D42204"/>
    <w:p w14:paraId="35D0A1FC" w14:textId="77777777" w:rsidR="00D42204" w:rsidRDefault="004E439D">
      <w:r>
        <w:rPr>
          <w:rFonts w:ascii="Times New Roman" w:eastAsia="宋体" w:hAnsi="Times New Roman"/>
          <w:color w:val="000000"/>
          <w:sz w:val="20"/>
          <w:szCs w:val="20"/>
        </w:rPr>
        <w:t xml:space="preserve">We conducted our audits in accordance with the standards of the PCAOB. Those standards </w:t>
      </w:r>
      <w:r>
        <w:rPr>
          <w:rFonts w:ascii="Times New Roman" w:eastAsia="宋体" w:hAnsi="Times New Roman"/>
          <w:color w:val="000000"/>
          <w:sz w:val="20"/>
          <w:szCs w:val="20"/>
        </w:rPr>
        <w:t>require that we plan and perform the audit to obtain reasonable assurance about whether the financial statements are free of material misstatement, whether due to error or fraud. Our audits included performing procedures to assess the risks of material mis</w:t>
      </w:r>
      <w:r>
        <w:rPr>
          <w:rFonts w:ascii="Times New Roman" w:eastAsia="宋体" w:hAnsi="Times New Roman"/>
          <w:color w:val="000000"/>
          <w:sz w:val="20"/>
          <w:szCs w:val="20"/>
        </w:rPr>
        <w:t>statement of the financial statements, whether due to error or fraud, and performing procedures that respond to those risks. Such procedures included examining, on a test basis, evidence regarding the amounts and disclosures in the financial statements. Ou</w:t>
      </w:r>
      <w:r>
        <w:rPr>
          <w:rFonts w:ascii="Times New Roman" w:eastAsia="宋体" w:hAnsi="Times New Roman"/>
          <w:color w:val="000000"/>
          <w:sz w:val="20"/>
          <w:szCs w:val="20"/>
        </w:rPr>
        <w:t>r audits also included evaluating the accounting principles used and significant estimates made by management, as well as evaluating the overall presentation of the financial statements. We believe that our audits provide a reasonable basis for our opinion</w:t>
      </w:r>
      <w:r>
        <w:rPr>
          <w:rFonts w:ascii="Times New Roman" w:eastAsia="宋体" w:hAnsi="Times New Roman"/>
          <w:color w:val="000000"/>
          <w:sz w:val="20"/>
          <w:szCs w:val="20"/>
        </w:rPr>
        <w:t>.</w:t>
      </w:r>
    </w:p>
    <w:p w14:paraId="35D0A1FD" w14:textId="77777777" w:rsidR="00D42204" w:rsidRDefault="00D42204"/>
    <w:p w14:paraId="35D0A1FE" w14:textId="77777777" w:rsidR="00D42204" w:rsidRDefault="004E439D">
      <w:r>
        <w:rPr>
          <w:rFonts w:ascii="Times New Roman" w:eastAsia="宋体" w:hAnsi="Times New Roman"/>
          <w:b/>
          <w:bCs/>
          <w:color w:val="000000"/>
          <w:sz w:val="20"/>
          <w:szCs w:val="20"/>
        </w:rPr>
        <w:t>Critical Audit Matter</w:t>
      </w:r>
    </w:p>
    <w:p w14:paraId="35D0A1FF" w14:textId="77777777" w:rsidR="00D42204" w:rsidRDefault="00D42204"/>
    <w:p w14:paraId="35D0A200" w14:textId="77777777" w:rsidR="00D42204" w:rsidRDefault="004E439D">
      <w:r>
        <w:rPr>
          <w:rFonts w:ascii="Times New Roman" w:eastAsia="宋体" w:hAnsi="Times New Roman"/>
          <w:color w:val="000000"/>
          <w:sz w:val="20"/>
          <w:szCs w:val="20"/>
        </w:rPr>
        <w:t>The critical audit matter communicated below is a matter arising from the current period audit of the financial statements that was communicated or required to be communicated to the audit committee and that: (1) relates to accoun</w:t>
      </w:r>
      <w:r>
        <w:rPr>
          <w:rFonts w:ascii="Times New Roman" w:eastAsia="宋体" w:hAnsi="Times New Roman"/>
          <w:color w:val="000000"/>
          <w:sz w:val="20"/>
          <w:szCs w:val="20"/>
        </w:rPr>
        <w:t>ts or disclosures that are material to the financial statements and (2) involved our especially challenging, subjective or complex judgments. The communication of the critical audit matter does not alter in any way our opinion on the Consolidated Financial</w:t>
      </w:r>
      <w:r>
        <w:rPr>
          <w:rFonts w:ascii="Times New Roman" w:eastAsia="宋体" w:hAnsi="Times New Roman"/>
          <w:color w:val="000000"/>
          <w:sz w:val="20"/>
          <w:szCs w:val="20"/>
        </w:rPr>
        <w:t xml:space="preserve"> Statements, taken as a whole, and we are not, by communicating the critical audit matter below, providing a separate opinion on the critical audit matter or on the account or disclosure to which it relates.</w:t>
      </w:r>
    </w:p>
    <w:p w14:paraId="35D0A201" w14:textId="77777777" w:rsidR="00D42204" w:rsidRDefault="00D42204"/>
    <w:tbl>
      <w:tblPr>
        <w:tblW w:w="5000" w:type="pct"/>
        <w:tblCellMar>
          <w:top w:w="15" w:type="dxa"/>
          <w:left w:w="15" w:type="dxa"/>
          <w:bottom w:w="15" w:type="dxa"/>
          <w:right w:w="15" w:type="dxa"/>
        </w:tblCellMar>
        <w:tblLook w:val="04A0" w:firstRow="1" w:lastRow="0" w:firstColumn="1" w:lastColumn="0" w:noHBand="0" w:noVBand="1"/>
      </w:tblPr>
      <w:tblGrid>
        <w:gridCol w:w="70"/>
        <w:gridCol w:w="1046"/>
        <w:gridCol w:w="36"/>
        <w:gridCol w:w="36"/>
        <w:gridCol w:w="168"/>
        <w:gridCol w:w="36"/>
        <w:gridCol w:w="61"/>
        <w:gridCol w:w="6847"/>
        <w:gridCol w:w="36"/>
      </w:tblGrid>
      <w:tr w:rsidR="00D42204" w14:paraId="35D0A20B" w14:textId="77777777">
        <w:tc>
          <w:tcPr>
            <w:tcW w:w="50" w:type="pct"/>
            <w:shd w:val="clear" w:color="auto" w:fill="auto"/>
            <w:vAlign w:val="bottom"/>
          </w:tcPr>
          <w:p w14:paraId="35D0A202" w14:textId="77777777" w:rsidR="00D42204" w:rsidRDefault="00D42204">
            <w:pPr>
              <w:rPr>
                <w:rFonts w:ascii="宋体"/>
              </w:rPr>
            </w:pPr>
          </w:p>
        </w:tc>
        <w:tc>
          <w:tcPr>
            <w:tcW w:w="646" w:type="pct"/>
            <w:shd w:val="clear" w:color="auto" w:fill="auto"/>
            <w:vAlign w:val="bottom"/>
          </w:tcPr>
          <w:p w14:paraId="35D0A203" w14:textId="77777777" w:rsidR="00D42204" w:rsidRDefault="00D42204">
            <w:pPr>
              <w:rPr>
                <w:rFonts w:ascii="宋体"/>
              </w:rPr>
            </w:pPr>
          </w:p>
        </w:tc>
        <w:tc>
          <w:tcPr>
            <w:tcW w:w="5" w:type="pct"/>
            <w:shd w:val="clear" w:color="auto" w:fill="auto"/>
            <w:vAlign w:val="bottom"/>
          </w:tcPr>
          <w:p w14:paraId="35D0A204" w14:textId="77777777" w:rsidR="00D42204" w:rsidRDefault="00D42204">
            <w:pPr>
              <w:rPr>
                <w:rFonts w:ascii="宋体"/>
              </w:rPr>
            </w:pPr>
          </w:p>
        </w:tc>
        <w:tc>
          <w:tcPr>
            <w:tcW w:w="5" w:type="pct"/>
            <w:shd w:val="clear" w:color="auto" w:fill="auto"/>
            <w:vAlign w:val="bottom"/>
          </w:tcPr>
          <w:p w14:paraId="35D0A205" w14:textId="77777777" w:rsidR="00D42204" w:rsidRDefault="00D42204">
            <w:pPr>
              <w:rPr>
                <w:rFonts w:ascii="宋体"/>
              </w:rPr>
            </w:pPr>
          </w:p>
        </w:tc>
        <w:tc>
          <w:tcPr>
            <w:tcW w:w="114" w:type="pct"/>
            <w:shd w:val="clear" w:color="auto" w:fill="auto"/>
            <w:vAlign w:val="bottom"/>
          </w:tcPr>
          <w:p w14:paraId="35D0A206" w14:textId="77777777" w:rsidR="00D42204" w:rsidRDefault="00D42204">
            <w:pPr>
              <w:rPr>
                <w:rFonts w:ascii="宋体"/>
              </w:rPr>
            </w:pPr>
          </w:p>
        </w:tc>
        <w:tc>
          <w:tcPr>
            <w:tcW w:w="5" w:type="pct"/>
            <w:shd w:val="clear" w:color="auto" w:fill="auto"/>
            <w:vAlign w:val="bottom"/>
          </w:tcPr>
          <w:p w14:paraId="35D0A207" w14:textId="77777777" w:rsidR="00D42204" w:rsidRDefault="00D42204">
            <w:pPr>
              <w:rPr>
                <w:rFonts w:ascii="宋体"/>
              </w:rPr>
            </w:pPr>
          </w:p>
        </w:tc>
        <w:tc>
          <w:tcPr>
            <w:tcW w:w="50" w:type="pct"/>
            <w:shd w:val="clear" w:color="auto" w:fill="auto"/>
            <w:vAlign w:val="bottom"/>
          </w:tcPr>
          <w:p w14:paraId="35D0A208" w14:textId="77777777" w:rsidR="00D42204" w:rsidRDefault="00D42204">
            <w:pPr>
              <w:rPr>
                <w:rFonts w:ascii="宋体"/>
              </w:rPr>
            </w:pPr>
          </w:p>
        </w:tc>
        <w:tc>
          <w:tcPr>
            <w:tcW w:w="4119" w:type="pct"/>
            <w:shd w:val="clear" w:color="auto" w:fill="auto"/>
            <w:vAlign w:val="bottom"/>
          </w:tcPr>
          <w:p w14:paraId="35D0A209" w14:textId="77777777" w:rsidR="00D42204" w:rsidRDefault="00D42204">
            <w:pPr>
              <w:rPr>
                <w:rFonts w:ascii="宋体"/>
              </w:rPr>
            </w:pPr>
          </w:p>
        </w:tc>
        <w:tc>
          <w:tcPr>
            <w:tcW w:w="5" w:type="pct"/>
            <w:shd w:val="clear" w:color="auto" w:fill="auto"/>
            <w:vAlign w:val="bottom"/>
          </w:tcPr>
          <w:p w14:paraId="35D0A20A" w14:textId="77777777" w:rsidR="00D42204" w:rsidRDefault="00D42204">
            <w:pPr>
              <w:rPr>
                <w:rFonts w:ascii="宋体"/>
              </w:rPr>
            </w:pPr>
          </w:p>
        </w:tc>
      </w:tr>
      <w:tr w:rsidR="00D42204" w14:paraId="35D0A20F" w14:textId="77777777">
        <w:tc>
          <w:tcPr>
            <w:tcW w:w="0" w:type="auto"/>
            <w:gridSpan w:val="3"/>
            <w:shd w:val="clear" w:color="auto" w:fill="auto"/>
            <w:tcMar>
              <w:top w:w="0" w:type="dxa"/>
              <w:left w:w="20" w:type="dxa"/>
              <w:bottom w:w="0" w:type="dxa"/>
              <w:right w:w="20" w:type="dxa"/>
            </w:tcMar>
            <w:vAlign w:val="bottom"/>
          </w:tcPr>
          <w:p w14:paraId="35D0A20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20D"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A20E" w14:textId="77777777" w:rsidR="00D42204" w:rsidRDefault="004E439D">
            <w:pPr>
              <w:jc w:val="both"/>
              <w:textAlignment w:val="top"/>
            </w:pPr>
            <w:r>
              <w:rPr>
                <w:rFonts w:ascii="Times New Roman" w:eastAsia="宋体" w:hAnsi="Times New Roman"/>
                <w:b/>
                <w:bCs/>
                <w:i/>
                <w:iCs/>
                <w:color w:val="000000"/>
                <w:sz w:val="20"/>
                <w:szCs w:val="20"/>
              </w:rPr>
              <w:t>Contingencies</w:t>
            </w:r>
          </w:p>
        </w:tc>
      </w:tr>
      <w:tr w:rsidR="00D42204" w14:paraId="35D0A215" w14:textId="77777777">
        <w:tc>
          <w:tcPr>
            <w:tcW w:w="0" w:type="auto"/>
            <w:gridSpan w:val="3"/>
            <w:shd w:val="clear" w:color="auto" w:fill="auto"/>
            <w:tcMar>
              <w:top w:w="40" w:type="dxa"/>
              <w:left w:w="20" w:type="dxa"/>
              <w:bottom w:w="40" w:type="dxa"/>
              <w:right w:w="20" w:type="dxa"/>
            </w:tcMar>
          </w:tcPr>
          <w:p w14:paraId="35D0A210" w14:textId="77777777" w:rsidR="00D42204" w:rsidRDefault="004E439D">
            <w:pPr>
              <w:textAlignment w:val="top"/>
            </w:pPr>
            <w:r>
              <w:rPr>
                <w:rFonts w:ascii="Times New Roman" w:eastAsia="宋体" w:hAnsi="Times New Roman"/>
                <w:color w:val="000000"/>
                <w:sz w:val="20"/>
                <w:szCs w:val="20"/>
              </w:rPr>
              <w:t>Description of the Matter</w:t>
            </w:r>
          </w:p>
        </w:tc>
        <w:tc>
          <w:tcPr>
            <w:tcW w:w="0" w:type="auto"/>
            <w:gridSpan w:val="3"/>
            <w:shd w:val="clear" w:color="auto" w:fill="auto"/>
            <w:tcMar>
              <w:top w:w="0" w:type="dxa"/>
              <w:left w:w="20" w:type="dxa"/>
              <w:bottom w:w="0" w:type="dxa"/>
              <w:right w:w="20" w:type="dxa"/>
            </w:tcMar>
            <w:vAlign w:val="bottom"/>
          </w:tcPr>
          <w:p w14:paraId="35D0A21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A212" w14:textId="77777777" w:rsidR="00D42204" w:rsidRDefault="004E439D">
            <w:pPr>
              <w:jc w:val="both"/>
              <w:textAlignment w:val="top"/>
            </w:pPr>
            <w:r>
              <w:rPr>
                <w:rFonts w:ascii="Times New Roman" w:eastAsia="宋体" w:hAnsi="Times New Roman"/>
                <w:color w:val="000000"/>
                <w:sz w:val="20"/>
                <w:szCs w:val="20"/>
              </w:rPr>
              <w:t>As described in Note 10 to the Consolidated Financial Statements, at January 31, 2022, the Company is involved in a number of legal proceedings and has made accruals with respect to these matters, where appropriate. For some matt</w:t>
            </w:r>
            <w:r>
              <w:rPr>
                <w:rFonts w:ascii="Times New Roman" w:eastAsia="宋体" w:hAnsi="Times New Roman"/>
                <w:color w:val="000000"/>
                <w:sz w:val="20"/>
                <w:szCs w:val="20"/>
              </w:rPr>
              <w:t>ers, a liability is not probable, or the amount cannot be reasonably estimated and therefore an accrual has not been made. Where a liability is reasonably possible and may be material, such matters have been disclosed. Management assessed the probability o</w:t>
            </w:r>
            <w:r>
              <w:rPr>
                <w:rFonts w:ascii="Times New Roman" w:eastAsia="宋体" w:hAnsi="Times New Roman"/>
                <w:color w:val="000000"/>
                <w:sz w:val="20"/>
                <w:szCs w:val="20"/>
              </w:rPr>
              <w:t>f occurrence and the estimation of any potential loss based on the ability to predict the number of claims that may be filed or whether any loss or range of loss can be reasonably estimated. For example, in assessing the probability of occurrence in a part</w:t>
            </w:r>
            <w:r>
              <w:rPr>
                <w:rFonts w:ascii="Times New Roman" w:eastAsia="宋体" w:hAnsi="Times New Roman"/>
                <w:color w:val="000000"/>
                <w:sz w:val="20"/>
                <w:szCs w:val="20"/>
              </w:rPr>
              <w:t xml:space="preserve">icular legal proceeding, management exercises judgment to determine if it can predict the number of claims that may be filed and whether it can reasonably estimate any loss or range of loss that may arise from that proceeding. </w:t>
            </w:r>
          </w:p>
          <w:p w14:paraId="35D0A213" w14:textId="77777777" w:rsidR="00D42204" w:rsidRDefault="00D42204">
            <w:pPr>
              <w:jc w:val="both"/>
              <w:textAlignment w:val="top"/>
            </w:pPr>
          </w:p>
          <w:p w14:paraId="35D0A214" w14:textId="77777777" w:rsidR="00D42204" w:rsidRDefault="004E439D">
            <w:pPr>
              <w:jc w:val="both"/>
              <w:textAlignment w:val="top"/>
            </w:pPr>
            <w:r>
              <w:rPr>
                <w:rFonts w:ascii="Times New Roman" w:eastAsia="宋体" w:hAnsi="Times New Roman"/>
                <w:color w:val="000000"/>
                <w:sz w:val="20"/>
                <w:szCs w:val="20"/>
              </w:rPr>
              <w:t>Auditing management's accounting for, and disclosure of, loss contingencies was complex and highly judgmental as it involved our assessment of the significant judgments made by management when assessing the probability of occurrence for contingencies or wh</w:t>
            </w:r>
            <w:r>
              <w:rPr>
                <w:rFonts w:ascii="Times New Roman" w:eastAsia="宋体" w:hAnsi="Times New Roman"/>
                <w:color w:val="000000"/>
                <w:sz w:val="20"/>
                <w:szCs w:val="20"/>
              </w:rPr>
              <w:t xml:space="preserve">en determining whether an estimate of the loss or range of loss could be made. </w:t>
            </w:r>
          </w:p>
        </w:tc>
      </w:tr>
    </w:tbl>
    <w:p w14:paraId="35D0A216" w14:textId="77777777" w:rsidR="00D42204" w:rsidRDefault="004E439D">
      <w:pPr>
        <w:jc w:val="center"/>
      </w:pPr>
      <w:r>
        <w:rPr>
          <w:rFonts w:ascii="Times New Roman" w:eastAsia="宋体" w:hAnsi="Times New Roman"/>
          <w:color w:val="000000"/>
          <w:sz w:val="20"/>
          <w:szCs w:val="20"/>
        </w:rPr>
        <w:t>50</w:t>
      </w:r>
    </w:p>
    <w:p w14:paraId="35D0A217" w14:textId="77777777" w:rsidR="00D42204" w:rsidRDefault="004E439D">
      <w:r>
        <w:pict w14:anchorId="35D0C38D">
          <v:rect id="_x0000_i1074" style="width:415.3pt;height:1.5pt" o:hralign="center" o:hrstd="t" o:hr="t" fillcolor="#a0a0a0" stroked="f"/>
        </w:pict>
      </w:r>
    </w:p>
    <w:p w14:paraId="35D0A218" w14:textId="77777777" w:rsidR="00D42204" w:rsidRDefault="00D42204"/>
    <w:tbl>
      <w:tblPr>
        <w:tblW w:w="5000" w:type="pct"/>
        <w:jc w:val="center"/>
        <w:tblCellMar>
          <w:top w:w="15" w:type="dxa"/>
          <w:left w:w="15" w:type="dxa"/>
          <w:bottom w:w="15" w:type="dxa"/>
          <w:right w:w="15" w:type="dxa"/>
        </w:tblCellMar>
        <w:tblLook w:val="04A0" w:firstRow="1" w:lastRow="0" w:firstColumn="1" w:lastColumn="0" w:noHBand="0" w:noVBand="1"/>
      </w:tblPr>
      <w:tblGrid>
        <w:gridCol w:w="64"/>
        <w:gridCol w:w="1052"/>
        <w:gridCol w:w="36"/>
        <w:gridCol w:w="36"/>
        <w:gridCol w:w="168"/>
        <w:gridCol w:w="36"/>
        <w:gridCol w:w="61"/>
        <w:gridCol w:w="6847"/>
        <w:gridCol w:w="36"/>
      </w:tblGrid>
      <w:tr w:rsidR="00D42204" w14:paraId="35D0A222" w14:textId="77777777">
        <w:trPr>
          <w:jc w:val="center"/>
        </w:trPr>
        <w:tc>
          <w:tcPr>
            <w:tcW w:w="50" w:type="pct"/>
            <w:shd w:val="clear" w:color="auto" w:fill="auto"/>
            <w:vAlign w:val="bottom"/>
          </w:tcPr>
          <w:p w14:paraId="35D0A219" w14:textId="77777777" w:rsidR="00D42204" w:rsidRDefault="00D42204">
            <w:pPr>
              <w:rPr>
                <w:rFonts w:ascii="宋体"/>
              </w:rPr>
            </w:pPr>
          </w:p>
        </w:tc>
        <w:tc>
          <w:tcPr>
            <w:tcW w:w="646" w:type="pct"/>
            <w:shd w:val="clear" w:color="auto" w:fill="auto"/>
            <w:vAlign w:val="bottom"/>
          </w:tcPr>
          <w:p w14:paraId="35D0A21A" w14:textId="77777777" w:rsidR="00D42204" w:rsidRDefault="00D42204">
            <w:pPr>
              <w:rPr>
                <w:rFonts w:ascii="宋体"/>
              </w:rPr>
            </w:pPr>
          </w:p>
        </w:tc>
        <w:tc>
          <w:tcPr>
            <w:tcW w:w="5" w:type="pct"/>
            <w:shd w:val="clear" w:color="auto" w:fill="auto"/>
            <w:vAlign w:val="bottom"/>
          </w:tcPr>
          <w:p w14:paraId="35D0A21B" w14:textId="77777777" w:rsidR="00D42204" w:rsidRDefault="00D42204">
            <w:pPr>
              <w:rPr>
                <w:rFonts w:ascii="宋体"/>
              </w:rPr>
            </w:pPr>
          </w:p>
        </w:tc>
        <w:tc>
          <w:tcPr>
            <w:tcW w:w="5" w:type="pct"/>
            <w:shd w:val="clear" w:color="auto" w:fill="auto"/>
            <w:vAlign w:val="bottom"/>
          </w:tcPr>
          <w:p w14:paraId="35D0A21C" w14:textId="77777777" w:rsidR="00D42204" w:rsidRDefault="00D42204">
            <w:pPr>
              <w:rPr>
                <w:rFonts w:ascii="宋体"/>
              </w:rPr>
            </w:pPr>
          </w:p>
        </w:tc>
        <w:tc>
          <w:tcPr>
            <w:tcW w:w="114" w:type="pct"/>
            <w:shd w:val="clear" w:color="auto" w:fill="auto"/>
            <w:vAlign w:val="bottom"/>
          </w:tcPr>
          <w:p w14:paraId="35D0A21D" w14:textId="77777777" w:rsidR="00D42204" w:rsidRDefault="00D42204">
            <w:pPr>
              <w:rPr>
                <w:rFonts w:ascii="宋体"/>
              </w:rPr>
            </w:pPr>
          </w:p>
        </w:tc>
        <w:tc>
          <w:tcPr>
            <w:tcW w:w="5" w:type="pct"/>
            <w:shd w:val="clear" w:color="auto" w:fill="auto"/>
            <w:vAlign w:val="bottom"/>
          </w:tcPr>
          <w:p w14:paraId="35D0A21E" w14:textId="77777777" w:rsidR="00D42204" w:rsidRDefault="00D42204">
            <w:pPr>
              <w:rPr>
                <w:rFonts w:ascii="宋体"/>
              </w:rPr>
            </w:pPr>
          </w:p>
        </w:tc>
        <w:tc>
          <w:tcPr>
            <w:tcW w:w="50" w:type="pct"/>
            <w:shd w:val="clear" w:color="auto" w:fill="auto"/>
            <w:vAlign w:val="bottom"/>
          </w:tcPr>
          <w:p w14:paraId="35D0A21F" w14:textId="77777777" w:rsidR="00D42204" w:rsidRDefault="00D42204">
            <w:pPr>
              <w:rPr>
                <w:rFonts w:ascii="宋体"/>
              </w:rPr>
            </w:pPr>
          </w:p>
        </w:tc>
        <w:tc>
          <w:tcPr>
            <w:tcW w:w="4119" w:type="pct"/>
            <w:shd w:val="clear" w:color="auto" w:fill="auto"/>
            <w:vAlign w:val="bottom"/>
          </w:tcPr>
          <w:p w14:paraId="35D0A220" w14:textId="77777777" w:rsidR="00D42204" w:rsidRDefault="00D42204">
            <w:pPr>
              <w:rPr>
                <w:rFonts w:ascii="宋体"/>
              </w:rPr>
            </w:pPr>
          </w:p>
        </w:tc>
        <w:tc>
          <w:tcPr>
            <w:tcW w:w="5" w:type="pct"/>
            <w:shd w:val="clear" w:color="auto" w:fill="auto"/>
            <w:vAlign w:val="bottom"/>
          </w:tcPr>
          <w:p w14:paraId="35D0A221" w14:textId="77777777" w:rsidR="00D42204" w:rsidRDefault="00D42204">
            <w:pPr>
              <w:rPr>
                <w:rFonts w:ascii="宋体"/>
              </w:rPr>
            </w:pPr>
          </w:p>
        </w:tc>
      </w:tr>
      <w:tr w:rsidR="00D42204" w14:paraId="35D0A228" w14:textId="77777777">
        <w:trPr>
          <w:jc w:val="center"/>
        </w:trPr>
        <w:tc>
          <w:tcPr>
            <w:tcW w:w="0" w:type="auto"/>
            <w:gridSpan w:val="3"/>
            <w:shd w:val="clear" w:color="auto" w:fill="auto"/>
            <w:tcMar>
              <w:top w:w="40" w:type="dxa"/>
              <w:left w:w="20" w:type="dxa"/>
              <w:bottom w:w="40" w:type="dxa"/>
              <w:right w:w="20" w:type="dxa"/>
            </w:tcMar>
          </w:tcPr>
          <w:p w14:paraId="35D0A223" w14:textId="77777777" w:rsidR="00D42204" w:rsidRDefault="004E439D">
            <w:pPr>
              <w:textAlignment w:val="top"/>
            </w:pPr>
            <w:r>
              <w:rPr>
                <w:rFonts w:ascii="Times New Roman" w:eastAsia="宋体" w:hAnsi="Times New Roman"/>
                <w:color w:val="000000"/>
                <w:sz w:val="20"/>
                <w:szCs w:val="20"/>
              </w:rPr>
              <w:t>How We Addressed the Matter in Our Audit</w:t>
            </w:r>
          </w:p>
        </w:tc>
        <w:tc>
          <w:tcPr>
            <w:tcW w:w="0" w:type="auto"/>
            <w:gridSpan w:val="3"/>
            <w:shd w:val="clear" w:color="auto" w:fill="auto"/>
            <w:tcMar>
              <w:top w:w="0" w:type="dxa"/>
              <w:left w:w="20" w:type="dxa"/>
              <w:bottom w:w="0" w:type="dxa"/>
              <w:right w:w="20" w:type="dxa"/>
            </w:tcMar>
            <w:vAlign w:val="bottom"/>
          </w:tcPr>
          <w:p w14:paraId="35D0A224"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A225" w14:textId="77777777" w:rsidR="00D42204" w:rsidRDefault="004E439D">
            <w:pPr>
              <w:jc w:val="both"/>
              <w:textAlignment w:val="top"/>
            </w:pPr>
            <w:r>
              <w:rPr>
                <w:rFonts w:ascii="Times New Roman" w:eastAsia="宋体" w:hAnsi="Times New Roman"/>
                <w:color w:val="000000"/>
                <w:sz w:val="20"/>
                <w:szCs w:val="20"/>
              </w:rPr>
              <w:t>We obtained an understanding, evaluated the design and tested the operating effectiveness of controls over the identification and evaluation of contingencies. For example, we tested controls over the Company's assessment of the likelihood of loss and the C</w:t>
            </w:r>
            <w:r>
              <w:rPr>
                <w:rFonts w:ascii="Times New Roman" w:eastAsia="宋体" w:hAnsi="Times New Roman"/>
                <w:color w:val="000000"/>
                <w:sz w:val="20"/>
                <w:szCs w:val="20"/>
              </w:rPr>
              <w:t xml:space="preserve">ompany's determinations regarding the measurement of loss. </w:t>
            </w:r>
          </w:p>
          <w:p w14:paraId="35D0A226" w14:textId="77777777" w:rsidR="00D42204" w:rsidRDefault="00D42204">
            <w:pPr>
              <w:jc w:val="both"/>
              <w:textAlignment w:val="top"/>
            </w:pPr>
          </w:p>
          <w:p w14:paraId="35D0A227" w14:textId="77777777" w:rsidR="00D42204" w:rsidRDefault="004E439D">
            <w:pPr>
              <w:jc w:val="both"/>
              <w:textAlignment w:val="top"/>
            </w:pPr>
            <w:r>
              <w:rPr>
                <w:rFonts w:ascii="Times New Roman" w:eastAsia="宋体" w:hAnsi="Times New Roman"/>
                <w:color w:val="000000"/>
                <w:sz w:val="20"/>
                <w:szCs w:val="20"/>
              </w:rPr>
              <w:t>To test the Company's assessment of the probability of occurrence or determination of an estimate of loss, or range of loss, among other procedures, we read the minutes of the meetings of the Boa</w:t>
            </w:r>
            <w:r>
              <w:rPr>
                <w:rFonts w:ascii="Times New Roman" w:eastAsia="宋体" w:hAnsi="Times New Roman"/>
                <w:color w:val="000000"/>
                <w:sz w:val="20"/>
                <w:szCs w:val="20"/>
              </w:rPr>
              <w:t>rd of Directors and committees of the Board of Directors, reviewed opinions provided to the Company by certain outside legal counsel, read letters received directly by us from internal and external counsel, and evaluated the current status of contingencies</w:t>
            </w:r>
            <w:r>
              <w:rPr>
                <w:rFonts w:ascii="Times New Roman" w:eastAsia="宋体" w:hAnsi="Times New Roman"/>
                <w:color w:val="000000"/>
                <w:sz w:val="20"/>
                <w:szCs w:val="20"/>
              </w:rPr>
              <w:t xml:space="preserve"> based on discussions with internal legal counsel. We also evaluated the appropriateness of the related disclosures. </w:t>
            </w:r>
          </w:p>
        </w:tc>
      </w:tr>
    </w:tbl>
    <w:p w14:paraId="35D0A229" w14:textId="77777777" w:rsidR="00D42204" w:rsidRDefault="00D42204"/>
    <w:p w14:paraId="35D0A22A" w14:textId="77777777" w:rsidR="00D42204" w:rsidRDefault="004E439D">
      <w:r>
        <w:rPr>
          <w:rFonts w:ascii="Times New Roman" w:eastAsia="宋体" w:hAnsi="Times New Roman"/>
          <w:color w:val="000000"/>
          <w:sz w:val="20"/>
          <w:szCs w:val="20"/>
        </w:rPr>
        <w:t xml:space="preserve">/s/ Ernst &amp; Young LLP </w:t>
      </w:r>
    </w:p>
    <w:p w14:paraId="35D0A22B" w14:textId="77777777" w:rsidR="00D42204" w:rsidRDefault="00D42204"/>
    <w:p w14:paraId="35D0A22C" w14:textId="77777777" w:rsidR="00D42204" w:rsidRDefault="004E439D">
      <w:r>
        <w:rPr>
          <w:rFonts w:ascii="Times New Roman" w:eastAsia="宋体" w:hAnsi="Times New Roman"/>
          <w:color w:val="000000"/>
          <w:sz w:val="20"/>
          <w:szCs w:val="20"/>
        </w:rPr>
        <w:t>We have served as the Company's auditor since 1969.</w:t>
      </w:r>
    </w:p>
    <w:p w14:paraId="35D0A22D" w14:textId="77777777" w:rsidR="00D42204" w:rsidRDefault="00D42204"/>
    <w:p w14:paraId="35D0A22E" w14:textId="77777777" w:rsidR="00D42204" w:rsidRDefault="004E439D">
      <w:r>
        <w:rPr>
          <w:rFonts w:ascii="Times New Roman" w:eastAsia="宋体" w:hAnsi="Times New Roman"/>
          <w:color w:val="000000"/>
          <w:sz w:val="20"/>
          <w:szCs w:val="20"/>
        </w:rPr>
        <w:t>Rogers, Arkansas</w:t>
      </w:r>
    </w:p>
    <w:p w14:paraId="35D0A22F" w14:textId="77777777" w:rsidR="00D42204" w:rsidRDefault="004E439D">
      <w:r>
        <w:rPr>
          <w:rFonts w:ascii="Times New Roman" w:eastAsia="宋体" w:hAnsi="Times New Roman"/>
          <w:color w:val="000000"/>
          <w:sz w:val="20"/>
          <w:szCs w:val="20"/>
        </w:rPr>
        <w:t>March 18, 2022</w:t>
      </w:r>
    </w:p>
    <w:p w14:paraId="35D0A230" w14:textId="77777777" w:rsidR="00D42204" w:rsidRDefault="00D42204"/>
    <w:p w14:paraId="35D0A231" w14:textId="77777777" w:rsidR="00D42204" w:rsidRDefault="004E439D">
      <w:pPr>
        <w:jc w:val="center"/>
      </w:pPr>
      <w:r>
        <w:rPr>
          <w:rFonts w:ascii="Times New Roman" w:eastAsia="宋体" w:hAnsi="Times New Roman"/>
          <w:color w:val="000000"/>
          <w:sz w:val="20"/>
          <w:szCs w:val="20"/>
        </w:rPr>
        <w:t>51</w:t>
      </w:r>
    </w:p>
    <w:p w14:paraId="35D0A232" w14:textId="77777777" w:rsidR="00D42204" w:rsidRDefault="004E439D">
      <w:r>
        <w:pict w14:anchorId="35D0C38E">
          <v:rect id="_x0000_i1075" style="width:415.3pt;height:1.5pt" o:hralign="center" o:hrstd="t" o:hr="t" fillcolor="#a0a0a0" stroked="f"/>
        </w:pict>
      </w:r>
    </w:p>
    <w:p w14:paraId="35D0A233" w14:textId="77777777" w:rsidR="00D42204" w:rsidRDefault="00D42204"/>
    <w:p w14:paraId="35D0A234" w14:textId="77777777" w:rsidR="00D42204" w:rsidRDefault="004E439D">
      <w:pPr>
        <w:spacing w:before="100"/>
        <w:jc w:val="center"/>
      </w:pPr>
      <w:r>
        <w:rPr>
          <w:rFonts w:ascii="Times New Roman" w:eastAsia="宋体" w:hAnsi="Times New Roman"/>
          <w:b/>
          <w:bCs/>
          <w:color w:val="000000"/>
          <w:sz w:val="20"/>
          <w:szCs w:val="20"/>
        </w:rPr>
        <w:t xml:space="preserve">Report of </w:t>
      </w:r>
      <w:r>
        <w:rPr>
          <w:rFonts w:ascii="Times New Roman" w:eastAsia="宋体" w:hAnsi="Times New Roman"/>
          <w:b/>
          <w:bCs/>
          <w:color w:val="000000"/>
          <w:sz w:val="20"/>
          <w:szCs w:val="20"/>
        </w:rPr>
        <w:t>Independent Registered Public Accounting Firm</w:t>
      </w:r>
    </w:p>
    <w:p w14:paraId="35D0A235" w14:textId="77777777" w:rsidR="00D42204" w:rsidRDefault="004E439D">
      <w:pPr>
        <w:spacing w:before="180"/>
      </w:pPr>
      <w:r>
        <w:rPr>
          <w:rFonts w:ascii="Times New Roman" w:eastAsia="宋体" w:hAnsi="Times New Roman"/>
          <w:color w:val="000000"/>
          <w:sz w:val="20"/>
          <w:szCs w:val="20"/>
        </w:rPr>
        <w:t xml:space="preserve">To the Shareholders and the Board of Directors of Walmart Inc. </w:t>
      </w:r>
    </w:p>
    <w:p w14:paraId="35D0A236" w14:textId="77777777" w:rsidR="00D42204" w:rsidRDefault="004E439D">
      <w:pPr>
        <w:spacing w:before="180"/>
      </w:pPr>
      <w:r>
        <w:rPr>
          <w:rFonts w:ascii="Times New Roman" w:eastAsia="宋体" w:hAnsi="Times New Roman"/>
          <w:b/>
          <w:bCs/>
          <w:color w:val="000000"/>
          <w:sz w:val="20"/>
          <w:szCs w:val="20"/>
        </w:rPr>
        <w:t xml:space="preserve">Opinion on Internal Control over Financial Reporting </w:t>
      </w:r>
    </w:p>
    <w:p w14:paraId="35D0A237" w14:textId="77777777" w:rsidR="00D42204" w:rsidRDefault="004E439D">
      <w:pPr>
        <w:spacing w:before="100"/>
      </w:pPr>
      <w:r>
        <w:rPr>
          <w:rFonts w:ascii="Times New Roman" w:eastAsia="宋体" w:hAnsi="Times New Roman"/>
          <w:color w:val="000000"/>
          <w:sz w:val="20"/>
          <w:szCs w:val="20"/>
        </w:rPr>
        <w:t>We have audited Walmart Inc.'s internal control over financial reporting as of January 31, 2</w:t>
      </w:r>
      <w:r>
        <w:rPr>
          <w:rFonts w:ascii="Times New Roman" w:eastAsia="宋体" w:hAnsi="Times New Roman"/>
          <w:color w:val="000000"/>
          <w:sz w:val="20"/>
          <w:szCs w:val="20"/>
        </w:rPr>
        <w:t>022, based on criteria established in Internal Control—Integrated Framework issued by the Committee of Sponsoring Organizations of the Treadway Commission (2013 framework) (the COSO criteria). In our opinion, Walmart Inc. (the Company) maintained, in all m</w:t>
      </w:r>
      <w:r>
        <w:rPr>
          <w:rFonts w:ascii="Times New Roman" w:eastAsia="宋体" w:hAnsi="Times New Roman"/>
          <w:color w:val="000000"/>
          <w:sz w:val="20"/>
          <w:szCs w:val="20"/>
        </w:rPr>
        <w:t>aterial respects, effective internal control over financial reporting as of January 31, 2022, based on the COSO criteria.</w:t>
      </w:r>
    </w:p>
    <w:p w14:paraId="35D0A238" w14:textId="77777777" w:rsidR="00D42204" w:rsidRDefault="004E439D">
      <w:pPr>
        <w:spacing w:before="100"/>
      </w:pPr>
      <w:r>
        <w:rPr>
          <w:rFonts w:ascii="Times New Roman" w:eastAsia="宋体" w:hAnsi="Times New Roman"/>
          <w:color w:val="000000"/>
          <w:sz w:val="20"/>
          <w:szCs w:val="20"/>
        </w:rPr>
        <w:t xml:space="preserve">We also have audited, in accordance with the standards of the Public Company Accounting Oversight Board (United States) </w:t>
      </w:r>
      <w:r>
        <w:rPr>
          <w:rFonts w:ascii="Times New Roman" w:eastAsia="宋体" w:hAnsi="Times New Roman"/>
          <w:color w:val="000000"/>
          <w:sz w:val="20"/>
          <w:szCs w:val="20"/>
        </w:rPr>
        <w:t>(PCAOB), the consolidated balance sheets of Walmart Inc. as of January 31, 2022 and 2021, the related consolidated statements of income, comprehensive income, shareholders' equity and cash flows for each of the three years in the period ended January 31, 2</w:t>
      </w:r>
      <w:r>
        <w:rPr>
          <w:rFonts w:ascii="Times New Roman" w:eastAsia="宋体" w:hAnsi="Times New Roman"/>
          <w:color w:val="000000"/>
          <w:sz w:val="20"/>
          <w:szCs w:val="20"/>
        </w:rPr>
        <w:t>022, and the related notes and our report dated March 18, 2022 expressed an unqualified opinion thereon.</w:t>
      </w:r>
    </w:p>
    <w:p w14:paraId="35D0A239" w14:textId="77777777" w:rsidR="00D42204" w:rsidRDefault="004E439D">
      <w:pPr>
        <w:spacing w:before="180"/>
        <w:jc w:val="both"/>
      </w:pPr>
      <w:r>
        <w:rPr>
          <w:rFonts w:ascii="Times New Roman" w:eastAsia="宋体" w:hAnsi="Times New Roman"/>
          <w:b/>
          <w:bCs/>
          <w:color w:val="000000"/>
          <w:sz w:val="20"/>
          <w:szCs w:val="20"/>
        </w:rPr>
        <w:t xml:space="preserve">Basis for Opinion </w:t>
      </w:r>
    </w:p>
    <w:p w14:paraId="35D0A23A" w14:textId="77777777" w:rsidR="00D42204" w:rsidRDefault="004E439D">
      <w:pPr>
        <w:spacing w:before="100"/>
      </w:pPr>
      <w:r>
        <w:rPr>
          <w:rFonts w:ascii="Times New Roman" w:eastAsia="宋体" w:hAnsi="Times New Roman"/>
          <w:color w:val="000000"/>
          <w:sz w:val="20"/>
          <w:szCs w:val="20"/>
        </w:rPr>
        <w:t>The Company's management is responsible for maintaining effective internal control over financial reporting and for its assessment o</w:t>
      </w:r>
      <w:r>
        <w:rPr>
          <w:rFonts w:ascii="Times New Roman" w:eastAsia="宋体" w:hAnsi="Times New Roman"/>
          <w:color w:val="000000"/>
          <w:sz w:val="20"/>
          <w:szCs w:val="20"/>
        </w:rPr>
        <w:t xml:space="preserve">f the effectiveness of internal control over financial reporting included in the accompanying Report on Internal Control over Financial Reporting. Our responsibility is to express an opinion on the Company's internal control over financial reporting based </w:t>
      </w:r>
      <w:r>
        <w:rPr>
          <w:rFonts w:ascii="Times New Roman" w:eastAsia="宋体" w:hAnsi="Times New Roman"/>
          <w:color w:val="000000"/>
          <w:sz w:val="20"/>
          <w:szCs w:val="20"/>
        </w:rPr>
        <w:t>on our audit. We are a public accounting firm registered with the PCAOB and are required to be independent with respect to the Company in accordance with the U.S. federal securities laws and the applicable rules and regulations of the Securities and Exchan</w:t>
      </w:r>
      <w:r>
        <w:rPr>
          <w:rFonts w:ascii="Times New Roman" w:eastAsia="宋体" w:hAnsi="Times New Roman"/>
          <w:color w:val="000000"/>
          <w:sz w:val="20"/>
          <w:szCs w:val="20"/>
        </w:rPr>
        <w:t xml:space="preserve">ge Commission and the PCAOB. </w:t>
      </w:r>
    </w:p>
    <w:p w14:paraId="35D0A23B" w14:textId="77777777" w:rsidR="00D42204" w:rsidRDefault="004E439D">
      <w:pPr>
        <w:spacing w:before="100"/>
      </w:pPr>
      <w:r>
        <w:rPr>
          <w:rFonts w:ascii="Times New Roman" w:eastAsia="宋体" w:hAnsi="Times New Roman"/>
          <w:color w:val="000000"/>
          <w:sz w:val="20"/>
          <w:szCs w:val="20"/>
        </w:rPr>
        <w:t xml:space="preserve">We conducted our audit in accordance with the standards of the PCAOB. Those standards require that we plan and perform the audit to obtain reasonable assurance about whether effective internal control over financial reporting </w:t>
      </w:r>
      <w:r>
        <w:rPr>
          <w:rFonts w:ascii="Times New Roman" w:eastAsia="宋体" w:hAnsi="Times New Roman"/>
          <w:color w:val="000000"/>
          <w:sz w:val="20"/>
          <w:szCs w:val="20"/>
        </w:rPr>
        <w:t xml:space="preserve">was maintained in all material respects. </w:t>
      </w:r>
    </w:p>
    <w:p w14:paraId="35D0A23C" w14:textId="77777777" w:rsidR="00D42204" w:rsidRDefault="004E439D">
      <w:pPr>
        <w:spacing w:before="100"/>
      </w:pPr>
      <w:r>
        <w:rPr>
          <w:rFonts w:ascii="Times New Roman" w:eastAsia="宋体" w:hAnsi="Times New Roman"/>
          <w:color w:val="000000"/>
          <w:sz w:val="20"/>
          <w:szCs w:val="20"/>
        </w:rPr>
        <w:t>Our audit included obtaining an understanding of internal control over financial reporting, assessing the risk that a material weakness exists, testing and evaluating the design and operating effectiveness of inter</w:t>
      </w:r>
      <w:r>
        <w:rPr>
          <w:rFonts w:ascii="Times New Roman" w:eastAsia="宋体" w:hAnsi="Times New Roman"/>
          <w:color w:val="000000"/>
          <w:sz w:val="20"/>
          <w:szCs w:val="20"/>
        </w:rPr>
        <w:t xml:space="preserve">nal control based on the assessed risk, and performing such other procedures as we considered necessary in the circumstances. We believe that our audit provides a reasonable basis for our opinion. </w:t>
      </w:r>
    </w:p>
    <w:p w14:paraId="35D0A23D" w14:textId="77777777" w:rsidR="00D42204" w:rsidRDefault="004E439D">
      <w:pPr>
        <w:spacing w:before="180"/>
      </w:pPr>
      <w:r>
        <w:rPr>
          <w:rFonts w:ascii="Times New Roman" w:eastAsia="宋体" w:hAnsi="Times New Roman"/>
          <w:b/>
          <w:bCs/>
          <w:color w:val="000000"/>
          <w:sz w:val="20"/>
          <w:szCs w:val="20"/>
        </w:rPr>
        <w:t>Definition and Limitations of Internal Control over Financ</w:t>
      </w:r>
      <w:r>
        <w:rPr>
          <w:rFonts w:ascii="Times New Roman" w:eastAsia="宋体" w:hAnsi="Times New Roman"/>
          <w:b/>
          <w:bCs/>
          <w:color w:val="000000"/>
          <w:sz w:val="20"/>
          <w:szCs w:val="20"/>
        </w:rPr>
        <w:t xml:space="preserve">ial Reporting </w:t>
      </w:r>
    </w:p>
    <w:p w14:paraId="35D0A23E" w14:textId="77777777" w:rsidR="00D42204" w:rsidRDefault="004E439D">
      <w:pPr>
        <w:spacing w:before="100"/>
      </w:pPr>
      <w:r>
        <w:rPr>
          <w:rFonts w:ascii="Times New Roman" w:eastAsia="宋体" w:hAnsi="Times New Roman"/>
          <w:color w:val="000000"/>
          <w:sz w:val="20"/>
          <w:szCs w:val="20"/>
        </w:rPr>
        <w:t>A company's internal control over financial reporting is a process designed to provide reasonable assurance regarding the reliability of financial reporting and the preparation of financial statements for external purposes in accordance with</w:t>
      </w:r>
      <w:r>
        <w:rPr>
          <w:rFonts w:ascii="Times New Roman" w:eastAsia="宋体" w:hAnsi="Times New Roman"/>
          <w:color w:val="000000"/>
          <w:sz w:val="20"/>
          <w:szCs w:val="20"/>
        </w:rPr>
        <w:t xml:space="preserve"> generally accepted accounting principles. A company's internal control over financial reporting includes those policies and procedures that (1) pertain to the maintenance of records that, in reasonable detail, accurately and fairly reflect the transaction</w:t>
      </w:r>
      <w:r>
        <w:rPr>
          <w:rFonts w:ascii="Times New Roman" w:eastAsia="宋体" w:hAnsi="Times New Roman"/>
          <w:color w:val="000000"/>
          <w:sz w:val="20"/>
          <w:szCs w:val="20"/>
        </w:rPr>
        <w:t>s and dispositions of the assets of the company; (2) provide reasonable assurance that transactions are recorded as necessary to permit preparation of financial statements in accordance with generally accepted accounting principles, and that receipts and e</w:t>
      </w:r>
      <w:r>
        <w:rPr>
          <w:rFonts w:ascii="Times New Roman" w:eastAsia="宋体" w:hAnsi="Times New Roman"/>
          <w:color w:val="000000"/>
          <w:sz w:val="20"/>
          <w:szCs w:val="20"/>
        </w:rPr>
        <w:t>xpenditures of the company are being made only in accordance with authorizations of management and directors of the company; and (3) provide reasonable assurance regarding prevention or timely detection of unauthorized acquisition, use, or disposition of t</w:t>
      </w:r>
      <w:r>
        <w:rPr>
          <w:rFonts w:ascii="Times New Roman" w:eastAsia="宋体" w:hAnsi="Times New Roman"/>
          <w:color w:val="000000"/>
          <w:sz w:val="20"/>
          <w:szCs w:val="20"/>
        </w:rPr>
        <w:t xml:space="preserve">he company's assets that could have a material effect on the financial statements. </w:t>
      </w:r>
    </w:p>
    <w:p w14:paraId="35D0A23F" w14:textId="77777777" w:rsidR="00D42204" w:rsidRDefault="004E439D">
      <w:pPr>
        <w:spacing w:before="100"/>
      </w:pPr>
      <w:r>
        <w:rPr>
          <w:rFonts w:ascii="Times New Roman" w:eastAsia="宋体" w:hAnsi="Times New Roman"/>
          <w:color w:val="000000"/>
          <w:sz w:val="20"/>
          <w:szCs w:val="20"/>
        </w:rPr>
        <w:t>Because of its inherent limitations, internal control over financial reporting may not prevent or detect misstatements. Also, projections of any evaluation of effectiveness</w:t>
      </w:r>
      <w:r>
        <w:rPr>
          <w:rFonts w:ascii="Times New Roman" w:eastAsia="宋体" w:hAnsi="Times New Roman"/>
          <w:color w:val="000000"/>
          <w:sz w:val="20"/>
          <w:szCs w:val="20"/>
        </w:rPr>
        <w:t xml:space="preserve"> to future periods are subject to the risk that controls may become inadequate because of changes in conditions, or that the degree of compliance with the policies or procedures may deteriorate.</w:t>
      </w:r>
    </w:p>
    <w:p w14:paraId="35D0A240" w14:textId="77777777" w:rsidR="00D42204" w:rsidRDefault="00D42204"/>
    <w:p w14:paraId="35D0A241" w14:textId="77777777" w:rsidR="00D42204" w:rsidRDefault="004E439D">
      <w:pPr>
        <w:spacing w:before="180"/>
      </w:pPr>
      <w:r>
        <w:rPr>
          <w:rFonts w:ascii="Times New Roman" w:eastAsia="宋体" w:hAnsi="Times New Roman"/>
          <w:color w:val="000000"/>
          <w:sz w:val="20"/>
          <w:szCs w:val="20"/>
        </w:rPr>
        <w:t xml:space="preserve">/s/ Ernst &amp; Young LLP </w:t>
      </w:r>
    </w:p>
    <w:p w14:paraId="35D0A242" w14:textId="77777777" w:rsidR="00D42204" w:rsidRDefault="004E439D">
      <w:pPr>
        <w:spacing w:before="180"/>
      </w:pPr>
      <w:r>
        <w:rPr>
          <w:rFonts w:ascii="Times New Roman" w:eastAsia="宋体" w:hAnsi="Times New Roman"/>
          <w:color w:val="000000"/>
          <w:sz w:val="20"/>
          <w:szCs w:val="20"/>
        </w:rPr>
        <w:t>Rogers, Arkansas</w:t>
      </w:r>
    </w:p>
    <w:p w14:paraId="35D0A243" w14:textId="77777777" w:rsidR="00D42204" w:rsidRDefault="004E439D">
      <w:r>
        <w:rPr>
          <w:rFonts w:ascii="Times New Roman" w:eastAsia="宋体" w:hAnsi="Times New Roman"/>
          <w:color w:val="000000"/>
          <w:sz w:val="20"/>
          <w:szCs w:val="20"/>
        </w:rPr>
        <w:t>March 18, 2022</w:t>
      </w:r>
    </w:p>
    <w:p w14:paraId="35D0A244" w14:textId="77777777" w:rsidR="00D42204" w:rsidRDefault="004E439D">
      <w:pPr>
        <w:jc w:val="center"/>
      </w:pPr>
      <w:r>
        <w:rPr>
          <w:rFonts w:ascii="Times New Roman" w:eastAsia="宋体" w:hAnsi="Times New Roman"/>
          <w:color w:val="000000"/>
          <w:sz w:val="20"/>
          <w:szCs w:val="20"/>
        </w:rPr>
        <w:t>52</w:t>
      </w:r>
    </w:p>
    <w:p w14:paraId="35D0A245" w14:textId="77777777" w:rsidR="00D42204" w:rsidRDefault="004E439D">
      <w:r>
        <w:pict w14:anchorId="35D0C38F">
          <v:rect id="_x0000_i1076" style="width:415.3pt;height:1.5pt" o:hralign="center" o:hrstd="t" o:hr="t" fillcolor="#a0a0a0" stroked="f"/>
        </w:pict>
      </w:r>
    </w:p>
    <w:p w14:paraId="35D0A246" w14:textId="77777777" w:rsidR="00D42204" w:rsidRDefault="00D42204"/>
    <w:p w14:paraId="35D0A247" w14:textId="77777777" w:rsidR="00D42204" w:rsidRDefault="004E439D">
      <w:pPr>
        <w:spacing w:before="180"/>
        <w:jc w:val="center"/>
      </w:pPr>
      <w:r>
        <w:rPr>
          <w:rFonts w:ascii="Times New Roman" w:eastAsia="宋体" w:hAnsi="Times New Roman"/>
          <w:b/>
          <w:bCs/>
          <w:color w:val="000000"/>
          <w:sz w:val="20"/>
          <w:szCs w:val="20"/>
        </w:rPr>
        <w:t>Walmart Inc.</w:t>
      </w:r>
    </w:p>
    <w:p w14:paraId="35D0A248" w14:textId="77777777" w:rsidR="00D42204" w:rsidRDefault="004E439D">
      <w:pPr>
        <w:spacing w:before="60"/>
        <w:jc w:val="center"/>
      </w:pPr>
      <w:r>
        <w:rPr>
          <w:rFonts w:ascii="Times New Roman" w:eastAsia="宋体" w:hAnsi="Times New Roman"/>
          <w:b/>
          <w:bCs/>
          <w:color w:val="000000"/>
          <w:sz w:val="20"/>
          <w:szCs w:val="20"/>
        </w:rPr>
        <w:t>Consolidated Statements of 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4919"/>
        <w:gridCol w:w="39"/>
        <w:gridCol w:w="36"/>
        <w:gridCol w:w="36"/>
        <w:gridCol w:w="36"/>
        <w:gridCol w:w="100"/>
        <w:gridCol w:w="867"/>
        <w:gridCol w:w="36"/>
        <w:gridCol w:w="36"/>
        <w:gridCol w:w="36"/>
        <w:gridCol w:w="36"/>
        <w:gridCol w:w="100"/>
        <w:gridCol w:w="867"/>
        <w:gridCol w:w="36"/>
        <w:gridCol w:w="36"/>
        <w:gridCol w:w="36"/>
        <w:gridCol w:w="36"/>
        <w:gridCol w:w="100"/>
        <w:gridCol w:w="870"/>
        <w:gridCol w:w="36"/>
      </w:tblGrid>
      <w:tr w:rsidR="00D42204" w14:paraId="35D0A25E" w14:textId="77777777">
        <w:trPr>
          <w:jc w:val="center"/>
        </w:trPr>
        <w:tc>
          <w:tcPr>
            <w:tcW w:w="50" w:type="pct"/>
            <w:shd w:val="clear" w:color="auto" w:fill="auto"/>
            <w:vAlign w:val="bottom"/>
          </w:tcPr>
          <w:p w14:paraId="35D0A249" w14:textId="77777777" w:rsidR="00D42204" w:rsidRDefault="00D42204">
            <w:pPr>
              <w:rPr>
                <w:rFonts w:ascii="宋体"/>
              </w:rPr>
            </w:pPr>
          </w:p>
        </w:tc>
        <w:tc>
          <w:tcPr>
            <w:tcW w:w="2974" w:type="pct"/>
            <w:shd w:val="clear" w:color="auto" w:fill="auto"/>
            <w:vAlign w:val="bottom"/>
          </w:tcPr>
          <w:p w14:paraId="35D0A24A" w14:textId="77777777" w:rsidR="00D42204" w:rsidRDefault="00D42204">
            <w:pPr>
              <w:rPr>
                <w:rFonts w:ascii="宋体"/>
              </w:rPr>
            </w:pPr>
          </w:p>
        </w:tc>
        <w:tc>
          <w:tcPr>
            <w:tcW w:w="5" w:type="pct"/>
            <w:shd w:val="clear" w:color="auto" w:fill="auto"/>
            <w:vAlign w:val="bottom"/>
          </w:tcPr>
          <w:p w14:paraId="35D0A24B" w14:textId="77777777" w:rsidR="00D42204" w:rsidRDefault="00D42204">
            <w:pPr>
              <w:rPr>
                <w:rFonts w:ascii="宋体"/>
              </w:rPr>
            </w:pPr>
          </w:p>
        </w:tc>
        <w:tc>
          <w:tcPr>
            <w:tcW w:w="5" w:type="pct"/>
            <w:shd w:val="clear" w:color="auto" w:fill="auto"/>
            <w:vAlign w:val="bottom"/>
          </w:tcPr>
          <w:p w14:paraId="35D0A24C" w14:textId="77777777" w:rsidR="00D42204" w:rsidRDefault="00D42204">
            <w:pPr>
              <w:rPr>
                <w:rFonts w:ascii="宋体"/>
              </w:rPr>
            </w:pPr>
          </w:p>
        </w:tc>
        <w:tc>
          <w:tcPr>
            <w:tcW w:w="41" w:type="pct"/>
            <w:shd w:val="clear" w:color="auto" w:fill="auto"/>
            <w:vAlign w:val="bottom"/>
          </w:tcPr>
          <w:p w14:paraId="35D0A24D" w14:textId="77777777" w:rsidR="00D42204" w:rsidRDefault="00D42204">
            <w:pPr>
              <w:rPr>
                <w:rFonts w:ascii="宋体"/>
              </w:rPr>
            </w:pPr>
          </w:p>
        </w:tc>
        <w:tc>
          <w:tcPr>
            <w:tcW w:w="5" w:type="pct"/>
            <w:shd w:val="clear" w:color="auto" w:fill="auto"/>
            <w:vAlign w:val="bottom"/>
          </w:tcPr>
          <w:p w14:paraId="35D0A24E" w14:textId="77777777" w:rsidR="00D42204" w:rsidRDefault="00D42204">
            <w:pPr>
              <w:rPr>
                <w:rFonts w:ascii="宋体"/>
              </w:rPr>
            </w:pPr>
          </w:p>
        </w:tc>
        <w:tc>
          <w:tcPr>
            <w:tcW w:w="50" w:type="pct"/>
            <w:shd w:val="clear" w:color="auto" w:fill="auto"/>
            <w:vAlign w:val="bottom"/>
          </w:tcPr>
          <w:p w14:paraId="35D0A24F" w14:textId="77777777" w:rsidR="00D42204" w:rsidRDefault="00D42204">
            <w:pPr>
              <w:rPr>
                <w:rFonts w:ascii="宋体"/>
              </w:rPr>
            </w:pPr>
          </w:p>
        </w:tc>
        <w:tc>
          <w:tcPr>
            <w:tcW w:w="550" w:type="pct"/>
            <w:shd w:val="clear" w:color="auto" w:fill="auto"/>
            <w:vAlign w:val="bottom"/>
          </w:tcPr>
          <w:p w14:paraId="35D0A250" w14:textId="77777777" w:rsidR="00D42204" w:rsidRDefault="00D42204">
            <w:pPr>
              <w:rPr>
                <w:rFonts w:ascii="宋体"/>
              </w:rPr>
            </w:pPr>
          </w:p>
        </w:tc>
        <w:tc>
          <w:tcPr>
            <w:tcW w:w="5" w:type="pct"/>
            <w:shd w:val="clear" w:color="auto" w:fill="auto"/>
            <w:vAlign w:val="bottom"/>
          </w:tcPr>
          <w:p w14:paraId="35D0A251" w14:textId="77777777" w:rsidR="00D42204" w:rsidRDefault="00D42204">
            <w:pPr>
              <w:rPr>
                <w:rFonts w:ascii="宋体"/>
              </w:rPr>
            </w:pPr>
          </w:p>
        </w:tc>
        <w:tc>
          <w:tcPr>
            <w:tcW w:w="5" w:type="pct"/>
            <w:shd w:val="clear" w:color="auto" w:fill="auto"/>
            <w:vAlign w:val="bottom"/>
          </w:tcPr>
          <w:p w14:paraId="35D0A252" w14:textId="77777777" w:rsidR="00D42204" w:rsidRDefault="00D42204">
            <w:pPr>
              <w:rPr>
                <w:rFonts w:ascii="宋体"/>
              </w:rPr>
            </w:pPr>
          </w:p>
        </w:tc>
        <w:tc>
          <w:tcPr>
            <w:tcW w:w="41" w:type="pct"/>
            <w:shd w:val="clear" w:color="auto" w:fill="auto"/>
            <w:vAlign w:val="bottom"/>
          </w:tcPr>
          <w:p w14:paraId="35D0A253" w14:textId="77777777" w:rsidR="00D42204" w:rsidRDefault="00D42204">
            <w:pPr>
              <w:rPr>
                <w:rFonts w:ascii="宋体"/>
              </w:rPr>
            </w:pPr>
          </w:p>
        </w:tc>
        <w:tc>
          <w:tcPr>
            <w:tcW w:w="5" w:type="pct"/>
            <w:shd w:val="clear" w:color="auto" w:fill="auto"/>
            <w:vAlign w:val="bottom"/>
          </w:tcPr>
          <w:p w14:paraId="35D0A254" w14:textId="77777777" w:rsidR="00D42204" w:rsidRDefault="00D42204">
            <w:pPr>
              <w:rPr>
                <w:rFonts w:ascii="宋体"/>
              </w:rPr>
            </w:pPr>
          </w:p>
        </w:tc>
        <w:tc>
          <w:tcPr>
            <w:tcW w:w="50" w:type="pct"/>
            <w:shd w:val="clear" w:color="auto" w:fill="auto"/>
            <w:vAlign w:val="bottom"/>
          </w:tcPr>
          <w:p w14:paraId="35D0A255" w14:textId="77777777" w:rsidR="00D42204" w:rsidRDefault="00D42204">
            <w:pPr>
              <w:rPr>
                <w:rFonts w:ascii="宋体"/>
              </w:rPr>
            </w:pPr>
          </w:p>
        </w:tc>
        <w:tc>
          <w:tcPr>
            <w:tcW w:w="550" w:type="pct"/>
            <w:shd w:val="clear" w:color="auto" w:fill="auto"/>
            <w:vAlign w:val="bottom"/>
          </w:tcPr>
          <w:p w14:paraId="35D0A256" w14:textId="77777777" w:rsidR="00D42204" w:rsidRDefault="00D42204">
            <w:pPr>
              <w:rPr>
                <w:rFonts w:ascii="宋体"/>
              </w:rPr>
            </w:pPr>
          </w:p>
        </w:tc>
        <w:tc>
          <w:tcPr>
            <w:tcW w:w="5" w:type="pct"/>
            <w:shd w:val="clear" w:color="auto" w:fill="auto"/>
            <w:vAlign w:val="bottom"/>
          </w:tcPr>
          <w:p w14:paraId="35D0A257" w14:textId="77777777" w:rsidR="00D42204" w:rsidRDefault="00D42204">
            <w:pPr>
              <w:rPr>
                <w:rFonts w:ascii="宋体"/>
              </w:rPr>
            </w:pPr>
          </w:p>
        </w:tc>
        <w:tc>
          <w:tcPr>
            <w:tcW w:w="5" w:type="pct"/>
            <w:shd w:val="clear" w:color="auto" w:fill="auto"/>
            <w:vAlign w:val="bottom"/>
          </w:tcPr>
          <w:p w14:paraId="35D0A258" w14:textId="77777777" w:rsidR="00D42204" w:rsidRDefault="00D42204">
            <w:pPr>
              <w:rPr>
                <w:rFonts w:ascii="宋体"/>
              </w:rPr>
            </w:pPr>
          </w:p>
        </w:tc>
        <w:tc>
          <w:tcPr>
            <w:tcW w:w="41" w:type="pct"/>
            <w:shd w:val="clear" w:color="auto" w:fill="auto"/>
            <w:vAlign w:val="bottom"/>
          </w:tcPr>
          <w:p w14:paraId="35D0A259" w14:textId="77777777" w:rsidR="00D42204" w:rsidRDefault="00D42204">
            <w:pPr>
              <w:rPr>
                <w:rFonts w:ascii="宋体"/>
              </w:rPr>
            </w:pPr>
          </w:p>
        </w:tc>
        <w:tc>
          <w:tcPr>
            <w:tcW w:w="5" w:type="pct"/>
            <w:shd w:val="clear" w:color="auto" w:fill="auto"/>
            <w:vAlign w:val="bottom"/>
          </w:tcPr>
          <w:p w14:paraId="35D0A25A" w14:textId="77777777" w:rsidR="00D42204" w:rsidRDefault="00D42204">
            <w:pPr>
              <w:rPr>
                <w:rFonts w:ascii="宋体"/>
              </w:rPr>
            </w:pPr>
          </w:p>
        </w:tc>
        <w:tc>
          <w:tcPr>
            <w:tcW w:w="50" w:type="pct"/>
            <w:shd w:val="clear" w:color="auto" w:fill="auto"/>
            <w:vAlign w:val="bottom"/>
          </w:tcPr>
          <w:p w14:paraId="35D0A25B" w14:textId="77777777" w:rsidR="00D42204" w:rsidRDefault="00D42204">
            <w:pPr>
              <w:rPr>
                <w:rFonts w:ascii="宋体"/>
              </w:rPr>
            </w:pPr>
          </w:p>
        </w:tc>
        <w:tc>
          <w:tcPr>
            <w:tcW w:w="551" w:type="pct"/>
            <w:shd w:val="clear" w:color="auto" w:fill="auto"/>
            <w:vAlign w:val="bottom"/>
          </w:tcPr>
          <w:p w14:paraId="35D0A25C" w14:textId="77777777" w:rsidR="00D42204" w:rsidRDefault="00D42204">
            <w:pPr>
              <w:rPr>
                <w:rFonts w:ascii="宋体"/>
              </w:rPr>
            </w:pPr>
          </w:p>
        </w:tc>
        <w:tc>
          <w:tcPr>
            <w:tcW w:w="5" w:type="pct"/>
            <w:shd w:val="clear" w:color="auto" w:fill="auto"/>
            <w:vAlign w:val="bottom"/>
          </w:tcPr>
          <w:p w14:paraId="35D0A25D" w14:textId="77777777" w:rsidR="00D42204" w:rsidRDefault="00D42204">
            <w:pPr>
              <w:rPr>
                <w:rFonts w:ascii="宋体"/>
              </w:rPr>
            </w:pPr>
          </w:p>
        </w:tc>
      </w:tr>
      <w:tr w:rsidR="00D42204" w14:paraId="35D0A262" w14:textId="77777777">
        <w:trPr>
          <w:jc w:val="center"/>
        </w:trPr>
        <w:tc>
          <w:tcPr>
            <w:tcW w:w="0" w:type="auto"/>
            <w:gridSpan w:val="3"/>
            <w:shd w:val="clear" w:color="auto" w:fill="auto"/>
            <w:tcMar>
              <w:top w:w="0" w:type="dxa"/>
              <w:left w:w="20" w:type="dxa"/>
              <w:bottom w:w="0" w:type="dxa"/>
              <w:right w:w="20" w:type="dxa"/>
            </w:tcMar>
            <w:vAlign w:val="bottom"/>
          </w:tcPr>
          <w:p w14:paraId="35D0A25F"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260"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A261" w14:textId="77777777" w:rsidR="00D42204" w:rsidRDefault="004E439D">
            <w:pPr>
              <w:jc w:val="center"/>
              <w:textAlignment w:val="bottom"/>
            </w:pPr>
            <w:r>
              <w:rPr>
                <w:rFonts w:ascii="Times New Roman" w:eastAsia="宋体" w:hAnsi="Times New Roman"/>
                <w:b/>
                <w:bCs/>
                <w:color w:val="000000"/>
                <w:sz w:val="16"/>
                <w:szCs w:val="16"/>
              </w:rPr>
              <w:t>Fis</w:t>
            </w:r>
            <w:r>
              <w:rPr>
                <w:rFonts w:ascii="Times New Roman" w:eastAsia="宋体" w:hAnsi="Times New Roman"/>
                <w:b/>
                <w:bCs/>
                <w:color w:val="000000"/>
                <w:sz w:val="16"/>
                <w:szCs w:val="16"/>
              </w:rPr>
              <w:t>cal Years Ended January 31,</w:t>
            </w:r>
          </w:p>
        </w:tc>
      </w:tr>
      <w:tr w:rsidR="00D42204" w14:paraId="35D0A26A" w14:textId="77777777">
        <w:trPr>
          <w:jc w:val="center"/>
        </w:trPr>
        <w:tc>
          <w:tcPr>
            <w:tcW w:w="0" w:type="auto"/>
            <w:gridSpan w:val="3"/>
            <w:shd w:val="clear" w:color="auto" w:fill="auto"/>
            <w:tcMar>
              <w:top w:w="40" w:type="dxa"/>
              <w:left w:w="20" w:type="dxa"/>
              <w:bottom w:w="40" w:type="dxa"/>
              <w:right w:w="20" w:type="dxa"/>
            </w:tcMar>
            <w:vAlign w:val="bottom"/>
          </w:tcPr>
          <w:p w14:paraId="35D0A263" w14:textId="77777777" w:rsidR="00D42204" w:rsidRDefault="004E439D">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vAlign w:val="bottom"/>
          </w:tcPr>
          <w:p w14:paraId="35D0A264"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265"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266"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267"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268"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269"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A272" w14:textId="77777777">
        <w:trPr>
          <w:jc w:val="center"/>
        </w:trPr>
        <w:tc>
          <w:tcPr>
            <w:tcW w:w="0" w:type="auto"/>
            <w:gridSpan w:val="3"/>
            <w:shd w:val="clear" w:color="auto" w:fill="CCEEFF"/>
            <w:tcMar>
              <w:top w:w="40" w:type="dxa"/>
              <w:left w:w="20" w:type="dxa"/>
              <w:bottom w:w="40" w:type="dxa"/>
              <w:right w:w="20" w:type="dxa"/>
            </w:tcMar>
            <w:vAlign w:val="center"/>
          </w:tcPr>
          <w:p w14:paraId="35D0A26B" w14:textId="77777777" w:rsidR="00D42204" w:rsidRDefault="004E439D">
            <w:pPr>
              <w:textAlignment w:val="center"/>
            </w:pPr>
            <w:r>
              <w:rPr>
                <w:rFonts w:ascii="Times New Roman" w:eastAsia="宋体" w:hAnsi="Times New Roman"/>
                <w:b/>
                <w:bCs/>
                <w:color w:val="000000"/>
                <w:sz w:val="16"/>
                <w:szCs w:val="16"/>
              </w:rPr>
              <w:t>Revenues:</w:t>
            </w:r>
          </w:p>
        </w:tc>
        <w:tc>
          <w:tcPr>
            <w:tcW w:w="0" w:type="auto"/>
            <w:gridSpan w:val="3"/>
            <w:shd w:val="clear" w:color="auto" w:fill="CCEEFF"/>
            <w:tcMar>
              <w:top w:w="0" w:type="dxa"/>
              <w:left w:w="20" w:type="dxa"/>
              <w:bottom w:w="0" w:type="dxa"/>
              <w:right w:w="20" w:type="dxa"/>
            </w:tcMar>
            <w:vAlign w:val="bottom"/>
          </w:tcPr>
          <w:p w14:paraId="35D0A26C"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26D"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26E"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26F"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270"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271" w14:textId="77777777" w:rsidR="00D42204" w:rsidRDefault="00D42204">
            <w:pPr>
              <w:rPr>
                <w:rFonts w:ascii="宋体"/>
              </w:rPr>
            </w:pPr>
          </w:p>
        </w:tc>
      </w:tr>
      <w:tr w:rsidR="00D42204" w14:paraId="35D0A280" w14:textId="77777777">
        <w:trPr>
          <w:jc w:val="center"/>
        </w:trPr>
        <w:tc>
          <w:tcPr>
            <w:tcW w:w="0" w:type="auto"/>
            <w:gridSpan w:val="3"/>
            <w:shd w:val="clear" w:color="auto" w:fill="FFFFFF"/>
            <w:tcMar>
              <w:top w:w="40" w:type="dxa"/>
              <w:left w:w="380" w:type="dxa"/>
              <w:bottom w:w="40" w:type="dxa"/>
              <w:right w:w="20" w:type="dxa"/>
            </w:tcMar>
            <w:vAlign w:val="center"/>
          </w:tcPr>
          <w:p w14:paraId="35D0A273" w14:textId="77777777" w:rsidR="00D42204" w:rsidRDefault="004E439D">
            <w:pPr>
              <w:textAlignment w:val="center"/>
            </w:pPr>
            <w:r>
              <w:rPr>
                <w:rFonts w:ascii="Times New Roman" w:eastAsia="宋体" w:hAnsi="Times New Roman"/>
                <w:color w:val="000000"/>
                <w:sz w:val="16"/>
                <w:szCs w:val="16"/>
              </w:rPr>
              <w:t>Net sales</w:t>
            </w:r>
          </w:p>
        </w:tc>
        <w:tc>
          <w:tcPr>
            <w:tcW w:w="0" w:type="auto"/>
            <w:gridSpan w:val="3"/>
            <w:shd w:val="clear" w:color="auto" w:fill="FFFFFF"/>
            <w:tcMar>
              <w:top w:w="0" w:type="dxa"/>
              <w:left w:w="20" w:type="dxa"/>
              <w:bottom w:w="0" w:type="dxa"/>
              <w:right w:w="20" w:type="dxa"/>
            </w:tcMar>
            <w:vAlign w:val="bottom"/>
          </w:tcPr>
          <w:p w14:paraId="35D0A274"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275"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276" w14:textId="77777777" w:rsidR="00D42204" w:rsidRDefault="004E439D">
            <w:pPr>
              <w:jc w:val="right"/>
              <w:textAlignment w:val="center"/>
            </w:pPr>
            <w:r>
              <w:rPr>
                <w:rFonts w:ascii="Times New Roman" w:eastAsia="宋体" w:hAnsi="Times New Roman"/>
                <w:color w:val="000000"/>
                <w:sz w:val="16"/>
                <w:szCs w:val="16"/>
              </w:rPr>
              <w:t>567,762 </w:t>
            </w:r>
          </w:p>
        </w:tc>
        <w:tc>
          <w:tcPr>
            <w:tcW w:w="0" w:type="auto"/>
            <w:shd w:val="clear" w:color="auto" w:fill="FFFFFF"/>
            <w:tcMar>
              <w:top w:w="40" w:type="dxa"/>
              <w:left w:w="0" w:type="dxa"/>
              <w:bottom w:w="40" w:type="dxa"/>
              <w:right w:w="20" w:type="dxa"/>
            </w:tcMar>
            <w:vAlign w:val="center"/>
          </w:tcPr>
          <w:p w14:paraId="35D0A27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278"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279"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27A" w14:textId="77777777" w:rsidR="00D42204" w:rsidRDefault="004E439D">
            <w:pPr>
              <w:jc w:val="right"/>
              <w:textAlignment w:val="center"/>
            </w:pPr>
            <w:r>
              <w:rPr>
                <w:rFonts w:ascii="Times New Roman" w:eastAsia="宋体" w:hAnsi="Times New Roman"/>
                <w:color w:val="000000"/>
                <w:sz w:val="16"/>
                <w:szCs w:val="16"/>
              </w:rPr>
              <w:t>555,233 </w:t>
            </w:r>
          </w:p>
        </w:tc>
        <w:tc>
          <w:tcPr>
            <w:tcW w:w="0" w:type="auto"/>
            <w:shd w:val="clear" w:color="auto" w:fill="FFFFFF"/>
            <w:tcMar>
              <w:top w:w="40" w:type="dxa"/>
              <w:left w:w="0" w:type="dxa"/>
              <w:bottom w:w="40" w:type="dxa"/>
              <w:right w:w="20" w:type="dxa"/>
            </w:tcMar>
            <w:vAlign w:val="center"/>
          </w:tcPr>
          <w:p w14:paraId="35D0A27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27C"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27D"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27E" w14:textId="77777777" w:rsidR="00D42204" w:rsidRDefault="004E439D">
            <w:pPr>
              <w:jc w:val="right"/>
              <w:textAlignment w:val="center"/>
            </w:pPr>
            <w:r>
              <w:rPr>
                <w:rFonts w:ascii="Times New Roman" w:eastAsia="宋体" w:hAnsi="Times New Roman"/>
                <w:color w:val="000000"/>
                <w:sz w:val="16"/>
                <w:szCs w:val="16"/>
              </w:rPr>
              <w:t>519,926 </w:t>
            </w:r>
          </w:p>
        </w:tc>
        <w:tc>
          <w:tcPr>
            <w:tcW w:w="0" w:type="auto"/>
            <w:shd w:val="clear" w:color="auto" w:fill="FFFFFF"/>
            <w:tcMar>
              <w:top w:w="40" w:type="dxa"/>
              <w:left w:w="0" w:type="dxa"/>
              <w:bottom w:w="40" w:type="dxa"/>
              <w:right w:w="20" w:type="dxa"/>
            </w:tcMar>
            <w:vAlign w:val="center"/>
          </w:tcPr>
          <w:p w14:paraId="35D0A27F" w14:textId="77777777" w:rsidR="00D42204" w:rsidRDefault="00D42204">
            <w:pPr>
              <w:jc w:val="right"/>
              <w:rPr>
                <w:rFonts w:ascii="宋体"/>
              </w:rPr>
            </w:pPr>
          </w:p>
        </w:tc>
      </w:tr>
      <w:tr w:rsidR="00D42204" w14:paraId="35D0A28B" w14:textId="77777777">
        <w:trPr>
          <w:jc w:val="center"/>
        </w:trPr>
        <w:tc>
          <w:tcPr>
            <w:tcW w:w="0" w:type="auto"/>
            <w:gridSpan w:val="3"/>
            <w:shd w:val="clear" w:color="auto" w:fill="CCEEFF"/>
            <w:tcMar>
              <w:top w:w="40" w:type="dxa"/>
              <w:left w:w="380" w:type="dxa"/>
              <w:bottom w:w="40" w:type="dxa"/>
              <w:right w:w="20" w:type="dxa"/>
            </w:tcMar>
            <w:vAlign w:val="center"/>
          </w:tcPr>
          <w:p w14:paraId="35D0A281" w14:textId="77777777" w:rsidR="00D42204" w:rsidRDefault="004E439D">
            <w:pPr>
              <w:textAlignment w:val="center"/>
            </w:pPr>
            <w:r>
              <w:rPr>
                <w:rFonts w:ascii="Times New Roman" w:eastAsia="宋体" w:hAnsi="Times New Roman"/>
                <w:color w:val="000000"/>
                <w:sz w:val="16"/>
                <w:szCs w:val="16"/>
              </w:rPr>
              <w:t>Membership and other income</w:t>
            </w:r>
          </w:p>
        </w:tc>
        <w:tc>
          <w:tcPr>
            <w:tcW w:w="0" w:type="auto"/>
            <w:gridSpan w:val="3"/>
            <w:shd w:val="clear" w:color="auto" w:fill="CCEEFF"/>
            <w:tcMar>
              <w:top w:w="0" w:type="dxa"/>
              <w:left w:w="20" w:type="dxa"/>
              <w:bottom w:w="0" w:type="dxa"/>
              <w:right w:w="20" w:type="dxa"/>
            </w:tcMar>
            <w:vAlign w:val="bottom"/>
          </w:tcPr>
          <w:p w14:paraId="35D0A28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283" w14:textId="77777777" w:rsidR="00D42204" w:rsidRDefault="004E439D">
            <w:pPr>
              <w:jc w:val="right"/>
              <w:textAlignment w:val="center"/>
            </w:pPr>
            <w:r>
              <w:rPr>
                <w:rFonts w:ascii="Times New Roman" w:eastAsia="宋体" w:hAnsi="Times New Roman"/>
                <w:color w:val="000000"/>
                <w:sz w:val="16"/>
                <w:szCs w:val="16"/>
              </w:rPr>
              <w:t>4,992 </w:t>
            </w:r>
          </w:p>
        </w:tc>
        <w:tc>
          <w:tcPr>
            <w:tcW w:w="0" w:type="auto"/>
            <w:shd w:val="clear" w:color="auto" w:fill="CCEEFF"/>
            <w:tcMar>
              <w:top w:w="40" w:type="dxa"/>
              <w:left w:w="0" w:type="dxa"/>
              <w:bottom w:w="40" w:type="dxa"/>
              <w:right w:w="20" w:type="dxa"/>
            </w:tcMar>
            <w:vAlign w:val="center"/>
          </w:tcPr>
          <w:p w14:paraId="35D0A28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28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286" w14:textId="77777777" w:rsidR="00D42204" w:rsidRDefault="004E439D">
            <w:pPr>
              <w:jc w:val="right"/>
              <w:textAlignment w:val="center"/>
            </w:pPr>
            <w:r>
              <w:rPr>
                <w:rFonts w:ascii="Times New Roman" w:eastAsia="宋体" w:hAnsi="Times New Roman"/>
                <w:color w:val="000000"/>
                <w:sz w:val="16"/>
                <w:szCs w:val="16"/>
              </w:rPr>
              <w:t>3,918 </w:t>
            </w:r>
          </w:p>
        </w:tc>
        <w:tc>
          <w:tcPr>
            <w:tcW w:w="0" w:type="auto"/>
            <w:shd w:val="clear" w:color="auto" w:fill="CCEEFF"/>
            <w:tcMar>
              <w:top w:w="40" w:type="dxa"/>
              <w:left w:w="0" w:type="dxa"/>
              <w:bottom w:w="40" w:type="dxa"/>
              <w:right w:w="20" w:type="dxa"/>
            </w:tcMar>
            <w:vAlign w:val="center"/>
          </w:tcPr>
          <w:p w14:paraId="35D0A28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28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289" w14:textId="77777777" w:rsidR="00D42204" w:rsidRDefault="004E439D">
            <w:pPr>
              <w:jc w:val="right"/>
              <w:textAlignment w:val="center"/>
            </w:pPr>
            <w:r>
              <w:rPr>
                <w:rFonts w:ascii="Times New Roman" w:eastAsia="宋体" w:hAnsi="Times New Roman"/>
                <w:color w:val="000000"/>
                <w:sz w:val="16"/>
                <w:szCs w:val="16"/>
              </w:rPr>
              <w:t>4,038 </w:t>
            </w:r>
          </w:p>
        </w:tc>
        <w:tc>
          <w:tcPr>
            <w:tcW w:w="0" w:type="auto"/>
            <w:shd w:val="clear" w:color="auto" w:fill="CCEEFF"/>
            <w:tcMar>
              <w:top w:w="40" w:type="dxa"/>
              <w:left w:w="0" w:type="dxa"/>
              <w:bottom w:w="40" w:type="dxa"/>
              <w:right w:w="20" w:type="dxa"/>
            </w:tcMar>
            <w:vAlign w:val="center"/>
          </w:tcPr>
          <w:p w14:paraId="35D0A28A" w14:textId="77777777" w:rsidR="00D42204" w:rsidRDefault="00D42204">
            <w:pPr>
              <w:jc w:val="right"/>
              <w:rPr>
                <w:rFonts w:ascii="宋体"/>
              </w:rPr>
            </w:pPr>
          </w:p>
        </w:tc>
      </w:tr>
      <w:tr w:rsidR="00D42204" w14:paraId="35D0A296" w14:textId="77777777">
        <w:trPr>
          <w:jc w:val="center"/>
        </w:trPr>
        <w:tc>
          <w:tcPr>
            <w:tcW w:w="0" w:type="auto"/>
            <w:gridSpan w:val="3"/>
            <w:shd w:val="clear" w:color="auto" w:fill="FFFFFF"/>
            <w:tcMar>
              <w:top w:w="40" w:type="dxa"/>
              <w:left w:w="605" w:type="dxa"/>
              <w:bottom w:w="40" w:type="dxa"/>
              <w:right w:w="20" w:type="dxa"/>
            </w:tcMar>
            <w:vAlign w:val="center"/>
          </w:tcPr>
          <w:p w14:paraId="35D0A28C" w14:textId="77777777" w:rsidR="00D42204" w:rsidRDefault="004E439D">
            <w:pPr>
              <w:textAlignment w:val="center"/>
            </w:pPr>
            <w:r>
              <w:rPr>
                <w:rFonts w:ascii="Times New Roman" w:eastAsia="宋体" w:hAnsi="Times New Roman"/>
                <w:color w:val="000000"/>
                <w:sz w:val="16"/>
                <w:szCs w:val="16"/>
              </w:rPr>
              <w:t>Total revenues</w:t>
            </w:r>
          </w:p>
        </w:tc>
        <w:tc>
          <w:tcPr>
            <w:tcW w:w="0" w:type="auto"/>
            <w:gridSpan w:val="3"/>
            <w:shd w:val="clear" w:color="auto" w:fill="FFFFFF"/>
            <w:tcMar>
              <w:top w:w="0" w:type="dxa"/>
              <w:left w:w="20" w:type="dxa"/>
              <w:bottom w:w="0" w:type="dxa"/>
              <w:right w:w="20" w:type="dxa"/>
            </w:tcMar>
            <w:vAlign w:val="bottom"/>
          </w:tcPr>
          <w:p w14:paraId="35D0A28D"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28E" w14:textId="77777777" w:rsidR="00D42204" w:rsidRDefault="004E439D">
            <w:pPr>
              <w:jc w:val="right"/>
              <w:textAlignment w:val="center"/>
            </w:pPr>
            <w:r>
              <w:rPr>
                <w:rFonts w:ascii="Times New Roman" w:eastAsia="宋体" w:hAnsi="Times New Roman"/>
                <w:color w:val="000000"/>
                <w:sz w:val="16"/>
                <w:szCs w:val="16"/>
              </w:rPr>
              <w:t>572,754 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28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290"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291" w14:textId="77777777" w:rsidR="00D42204" w:rsidRDefault="004E439D">
            <w:pPr>
              <w:jc w:val="right"/>
              <w:textAlignment w:val="center"/>
            </w:pPr>
            <w:r>
              <w:rPr>
                <w:rFonts w:ascii="Times New Roman" w:eastAsia="宋体" w:hAnsi="Times New Roman"/>
                <w:color w:val="000000"/>
                <w:sz w:val="16"/>
                <w:szCs w:val="16"/>
              </w:rPr>
              <w:t>559,151 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29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293"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294" w14:textId="77777777" w:rsidR="00D42204" w:rsidRDefault="004E439D">
            <w:pPr>
              <w:jc w:val="right"/>
              <w:textAlignment w:val="center"/>
            </w:pPr>
            <w:r>
              <w:rPr>
                <w:rFonts w:ascii="Times New Roman" w:eastAsia="宋体" w:hAnsi="Times New Roman"/>
                <w:color w:val="000000"/>
                <w:sz w:val="16"/>
                <w:szCs w:val="16"/>
              </w:rPr>
              <w:t>523,964 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295" w14:textId="77777777" w:rsidR="00D42204" w:rsidRDefault="00D42204">
            <w:pPr>
              <w:jc w:val="right"/>
              <w:rPr>
                <w:rFonts w:ascii="宋体"/>
              </w:rPr>
            </w:pPr>
          </w:p>
        </w:tc>
      </w:tr>
      <w:tr w:rsidR="00D42204" w14:paraId="35D0A29E" w14:textId="77777777">
        <w:trPr>
          <w:jc w:val="center"/>
        </w:trPr>
        <w:tc>
          <w:tcPr>
            <w:tcW w:w="0" w:type="auto"/>
            <w:gridSpan w:val="3"/>
            <w:shd w:val="clear" w:color="auto" w:fill="CCEEFF"/>
            <w:tcMar>
              <w:top w:w="40" w:type="dxa"/>
              <w:left w:w="20" w:type="dxa"/>
              <w:bottom w:w="40" w:type="dxa"/>
              <w:right w:w="20" w:type="dxa"/>
            </w:tcMar>
            <w:vAlign w:val="center"/>
          </w:tcPr>
          <w:p w14:paraId="35D0A297" w14:textId="77777777" w:rsidR="00D42204" w:rsidRDefault="004E439D">
            <w:pPr>
              <w:textAlignment w:val="center"/>
            </w:pPr>
            <w:r>
              <w:rPr>
                <w:rFonts w:ascii="Times New Roman" w:eastAsia="宋体" w:hAnsi="Times New Roman"/>
                <w:b/>
                <w:bCs/>
                <w:color w:val="000000"/>
                <w:sz w:val="16"/>
                <w:szCs w:val="16"/>
              </w:rPr>
              <w:t>Costs and expenses:</w:t>
            </w:r>
          </w:p>
        </w:tc>
        <w:tc>
          <w:tcPr>
            <w:tcW w:w="0" w:type="auto"/>
            <w:gridSpan w:val="3"/>
            <w:shd w:val="clear" w:color="auto" w:fill="CCEEFF"/>
            <w:tcMar>
              <w:top w:w="0" w:type="dxa"/>
              <w:left w:w="20" w:type="dxa"/>
              <w:bottom w:w="0" w:type="dxa"/>
              <w:right w:w="20" w:type="dxa"/>
            </w:tcMar>
            <w:vAlign w:val="bottom"/>
          </w:tcPr>
          <w:p w14:paraId="35D0A29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299"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29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29B"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29C"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29D" w14:textId="77777777" w:rsidR="00D42204" w:rsidRDefault="00D42204">
            <w:pPr>
              <w:rPr>
                <w:rFonts w:ascii="宋体"/>
              </w:rPr>
            </w:pPr>
          </w:p>
        </w:tc>
      </w:tr>
      <w:tr w:rsidR="00D42204" w14:paraId="35D0A2A9" w14:textId="77777777">
        <w:trPr>
          <w:jc w:val="center"/>
        </w:trPr>
        <w:tc>
          <w:tcPr>
            <w:tcW w:w="0" w:type="auto"/>
            <w:gridSpan w:val="3"/>
            <w:shd w:val="clear" w:color="auto" w:fill="FFFFFF"/>
            <w:tcMar>
              <w:top w:w="40" w:type="dxa"/>
              <w:left w:w="380" w:type="dxa"/>
              <w:bottom w:w="40" w:type="dxa"/>
              <w:right w:w="20" w:type="dxa"/>
            </w:tcMar>
            <w:vAlign w:val="center"/>
          </w:tcPr>
          <w:p w14:paraId="35D0A29F" w14:textId="77777777" w:rsidR="00D42204" w:rsidRDefault="004E439D">
            <w:pPr>
              <w:textAlignment w:val="center"/>
            </w:pPr>
            <w:r>
              <w:rPr>
                <w:rFonts w:ascii="Times New Roman" w:eastAsia="宋体" w:hAnsi="Times New Roman"/>
                <w:color w:val="000000"/>
                <w:sz w:val="16"/>
                <w:szCs w:val="16"/>
              </w:rPr>
              <w:t>Cost of sales</w:t>
            </w:r>
          </w:p>
        </w:tc>
        <w:tc>
          <w:tcPr>
            <w:tcW w:w="0" w:type="auto"/>
            <w:gridSpan w:val="3"/>
            <w:shd w:val="clear" w:color="auto" w:fill="FFFFFF"/>
            <w:tcMar>
              <w:top w:w="0" w:type="dxa"/>
              <w:left w:w="20" w:type="dxa"/>
              <w:bottom w:w="0" w:type="dxa"/>
              <w:right w:w="20" w:type="dxa"/>
            </w:tcMar>
            <w:vAlign w:val="bottom"/>
          </w:tcPr>
          <w:p w14:paraId="35D0A2A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A2A1" w14:textId="77777777" w:rsidR="00D42204" w:rsidRDefault="004E439D">
            <w:pPr>
              <w:jc w:val="right"/>
              <w:textAlignment w:val="bottom"/>
            </w:pPr>
            <w:r>
              <w:rPr>
                <w:rFonts w:ascii="Times New Roman" w:eastAsia="宋体" w:hAnsi="Times New Roman"/>
                <w:color w:val="000000"/>
                <w:sz w:val="16"/>
                <w:szCs w:val="16"/>
              </w:rPr>
              <w:t>429,000 </w:t>
            </w:r>
          </w:p>
        </w:tc>
        <w:tc>
          <w:tcPr>
            <w:tcW w:w="0" w:type="auto"/>
            <w:shd w:val="clear" w:color="auto" w:fill="FFFFFF"/>
            <w:tcMar>
              <w:top w:w="40" w:type="dxa"/>
              <w:left w:w="0" w:type="dxa"/>
              <w:bottom w:w="40" w:type="dxa"/>
              <w:right w:w="20" w:type="dxa"/>
            </w:tcMar>
            <w:vAlign w:val="bottom"/>
          </w:tcPr>
          <w:p w14:paraId="35D0A2A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2A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A2A4" w14:textId="77777777" w:rsidR="00D42204" w:rsidRDefault="004E439D">
            <w:pPr>
              <w:jc w:val="right"/>
              <w:textAlignment w:val="bottom"/>
            </w:pPr>
            <w:r>
              <w:rPr>
                <w:rFonts w:ascii="Times New Roman" w:eastAsia="宋体" w:hAnsi="Times New Roman"/>
                <w:color w:val="000000"/>
                <w:sz w:val="16"/>
                <w:szCs w:val="16"/>
              </w:rPr>
              <w:t>420,315 </w:t>
            </w:r>
          </w:p>
        </w:tc>
        <w:tc>
          <w:tcPr>
            <w:tcW w:w="0" w:type="auto"/>
            <w:shd w:val="clear" w:color="auto" w:fill="FFFFFF"/>
            <w:tcMar>
              <w:top w:w="40" w:type="dxa"/>
              <w:left w:w="0" w:type="dxa"/>
              <w:bottom w:w="40" w:type="dxa"/>
              <w:right w:w="20" w:type="dxa"/>
            </w:tcMar>
            <w:vAlign w:val="bottom"/>
          </w:tcPr>
          <w:p w14:paraId="35D0A2A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2A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A2A7" w14:textId="77777777" w:rsidR="00D42204" w:rsidRDefault="004E439D">
            <w:pPr>
              <w:jc w:val="right"/>
              <w:textAlignment w:val="bottom"/>
            </w:pPr>
            <w:r>
              <w:rPr>
                <w:rFonts w:ascii="Times New Roman" w:eastAsia="宋体" w:hAnsi="Times New Roman"/>
                <w:color w:val="000000"/>
                <w:sz w:val="16"/>
                <w:szCs w:val="16"/>
              </w:rPr>
              <w:t>394,605 </w:t>
            </w:r>
          </w:p>
        </w:tc>
        <w:tc>
          <w:tcPr>
            <w:tcW w:w="0" w:type="auto"/>
            <w:shd w:val="clear" w:color="auto" w:fill="FFFFFF"/>
            <w:tcMar>
              <w:top w:w="40" w:type="dxa"/>
              <w:left w:w="0" w:type="dxa"/>
              <w:bottom w:w="40" w:type="dxa"/>
              <w:right w:w="20" w:type="dxa"/>
            </w:tcMar>
            <w:vAlign w:val="bottom"/>
          </w:tcPr>
          <w:p w14:paraId="35D0A2A8" w14:textId="77777777" w:rsidR="00D42204" w:rsidRDefault="00D42204">
            <w:pPr>
              <w:jc w:val="right"/>
              <w:rPr>
                <w:rFonts w:ascii="宋体"/>
              </w:rPr>
            </w:pPr>
          </w:p>
        </w:tc>
      </w:tr>
      <w:tr w:rsidR="00D42204" w14:paraId="35D0A2B4" w14:textId="77777777">
        <w:trPr>
          <w:jc w:val="center"/>
        </w:trPr>
        <w:tc>
          <w:tcPr>
            <w:tcW w:w="0" w:type="auto"/>
            <w:gridSpan w:val="3"/>
            <w:shd w:val="clear" w:color="auto" w:fill="CCEEFF"/>
            <w:tcMar>
              <w:top w:w="40" w:type="dxa"/>
              <w:left w:w="380" w:type="dxa"/>
              <w:bottom w:w="40" w:type="dxa"/>
              <w:right w:w="20" w:type="dxa"/>
            </w:tcMar>
            <w:vAlign w:val="center"/>
          </w:tcPr>
          <w:p w14:paraId="35D0A2AA" w14:textId="77777777" w:rsidR="00D42204" w:rsidRDefault="004E439D">
            <w:pPr>
              <w:textAlignment w:val="center"/>
            </w:pPr>
            <w:r>
              <w:rPr>
                <w:rFonts w:ascii="Times New Roman" w:eastAsia="宋体" w:hAnsi="Times New Roman"/>
                <w:color w:val="000000"/>
                <w:sz w:val="16"/>
                <w:szCs w:val="16"/>
              </w:rPr>
              <w:t>Operating, selling, general and administrative expenses</w:t>
            </w:r>
          </w:p>
        </w:tc>
        <w:tc>
          <w:tcPr>
            <w:tcW w:w="0" w:type="auto"/>
            <w:gridSpan w:val="3"/>
            <w:shd w:val="clear" w:color="auto" w:fill="CCEEFF"/>
            <w:tcMar>
              <w:top w:w="0" w:type="dxa"/>
              <w:left w:w="20" w:type="dxa"/>
              <w:bottom w:w="0" w:type="dxa"/>
              <w:right w:w="20" w:type="dxa"/>
            </w:tcMar>
            <w:vAlign w:val="bottom"/>
          </w:tcPr>
          <w:p w14:paraId="35D0A2A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2AC" w14:textId="77777777" w:rsidR="00D42204" w:rsidRDefault="004E439D">
            <w:pPr>
              <w:jc w:val="right"/>
              <w:textAlignment w:val="bottom"/>
            </w:pPr>
            <w:r>
              <w:rPr>
                <w:rFonts w:ascii="Times New Roman" w:eastAsia="宋体" w:hAnsi="Times New Roman"/>
                <w:color w:val="000000"/>
                <w:sz w:val="16"/>
                <w:szCs w:val="16"/>
              </w:rPr>
              <w:t>117,812 </w:t>
            </w:r>
          </w:p>
        </w:tc>
        <w:tc>
          <w:tcPr>
            <w:tcW w:w="0" w:type="auto"/>
            <w:shd w:val="clear" w:color="auto" w:fill="CCEEFF"/>
            <w:tcMar>
              <w:top w:w="40" w:type="dxa"/>
              <w:left w:w="0" w:type="dxa"/>
              <w:bottom w:w="40" w:type="dxa"/>
              <w:right w:w="20" w:type="dxa"/>
            </w:tcMar>
            <w:vAlign w:val="bottom"/>
          </w:tcPr>
          <w:p w14:paraId="35D0A2A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2A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2AF" w14:textId="77777777" w:rsidR="00D42204" w:rsidRDefault="004E439D">
            <w:pPr>
              <w:jc w:val="right"/>
              <w:textAlignment w:val="bottom"/>
            </w:pPr>
            <w:r>
              <w:rPr>
                <w:rFonts w:ascii="Times New Roman" w:eastAsia="宋体" w:hAnsi="Times New Roman"/>
                <w:color w:val="000000"/>
                <w:sz w:val="16"/>
                <w:szCs w:val="16"/>
              </w:rPr>
              <w:t>116,288 </w:t>
            </w:r>
          </w:p>
        </w:tc>
        <w:tc>
          <w:tcPr>
            <w:tcW w:w="0" w:type="auto"/>
            <w:shd w:val="clear" w:color="auto" w:fill="CCEEFF"/>
            <w:tcMar>
              <w:top w:w="40" w:type="dxa"/>
              <w:left w:w="0" w:type="dxa"/>
              <w:bottom w:w="40" w:type="dxa"/>
              <w:right w:w="20" w:type="dxa"/>
            </w:tcMar>
            <w:vAlign w:val="bottom"/>
          </w:tcPr>
          <w:p w14:paraId="35D0A2B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2B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2B2" w14:textId="77777777" w:rsidR="00D42204" w:rsidRDefault="004E439D">
            <w:pPr>
              <w:jc w:val="right"/>
              <w:textAlignment w:val="bottom"/>
            </w:pPr>
            <w:r>
              <w:rPr>
                <w:rFonts w:ascii="Times New Roman" w:eastAsia="宋体" w:hAnsi="Times New Roman"/>
                <w:color w:val="000000"/>
                <w:sz w:val="16"/>
                <w:szCs w:val="16"/>
              </w:rPr>
              <w:t>108,791 </w:t>
            </w:r>
          </w:p>
        </w:tc>
        <w:tc>
          <w:tcPr>
            <w:tcW w:w="0" w:type="auto"/>
            <w:shd w:val="clear" w:color="auto" w:fill="CCEEFF"/>
            <w:tcMar>
              <w:top w:w="40" w:type="dxa"/>
              <w:left w:w="0" w:type="dxa"/>
              <w:bottom w:w="40" w:type="dxa"/>
              <w:right w:w="20" w:type="dxa"/>
            </w:tcMar>
            <w:vAlign w:val="bottom"/>
          </w:tcPr>
          <w:p w14:paraId="35D0A2B3" w14:textId="77777777" w:rsidR="00D42204" w:rsidRDefault="00D42204">
            <w:pPr>
              <w:jc w:val="right"/>
              <w:rPr>
                <w:rFonts w:ascii="宋体"/>
              </w:rPr>
            </w:pPr>
          </w:p>
        </w:tc>
      </w:tr>
      <w:tr w:rsidR="00D42204" w14:paraId="35D0A2BF" w14:textId="77777777">
        <w:trPr>
          <w:jc w:val="center"/>
        </w:trPr>
        <w:tc>
          <w:tcPr>
            <w:tcW w:w="0" w:type="auto"/>
            <w:gridSpan w:val="3"/>
            <w:shd w:val="clear" w:color="auto" w:fill="FFFFFF"/>
            <w:tcMar>
              <w:top w:w="40" w:type="dxa"/>
              <w:left w:w="20" w:type="dxa"/>
              <w:bottom w:w="40" w:type="dxa"/>
              <w:right w:w="20" w:type="dxa"/>
            </w:tcMar>
            <w:vAlign w:val="center"/>
          </w:tcPr>
          <w:p w14:paraId="35D0A2B5" w14:textId="77777777" w:rsidR="00D42204" w:rsidRDefault="004E439D">
            <w:pPr>
              <w:textAlignment w:val="center"/>
            </w:pPr>
            <w:r>
              <w:rPr>
                <w:rFonts w:ascii="Times New Roman" w:eastAsia="宋体" w:hAnsi="Times New Roman"/>
                <w:b/>
                <w:bCs/>
                <w:color w:val="000000"/>
                <w:sz w:val="16"/>
                <w:szCs w:val="16"/>
              </w:rPr>
              <w:t>Operating income</w:t>
            </w:r>
          </w:p>
        </w:tc>
        <w:tc>
          <w:tcPr>
            <w:tcW w:w="0" w:type="auto"/>
            <w:gridSpan w:val="3"/>
            <w:shd w:val="clear" w:color="auto" w:fill="FFFFFF"/>
            <w:tcMar>
              <w:top w:w="0" w:type="dxa"/>
              <w:left w:w="20" w:type="dxa"/>
              <w:bottom w:w="0" w:type="dxa"/>
              <w:right w:w="20" w:type="dxa"/>
            </w:tcMar>
            <w:vAlign w:val="bottom"/>
          </w:tcPr>
          <w:p w14:paraId="35D0A2B6"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D0A2B7" w14:textId="77777777" w:rsidR="00D42204" w:rsidRDefault="004E439D">
            <w:pPr>
              <w:jc w:val="right"/>
              <w:textAlignment w:val="bottom"/>
            </w:pPr>
            <w:r>
              <w:rPr>
                <w:rFonts w:ascii="Times New Roman" w:eastAsia="宋体" w:hAnsi="Times New Roman"/>
                <w:color w:val="000000"/>
                <w:sz w:val="16"/>
                <w:szCs w:val="16"/>
              </w:rPr>
              <w:t>25,942 </w:t>
            </w:r>
          </w:p>
        </w:tc>
        <w:tc>
          <w:tcPr>
            <w:tcW w:w="0" w:type="auto"/>
            <w:tcBorders>
              <w:top w:val="single" w:sz="8" w:space="0" w:color="000000"/>
            </w:tcBorders>
            <w:shd w:val="clear" w:color="auto" w:fill="FFFFFF"/>
            <w:tcMar>
              <w:top w:w="40" w:type="dxa"/>
              <w:left w:w="0" w:type="dxa"/>
              <w:bottom w:w="40" w:type="dxa"/>
              <w:right w:w="20" w:type="dxa"/>
            </w:tcMar>
            <w:vAlign w:val="bottom"/>
          </w:tcPr>
          <w:p w14:paraId="35D0A2B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2B9"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D0A2BA" w14:textId="77777777" w:rsidR="00D42204" w:rsidRDefault="004E439D">
            <w:pPr>
              <w:jc w:val="right"/>
              <w:textAlignment w:val="bottom"/>
            </w:pPr>
            <w:r>
              <w:rPr>
                <w:rFonts w:ascii="Times New Roman" w:eastAsia="宋体" w:hAnsi="Times New Roman"/>
                <w:color w:val="000000"/>
                <w:sz w:val="16"/>
                <w:szCs w:val="16"/>
              </w:rPr>
              <w:t>22,548 </w:t>
            </w:r>
          </w:p>
        </w:tc>
        <w:tc>
          <w:tcPr>
            <w:tcW w:w="0" w:type="auto"/>
            <w:tcBorders>
              <w:top w:val="single" w:sz="8" w:space="0" w:color="000000"/>
            </w:tcBorders>
            <w:shd w:val="clear" w:color="auto" w:fill="FFFFFF"/>
            <w:tcMar>
              <w:top w:w="40" w:type="dxa"/>
              <w:left w:w="0" w:type="dxa"/>
              <w:bottom w:w="40" w:type="dxa"/>
              <w:right w:w="20" w:type="dxa"/>
            </w:tcMar>
            <w:vAlign w:val="bottom"/>
          </w:tcPr>
          <w:p w14:paraId="35D0A2B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2BC"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D0A2BD" w14:textId="77777777" w:rsidR="00D42204" w:rsidRDefault="004E439D">
            <w:pPr>
              <w:jc w:val="right"/>
              <w:textAlignment w:val="bottom"/>
            </w:pPr>
            <w:r>
              <w:rPr>
                <w:rFonts w:ascii="Times New Roman" w:eastAsia="宋体" w:hAnsi="Times New Roman"/>
                <w:color w:val="000000"/>
                <w:sz w:val="16"/>
                <w:szCs w:val="16"/>
              </w:rPr>
              <w:t>20,568 </w:t>
            </w:r>
          </w:p>
        </w:tc>
        <w:tc>
          <w:tcPr>
            <w:tcW w:w="0" w:type="auto"/>
            <w:tcBorders>
              <w:top w:val="single" w:sz="8" w:space="0" w:color="000000"/>
            </w:tcBorders>
            <w:shd w:val="clear" w:color="auto" w:fill="FFFFFF"/>
            <w:tcMar>
              <w:top w:w="40" w:type="dxa"/>
              <w:left w:w="0" w:type="dxa"/>
              <w:bottom w:w="40" w:type="dxa"/>
              <w:right w:w="20" w:type="dxa"/>
            </w:tcMar>
            <w:vAlign w:val="bottom"/>
          </w:tcPr>
          <w:p w14:paraId="35D0A2BE" w14:textId="77777777" w:rsidR="00D42204" w:rsidRDefault="00D42204">
            <w:pPr>
              <w:jc w:val="right"/>
              <w:rPr>
                <w:rFonts w:ascii="宋体"/>
              </w:rPr>
            </w:pPr>
          </w:p>
        </w:tc>
      </w:tr>
      <w:tr w:rsidR="00D42204" w14:paraId="35D0A2C7" w14:textId="77777777">
        <w:trPr>
          <w:jc w:val="center"/>
        </w:trPr>
        <w:tc>
          <w:tcPr>
            <w:tcW w:w="0" w:type="auto"/>
            <w:gridSpan w:val="3"/>
            <w:shd w:val="clear" w:color="auto" w:fill="CCEEFF"/>
            <w:tcMar>
              <w:top w:w="40" w:type="dxa"/>
              <w:left w:w="20" w:type="dxa"/>
              <w:bottom w:w="40" w:type="dxa"/>
              <w:right w:w="20" w:type="dxa"/>
            </w:tcMar>
            <w:vAlign w:val="center"/>
          </w:tcPr>
          <w:p w14:paraId="35D0A2C0" w14:textId="77777777" w:rsidR="00D42204" w:rsidRDefault="004E439D">
            <w:pPr>
              <w:textAlignment w:val="center"/>
            </w:pPr>
            <w:r>
              <w:rPr>
                <w:rFonts w:ascii="Times New Roman" w:eastAsia="宋体" w:hAnsi="Times New Roman"/>
                <w:b/>
                <w:bCs/>
                <w:color w:val="000000"/>
                <w:sz w:val="16"/>
                <w:szCs w:val="16"/>
              </w:rPr>
              <w:t>Interest:</w:t>
            </w:r>
          </w:p>
        </w:tc>
        <w:tc>
          <w:tcPr>
            <w:tcW w:w="0" w:type="auto"/>
            <w:gridSpan w:val="3"/>
            <w:shd w:val="clear" w:color="auto" w:fill="CCEEFF"/>
            <w:tcMar>
              <w:top w:w="0" w:type="dxa"/>
              <w:left w:w="20" w:type="dxa"/>
              <w:bottom w:w="0" w:type="dxa"/>
              <w:right w:w="20" w:type="dxa"/>
            </w:tcMar>
            <w:vAlign w:val="bottom"/>
          </w:tcPr>
          <w:p w14:paraId="35D0A2C1"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2C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2C3"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2C4"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2C5"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2C6" w14:textId="77777777" w:rsidR="00D42204" w:rsidRDefault="00D42204">
            <w:pPr>
              <w:rPr>
                <w:rFonts w:ascii="宋体"/>
              </w:rPr>
            </w:pPr>
          </w:p>
        </w:tc>
      </w:tr>
      <w:tr w:rsidR="00D42204" w14:paraId="35D0A2D2" w14:textId="77777777">
        <w:trPr>
          <w:jc w:val="center"/>
        </w:trPr>
        <w:tc>
          <w:tcPr>
            <w:tcW w:w="0" w:type="auto"/>
            <w:gridSpan w:val="3"/>
            <w:shd w:val="clear" w:color="auto" w:fill="FFFFFF"/>
            <w:tcMar>
              <w:top w:w="40" w:type="dxa"/>
              <w:left w:w="380" w:type="dxa"/>
              <w:bottom w:w="40" w:type="dxa"/>
              <w:right w:w="20" w:type="dxa"/>
            </w:tcMar>
            <w:vAlign w:val="center"/>
          </w:tcPr>
          <w:p w14:paraId="35D0A2C8" w14:textId="77777777" w:rsidR="00D42204" w:rsidRDefault="004E439D">
            <w:pPr>
              <w:textAlignment w:val="center"/>
            </w:pPr>
            <w:r>
              <w:rPr>
                <w:rFonts w:ascii="Times New Roman" w:eastAsia="宋体" w:hAnsi="Times New Roman"/>
                <w:color w:val="000000"/>
                <w:sz w:val="16"/>
                <w:szCs w:val="16"/>
              </w:rPr>
              <w:t>Debt</w:t>
            </w:r>
          </w:p>
        </w:tc>
        <w:tc>
          <w:tcPr>
            <w:tcW w:w="0" w:type="auto"/>
            <w:gridSpan w:val="3"/>
            <w:shd w:val="clear" w:color="auto" w:fill="FFFFFF"/>
            <w:tcMar>
              <w:top w:w="0" w:type="dxa"/>
              <w:left w:w="20" w:type="dxa"/>
              <w:bottom w:w="0" w:type="dxa"/>
              <w:right w:w="20" w:type="dxa"/>
            </w:tcMar>
            <w:vAlign w:val="bottom"/>
          </w:tcPr>
          <w:p w14:paraId="35D0A2C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A2CA" w14:textId="77777777" w:rsidR="00D42204" w:rsidRDefault="004E439D">
            <w:pPr>
              <w:jc w:val="right"/>
              <w:textAlignment w:val="bottom"/>
            </w:pPr>
            <w:r>
              <w:rPr>
                <w:rFonts w:ascii="Times New Roman" w:eastAsia="宋体" w:hAnsi="Times New Roman"/>
                <w:color w:val="000000"/>
                <w:sz w:val="16"/>
                <w:szCs w:val="16"/>
              </w:rPr>
              <w:t>1,674 </w:t>
            </w:r>
          </w:p>
        </w:tc>
        <w:tc>
          <w:tcPr>
            <w:tcW w:w="0" w:type="auto"/>
            <w:shd w:val="clear" w:color="auto" w:fill="FFFFFF"/>
            <w:tcMar>
              <w:top w:w="40" w:type="dxa"/>
              <w:left w:w="0" w:type="dxa"/>
              <w:bottom w:w="40" w:type="dxa"/>
              <w:right w:w="20" w:type="dxa"/>
            </w:tcMar>
            <w:vAlign w:val="bottom"/>
          </w:tcPr>
          <w:p w14:paraId="35D0A2C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2C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A2CD" w14:textId="77777777" w:rsidR="00D42204" w:rsidRDefault="004E439D">
            <w:pPr>
              <w:jc w:val="right"/>
              <w:textAlignment w:val="bottom"/>
            </w:pPr>
            <w:r>
              <w:rPr>
                <w:rFonts w:ascii="Times New Roman" w:eastAsia="宋体" w:hAnsi="Times New Roman"/>
                <w:color w:val="000000"/>
                <w:sz w:val="16"/>
                <w:szCs w:val="16"/>
              </w:rPr>
              <w:t>1,976 </w:t>
            </w:r>
          </w:p>
        </w:tc>
        <w:tc>
          <w:tcPr>
            <w:tcW w:w="0" w:type="auto"/>
            <w:shd w:val="clear" w:color="auto" w:fill="FFFFFF"/>
            <w:tcMar>
              <w:top w:w="40" w:type="dxa"/>
              <w:left w:w="0" w:type="dxa"/>
              <w:bottom w:w="40" w:type="dxa"/>
              <w:right w:w="20" w:type="dxa"/>
            </w:tcMar>
            <w:vAlign w:val="bottom"/>
          </w:tcPr>
          <w:p w14:paraId="35D0A2C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2C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A2D0" w14:textId="77777777" w:rsidR="00D42204" w:rsidRDefault="004E439D">
            <w:pPr>
              <w:jc w:val="right"/>
              <w:textAlignment w:val="bottom"/>
            </w:pPr>
            <w:r>
              <w:rPr>
                <w:rFonts w:ascii="Times New Roman" w:eastAsia="宋体" w:hAnsi="Times New Roman"/>
                <w:color w:val="000000"/>
                <w:sz w:val="16"/>
                <w:szCs w:val="16"/>
              </w:rPr>
              <w:t>2,262 </w:t>
            </w:r>
          </w:p>
        </w:tc>
        <w:tc>
          <w:tcPr>
            <w:tcW w:w="0" w:type="auto"/>
            <w:shd w:val="clear" w:color="auto" w:fill="FFFFFF"/>
            <w:tcMar>
              <w:top w:w="40" w:type="dxa"/>
              <w:left w:w="0" w:type="dxa"/>
              <w:bottom w:w="40" w:type="dxa"/>
              <w:right w:w="20" w:type="dxa"/>
            </w:tcMar>
            <w:vAlign w:val="bottom"/>
          </w:tcPr>
          <w:p w14:paraId="35D0A2D1" w14:textId="77777777" w:rsidR="00D42204" w:rsidRDefault="00D42204">
            <w:pPr>
              <w:jc w:val="right"/>
              <w:rPr>
                <w:rFonts w:ascii="宋体"/>
              </w:rPr>
            </w:pPr>
          </w:p>
        </w:tc>
      </w:tr>
      <w:tr w:rsidR="00D42204" w14:paraId="35D0A2DD" w14:textId="77777777">
        <w:trPr>
          <w:jc w:val="center"/>
        </w:trPr>
        <w:tc>
          <w:tcPr>
            <w:tcW w:w="0" w:type="auto"/>
            <w:gridSpan w:val="3"/>
            <w:shd w:val="clear" w:color="auto" w:fill="CCEEFF"/>
            <w:tcMar>
              <w:top w:w="40" w:type="dxa"/>
              <w:left w:w="380" w:type="dxa"/>
              <w:bottom w:w="40" w:type="dxa"/>
              <w:right w:w="20" w:type="dxa"/>
            </w:tcMar>
            <w:vAlign w:val="center"/>
          </w:tcPr>
          <w:p w14:paraId="35D0A2D3" w14:textId="77777777" w:rsidR="00D42204" w:rsidRDefault="004E439D">
            <w:pPr>
              <w:textAlignment w:val="center"/>
            </w:pPr>
            <w:r>
              <w:rPr>
                <w:rFonts w:ascii="Times New Roman" w:eastAsia="宋体" w:hAnsi="Times New Roman"/>
                <w:color w:val="000000"/>
                <w:sz w:val="16"/>
                <w:szCs w:val="16"/>
              </w:rPr>
              <w:t>Finance lease</w:t>
            </w:r>
          </w:p>
        </w:tc>
        <w:tc>
          <w:tcPr>
            <w:tcW w:w="0" w:type="auto"/>
            <w:gridSpan w:val="3"/>
            <w:shd w:val="clear" w:color="auto" w:fill="CCEEFF"/>
            <w:tcMar>
              <w:top w:w="0" w:type="dxa"/>
              <w:left w:w="20" w:type="dxa"/>
              <w:bottom w:w="0" w:type="dxa"/>
              <w:right w:w="20" w:type="dxa"/>
            </w:tcMar>
            <w:vAlign w:val="bottom"/>
          </w:tcPr>
          <w:p w14:paraId="35D0A2D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2D5" w14:textId="77777777" w:rsidR="00D42204" w:rsidRDefault="004E439D">
            <w:pPr>
              <w:jc w:val="right"/>
              <w:textAlignment w:val="bottom"/>
            </w:pPr>
            <w:r>
              <w:rPr>
                <w:rFonts w:ascii="Times New Roman" w:eastAsia="宋体" w:hAnsi="Times New Roman"/>
                <w:color w:val="000000"/>
                <w:sz w:val="16"/>
                <w:szCs w:val="16"/>
              </w:rPr>
              <w:t>320 </w:t>
            </w:r>
          </w:p>
        </w:tc>
        <w:tc>
          <w:tcPr>
            <w:tcW w:w="0" w:type="auto"/>
            <w:shd w:val="clear" w:color="auto" w:fill="CCEEFF"/>
            <w:tcMar>
              <w:top w:w="40" w:type="dxa"/>
              <w:left w:w="0" w:type="dxa"/>
              <w:bottom w:w="40" w:type="dxa"/>
              <w:right w:w="20" w:type="dxa"/>
            </w:tcMar>
            <w:vAlign w:val="bottom"/>
          </w:tcPr>
          <w:p w14:paraId="35D0A2D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2D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2D8" w14:textId="77777777" w:rsidR="00D42204" w:rsidRDefault="004E439D">
            <w:pPr>
              <w:jc w:val="right"/>
              <w:textAlignment w:val="bottom"/>
            </w:pPr>
            <w:r>
              <w:rPr>
                <w:rFonts w:ascii="Times New Roman" w:eastAsia="宋体" w:hAnsi="Times New Roman"/>
                <w:color w:val="000000"/>
                <w:sz w:val="16"/>
                <w:szCs w:val="16"/>
              </w:rPr>
              <w:t>339 </w:t>
            </w:r>
          </w:p>
        </w:tc>
        <w:tc>
          <w:tcPr>
            <w:tcW w:w="0" w:type="auto"/>
            <w:shd w:val="clear" w:color="auto" w:fill="CCEEFF"/>
            <w:tcMar>
              <w:top w:w="40" w:type="dxa"/>
              <w:left w:w="0" w:type="dxa"/>
              <w:bottom w:w="40" w:type="dxa"/>
              <w:right w:w="20" w:type="dxa"/>
            </w:tcMar>
            <w:vAlign w:val="bottom"/>
          </w:tcPr>
          <w:p w14:paraId="35D0A2D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2D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2DB" w14:textId="77777777" w:rsidR="00D42204" w:rsidRDefault="004E439D">
            <w:pPr>
              <w:jc w:val="right"/>
              <w:textAlignment w:val="bottom"/>
            </w:pPr>
            <w:r>
              <w:rPr>
                <w:rFonts w:ascii="Times New Roman" w:eastAsia="宋体" w:hAnsi="Times New Roman"/>
                <w:color w:val="000000"/>
                <w:sz w:val="16"/>
                <w:szCs w:val="16"/>
              </w:rPr>
              <w:t>337 </w:t>
            </w:r>
          </w:p>
        </w:tc>
        <w:tc>
          <w:tcPr>
            <w:tcW w:w="0" w:type="auto"/>
            <w:shd w:val="clear" w:color="auto" w:fill="CCEEFF"/>
            <w:tcMar>
              <w:top w:w="40" w:type="dxa"/>
              <w:left w:w="0" w:type="dxa"/>
              <w:bottom w:w="40" w:type="dxa"/>
              <w:right w:w="20" w:type="dxa"/>
            </w:tcMar>
            <w:vAlign w:val="bottom"/>
          </w:tcPr>
          <w:p w14:paraId="35D0A2DC" w14:textId="77777777" w:rsidR="00D42204" w:rsidRDefault="00D42204">
            <w:pPr>
              <w:jc w:val="right"/>
              <w:rPr>
                <w:rFonts w:ascii="宋体"/>
              </w:rPr>
            </w:pPr>
          </w:p>
        </w:tc>
      </w:tr>
      <w:tr w:rsidR="00D42204" w14:paraId="35D0A2E8" w14:textId="77777777">
        <w:trPr>
          <w:jc w:val="center"/>
        </w:trPr>
        <w:tc>
          <w:tcPr>
            <w:tcW w:w="0" w:type="auto"/>
            <w:gridSpan w:val="3"/>
            <w:shd w:val="clear" w:color="auto" w:fill="FFFFFF"/>
            <w:tcMar>
              <w:top w:w="40" w:type="dxa"/>
              <w:left w:w="380" w:type="dxa"/>
              <w:bottom w:w="40" w:type="dxa"/>
              <w:right w:w="20" w:type="dxa"/>
            </w:tcMar>
            <w:vAlign w:val="center"/>
          </w:tcPr>
          <w:p w14:paraId="35D0A2DE" w14:textId="77777777" w:rsidR="00D42204" w:rsidRDefault="004E439D">
            <w:pPr>
              <w:textAlignment w:val="center"/>
            </w:pPr>
            <w:r>
              <w:rPr>
                <w:rFonts w:ascii="Times New Roman" w:eastAsia="宋体" w:hAnsi="Times New Roman"/>
                <w:color w:val="000000"/>
                <w:sz w:val="16"/>
                <w:szCs w:val="16"/>
              </w:rPr>
              <w:t>Interest income</w:t>
            </w:r>
          </w:p>
        </w:tc>
        <w:tc>
          <w:tcPr>
            <w:tcW w:w="0" w:type="auto"/>
            <w:gridSpan w:val="3"/>
            <w:shd w:val="clear" w:color="auto" w:fill="FFFFFF"/>
            <w:tcMar>
              <w:top w:w="0" w:type="dxa"/>
              <w:left w:w="20" w:type="dxa"/>
              <w:bottom w:w="0" w:type="dxa"/>
              <w:right w:w="20" w:type="dxa"/>
            </w:tcMar>
            <w:vAlign w:val="bottom"/>
          </w:tcPr>
          <w:p w14:paraId="35D0A2D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A2E0" w14:textId="77777777" w:rsidR="00D42204" w:rsidRDefault="004E439D">
            <w:pPr>
              <w:jc w:val="right"/>
              <w:textAlignment w:val="bottom"/>
            </w:pPr>
            <w:r>
              <w:rPr>
                <w:rFonts w:ascii="Times New Roman" w:eastAsia="宋体" w:hAnsi="Times New Roman"/>
                <w:color w:val="000000"/>
                <w:sz w:val="16"/>
                <w:szCs w:val="16"/>
              </w:rPr>
              <w:t>(158)</w:t>
            </w:r>
          </w:p>
        </w:tc>
        <w:tc>
          <w:tcPr>
            <w:tcW w:w="0" w:type="auto"/>
            <w:shd w:val="clear" w:color="auto" w:fill="FFFFFF"/>
            <w:tcMar>
              <w:top w:w="40" w:type="dxa"/>
              <w:left w:w="0" w:type="dxa"/>
              <w:bottom w:w="40" w:type="dxa"/>
              <w:right w:w="20" w:type="dxa"/>
            </w:tcMar>
            <w:vAlign w:val="bottom"/>
          </w:tcPr>
          <w:p w14:paraId="35D0A2E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2E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A2E3" w14:textId="77777777" w:rsidR="00D42204" w:rsidRDefault="004E439D">
            <w:pPr>
              <w:jc w:val="right"/>
              <w:textAlignment w:val="bottom"/>
            </w:pPr>
            <w:r>
              <w:rPr>
                <w:rFonts w:ascii="Times New Roman" w:eastAsia="宋体" w:hAnsi="Times New Roman"/>
                <w:color w:val="000000"/>
                <w:sz w:val="16"/>
                <w:szCs w:val="16"/>
              </w:rPr>
              <w:t>(121)</w:t>
            </w:r>
          </w:p>
        </w:tc>
        <w:tc>
          <w:tcPr>
            <w:tcW w:w="0" w:type="auto"/>
            <w:shd w:val="clear" w:color="auto" w:fill="FFFFFF"/>
            <w:tcMar>
              <w:top w:w="40" w:type="dxa"/>
              <w:left w:w="0" w:type="dxa"/>
              <w:bottom w:w="40" w:type="dxa"/>
              <w:right w:w="20" w:type="dxa"/>
            </w:tcMar>
            <w:vAlign w:val="bottom"/>
          </w:tcPr>
          <w:p w14:paraId="35D0A2E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2E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A2E6" w14:textId="77777777" w:rsidR="00D42204" w:rsidRDefault="004E439D">
            <w:pPr>
              <w:jc w:val="right"/>
              <w:textAlignment w:val="bottom"/>
            </w:pPr>
            <w:r>
              <w:rPr>
                <w:rFonts w:ascii="Times New Roman" w:eastAsia="宋体" w:hAnsi="Times New Roman"/>
                <w:color w:val="000000"/>
                <w:sz w:val="16"/>
                <w:szCs w:val="16"/>
              </w:rPr>
              <w:t>(189)</w:t>
            </w:r>
          </w:p>
        </w:tc>
        <w:tc>
          <w:tcPr>
            <w:tcW w:w="0" w:type="auto"/>
            <w:shd w:val="clear" w:color="auto" w:fill="FFFFFF"/>
            <w:tcMar>
              <w:top w:w="40" w:type="dxa"/>
              <w:left w:w="0" w:type="dxa"/>
              <w:bottom w:w="40" w:type="dxa"/>
              <w:right w:w="20" w:type="dxa"/>
            </w:tcMar>
            <w:vAlign w:val="bottom"/>
          </w:tcPr>
          <w:p w14:paraId="35D0A2E7" w14:textId="77777777" w:rsidR="00D42204" w:rsidRDefault="00D42204">
            <w:pPr>
              <w:jc w:val="right"/>
              <w:rPr>
                <w:rFonts w:ascii="宋体"/>
              </w:rPr>
            </w:pPr>
          </w:p>
        </w:tc>
      </w:tr>
      <w:tr w:rsidR="00D42204" w14:paraId="35D0A2F3" w14:textId="77777777">
        <w:trPr>
          <w:jc w:val="center"/>
        </w:trPr>
        <w:tc>
          <w:tcPr>
            <w:tcW w:w="0" w:type="auto"/>
            <w:gridSpan w:val="3"/>
            <w:shd w:val="clear" w:color="auto" w:fill="CCEEFF"/>
            <w:tcMar>
              <w:top w:w="40" w:type="dxa"/>
              <w:left w:w="605" w:type="dxa"/>
              <w:bottom w:w="40" w:type="dxa"/>
              <w:right w:w="20" w:type="dxa"/>
            </w:tcMar>
            <w:vAlign w:val="center"/>
          </w:tcPr>
          <w:p w14:paraId="35D0A2E9" w14:textId="77777777" w:rsidR="00D42204" w:rsidRDefault="004E439D">
            <w:pPr>
              <w:textAlignment w:val="center"/>
            </w:pPr>
            <w:r>
              <w:rPr>
                <w:rFonts w:ascii="Times New Roman" w:eastAsia="宋体" w:hAnsi="Times New Roman"/>
                <w:color w:val="000000"/>
                <w:sz w:val="16"/>
                <w:szCs w:val="16"/>
              </w:rPr>
              <w:t>Interest, net</w:t>
            </w:r>
          </w:p>
        </w:tc>
        <w:tc>
          <w:tcPr>
            <w:tcW w:w="0" w:type="auto"/>
            <w:gridSpan w:val="3"/>
            <w:shd w:val="clear" w:color="auto" w:fill="CCEEFF"/>
            <w:tcMar>
              <w:top w:w="0" w:type="dxa"/>
              <w:left w:w="20" w:type="dxa"/>
              <w:bottom w:w="0" w:type="dxa"/>
              <w:right w:w="20" w:type="dxa"/>
            </w:tcMar>
            <w:vAlign w:val="bottom"/>
          </w:tcPr>
          <w:p w14:paraId="35D0A2EA"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D0A2EB" w14:textId="77777777" w:rsidR="00D42204" w:rsidRDefault="004E439D">
            <w:pPr>
              <w:jc w:val="right"/>
              <w:textAlignment w:val="bottom"/>
            </w:pPr>
            <w:r>
              <w:rPr>
                <w:rFonts w:ascii="Times New Roman" w:eastAsia="宋体" w:hAnsi="Times New Roman"/>
                <w:color w:val="000000"/>
                <w:sz w:val="16"/>
                <w:szCs w:val="16"/>
              </w:rPr>
              <w:t>1,836 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A2E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2ED"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D0A2EE" w14:textId="77777777" w:rsidR="00D42204" w:rsidRDefault="004E439D">
            <w:pPr>
              <w:jc w:val="right"/>
              <w:textAlignment w:val="bottom"/>
            </w:pPr>
            <w:r>
              <w:rPr>
                <w:rFonts w:ascii="Times New Roman" w:eastAsia="宋体" w:hAnsi="Times New Roman"/>
                <w:color w:val="000000"/>
                <w:sz w:val="16"/>
                <w:szCs w:val="16"/>
              </w:rPr>
              <w:t>2,194 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A2E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2F0"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D0A2F1" w14:textId="77777777" w:rsidR="00D42204" w:rsidRDefault="004E439D">
            <w:pPr>
              <w:jc w:val="right"/>
              <w:textAlignment w:val="bottom"/>
            </w:pPr>
            <w:r>
              <w:rPr>
                <w:rFonts w:ascii="Times New Roman" w:eastAsia="宋体" w:hAnsi="Times New Roman"/>
                <w:color w:val="000000"/>
                <w:sz w:val="16"/>
                <w:szCs w:val="16"/>
              </w:rPr>
              <w:t>2,410 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A2F2" w14:textId="77777777" w:rsidR="00D42204" w:rsidRDefault="00D42204">
            <w:pPr>
              <w:jc w:val="right"/>
              <w:rPr>
                <w:rFonts w:ascii="宋体"/>
              </w:rPr>
            </w:pPr>
          </w:p>
        </w:tc>
      </w:tr>
      <w:tr w:rsidR="00D42204" w14:paraId="35D0A2FE" w14:textId="77777777">
        <w:trPr>
          <w:jc w:val="center"/>
        </w:trPr>
        <w:tc>
          <w:tcPr>
            <w:tcW w:w="0" w:type="auto"/>
            <w:gridSpan w:val="3"/>
            <w:shd w:val="clear" w:color="auto" w:fill="FFFFFF"/>
            <w:tcMar>
              <w:top w:w="40" w:type="dxa"/>
              <w:left w:w="20" w:type="dxa"/>
              <w:bottom w:w="40" w:type="dxa"/>
              <w:right w:w="20" w:type="dxa"/>
            </w:tcMar>
            <w:vAlign w:val="center"/>
          </w:tcPr>
          <w:p w14:paraId="35D0A2F4" w14:textId="77777777" w:rsidR="00D42204" w:rsidRDefault="004E439D">
            <w:pPr>
              <w:textAlignment w:val="center"/>
            </w:pPr>
            <w:r>
              <w:rPr>
                <w:rFonts w:ascii="Times New Roman" w:eastAsia="宋体" w:hAnsi="Times New Roman"/>
                <w:color w:val="000000"/>
                <w:sz w:val="16"/>
                <w:szCs w:val="16"/>
              </w:rPr>
              <w:t>Loss on extinguishment of debt</w:t>
            </w:r>
          </w:p>
        </w:tc>
        <w:tc>
          <w:tcPr>
            <w:tcW w:w="0" w:type="auto"/>
            <w:gridSpan w:val="3"/>
            <w:shd w:val="clear" w:color="auto" w:fill="FFFFFF"/>
            <w:tcMar>
              <w:top w:w="0" w:type="dxa"/>
              <w:left w:w="20" w:type="dxa"/>
              <w:bottom w:w="0" w:type="dxa"/>
              <w:right w:w="20" w:type="dxa"/>
            </w:tcMar>
            <w:vAlign w:val="bottom"/>
          </w:tcPr>
          <w:p w14:paraId="35D0A2F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A2F6" w14:textId="77777777" w:rsidR="00D42204" w:rsidRDefault="004E439D">
            <w:pPr>
              <w:jc w:val="right"/>
              <w:textAlignment w:val="bottom"/>
            </w:pPr>
            <w:r>
              <w:rPr>
                <w:rFonts w:ascii="Times New Roman" w:eastAsia="宋体" w:hAnsi="Times New Roman"/>
                <w:color w:val="000000"/>
                <w:sz w:val="16"/>
                <w:szCs w:val="16"/>
              </w:rPr>
              <w:t>2,410 </w:t>
            </w:r>
          </w:p>
        </w:tc>
        <w:tc>
          <w:tcPr>
            <w:tcW w:w="0" w:type="auto"/>
            <w:shd w:val="clear" w:color="auto" w:fill="FFFFFF"/>
            <w:tcMar>
              <w:top w:w="40" w:type="dxa"/>
              <w:left w:w="0" w:type="dxa"/>
              <w:bottom w:w="40" w:type="dxa"/>
              <w:right w:w="20" w:type="dxa"/>
            </w:tcMar>
            <w:vAlign w:val="bottom"/>
          </w:tcPr>
          <w:p w14:paraId="35D0A2F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2F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A2F9" w14:textId="77777777" w:rsidR="00D42204" w:rsidRDefault="004E439D">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35D0A2F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2F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A2FC" w14:textId="77777777" w:rsidR="00D42204" w:rsidRDefault="004E439D">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35D0A2FD" w14:textId="77777777" w:rsidR="00D42204" w:rsidRDefault="00D42204">
            <w:pPr>
              <w:jc w:val="right"/>
              <w:rPr>
                <w:rFonts w:ascii="宋体"/>
              </w:rPr>
            </w:pPr>
          </w:p>
        </w:tc>
      </w:tr>
      <w:tr w:rsidR="00D42204" w14:paraId="35D0A309" w14:textId="77777777">
        <w:trPr>
          <w:jc w:val="center"/>
        </w:trPr>
        <w:tc>
          <w:tcPr>
            <w:tcW w:w="0" w:type="auto"/>
            <w:gridSpan w:val="3"/>
            <w:shd w:val="clear" w:color="auto" w:fill="CCEEFF"/>
            <w:tcMar>
              <w:top w:w="40" w:type="dxa"/>
              <w:left w:w="20" w:type="dxa"/>
              <w:bottom w:w="40" w:type="dxa"/>
              <w:right w:w="20" w:type="dxa"/>
            </w:tcMar>
            <w:vAlign w:val="center"/>
          </w:tcPr>
          <w:p w14:paraId="35D0A2FF" w14:textId="77777777" w:rsidR="00D42204" w:rsidRDefault="004E439D">
            <w:pPr>
              <w:textAlignment w:val="center"/>
            </w:pPr>
            <w:r>
              <w:rPr>
                <w:rFonts w:ascii="Times New Roman" w:eastAsia="宋体" w:hAnsi="Times New Roman"/>
                <w:color w:val="000000"/>
                <w:sz w:val="16"/>
                <w:szCs w:val="16"/>
              </w:rPr>
              <w:t>Other (gains) and losses</w:t>
            </w:r>
          </w:p>
        </w:tc>
        <w:tc>
          <w:tcPr>
            <w:tcW w:w="0" w:type="auto"/>
            <w:gridSpan w:val="3"/>
            <w:shd w:val="clear" w:color="auto" w:fill="CCEEFF"/>
            <w:tcMar>
              <w:top w:w="0" w:type="dxa"/>
              <w:left w:w="20" w:type="dxa"/>
              <w:bottom w:w="0" w:type="dxa"/>
              <w:right w:w="20" w:type="dxa"/>
            </w:tcMar>
            <w:vAlign w:val="bottom"/>
          </w:tcPr>
          <w:p w14:paraId="35D0A30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301" w14:textId="77777777" w:rsidR="00D42204" w:rsidRDefault="004E439D">
            <w:pPr>
              <w:jc w:val="right"/>
              <w:textAlignment w:val="bottom"/>
            </w:pPr>
            <w:r>
              <w:rPr>
                <w:rFonts w:ascii="Times New Roman" w:eastAsia="宋体" w:hAnsi="Times New Roman"/>
                <w:color w:val="000000"/>
                <w:sz w:val="16"/>
                <w:szCs w:val="16"/>
              </w:rPr>
              <w:t>3,000 </w:t>
            </w:r>
          </w:p>
        </w:tc>
        <w:tc>
          <w:tcPr>
            <w:tcW w:w="0" w:type="auto"/>
            <w:shd w:val="clear" w:color="auto" w:fill="CCEEFF"/>
            <w:tcMar>
              <w:top w:w="40" w:type="dxa"/>
              <w:left w:w="0" w:type="dxa"/>
              <w:bottom w:w="40" w:type="dxa"/>
              <w:right w:w="20" w:type="dxa"/>
            </w:tcMar>
            <w:vAlign w:val="bottom"/>
          </w:tcPr>
          <w:p w14:paraId="35D0A30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30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304" w14:textId="77777777" w:rsidR="00D42204" w:rsidRDefault="004E439D">
            <w:pPr>
              <w:jc w:val="right"/>
              <w:textAlignment w:val="bottom"/>
            </w:pPr>
            <w:r>
              <w:rPr>
                <w:rFonts w:ascii="Times New Roman" w:eastAsia="宋体" w:hAnsi="Times New Roman"/>
                <w:color w:val="000000"/>
                <w:sz w:val="16"/>
                <w:szCs w:val="16"/>
              </w:rPr>
              <w:t>(210)</w:t>
            </w:r>
          </w:p>
        </w:tc>
        <w:tc>
          <w:tcPr>
            <w:tcW w:w="0" w:type="auto"/>
            <w:shd w:val="clear" w:color="auto" w:fill="CCEEFF"/>
            <w:tcMar>
              <w:top w:w="40" w:type="dxa"/>
              <w:left w:w="0" w:type="dxa"/>
              <w:bottom w:w="40" w:type="dxa"/>
              <w:right w:w="20" w:type="dxa"/>
            </w:tcMar>
            <w:vAlign w:val="bottom"/>
          </w:tcPr>
          <w:p w14:paraId="35D0A30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30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307" w14:textId="77777777" w:rsidR="00D42204" w:rsidRDefault="004E439D">
            <w:pPr>
              <w:jc w:val="right"/>
              <w:textAlignment w:val="bottom"/>
            </w:pPr>
            <w:r>
              <w:rPr>
                <w:rFonts w:ascii="Times New Roman" w:eastAsia="宋体" w:hAnsi="Times New Roman"/>
                <w:color w:val="000000"/>
                <w:sz w:val="16"/>
                <w:szCs w:val="16"/>
              </w:rPr>
              <w:t>(1,958)</w:t>
            </w:r>
          </w:p>
        </w:tc>
        <w:tc>
          <w:tcPr>
            <w:tcW w:w="0" w:type="auto"/>
            <w:shd w:val="clear" w:color="auto" w:fill="CCEEFF"/>
            <w:tcMar>
              <w:top w:w="40" w:type="dxa"/>
              <w:left w:w="0" w:type="dxa"/>
              <w:bottom w:w="40" w:type="dxa"/>
              <w:right w:w="20" w:type="dxa"/>
            </w:tcMar>
            <w:vAlign w:val="bottom"/>
          </w:tcPr>
          <w:p w14:paraId="35D0A308" w14:textId="77777777" w:rsidR="00D42204" w:rsidRDefault="00D42204">
            <w:pPr>
              <w:jc w:val="right"/>
              <w:rPr>
                <w:rFonts w:ascii="宋体"/>
              </w:rPr>
            </w:pPr>
          </w:p>
        </w:tc>
      </w:tr>
      <w:tr w:rsidR="00D42204" w14:paraId="35D0A314" w14:textId="77777777">
        <w:trPr>
          <w:jc w:val="center"/>
        </w:trPr>
        <w:tc>
          <w:tcPr>
            <w:tcW w:w="0" w:type="auto"/>
            <w:gridSpan w:val="3"/>
            <w:shd w:val="clear" w:color="auto" w:fill="FFFFFF"/>
            <w:tcMar>
              <w:top w:w="40" w:type="dxa"/>
              <w:left w:w="20" w:type="dxa"/>
              <w:bottom w:w="40" w:type="dxa"/>
              <w:right w:w="20" w:type="dxa"/>
            </w:tcMar>
            <w:vAlign w:val="center"/>
          </w:tcPr>
          <w:p w14:paraId="35D0A30A" w14:textId="77777777" w:rsidR="00D42204" w:rsidRDefault="004E439D">
            <w:pPr>
              <w:textAlignment w:val="center"/>
            </w:pPr>
            <w:r>
              <w:rPr>
                <w:rFonts w:ascii="Times New Roman" w:eastAsia="宋体" w:hAnsi="Times New Roman"/>
                <w:b/>
                <w:bCs/>
                <w:color w:val="000000"/>
                <w:sz w:val="16"/>
                <w:szCs w:val="16"/>
              </w:rPr>
              <w:t>Income before income taxes</w:t>
            </w:r>
          </w:p>
        </w:tc>
        <w:tc>
          <w:tcPr>
            <w:tcW w:w="0" w:type="auto"/>
            <w:gridSpan w:val="3"/>
            <w:shd w:val="clear" w:color="auto" w:fill="FFFFFF"/>
            <w:tcMar>
              <w:top w:w="0" w:type="dxa"/>
              <w:left w:w="20" w:type="dxa"/>
              <w:bottom w:w="0" w:type="dxa"/>
              <w:right w:w="20" w:type="dxa"/>
            </w:tcMar>
            <w:vAlign w:val="bottom"/>
          </w:tcPr>
          <w:p w14:paraId="35D0A30B"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D0A30C" w14:textId="77777777" w:rsidR="00D42204" w:rsidRDefault="004E439D">
            <w:pPr>
              <w:jc w:val="right"/>
              <w:textAlignment w:val="bottom"/>
            </w:pPr>
            <w:r>
              <w:rPr>
                <w:rFonts w:ascii="Times New Roman" w:eastAsia="宋体" w:hAnsi="Times New Roman"/>
                <w:color w:val="000000"/>
                <w:sz w:val="16"/>
                <w:szCs w:val="16"/>
              </w:rPr>
              <w:t>18,696 </w:t>
            </w:r>
          </w:p>
        </w:tc>
        <w:tc>
          <w:tcPr>
            <w:tcW w:w="0" w:type="auto"/>
            <w:tcBorders>
              <w:top w:val="single" w:sz="8" w:space="0" w:color="000000"/>
            </w:tcBorders>
            <w:shd w:val="clear" w:color="auto" w:fill="FFFFFF"/>
            <w:tcMar>
              <w:top w:w="40" w:type="dxa"/>
              <w:left w:w="0" w:type="dxa"/>
              <w:bottom w:w="40" w:type="dxa"/>
              <w:right w:w="20" w:type="dxa"/>
            </w:tcMar>
            <w:vAlign w:val="bottom"/>
          </w:tcPr>
          <w:p w14:paraId="35D0A30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30E"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D0A30F" w14:textId="77777777" w:rsidR="00D42204" w:rsidRDefault="004E439D">
            <w:pPr>
              <w:jc w:val="right"/>
              <w:textAlignment w:val="bottom"/>
            </w:pPr>
            <w:r>
              <w:rPr>
                <w:rFonts w:ascii="Times New Roman" w:eastAsia="宋体" w:hAnsi="Times New Roman"/>
                <w:color w:val="000000"/>
                <w:sz w:val="16"/>
                <w:szCs w:val="16"/>
              </w:rPr>
              <w:t>20,564 </w:t>
            </w:r>
          </w:p>
        </w:tc>
        <w:tc>
          <w:tcPr>
            <w:tcW w:w="0" w:type="auto"/>
            <w:tcBorders>
              <w:top w:val="single" w:sz="8" w:space="0" w:color="000000"/>
            </w:tcBorders>
            <w:shd w:val="clear" w:color="auto" w:fill="FFFFFF"/>
            <w:tcMar>
              <w:top w:w="40" w:type="dxa"/>
              <w:left w:w="0" w:type="dxa"/>
              <w:bottom w:w="40" w:type="dxa"/>
              <w:right w:w="20" w:type="dxa"/>
            </w:tcMar>
            <w:vAlign w:val="bottom"/>
          </w:tcPr>
          <w:p w14:paraId="35D0A31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311"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D0A312" w14:textId="77777777" w:rsidR="00D42204" w:rsidRDefault="004E439D">
            <w:pPr>
              <w:jc w:val="right"/>
              <w:textAlignment w:val="bottom"/>
            </w:pPr>
            <w:r>
              <w:rPr>
                <w:rFonts w:ascii="Times New Roman" w:eastAsia="宋体" w:hAnsi="Times New Roman"/>
                <w:color w:val="000000"/>
                <w:sz w:val="16"/>
                <w:szCs w:val="16"/>
              </w:rPr>
              <w:t>20,116 </w:t>
            </w:r>
          </w:p>
        </w:tc>
        <w:tc>
          <w:tcPr>
            <w:tcW w:w="0" w:type="auto"/>
            <w:tcBorders>
              <w:top w:val="single" w:sz="8" w:space="0" w:color="000000"/>
            </w:tcBorders>
            <w:shd w:val="clear" w:color="auto" w:fill="FFFFFF"/>
            <w:tcMar>
              <w:top w:w="40" w:type="dxa"/>
              <w:left w:w="0" w:type="dxa"/>
              <w:bottom w:w="40" w:type="dxa"/>
              <w:right w:w="20" w:type="dxa"/>
            </w:tcMar>
            <w:vAlign w:val="bottom"/>
          </w:tcPr>
          <w:p w14:paraId="35D0A313" w14:textId="77777777" w:rsidR="00D42204" w:rsidRDefault="00D42204">
            <w:pPr>
              <w:jc w:val="right"/>
              <w:rPr>
                <w:rFonts w:ascii="宋体"/>
              </w:rPr>
            </w:pPr>
          </w:p>
        </w:tc>
      </w:tr>
      <w:tr w:rsidR="00D42204" w14:paraId="35D0A31F" w14:textId="77777777">
        <w:trPr>
          <w:jc w:val="center"/>
        </w:trPr>
        <w:tc>
          <w:tcPr>
            <w:tcW w:w="0" w:type="auto"/>
            <w:gridSpan w:val="3"/>
            <w:shd w:val="clear" w:color="auto" w:fill="CCEEFF"/>
            <w:tcMar>
              <w:top w:w="40" w:type="dxa"/>
              <w:left w:w="20" w:type="dxa"/>
              <w:bottom w:w="40" w:type="dxa"/>
              <w:right w:w="20" w:type="dxa"/>
            </w:tcMar>
            <w:vAlign w:val="center"/>
          </w:tcPr>
          <w:p w14:paraId="35D0A315" w14:textId="77777777" w:rsidR="00D42204" w:rsidRDefault="004E439D">
            <w:pPr>
              <w:textAlignment w:val="center"/>
            </w:pPr>
            <w:r>
              <w:rPr>
                <w:rFonts w:ascii="Times New Roman" w:eastAsia="宋体" w:hAnsi="Times New Roman"/>
                <w:color w:val="000000"/>
                <w:sz w:val="16"/>
                <w:szCs w:val="16"/>
              </w:rPr>
              <w:t>Provision for income taxes</w:t>
            </w:r>
          </w:p>
        </w:tc>
        <w:tc>
          <w:tcPr>
            <w:tcW w:w="0" w:type="auto"/>
            <w:gridSpan w:val="3"/>
            <w:shd w:val="clear" w:color="auto" w:fill="CCEEFF"/>
            <w:tcMar>
              <w:top w:w="0" w:type="dxa"/>
              <w:left w:w="20" w:type="dxa"/>
              <w:bottom w:w="0" w:type="dxa"/>
              <w:right w:w="20" w:type="dxa"/>
            </w:tcMar>
            <w:vAlign w:val="bottom"/>
          </w:tcPr>
          <w:p w14:paraId="35D0A31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317" w14:textId="77777777" w:rsidR="00D42204" w:rsidRDefault="004E439D">
            <w:pPr>
              <w:jc w:val="right"/>
              <w:textAlignment w:val="bottom"/>
            </w:pPr>
            <w:r>
              <w:rPr>
                <w:rFonts w:ascii="Times New Roman" w:eastAsia="宋体" w:hAnsi="Times New Roman"/>
                <w:color w:val="000000"/>
                <w:sz w:val="16"/>
                <w:szCs w:val="16"/>
              </w:rPr>
              <w:t>4,756 </w:t>
            </w:r>
          </w:p>
        </w:tc>
        <w:tc>
          <w:tcPr>
            <w:tcW w:w="0" w:type="auto"/>
            <w:shd w:val="clear" w:color="auto" w:fill="CCEEFF"/>
            <w:tcMar>
              <w:top w:w="40" w:type="dxa"/>
              <w:left w:w="0" w:type="dxa"/>
              <w:bottom w:w="40" w:type="dxa"/>
              <w:right w:w="20" w:type="dxa"/>
            </w:tcMar>
            <w:vAlign w:val="bottom"/>
          </w:tcPr>
          <w:p w14:paraId="35D0A31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31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31A" w14:textId="77777777" w:rsidR="00D42204" w:rsidRDefault="004E439D">
            <w:pPr>
              <w:jc w:val="right"/>
              <w:textAlignment w:val="bottom"/>
            </w:pPr>
            <w:r>
              <w:rPr>
                <w:rFonts w:ascii="Times New Roman" w:eastAsia="宋体" w:hAnsi="Times New Roman"/>
                <w:color w:val="000000"/>
                <w:sz w:val="16"/>
                <w:szCs w:val="16"/>
              </w:rPr>
              <w:t>6,858 </w:t>
            </w:r>
          </w:p>
        </w:tc>
        <w:tc>
          <w:tcPr>
            <w:tcW w:w="0" w:type="auto"/>
            <w:shd w:val="clear" w:color="auto" w:fill="CCEEFF"/>
            <w:tcMar>
              <w:top w:w="40" w:type="dxa"/>
              <w:left w:w="0" w:type="dxa"/>
              <w:bottom w:w="40" w:type="dxa"/>
              <w:right w:w="20" w:type="dxa"/>
            </w:tcMar>
            <w:vAlign w:val="bottom"/>
          </w:tcPr>
          <w:p w14:paraId="35D0A31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31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31D" w14:textId="77777777" w:rsidR="00D42204" w:rsidRDefault="004E439D">
            <w:pPr>
              <w:jc w:val="right"/>
              <w:textAlignment w:val="bottom"/>
            </w:pPr>
            <w:r>
              <w:rPr>
                <w:rFonts w:ascii="Times New Roman" w:eastAsia="宋体" w:hAnsi="Times New Roman"/>
                <w:color w:val="000000"/>
                <w:sz w:val="16"/>
                <w:szCs w:val="16"/>
              </w:rPr>
              <w:t>4,915 </w:t>
            </w:r>
          </w:p>
        </w:tc>
        <w:tc>
          <w:tcPr>
            <w:tcW w:w="0" w:type="auto"/>
            <w:shd w:val="clear" w:color="auto" w:fill="CCEEFF"/>
            <w:tcMar>
              <w:top w:w="40" w:type="dxa"/>
              <w:left w:w="0" w:type="dxa"/>
              <w:bottom w:w="40" w:type="dxa"/>
              <w:right w:w="20" w:type="dxa"/>
            </w:tcMar>
            <w:vAlign w:val="bottom"/>
          </w:tcPr>
          <w:p w14:paraId="35D0A31E" w14:textId="77777777" w:rsidR="00D42204" w:rsidRDefault="00D42204">
            <w:pPr>
              <w:jc w:val="right"/>
              <w:rPr>
                <w:rFonts w:ascii="宋体"/>
              </w:rPr>
            </w:pPr>
          </w:p>
        </w:tc>
      </w:tr>
      <w:tr w:rsidR="00D42204" w14:paraId="35D0A32A" w14:textId="77777777">
        <w:trPr>
          <w:jc w:val="center"/>
        </w:trPr>
        <w:tc>
          <w:tcPr>
            <w:tcW w:w="0" w:type="auto"/>
            <w:gridSpan w:val="3"/>
            <w:shd w:val="clear" w:color="auto" w:fill="FFFFFF"/>
            <w:tcMar>
              <w:top w:w="40" w:type="dxa"/>
              <w:left w:w="20" w:type="dxa"/>
              <w:bottom w:w="40" w:type="dxa"/>
              <w:right w:w="20" w:type="dxa"/>
            </w:tcMar>
            <w:vAlign w:val="center"/>
          </w:tcPr>
          <w:p w14:paraId="35D0A320" w14:textId="77777777" w:rsidR="00D42204" w:rsidRDefault="004E439D">
            <w:pPr>
              <w:textAlignment w:val="center"/>
            </w:pPr>
            <w:r>
              <w:rPr>
                <w:rFonts w:ascii="Times New Roman" w:eastAsia="宋体" w:hAnsi="Times New Roman"/>
                <w:b/>
                <w:bCs/>
                <w:color w:val="000000"/>
                <w:sz w:val="16"/>
                <w:szCs w:val="16"/>
              </w:rPr>
              <w:t>Consolidated net income</w:t>
            </w:r>
          </w:p>
        </w:tc>
        <w:tc>
          <w:tcPr>
            <w:tcW w:w="0" w:type="auto"/>
            <w:gridSpan w:val="3"/>
            <w:shd w:val="clear" w:color="auto" w:fill="FFFFFF"/>
            <w:tcMar>
              <w:top w:w="0" w:type="dxa"/>
              <w:left w:w="20" w:type="dxa"/>
              <w:bottom w:w="0" w:type="dxa"/>
              <w:right w:w="20" w:type="dxa"/>
            </w:tcMar>
            <w:vAlign w:val="bottom"/>
          </w:tcPr>
          <w:p w14:paraId="35D0A321"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D0A322" w14:textId="77777777" w:rsidR="00D42204" w:rsidRDefault="004E439D">
            <w:pPr>
              <w:jc w:val="right"/>
              <w:textAlignment w:val="bottom"/>
            </w:pPr>
            <w:r>
              <w:rPr>
                <w:rFonts w:ascii="Times New Roman" w:eastAsia="宋体" w:hAnsi="Times New Roman"/>
                <w:color w:val="000000"/>
                <w:sz w:val="16"/>
                <w:szCs w:val="16"/>
              </w:rPr>
              <w:t>13,940 </w:t>
            </w:r>
          </w:p>
        </w:tc>
        <w:tc>
          <w:tcPr>
            <w:tcW w:w="0" w:type="auto"/>
            <w:tcBorders>
              <w:top w:val="single" w:sz="8" w:space="0" w:color="000000"/>
            </w:tcBorders>
            <w:shd w:val="clear" w:color="auto" w:fill="FFFFFF"/>
            <w:tcMar>
              <w:top w:w="40" w:type="dxa"/>
              <w:left w:w="0" w:type="dxa"/>
              <w:bottom w:w="40" w:type="dxa"/>
              <w:right w:w="20" w:type="dxa"/>
            </w:tcMar>
            <w:vAlign w:val="bottom"/>
          </w:tcPr>
          <w:p w14:paraId="35D0A32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324"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D0A325" w14:textId="77777777" w:rsidR="00D42204" w:rsidRDefault="004E439D">
            <w:pPr>
              <w:jc w:val="right"/>
              <w:textAlignment w:val="bottom"/>
            </w:pPr>
            <w:r>
              <w:rPr>
                <w:rFonts w:ascii="Times New Roman" w:eastAsia="宋体" w:hAnsi="Times New Roman"/>
                <w:color w:val="000000"/>
                <w:sz w:val="16"/>
                <w:szCs w:val="16"/>
              </w:rPr>
              <w:t>13,706 </w:t>
            </w:r>
          </w:p>
        </w:tc>
        <w:tc>
          <w:tcPr>
            <w:tcW w:w="0" w:type="auto"/>
            <w:tcBorders>
              <w:top w:val="single" w:sz="8" w:space="0" w:color="000000"/>
            </w:tcBorders>
            <w:shd w:val="clear" w:color="auto" w:fill="FFFFFF"/>
            <w:tcMar>
              <w:top w:w="40" w:type="dxa"/>
              <w:left w:w="0" w:type="dxa"/>
              <w:bottom w:w="40" w:type="dxa"/>
              <w:right w:w="20" w:type="dxa"/>
            </w:tcMar>
            <w:vAlign w:val="bottom"/>
          </w:tcPr>
          <w:p w14:paraId="35D0A32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327"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35D0A328" w14:textId="77777777" w:rsidR="00D42204" w:rsidRDefault="004E439D">
            <w:pPr>
              <w:jc w:val="right"/>
              <w:textAlignment w:val="bottom"/>
            </w:pPr>
            <w:r>
              <w:rPr>
                <w:rFonts w:ascii="Times New Roman" w:eastAsia="宋体" w:hAnsi="Times New Roman"/>
                <w:color w:val="000000"/>
                <w:sz w:val="16"/>
                <w:szCs w:val="16"/>
              </w:rPr>
              <w:t>15,201 </w:t>
            </w:r>
          </w:p>
        </w:tc>
        <w:tc>
          <w:tcPr>
            <w:tcW w:w="0" w:type="auto"/>
            <w:tcBorders>
              <w:top w:val="single" w:sz="8" w:space="0" w:color="000000"/>
            </w:tcBorders>
            <w:shd w:val="clear" w:color="auto" w:fill="FFFFFF"/>
            <w:tcMar>
              <w:top w:w="40" w:type="dxa"/>
              <w:left w:w="0" w:type="dxa"/>
              <w:bottom w:w="40" w:type="dxa"/>
              <w:right w:w="20" w:type="dxa"/>
            </w:tcMar>
            <w:vAlign w:val="bottom"/>
          </w:tcPr>
          <w:p w14:paraId="35D0A329" w14:textId="77777777" w:rsidR="00D42204" w:rsidRDefault="00D42204">
            <w:pPr>
              <w:jc w:val="right"/>
              <w:rPr>
                <w:rFonts w:ascii="宋体"/>
              </w:rPr>
            </w:pPr>
          </w:p>
        </w:tc>
      </w:tr>
      <w:tr w:rsidR="00D42204" w14:paraId="35D0A335" w14:textId="77777777">
        <w:trPr>
          <w:jc w:val="center"/>
        </w:trPr>
        <w:tc>
          <w:tcPr>
            <w:tcW w:w="0" w:type="auto"/>
            <w:gridSpan w:val="3"/>
            <w:shd w:val="clear" w:color="auto" w:fill="CCEEFF"/>
            <w:tcMar>
              <w:top w:w="40" w:type="dxa"/>
              <w:left w:w="20" w:type="dxa"/>
              <w:bottom w:w="40" w:type="dxa"/>
              <w:right w:w="20" w:type="dxa"/>
            </w:tcMar>
            <w:vAlign w:val="center"/>
          </w:tcPr>
          <w:p w14:paraId="35D0A32B" w14:textId="77777777" w:rsidR="00D42204" w:rsidRDefault="004E439D">
            <w:pPr>
              <w:textAlignment w:val="center"/>
            </w:pPr>
            <w:r>
              <w:rPr>
                <w:rFonts w:ascii="Times New Roman" w:eastAsia="宋体" w:hAnsi="Times New Roman"/>
                <w:color w:val="000000"/>
                <w:sz w:val="16"/>
                <w:szCs w:val="16"/>
              </w:rPr>
              <w:t>Consolidated net income attributable to noncontrolling interest</w:t>
            </w:r>
          </w:p>
        </w:tc>
        <w:tc>
          <w:tcPr>
            <w:tcW w:w="0" w:type="auto"/>
            <w:gridSpan w:val="3"/>
            <w:shd w:val="clear" w:color="auto" w:fill="CCEEFF"/>
            <w:tcMar>
              <w:top w:w="0" w:type="dxa"/>
              <w:left w:w="20" w:type="dxa"/>
              <w:bottom w:w="0" w:type="dxa"/>
              <w:right w:w="20" w:type="dxa"/>
            </w:tcMar>
            <w:vAlign w:val="bottom"/>
          </w:tcPr>
          <w:p w14:paraId="35D0A32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32D" w14:textId="77777777" w:rsidR="00D42204" w:rsidRDefault="004E439D">
            <w:pPr>
              <w:jc w:val="right"/>
              <w:textAlignment w:val="bottom"/>
            </w:pPr>
            <w:r>
              <w:rPr>
                <w:rFonts w:ascii="Times New Roman" w:eastAsia="宋体" w:hAnsi="Times New Roman"/>
                <w:color w:val="000000"/>
                <w:sz w:val="16"/>
                <w:szCs w:val="16"/>
              </w:rPr>
              <w:t>(267)</w:t>
            </w:r>
          </w:p>
        </w:tc>
        <w:tc>
          <w:tcPr>
            <w:tcW w:w="0" w:type="auto"/>
            <w:shd w:val="clear" w:color="auto" w:fill="CCEEFF"/>
            <w:tcMar>
              <w:top w:w="40" w:type="dxa"/>
              <w:left w:w="0" w:type="dxa"/>
              <w:bottom w:w="40" w:type="dxa"/>
              <w:right w:w="20" w:type="dxa"/>
            </w:tcMar>
            <w:vAlign w:val="bottom"/>
          </w:tcPr>
          <w:p w14:paraId="35D0A32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32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330" w14:textId="77777777" w:rsidR="00D42204" w:rsidRDefault="004E439D">
            <w:pPr>
              <w:jc w:val="right"/>
              <w:textAlignment w:val="bottom"/>
            </w:pPr>
            <w:r>
              <w:rPr>
                <w:rFonts w:ascii="Times New Roman" w:eastAsia="宋体" w:hAnsi="Times New Roman"/>
                <w:color w:val="000000"/>
                <w:sz w:val="16"/>
                <w:szCs w:val="16"/>
              </w:rPr>
              <w:t>(196)</w:t>
            </w:r>
          </w:p>
        </w:tc>
        <w:tc>
          <w:tcPr>
            <w:tcW w:w="0" w:type="auto"/>
            <w:shd w:val="clear" w:color="auto" w:fill="CCEEFF"/>
            <w:tcMar>
              <w:top w:w="40" w:type="dxa"/>
              <w:left w:w="0" w:type="dxa"/>
              <w:bottom w:w="40" w:type="dxa"/>
              <w:right w:w="20" w:type="dxa"/>
            </w:tcMar>
            <w:vAlign w:val="bottom"/>
          </w:tcPr>
          <w:p w14:paraId="35D0A33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33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333" w14:textId="77777777" w:rsidR="00D42204" w:rsidRDefault="004E439D">
            <w:pPr>
              <w:jc w:val="right"/>
              <w:textAlignment w:val="bottom"/>
            </w:pPr>
            <w:r>
              <w:rPr>
                <w:rFonts w:ascii="Times New Roman" w:eastAsia="宋体" w:hAnsi="Times New Roman"/>
                <w:color w:val="000000"/>
                <w:sz w:val="16"/>
                <w:szCs w:val="16"/>
              </w:rPr>
              <w:t>(320)</w:t>
            </w:r>
          </w:p>
        </w:tc>
        <w:tc>
          <w:tcPr>
            <w:tcW w:w="0" w:type="auto"/>
            <w:shd w:val="clear" w:color="auto" w:fill="CCEEFF"/>
            <w:tcMar>
              <w:top w:w="40" w:type="dxa"/>
              <w:left w:w="0" w:type="dxa"/>
              <w:bottom w:w="40" w:type="dxa"/>
              <w:right w:w="20" w:type="dxa"/>
            </w:tcMar>
            <w:vAlign w:val="bottom"/>
          </w:tcPr>
          <w:p w14:paraId="35D0A334" w14:textId="77777777" w:rsidR="00D42204" w:rsidRDefault="00D42204">
            <w:pPr>
              <w:jc w:val="right"/>
              <w:rPr>
                <w:rFonts w:ascii="宋体"/>
              </w:rPr>
            </w:pPr>
          </w:p>
        </w:tc>
      </w:tr>
      <w:tr w:rsidR="00D42204" w14:paraId="35D0A343" w14:textId="77777777">
        <w:trPr>
          <w:jc w:val="center"/>
        </w:trPr>
        <w:tc>
          <w:tcPr>
            <w:tcW w:w="0" w:type="auto"/>
            <w:gridSpan w:val="3"/>
            <w:shd w:val="clear" w:color="auto" w:fill="FFFFFF"/>
            <w:tcMar>
              <w:top w:w="40" w:type="dxa"/>
              <w:left w:w="20" w:type="dxa"/>
              <w:bottom w:w="40" w:type="dxa"/>
              <w:right w:w="20" w:type="dxa"/>
            </w:tcMar>
            <w:vAlign w:val="center"/>
          </w:tcPr>
          <w:p w14:paraId="35D0A336" w14:textId="77777777" w:rsidR="00D42204" w:rsidRDefault="004E439D">
            <w:pPr>
              <w:textAlignment w:val="center"/>
            </w:pPr>
            <w:r>
              <w:rPr>
                <w:rFonts w:ascii="Times New Roman" w:eastAsia="宋体" w:hAnsi="Times New Roman"/>
                <w:b/>
                <w:bCs/>
                <w:color w:val="000000"/>
                <w:sz w:val="16"/>
                <w:szCs w:val="16"/>
              </w:rPr>
              <w:t>Consolidated net income attributable to Walmart</w:t>
            </w:r>
          </w:p>
        </w:tc>
        <w:tc>
          <w:tcPr>
            <w:tcW w:w="0" w:type="auto"/>
            <w:gridSpan w:val="3"/>
            <w:shd w:val="clear" w:color="auto" w:fill="FFFFFF"/>
            <w:tcMar>
              <w:top w:w="0" w:type="dxa"/>
              <w:left w:w="20" w:type="dxa"/>
              <w:bottom w:w="0" w:type="dxa"/>
              <w:right w:w="20" w:type="dxa"/>
            </w:tcMar>
            <w:vAlign w:val="bottom"/>
          </w:tcPr>
          <w:p w14:paraId="35D0A337" w14:textId="77777777" w:rsidR="00D42204" w:rsidRDefault="00D4220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35D0A338"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35D0A339" w14:textId="77777777" w:rsidR="00D42204" w:rsidRDefault="004E439D">
            <w:pPr>
              <w:jc w:val="right"/>
              <w:textAlignment w:val="center"/>
            </w:pPr>
            <w:r>
              <w:rPr>
                <w:rFonts w:ascii="Times New Roman" w:eastAsia="宋体" w:hAnsi="Times New Roman"/>
                <w:color w:val="000000"/>
                <w:sz w:val="16"/>
                <w:szCs w:val="16"/>
              </w:rPr>
              <w:t>13,673 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33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33B" w14:textId="77777777" w:rsidR="00D42204" w:rsidRDefault="00D4220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35D0A33C"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35D0A33D" w14:textId="77777777" w:rsidR="00D42204" w:rsidRDefault="004E439D">
            <w:pPr>
              <w:jc w:val="right"/>
              <w:textAlignment w:val="center"/>
            </w:pPr>
            <w:r>
              <w:rPr>
                <w:rFonts w:ascii="Times New Roman" w:eastAsia="宋体" w:hAnsi="Times New Roman"/>
                <w:color w:val="000000"/>
                <w:sz w:val="16"/>
                <w:szCs w:val="16"/>
              </w:rPr>
              <w:t>13,510 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33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33F" w14:textId="77777777" w:rsidR="00D42204" w:rsidRDefault="00D4220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35D0A340"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35D0A341" w14:textId="77777777" w:rsidR="00D42204" w:rsidRDefault="004E439D">
            <w:pPr>
              <w:jc w:val="right"/>
              <w:textAlignment w:val="center"/>
            </w:pPr>
            <w:r>
              <w:rPr>
                <w:rFonts w:ascii="Times New Roman" w:eastAsia="宋体" w:hAnsi="Times New Roman"/>
                <w:color w:val="000000"/>
                <w:sz w:val="16"/>
                <w:szCs w:val="16"/>
              </w:rPr>
              <w:t>14,881 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342" w14:textId="77777777" w:rsidR="00D42204" w:rsidRDefault="00D42204">
            <w:pPr>
              <w:jc w:val="right"/>
              <w:rPr>
                <w:rFonts w:ascii="宋体"/>
              </w:rPr>
            </w:pPr>
          </w:p>
        </w:tc>
      </w:tr>
      <w:tr w:rsidR="00D42204" w14:paraId="35D0A34B" w14:textId="77777777">
        <w:trPr>
          <w:trHeight w:val="220"/>
          <w:jc w:val="center"/>
        </w:trPr>
        <w:tc>
          <w:tcPr>
            <w:tcW w:w="0" w:type="auto"/>
            <w:gridSpan w:val="3"/>
            <w:shd w:val="clear" w:color="auto" w:fill="CCEEFF"/>
            <w:tcMar>
              <w:top w:w="0" w:type="dxa"/>
              <w:left w:w="20" w:type="dxa"/>
              <w:bottom w:w="0" w:type="dxa"/>
              <w:right w:w="20" w:type="dxa"/>
            </w:tcMar>
            <w:vAlign w:val="bottom"/>
          </w:tcPr>
          <w:p w14:paraId="35D0A344"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345" w14:textId="77777777" w:rsidR="00D42204" w:rsidRDefault="00D4220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5D0A346"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347" w14:textId="77777777" w:rsidR="00D42204" w:rsidRDefault="00D4220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5D0A34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349" w14:textId="77777777" w:rsidR="00D42204" w:rsidRDefault="00D4220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5D0A34A" w14:textId="77777777" w:rsidR="00D42204" w:rsidRDefault="00D42204">
            <w:pPr>
              <w:rPr>
                <w:rFonts w:ascii="宋体"/>
              </w:rPr>
            </w:pPr>
          </w:p>
        </w:tc>
      </w:tr>
      <w:tr w:rsidR="00D42204" w14:paraId="35D0A353" w14:textId="77777777">
        <w:trPr>
          <w:jc w:val="center"/>
        </w:trPr>
        <w:tc>
          <w:tcPr>
            <w:tcW w:w="0" w:type="auto"/>
            <w:gridSpan w:val="3"/>
            <w:shd w:val="clear" w:color="auto" w:fill="FFFFFF"/>
            <w:tcMar>
              <w:top w:w="40" w:type="dxa"/>
              <w:left w:w="20" w:type="dxa"/>
              <w:bottom w:w="40" w:type="dxa"/>
              <w:right w:w="20" w:type="dxa"/>
            </w:tcMar>
            <w:vAlign w:val="center"/>
          </w:tcPr>
          <w:p w14:paraId="35D0A34C" w14:textId="77777777" w:rsidR="00D42204" w:rsidRDefault="004E439D">
            <w:pPr>
              <w:textAlignment w:val="center"/>
            </w:pPr>
            <w:r>
              <w:rPr>
                <w:rFonts w:ascii="Times New Roman" w:eastAsia="宋体" w:hAnsi="Times New Roman"/>
                <w:b/>
                <w:bCs/>
                <w:color w:val="000000"/>
                <w:sz w:val="16"/>
                <w:szCs w:val="16"/>
              </w:rPr>
              <w:t>Net income per common share:</w:t>
            </w:r>
          </w:p>
        </w:tc>
        <w:tc>
          <w:tcPr>
            <w:tcW w:w="0" w:type="auto"/>
            <w:gridSpan w:val="3"/>
            <w:shd w:val="clear" w:color="auto" w:fill="FFFFFF"/>
            <w:tcMar>
              <w:top w:w="0" w:type="dxa"/>
              <w:left w:w="20" w:type="dxa"/>
              <w:bottom w:w="0" w:type="dxa"/>
              <w:right w:w="20" w:type="dxa"/>
            </w:tcMar>
            <w:vAlign w:val="bottom"/>
          </w:tcPr>
          <w:p w14:paraId="35D0A34D"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34E"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34F"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350"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351"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352" w14:textId="77777777" w:rsidR="00D42204" w:rsidRDefault="00D42204">
            <w:pPr>
              <w:rPr>
                <w:rFonts w:ascii="宋体"/>
              </w:rPr>
            </w:pPr>
          </w:p>
        </w:tc>
      </w:tr>
      <w:tr w:rsidR="00D42204" w14:paraId="35D0A361" w14:textId="77777777">
        <w:trPr>
          <w:jc w:val="center"/>
        </w:trPr>
        <w:tc>
          <w:tcPr>
            <w:tcW w:w="0" w:type="auto"/>
            <w:gridSpan w:val="3"/>
            <w:shd w:val="clear" w:color="auto" w:fill="CCEEFF"/>
            <w:tcMar>
              <w:top w:w="40" w:type="dxa"/>
              <w:left w:w="380" w:type="dxa"/>
              <w:bottom w:w="40" w:type="dxa"/>
              <w:right w:w="20" w:type="dxa"/>
            </w:tcMar>
            <w:vAlign w:val="center"/>
          </w:tcPr>
          <w:p w14:paraId="35D0A354" w14:textId="77777777" w:rsidR="00D42204" w:rsidRDefault="004E439D">
            <w:pPr>
              <w:textAlignment w:val="center"/>
            </w:pPr>
            <w:r>
              <w:rPr>
                <w:rFonts w:ascii="Times New Roman" w:eastAsia="宋体" w:hAnsi="Times New Roman"/>
                <w:color w:val="000000"/>
                <w:sz w:val="16"/>
                <w:szCs w:val="16"/>
              </w:rPr>
              <w:t>Basic net income per common share attributable to Walmart</w:t>
            </w:r>
          </w:p>
        </w:tc>
        <w:tc>
          <w:tcPr>
            <w:tcW w:w="0" w:type="auto"/>
            <w:gridSpan w:val="3"/>
            <w:shd w:val="clear" w:color="auto" w:fill="CCEEFF"/>
            <w:tcMar>
              <w:top w:w="0" w:type="dxa"/>
              <w:left w:w="20" w:type="dxa"/>
              <w:bottom w:w="0" w:type="dxa"/>
              <w:right w:w="20" w:type="dxa"/>
            </w:tcMar>
            <w:vAlign w:val="bottom"/>
          </w:tcPr>
          <w:p w14:paraId="35D0A355"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A356"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A357" w14:textId="77777777" w:rsidR="00D42204" w:rsidRDefault="004E439D">
            <w:pPr>
              <w:jc w:val="right"/>
              <w:textAlignment w:val="center"/>
            </w:pPr>
            <w:r>
              <w:rPr>
                <w:rFonts w:ascii="Times New Roman" w:eastAsia="宋体" w:hAnsi="Times New Roman"/>
                <w:color w:val="000000"/>
                <w:sz w:val="16"/>
                <w:szCs w:val="16"/>
              </w:rPr>
              <w:t>4.90 </w:t>
            </w:r>
          </w:p>
        </w:tc>
        <w:tc>
          <w:tcPr>
            <w:tcW w:w="0" w:type="auto"/>
            <w:shd w:val="clear" w:color="auto" w:fill="CCEEFF"/>
            <w:tcMar>
              <w:top w:w="40" w:type="dxa"/>
              <w:left w:w="0" w:type="dxa"/>
              <w:bottom w:w="40" w:type="dxa"/>
              <w:right w:w="20" w:type="dxa"/>
            </w:tcMar>
            <w:vAlign w:val="center"/>
          </w:tcPr>
          <w:p w14:paraId="35D0A35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359"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A35A"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A35B" w14:textId="77777777" w:rsidR="00D42204" w:rsidRDefault="004E439D">
            <w:pPr>
              <w:jc w:val="right"/>
              <w:textAlignment w:val="center"/>
            </w:pPr>
            <w:r>
              <w:rPr>
                <w:rFonts w:ascii="Times New Roman" w:eastAsia="宋体" w:hAnsi="Times New Roman"/>
                <w:color w:val="000000"/>
                <w:sz w:val="16"/>
                <w:szCs w:val="16"/>
              </w:rPr>
              <w:t>4.77 </w:t>
            </w:r>
          </w:p>
        </w:tc>
        <w:tc>
          <w:tcPr>
            <w:tcW w:w="0" w:type="auto"/>
            <w:shd w:val="clear" w:color="auto" w:fill="CCEEFF"/>
            <w:tcMar>
              <w:top w:w="40" w:type="dxa"/>
              <w:left w:w="0" w:type="dxa"/>
              <w:bottom w:w="40" w:type="dxa"/>
              <w:right w:w="20" w:type="dxa"/>
            </w:tcMar>
            <w:vAlign w:val="center"/>
          </w:tcPr>
          <w:p w14:paraId="35D0A35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35D"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A35E"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A35F" w14:textId="77777777" w:rsidR="00D42204" w:rsidRDefault="004E439D">
            <w:pPr>
              <w:jc w:val="right"/>
              <w:textAlignment w:val="center"/>
            </w:pPr>
            <w:r>
              <w:rPr>
                <w:rFonts w:ascii="Times New Roman" w:eastAsia="宋体" w:hAnsi="Times New Roman"/>
                <w:color w:val="000000"/>
                <w:sz w:val="16"/>
                <w:szCs w:val="16"/>
              </w:rPr>
              <w:t>5.22 </w:t>
            </w:r>
          </w:p>
        </w:tc>
        <w:tc>
          <w:tcPr>
            <w:tcW w:w="0" w:type="auto"/>
            <w:shd w:val="clear" w:color="auto" w:fill="CCEEFF"/>
            <w:tcMar>
              <w:top w:w="40" w:type="dxa"/>
              <w:left w:w="0" w:type="dxa"/>
              <w:bottom w:w="40" w:type="dxa"/>
              <w:right w:w="20" w:type="dxa"/>
            </w:tcMar>
            <w:vAlign w:val="center"/>
          </w:tcPr>
          <w:p w14:paraId="35D0A360" w14:textId="77777777" w:rsidR="00D42204" w:rsidRDefault="00D42204">
            <w:pPr>
              <w:jc w:val="right"/>
              <w:rPr>
                <w:rFonts w:ascii="宋体"/>
              </w:rPr>
            </w:pPr>
          </w:p>
        </w:tc>
      </w:tr>
      <w:tr w:rsidR="00D42204" w14:paraId="35D0A36C" w14:textId="77777777">
        <w:trPr>
          <w:jc w:val="center"/>
        </w:trPr>
        <w:tc>
          <w:tcPr>
            <w:tcW w:w="0" w:type="auto"/>
            <w:gridSpan w:val="3"/>
            <w:shd w:val="clear" w:color="auto" w:fill="FFFFFF"/>
            <w:tcMar>
              <w:top w:w="40" w:type="dxa"/>
              <w:left w:w="380" w:type="dxa"/>
              <w:bottom w:w="40" w:type="dxa"/>
              <w:right w:w="20" w:type="dxa"/>
            </w:tcMar>
            <w:vAlign w:val="center"/>
          </w:tcPr>
          <w:p w14:paraId="35D0A362" w14:textId="77777777" w:rsidR="00D42204" w:rsidRDefault="004E439D">
            <w:pPr>
              <w:textAlignment w:val="center"/>
            </w:pPr>
            <w:r>
              <w:rPr>
                <w:rFonts w:ascii="Times New Roman" w:eastAsia="宋体" w:hAnsi="Times New Roman"/>
                <w:color w:val="000000"/>
                <w:sz w:val="16"/>
                <w:szCs w:val="16"/>
              </w:rPr>
              <w:t>Diluted net income per common share attributable to Walmart</w:t>
            </w:r>
          </w:p>
        </w:tc>
        <w:tc>
          <w:tcPr>
            <w:tcW w:w="0" w:type="auto"/>
            <w:gridSpan w:val="3"/>
            <w:shd w:val="clear" w:color="auto" w:fill="FFFFFF"/>
            <w:tcMar>
              <w:top w:w="0" w:type="dxa"/>
              <w:left w:w="20" w:type="dxa"/>
              <w:bottom w:w="0" w:type="dxa"/>
              <w:right w:w="20" w:type="dxa"/>
            </w:tcMar>
            <w:vAlign w:val="bottom"/>
          </w:tcPr>
          <w:p w14:paraId="35D0A36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364" w14:textId="77777777" w:rsidR="00D42204" w:rsidRDefault="004E439D">
            <w:pPr>
              <w:jc w:val="right"/>
              <w:textAlignment w:val="center"/>
            </w:pPr>
            <w:r>
              <w:rPr>
                <w:rFonts w:ascii="Times New Roman" w:eastAsia="宋体" w:hAnsi="Times New Roman"/>
                <w:color w:val="000000"/>
                <w:sz w:val="16"/>
                <w:szCs w:val="16"/>
              </w:rPr>
              <w:t>4.87 </w:t>
            </w:r>
          </w:p>
        </w:tc>
        <w:tc>
          <w:tcPr>
            <w:tcW w:w="0" w:type="auto"/>
            <w:shd w:val="clear" w:color="auto" w:fill="FFFFFF"/>
            <w:tcMar>
              <w:top w:w="40" w:type="dxa"/>
              <w:left w:w="0" w:type="dxa"/>
              <w:bottom w:w="40" w:type="dxa"/>
              <w:right w:w="20" w:type="dxa"/>
            </w:tcMar>
            <w:vAlign w:val="center"/>
          </w:tcPr>
          <w:p w14:paraId="35D0A36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36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367" w14:textId="77777777" w:rsidR="00D42204" w:rsidRDefault="004E439D">
            <w:pPr>
              <w:jc w:val="right"/>
              <w:textAlignment w:val="center"/>
            </w:pPr>
            <w:r>
              <w:rPr>
                <w:rFonts w:ascii="Times New Roman" w:eastAsia="宋体" w:hAnsi="Times New Roman"/>
                <w:color w:val="000000"/>
                <w:sz w:val="16"/>
                <w:szCs w:val="16"/>
              </w:rPr>
              <w:t>4.75 </w:t>
            </w:r>
          </w:p>
        </w:tc>
        <w:tc>
          <w:tcPr>
            <w:tcW w:w="0" w:type="auto"/>
            <w:shd w:val="clear" w:color="auto" w:fill="FFFFFF"/>
            <w:tcMar>
              <w:top w:w="40" w:type="dxa"/>
              <w:left w:w="0" w:type="dxa"/>
              <w:bottom w:w="40" w:type="dxa"/>
              <w:right w:w="20" w:type="dxa"/>
            </w:tcMar>
            <w:vAlign w:val="center"/>
          </w:tcPr>
          <w:p w14:paraId="35D0A36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36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36A" w14:textId="77777777" w:rsidR="00D42204" w:rsidRDefault="004E439D">
            <w:pPr>
              <w:jc w:val="right"/>
              <w:textAlignment w:val="center"/>
            </w:pPr>
            <w:r>
              <w:rPr>
                <w:rFonts w:ascii="Times New Roman" w:eastAsia="宋体" w:hAnsi="Times New Roman"/>
                <w:color w:val="000000"/>
                <w:sz w:val="16"/>
                <w:szCs w:val="16"/>
              </w:rPr>
              <w:t>5.19 </w:t>
            </w:r>
          </w:p>
        </w:tc>
        <w:tc>
          <w:tcPr>
            <w:tcW w:w="0" w:type="auto"/>
            <w:shd w:val="clear" w:color="auto" w:fill="FFFFFF"/>
            <w:tcMar>
              <w:top w:w="40" w:type="dxa"/>
              <w:left w:w="0" w:type="dxa"/>
              <w:bottom w:w="40" w:type="dxa"/>
              <w:right w:w="20" w:type="dxa"/>
            </w:tcMar>
            <w:vAlign w:val="center"/>
          </w:tcPr>
          <w:p w14:paraId="35D0A36B" w14:textId="77777777" w:rsidR="00D42204" w:rsidRDefault="00D42204">
            <w:pPr>
              <w:jc w:val="right"/>
              <w:rPr>
                <w:rFonts w:ascii="宋体"/>
              </w:rPr>
            </w:pPr>
          </w:p>
        </w:tc>
      </w:tr>
      <w:tr w:rsidR="00D42204" w14:paraId="35D0A374" w14:textId="77777777">
        <w:trPr>
          <w:trHeight w:val="220"/>
          <w:jc w:val="center"/>
        </w:trPr>
        <w:tc>
          <w:tcPr>
            <w:tcW w:w="0" w:type="auto"/>
            <w:gridSpan w:val="3"/>
            <w:shd w:val="clear" w:color="auto" w:fill="CCEEFF"/>
            <w:tcMar>
              <w:top w:w="0" w:type="dxa"/>
              <w:left w:w="20" w:type="dxa"/>
              <w:bottom w:w="0" w:type="dxa"/>
              <w:right w:w="20" w:type="dxa"/>
            </w:tcMar>
            <w:vAlign w:val="bottom"/>
          </w:tcPr>
          <w:p w14:paraId="35D0A36D"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36E"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36F"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370"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371"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37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373" w14:textId="77777777" w:rsidR="00D42204" w:rsidRDefault="00D42204">
            <w:pPr>
              <w:rPr>
                <w:rFonts w:ascii="宋体"/>
              </w:rPr>
            </w:pPr>
          </w:p>
        </w:tc>
      </w:tr>
      <w:tr w:rsidR="00D42204" w14:paraId="35D0A37C" w14:textId="77777777">
        <w:trPr>
          <w:jc w:val="center"/>
        </w:trPr>
        <w:tc>
          <w:tcPr>
            <w:tcW w:w="0" w:type="auto"/>
            <w:gridSpan w:val="3"/>
            <w:shd w:val="clear" w:color="auto" w:fill="FFFFFF"/>
            <w:tcMar>
              <w:top w:w="40" w:type="dxa"/>
              <w:left w:w="20" w:type="dxa"/>
              <w:bottom w:w="40" w:type="dxa"/>
              <w:right w:w="20" w:type="dxa"/>
            </w:tcMar>
            <w:vAlign w:val="center"/>
          </w:tcPr>
          <w:p w14:paraId="35D0A375" w14:textId="77777777" w:rsidR="00D42204" w:rsidRDefault="004E439D">
            <w:pPr>
              <w:textAlignment w:val="center"/>
            </w:pPr>
            <w:r>
              <w:rPr>
                <w:rFonts w:ascii="Times New Roman" w:eastAsia="宋体" w:hAnsi="Times New Roman"/>
                <w:b/>
                <w:bCs/>
                <w:color w:val="000000"/>
                <w:sz w:val="16"/>
                <w:szCs w:val="16"/>
              </w:rPr>
              <w:t>Weighted-average common shares outstanding:</w:t>
            </w:r>
          </w:p>
        </w:tc>
        <w:tc>
          <w:tcPr>
            <w:tcW w:w="0" w:type="auto"/>
            <w:gridSpan w:val="3"/>
            <w:shd w:val="clear" w:color="auto" w:fill="FFFFFF"/>
            <w:tcMar>
              <w:top w:w="0" w:type="dxa"/>
              <w:left w:w="20" w:type="dxa"/>
              <w:bottom w:w="0" w:type="dxa"/>
              <w:right w:w="20" w:type="dxa"/>
            </w:tcMar>
            <w:vAlign w:val="bottom"/>
          </w:tcPr>
          <w:p w14:paraId="35D0A376"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377"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378"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379"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37A"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37B" w14:textId="77777777" w:rsidR="00D42204" w:rsidRDefault="00D42204">
            <w:pPr>
              <w:rPr>
                <w:rFonts w:ascii="宋体"/>
              </w:rPr>
            </w:pPr>
          </w:p>
        </w:tc>
      </w:tr>
      <w:tr w:rsidR="00D42204" w14:paraId="35D0A387" w14:textId="77777777">
        <w:trPr>
          <w:jc w:val="center"/>
        </w:trPr>
        <w:tc>
          <w:tcPr>
            <w:tcW w:w="0" w:type="auto"/>
            <w:gridSpan w:val="3"/>
            <w:shd w:val="clear" w:color="auto" w:fill="CCEEFF"/>
            <w:tcMar>
              <w:top w:w="40" w:type="dxa"/>
              <w:left w:w="380" w:type="dxa"/>
              <w:bottom w:w="40" w:type="dxa"/>
              <w:right w:w="20" w:type="dxa"/>
            </w:tcMar>
            <w:vAlign w:val="center"/>
          </w:tcPr>
          <w:p w14:paraId="35D0A37D" w14:textId="77777777" w:rsidR="00D42204" w:rsidRDefault="004E439D">
            <w:pPr>
              <w:textAlignment w:val="center"/>
            </w:pPr>
            <w:r>
              <w:rPr>
                <w:rFonts w:ascii="Times New Roman" w:eastAsia="宋体" w:hAnsi="Times New Roman"/>
                <w:color w:val="000000"/>
                <w:sz w:val="16"/>
                <w:szCs w:val="16"/>
              </w:rPr>
              <w:t>Basic</w:t>
            </w:r>
          </w:p>
        </w:tc>
        <w:tc>
          <w:tcPr>
            <w:tcW w:w="0" w:type="auto"/>
            <w:gridSpan w:val="3"/>
            <w:shd w:val="clear" w:color="auto" w:fill="CCEEFF"/>
            <w:tcMar>
              <w:top w:w="0" w:type="dxa"/>
              <w:left w:w="20" w:type="dxa"/>
              <w:bottom w:w="0" w:type="dxa"/>
              <w:right w:w="20" w:type="dxa"/>
            </w:tcMar>
            <w:vAlign w:val="bottom"/>
          </w:tcPr>
          <w:p w14:paraId="35D0A37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37F" w14:textId="77777777" w:rsidR="00D42204" w:rsidRDefault="004E439D">
            <w:pPr>
              <w:jc w:val="right"/>
              <w:textAlignment w:val="bottom"/>
            </w:pPr>
            <w:r>
              <w:rPr>
                <w:rFonts w:ascii="Times New Roman" w:eastAsia="宋体" w:hAnsi="Times New Roman"/>
                <w:color w:val="000000"/>
                <w:sz w:val="16"/>
                <w:szCs w:val="16"/>
              </w:rPr>
              <w:t>2,792 </w:t>
            </w:r>
          </w:p>
        </w:tc>
        <w:tc>
          <w:tcPr>
            <w:tcW w:w="0" w:type="auto"/>
            <w:shd w:val="clear" w:color="auto" w:fill="CCEEFF"/>
            <w:tcMar>
              <w:top w:w="40" w:type="dxa"/>
              <w:left w:w="0" w:type="dxa"/>
              <w:bottom w:w="40" w:type="dxa"/>
              <w:right w:w="20" w:type="dxa"/>
            </w:tcMar>
            <w:vAlign w:val="bottom"/>
          </w:tcPr>
          <w:p w14:paraId="35D0A38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38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382" w14:textId="77777777" w:rsidR="00D42204" w:rsidRDefault="004E439D">
            <w:pPr>
              <w:jc w:val="right"/>
              <w:textAlignment w:val="bottom"/>
            </w:pPr>
            <w:r>
              <w:rPr>
                <w:rFonts w:ascii="Times New Roman" w:eastAsia="宋体" w:hAnsi="Times New Roman"/>
                <w:color w:val="000000"/>
                <w:sz w:val="16"/>
                <w:szCs w:val="16"/>
              </w:rPr>
              <w:t>2,831 </w:t>
            </w:r>
          </w:p>
        </w:tc>
        <w:tc>
          <w:tcPr>
            <w:tcW w:w="0" w:type="auto"/>
            <w:shd w:val="clear" w:color="auto" w:fill="CCEEFF"/>
            <w:tcMar>
              <w:top w:w="40" w:type="dxa"/>
              <w:left w:w="0" w:type="dxa"/>
              <w:bottom w:w="40" w:type="dxa"/>
              <w:right w:w="20" w:type="dxa"/>
            </w:tcMar>
            <w:vAlign w:val="bottom"/>
          </w:tcPr>
          <w:p w14:paraId="35D0A38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38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385" w14:textId="77777777" w:rsidR="00D42204" w:rsidRDefault="004E439D">
            <w:pPr>
              <w:jc w:val="right"/>
              <w:textAlignment w:val="bottom"/>
            </w:pPr>
            <w:r>
              <w:rPr>
                <w:rFonts w:ascii="Times New Roman" w:eastAsia="宋体" w:hAnsi="Times New Roman"/>
                <w:color w:val="000000"/>
                <w:sz w:val="16"/>
                <w:szCs w:val="16"/>
              </w:rPr>
              <w:t>2,850 </w:t>
            </w:r>
          </w:p>
        </w:tc>
        <w:tc>
          <w:tcPr>
            <w:tcW w:w="0" w:type="auto"/>
            <w:shd w:val="clear" w:color="auto" w:fill="CCEEFF"/>
            <w:tcMar>
              <w:top w:w="40" w:type="dxa"/>
              <w:left w:w="0" w:type="dxa"/>
              <w:bottom w:w="40" w:type="dxa"/>
              <w:right w:w="20" w:type="dxa"/>
            </w:tcMar>
            <w:vAlign w:val="bottom"/>
          </w:tcPr>
          <w:p w14:paraId="35D0A386" w14:textId="77777777" w:rsidR="00D42204" w:rsidRDefault="00D42204">
            <w:pPr>
              <w:jc w:val="right"/>
              <w:rPr>
                <w:rFonts w:ascii="宋体"/>
              </w:rPr>
            </w:pPr>
          </w:p>
        </w:tc>
      </w:tr>
      <w:tr w:rsidR="00D42204" w14:paraId="35D0A392" w14:textId="77777777">
        <w:trPr>
          <w:jc w:val="center"/>
        </w:trPr>
        <w:tc>
          <w:tcPr>
            <w:tcW w:w="0" w:type="auto"/>
            <w:gridSpan w:val="3"/>
            <w:shd w:val="clear" w:color="auto" w:fill="FFFFFF"/>
            <w:tcMar>
              <w:top w:w="40" w:type="dxa"/>
              <w:left w:w="380" w:type="dxa"/>
              <w:bottom w:w="40" w:type="dxa"/>
              <w:right w:w="20" w:type="dxa"/>
            </w:tcMar>
            <w:vAlign w:val="center"/>
          </w:tcPr>
          <w:p w14:paraId="35D0A388" w14:textId="77777777" w:rsidR="00D42204" w:rsidRDefault="004E439D">
            <w:pPr>
              <w:textAlignment w:val="center"/>
            </w:pPr>
            <w:r>
              <w:rPr>
                <w:rFonts w:ascii="Times New Roman" w:eastAsia="宋体" w:hAnsi="Times New Roman"/>
                <w:color w:val="000000"/>
                <w:sz w:val="16"/>
                <w:szCs w:val="16"/>
              </w:rPr>
              <w:t>Diluted</w:t>
            </w:r>
          </w:p>
        </w:tc>
        <w:tc>
          <w:tcPr>
            <w:tcW w:w="0" w:type="auto"/>
            <w:gridSpan w:val="3"/>
            <w:shd w:val="clear" w:color="auto" w:fill="FFFFFF"/>
            <w:tcMar>
              <w:top w:w="0" w:type="dxa"/>
              <w:left w:w="20" w:type="dxa"/>
              <w:bottom w:w="0" w:type="dxa"/>
              <w:right w:w="20" w:type="dxa"/>
            </w:tcMar>
            <w:vAlign w:val="bottom"/>
          </w:tcPr>
          <w:p w14:paraId="35D0A38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A38A" w14:textId="77777777" w:rsidR="00D42204" w:rsidRDefault="004E439D">
            <w:pPr>
              <w:jc w:val="right"/>
              <w:textAlignment w:val="bottom"/>
            </w:pPr>
            <w:r>
              <w:rPr>
                <w:rFonts w:ascii="Times New Roman" w:eastAsia="宋体" w:hAnsi="Times New Roman"/>
                <w:color w:val="000000"/>
                <w:sz w:val="16"/>
                <w:szCs w:val="16"/>
              </w:rPr>
              <w:t>2,805 </w:t>
            </w:r>
          </w:p>
        </w:tc>
        <w:tc>
          <w:tcPr>
            <w:tcW w:w="0" w:type="auto"/>
            <w:shd w:val="clear" w:color="auto" w:fill="FFFFFF"/>
            <w:tcMar>
              <w:top w:w="40" w:type="dxa"/>
              <w:left w:w="0" w:type="dxa"/>
              <w:bottom w:w="40" w:type="dxa"/>
              <w:right w:w="20" w:type="dxa"/>
            </w:tcMar>
            <w:vAlign w:val="bottom"/>
          </w:tcPr>
          <w:p w14:paraId="35D0A38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38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A38D" w14:textId="77777777" w:rsidR="00D42204" w:rsidRDefault="004E439D">
            <w:pPr>
              <w:jc w:val="right"/>
              <w:textAlignment w:val="bottom"/>
            </w:pPr>
            <w:r>
              <w:rPr>
                <w:rFonts w:ascii="Times New Roman" w:eastAsia="宋体" w:hAnsi="Times New Roman"/>
                <w:color w:val="000000"/>
                <w:sz w:val="16"/>
                <w:szCs w:val="16"/>
              </w:rPr>
              <w:t>2,847 </w:t>
            </w:r>
          </w:p>
        </w:tc>
        <w:tc>
          <w:tcPr>
            <w:tcW w:w="0" w:type="auto"/>
            <w:shd w:val="clear" w:color="auto" w:fill="FFFFFF"/>
            <w:tcMar>
              <w:top w:w="40" w:type="dxa"/>
              <w:left w:w="0" w:type="dxa"/>
              <w:bottom w:w="40" w:type="dxa"/>
              <w:right w:w="20" w:type="dxa"/>
            </w:tcMar>
            <w:vAlign w:val="bottom"/>
          </w:tcPr>
          <w:p w14:paraId="35D0A38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38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A390" w14:textId="77777777" w:rsidR="00D42204" w:rsidRDefault="004E439D">
            <w:pPr>
              <w:jc w:val="right"/>
              <w:textAlignment w:val="bottom"/>
            </w:pPr>
            <w:r>
              <w:rPr>
                <w:rFonts w:ascii="Times New Roman" w:eastAsia="宋体" w:hAnsi="Times New Roman"/>
                <w:color w:val="000000"/>
                <w:sz w:val="16"/>
                <w:szCs w:val="16"/>
              </w:rPr>
              <w:t>2,868 </w:t>
            </w:r>
          </w:p>
        </w:tc>
        <w:tc>
          <w:tcPr>
            <w:tcW w:w="0" w:type="auto"/>
            <w:shd w:val="clear" w:color="auto" w:fill="FFFFFF"/>
            <w:tcMar>
              <w:top w:w="40" w:type="dxa"/>
              <w:left w:w="0" w:type="dxa"/>
              <w:bottom w:w="40" w:type="dxa"/>
              <w:right w:w="20" w:type="dxa"/>
            </w:tcMar>
            <w:vAlign w:val="bottom"/>
          </w:tcPr>
          <w:p w14:paraId="35D0A391" w14:textId="77777777" w:rsidR="00D42204" w:rsidRDefault="00D42204">
            <w:pPr>
              <w:jc w:val="right"/>
              <w:rPr>
                <w:rFonts w:ascii="宋体"/>
              </w:rPr>
            </w:pPr>
          </w:p>
        </w:tc>
      </w:tr>
      <w:tr w:rsidR="00D42204" w14:paraId="35D0A39A" w14:textId="77777777">
        <w:trPr>
          <w:trHeight w:val="220"/>
          <w:jc w:val="center"/>
        </w:trPr>
        <w:tc>
          <w:tcPr>
            <w:tcW w:w="0" w:type="auto"/>
            <w:gridSpan w:val="3"/>
            <w:shd w:val="clear" w:color="auto" w:fill="CCEEFF"/>
            <w:tcMar>
              <w:top w:w="0" w:type="dxa"/>
              <w:left w:w="20" w:type="dxa"/>
              <w:bottom w:w="0" w:type="dxa"/>
              <w:right w:w="20" w:type="dxa"/>
            </w:tcMar>
            <w:vAlign w:val="bottom"/>
          </w:tcPr>
          <w:p w14:paraId="35D0A393"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394"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395"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396"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397"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39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399" w14:textId="77777777" w:rsidR="00D42204" w:rsidRDefault="00D42204">
            <w:pPr>
              <w:rPr>
                <w:rFonts w:ascii="宋体"/>
              </w:rPr>
            </w:pPr>
          </w:p>
        </w:tc>
      </w:tr>
      <w:tr w:rsidR="00D42204" w14:paraId="35D0A3A8" w14:textId="77777777">
        <w:trPr>
          <w:jc w:val="center"/>
        </w:trPr>
        <w:tc>
          <w:tcPr>
            <w:tcW w:w="0" w:type="auto"/>
            <w:gridSpan w:val="3"/>
            <w:shd w:val="clear" w:color="auto" w:fill="FFFFFF"/>
            <w:tcMar>
              <w:top w:w="40" w:type="dxa"/>
              <w:left w:w="20" w:type="dxa"/>
              <w:bottom w:w="40" w:type="dxa"/>
              <w:right w:w="20" w:type="dxa"/>
            </w:tcMar>
            <w:vAlign w:val="center"/>
          </w:tcPr>
          <w:p w14:paraId="35D0A39B" w14:textId="77777777" w:rsidR="00D42204" w:rsidRDefault="004E439D">
            <w:pPr>
              <w:textAlignment w:val="center"/>
            </w:pPr>
            <w:r>
              <w:rPr>
                <w:rFonts w:ascii="Times New Roman" w:eastAsia="宋体" w:hAnsi="Times New Roman"/>
                <w:b/>
                <w:bCs/>
                <w:color w:val="000000"/>
                <w:sz w:val="16"/>
                <w:szCs w:val="16"/>
              </w:rPr>
              <w:t>Dividends declared per common share</w:t>
            </w:r>
          </w:p>
        </w:tc>
        <w:tc>
          <w:tcPr>
            <w:tcW w:w="0" w:type="auto"/>
            <w:gridSpan w:val="3"/>
            <w:shd w:val="clear" w:color="auto" w:fill="FFFFFF"/>
            <w:tcMar>
              <w:top w:w="0" w:type="dxa"/>
              <w:left w:w="20" w:type="dxa"/>
              <w:bottom w:w="0" w:type="dxa"/>
              <w:right w:w="20" w:type="dxa"/>
            </w:tcMar>
            <w:vAlign w:val="bottom"/>
          </w:tcPr>
          <w:p w14:paraId="35D0A39C" w14:textId="77777777" w:rsidR="00D42204" w:rsidRDefault="00D42204">
            <w:pPr>
              <w:rPr>
                <w:rFonts w:ascii="宋体"/>
              </w:rPr>
            </w:pPr>
          </w:p>
        </w:tc>
        <w:tc>
          <w:tcPr>
            <w:tcW w:w="0" w:type="auto"/>
            <w:shd w:val="clear" w:color="auto" w:fill="FFFFFF"/>
            <w:tcMar>
              <w:top w:w="40" w:type="dxa"/>
              <w:left w:w="20" w:type="dxa"/>
              <w:bottom w:w="40" w:type="dxa"/>
              <w:right w:w="0" w:type="dxa"/>
            </w:tcMar>
            <w:vAlign w:val="bottom"/>
          </w:tcPr>
          <w:p w14:paraId="35D0A39D" w14:textId="77777777" w:rsidR="00D42204" w:rsidRDefault="004E439D">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35D0A39E" w14:textId="77777777" w:rsidR="00D42204" w:rsidRDefault="004E439D">
            <w:pPr>
              <w:jc w:val="right"/>
              <w:textAlignment w:val="bottom"/>
            </w:pPr>
            <w:r>
              <w:rPr>
                <w:rFonts w:ascii="Times New Roman" w:eastAsia="宋体" w:hAnsi="Times New Roman"/>
                <w:color w:val="000000"/>
                <w:sz w:val="16"/>
                <w:szCs w:val="16"/>
              </w:rPr>
              <w:t>2.20 </w:t>
            </w:r>
          </w:p>
        </w:tc>
        <w:tc>
          <w:tcPr>
            <w:tcW w:w="0" w:type="auto"/>
            <w:shd w:val="clear" w:color="auto" w:fill="FFFFFF"/>
            <w:tcMar>
              <w:top w:w="40" w:type="dxa"/>
              <w:left w:w="0" w:type="dxa"/>
              <w:bottom w:w="40" w:type="dxa"/>
              <w:right w:w="20" w:type="dxa"/>
            </w:tcMar>
            <w:vAlign w:val="bottom"/>
          </w:tcPr>
          <w:p w14:paraId="35D0A39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3A0" w14:textId="77777777" w:rsidR="00D42204" w:rsidRDefault="00D42204">
            <w:pPr>
              <w:rPr>
                <w:rFonts w:ascii="宋体"/>
              </w:rPr>
            </w:pPr>
          </w:p>
        </w:tc>
        <w:tc>
          <w:tcPr>
            <w:tcW w:w="0" w:type="auto"/>
            <w:shd w:val="clear" w:color="auto" w:fill="FFFFFF"/>
            <w:tcMar>
              <w:top w:w="40" w:type="dxa"/>
              <w:left w:w="20" w:type="dxa"/>
              <w:bottom w:w="40" w:type="dxa"/>
              <w:right w:w="0" w:type="dxa"/>
            </w:tcMar>
            <w:vAlign w:val="bottom"/>
          </w:tcPr>
          <w:p w14:paraId="35D0A3A1" w14:textId="77777777" w:rsidR="00D42204" w:rsidRDefault="004E439D">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35D0A3A2" w14:textId="77777777" w:rsidR="00D42204" w:rsidRDefault="004E439D">
            <w:pPr>
              <w:jc w:val="right"/>
              <w:textAlignment w:val="bottom"/>
            </w:pPr>
            <w:r>
              <w:rPr>
                <w:rFonts w:ascii="Times New Roman" w:eastAsia="宋体" w:hAnsi="Times New Roman"/>
                <w:color w:val="000000"/>
                <w:sz w:val="16"/>
                <w:szCs w:val="16"/>
              </w:rPr>
              <w:t>2.16 </w:t>
            </w:r>
          </w:p>
        </w:tc>
        <w:tc>
          <w:tcPr>
            <w:tcW w:w="0" w:type="auto"/>
            <w:shd w:val="clear" w:color="auto" w:fill="FFFFFF"/>
            <w:tcMar>
              <w:top w:w="40" w:type="dxa"/>
              <w:left w:w="0" w:type="dxa"/>
              <w:bottom w:w="40" w:type="dxa"/>
              <w:right w:w="20" w:type="dxa"/>
            </w:tcMar>
            <w:vAlign w:val="bottom"/>
          </w:tcPr>
          <w:p w14:paraId="35D0A3A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3A4" w14:textId="77777777" w:rsidR="00D42204" w:rsidRDefault="00D42204">
            <w:pPr>
              <w:rPr>
                <w:rFonts w:ascii="宋体"/>
              </w:rPr>
            </w:pPr>
          </w:p>
        </w:tc>
        <w:tc>
          <w:tcPr>
            <w:tcW w:w="0" w:type="auto"/>
            <w:shd w:val="clear" w:color="auto" w:fill="FFFFFF"/>
            <w:tcMar>
              <w:top w:w="40" w:type="dxa"/>
              <w:left w:w="20" w:type="dxa"/>
              <w:bottom w:w="40" w:type="dxa"/>
              <w:right w:w="0" w:type="dxa"/>
            </w:tcMar>
            <w:vAlign w:val="bottom"/>
          </w:tcPr>
          <w:p w14:paraId="35D0A3A5" w14:textId="77777777" w:rsidR="00D42204" w:rsidRDefault="004E439D">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35D0A3A6" w14:textId="77777777" w:rsidR="00D42204" w:rsidRDefault="004E439D">
            <w:pPr>
              <w:jc w:val="right"/>
              <w:textAlignment w:val="bottom"/>
            </w:pPr>
            <w:r>
              <w:rPr>
                <w:rFonts w:ascii="Times New Roman" w:eastAsia="宋体" w:hAnsi="Times New Roman"/>
                <w:color w:val="000000"/>
                <w:sz w:val="16"/>
                <w:szCs w:val="16"/>
              </w:rPr>
              <w:t>2.12 </w:t>
            </w:r>
          </w:p>
        </w:tc>
        <w:tc>
          <w:tcPr>
            <w:tcW w:w="0" w:type="auto"/>
            <w:shd w:val="clear" w:color="auto" w:fill="FFFFFF"/>
            <w:tcMar>
              <w:top w:w="40" w:type="dxa"/>
              <w:left w:w="0" w:type="dxa"/>
              <w:bottom w:w="40" w:type="dxa"/>
              <w:right w:w="20" w:type="dxa"/>
            </w:tcMar>
            <w:vAlign w:val="bottom"/>
          </w:tcPr>
          <w:p w14:paraId="35D0A3A7" w14:textId="77777777" w:rsidR="00D42204" w:rsidRDefault="00D42204">
            <w:pPr>
              <w:jc w:val="right"/>
              <w:rPr>
                <w:rFonts w:ascii="宋体"/>
              </w:rPr>
            </w:pPr>
          </w:p>
        </w:tc>
      </w:tr>
    </w:tbl>
    <w:p w14:paraId="35D0A3A9" w14:textId="77777777" w:rsidR="00D42204" w:rsidRDefault="004E439D">
      <w:pPr>
        <w:spacing w:before="80"/>
      </w:pPr>
      <w:r>
        <w:rPr>
          <w:rFonts w:ascii="Times New Roman" w:eastAsia="宋体" w:hAnsi="Times New Roman"/>
          <w:i/>
          <w:iCs/>
          <w:color w:val="000000"/>
          <w:sz w:val="16"/>
          <w:szCs w:val="16"/>
        </w:rPr>
        <w:t xml:space="preserve">See accompanying notes. </w:t>
      </w:r>
    </w:p>
    <w:p w14:paraId="35D0A3AA" w14:textId="77777777" w:rsidR="00D42204" w:rsidRDefault="004E439D">
      <w:pPr>
        <w:jc w:val="center"/>
      </w:pPr>
      <w:r>
        <w:rPr>
          <w:rFonts w:ascii="Times New Roman" w:eastAsia="宋体" w:hAnsi="Times New Roman"/>
          <w:color w:val="000000"/>
          <w:sz w:val="20"/>
          <w:szCs w:val="20"/>
        </w:rPr>
        <w:t>53</w:t>
      </w:r>
    </w:p>
    <w:p w14:paraId="35D0A3AB" w14:textId="77777777" w:rsidR="00D42204" w:rsidRDefault="004E439D">
      <w:r>
        <w:pict w14:anchorId="35D0C390">
          <v:rect id="_x0000_i1077" style="width:415.3pt;height:1.5pt" o:hralign="center" o:hrstd="t" o:hr="t" fillcolor="#a0a0a0" stroked="f"/>
        </w:pict>
      </w:r>
    </w:p>
    <w:p w14:paraId="35D0A3AC" w14:textId="77777777" w:rsidR="00D42204" w:rsidRDefault="00D42204"/>
    <w:p w14:paraId="35D0A3AD" w14:textId="77777777" w:rsidR="00D42204" w:rsidRDefault="004E439D">
      <w:pPr>
        <w:jc w:val="center"/>
      </w:pPr>
      <w:r>
        <w:rPr>
          <w:rFonts w:ascii="Times New Roman" w:eastAsia="宋体" w:hAnsi="Times New Roman"/>
          <w:b/>
          <w:bCs/>
          <w:color w:val="000000"/>
          <w:sz w:val="20"/>
          <w:szCs w:val="20"/>
        </w:rPr>
        <w:t>Walmart Inc.</w:t>
      </w:r>
    </w:p>
    <w:p w14:paraId="35D0A3AE" w14:textId="77777777" w:rsidR="00D42204" w:rsidRDefault="004E439D">
      <w:pPr>
        <w:spacing w:before="60"/>
        <w:jc w:val="center"/>
      </w:pPr>
      <w:r>
        <w:rPr>
          <w:rFonts w:ascii="Times New Roman" w:eastAsia="宋体" w:hAnsi="Times New Roman"/>
          <w:b/>
          <w:bCs/>
          <w:color w:val="000000"/>
          <w:sz w:val="20"/>
          <w:szCs w:val="20"/>
        </w:rPr>
        <w:t>Consolidated Statements of Comprehensive 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4919"/>
        <w:gridCol w:w="39"/>
        <w:gridCol w:w="36"/>
        <w:gridCol w:w="36"/>
        <w:gridCol w:w="36"/>
        <w:gridCol w:w="100"/>
        <w:gridCol w:w="867"/>
        <w:gridCol w:w="36"/>
        <w:gridCol w:w="36"/>
        <w:gridCol w:w="36"/>
        <w:gridCol w:w="36"/>
        <w:gridCol w:w="100"/>
        <w:gridCol w:w="867"/>
        <w:gridCol w:w="36"/>
        <w:gridCol w:w="36"/>
        <w:gridCol w:w="36"/>
        <w:gridCol w:w="36"/>
        <w:gridCol w:w="100"/>
        <w:gridCol w:w="870"/>
        <w:gridCol w:w="36"/>
      </w:tblGrid>
      <w:tr w:rsidR="00D42204" w14:paraId="35D0A3C4" w14:textId="77777777">
        <w:trPr>
          <w:jc w:val="center"/>
        </w:trPr>
        <w:tc>
          <w:tcPr>
            <w:tcW w:w="50" w:type="pct"/>
            <w:shd w:val="clear" w:color="auto" w:fill="auto"/>
            <w:vAlign w:val="bottom"/>
          </w:tcPr>
          <w:p w14:paraId="35D0A3AF" w14:textId="77777777" w:rsidR="00D42204" w:rsidRDefault="00D42204">
            <w:pPr>
              <w:rPr>
                <w:rFonts w:ascii="宋体"/>
              </w:rPr>
            </w:pPr>
          </w:p>
        </w:tc>
        <w:tc>
          <w:tcPr>
            <w:tcW w:w="2974" w:type="pct"/>
            <w:shd w:val="clear" w:color="auto" w:fill="auto"/>
            <w:vAlign w:val="bottom"/>
          </w:tcPr>
          <w:p w14:paraId="35D0A3B0" w14:textId="77777777" w:rsidR="00D42204" w:rsidRDefault="00D42204">
            <w:pPr>
              <w:rPr>
                <w:rFonts w:ascii="宋体"/>
              </w:rPr>
            </w:pPr>
          </w:p>
        </w:tc>
        <w:tc>
          <w:tcPr>
            <w:tcW w:w="5" w:type="pct"/>
            <w:shd w:val="clear" w:color="auto" w:fill="auto"/>
            <w:vAlign w:val="bottom"/>
          </w:tcPr>
          <w:p w14:paraId="35D0A3B1" w14:textId="77777777" w:rsidR="00D42204" w:rsidRDefault="00D42204">
            <w:pPr>
              <w:rPr>
                <w:rFonts w:ascii="宋体"/>
              </w:rPr>
            </w:pPr>
          </w:p>
        </w:tc>
        <w:tc>
          <w:tcPr>
            <w:tcW w:w="5" w:type="pct"/>
            <w:shd w:val="clear" w:color="auto" w:fill="auto"/>
            <w:vAlign w:val="bottom"/>
          </w:tcPr>
          <w:p w14:paraId="35D0A3B2" w14:textId="77777777" w:rsidR="00D42204" w:rsidRDefault="00D42204">
            <w:pPr>
              <w:rPr>
                <w:rFonts w:ascii="宋体"/>
              </w:rPr>
            </w:pPr>
          </w:p>
        </w:tc>
        <w:tc>
          <w:tcPr>
            <w:tcW w:w="41" w:type="pct"/>
            <w:shd w:val="clear" w:color="auto" w:fill="auto"/>
            <w:vAlign w:val="bottom"/>
          </w:tcPr>
          <w:p w14:paraId="35D0A3B3" w14:textId="77777777" w:rsidR="00D42204" w:rsidRDefault="00D42204">
            <w:pPr>
              <w:rPr>
                <w:rFonts w:ascii="宋体"/>
              </w:rPr>
            </w:pPr>
          </w:p>
        </w:tc>
        <w:tc>
          <w:tcPr>
            <w:tcW w:w="5" w:type="pct"/>
            <w:shd w:val="clear" w:color="auto" w:fill="auto"/>
            <w:vAlign w:val="bottom"/>
          </w:tcPr>
          <w:p w14:paraId="35D0A3B4" w14:textId="77777777" w:rsidR="00D42204" w:rsidRDefault="00D42204">
            <w:pPr>
              <w:rPr>
                <w:rFonts w:ascii="宋体"/>
              </w:rPr>
            </w:pPr>
          </w:p>
        </w:tc>
        <w:tc>
          <w:tcPr>
            <w:tcW w:w="50" w:type="pct"/>
            <w:shd w:val="clear" w:color="auto" w:fill="auto"/>
            <w:vAlign w:val="bottom"/>
          </w:tcPr>
          <w:p w14:paraId="35D0A3B5" w14:textId="77777777" w:rsidR="00D42204" w:rsidRDefault="00D42204">
            <w:pPr>
              <w:rPr>
                <w:rFonts w:ascii="宋体"/>
              </w:rPr>
            </w:pPr>
          </w:p>
        </w:tc>
        <w:tc>
          <w:tcPr>
            <w:tcW w:w="550" w:type="pct"/>
            <w:shd w:val="clear" w:color="auto" w:fill="auto"/>
            <w:vAlign w:val="bottom"/>
          </w:tcPr>
          <w:p w14:paraId="35D0A3B6" w14:textId="77777777" w:rsidR="00D42204" w:rsidRDefault="00D42204">
            <w:pPr>
              <w:rPr>
                <w:rFonts w:ascii="宋体"/>
              </w:rPr>
            </w:pPr>
          </w:p>
        </w:tc>
        <w:tc>
          <w:tcPr>
            <w:tcW w:w="5" w:type="pct"/>
            <w:shd w:val="clear" w:color="auto" w:fill="auto"/>
            <w:vAlign w:val="bottom"/>
          </w:tcPr>
          <w:p w14:paraId="35D0A3B7" w14:textId="77777777" w:rsidR="00D42204" w:rsidRDefault="00D42204">
            <w:pPr>
              <w:rPr>
                <w:rFonts w:ascii="宋体"/>
              </w:rPr>
            </w:pPr>
          </w:p>
        </w:tc>
        <w:tc>
          <w:tcPr>
            <w:tcW w:w="5" w:type="pct"/>
            <w:shd w:val="clear" w:color="auto" w:fill="auto"/>
            <w:vAlign w:val="bottom"/>
          </w:tcPr>
          <w:p w14:paraId="35D0A3B8" w14:textId="77777777" w:rsidR="00D42204" w:rsidRDefault="00D42204">
            <w:pPr>
              <w:rPr>
                <w:rFonts w:ascii="宋体"/>
              </w:rPr>
            </w:pPr>
          </w:p>
        </w:tc>
        <w:tc>
          <w:tcPr>
            <w:tcW w:w="41" w:type="pct"/>
            <w:shd w:val="clear" w:color="auto" w:fill="auto"/>
            <w:vAlign w:val="bottom"/>
          </w:tcPr>
          <w:p w14:paraId="35D0A3B9" w14:textId="77777777" w:rsidR="00D42204" w:rsidRDefault="00D42204">
            <w:pPr>
              <w:rPr>
                <w:rFonts w:ascii="宋体"/>
              </w:rPr>
            </w:pPr>
          </w:p>
        </w:tc>
        <w:tc>
          <w:tcPr>
            <w:tcW w:w="5" w:type="pct"/>
            <w:shd w:val="clear" w:color="auto" w:fill="auto"/>
            <w:vAlign w:val="bottom"/>
          </w:tcPr>
          <w:p w14:paraId="35D0A3BA" w14:textId="77777777" w:rsidR="00D42204" w:rsidRDefault="00D42204">
            <w:pPr>
              <w:rPr>
                <w:rFonts w:ascii="宋体"/>
              </w:rPr>
            </w:pPr>
          </w:p>
        </w:tc>
        <w:tc>
          <w:tcPr>
            <w:tcW w:w="50" w:type="pct"/>
            <w:shd w:val="clear" w:color="auto" w:fill="auto"/>
            <w:vAlign w:val="bottom"/>
          </w:tcPr>
          <w:p w14:paraId="35D0A3BB" w14:textId="77777777" w:rsidR="00D42204" w:rsidRDefault="00D42204">
            <w:pPr>
              <w:rPr>
                <w:rFonts w:ascii="宋体"/>
              </w:rPr>
            </w:pPr>
          </w:p>
        </w:tc>
        <w:tc>
          <w:tcPr>
            <w:tcW w:w="550" w:type="pct"/>
            <w:shd w:val="clear" w:color="auto" w:fill="auto"/>
            <w:vAlign w:val="bottom"/>
          </w:tcPr>
          <w:p w14:paraId="35D0A3BC" w14:textId="77777777" w:rsidR="00D42204" w:rsidRDefault="00D42204">
            <w:pPr>
              <w:rPr>
                <w:rFonts w:ascii="宋体"/>
              </w:rPr>
            </w:pPr>
          </w:p>
        </w:tc>
        <w:tc>
          <w:tcPr>
            <w:tcW w:w="5" w:type="pct"/>
            <w:shd w:val="clear" w:color="auto" w:fill="auto"/>
            <w:vAlign w:val="bottom"/>
          </w:tcPr>
          <w:p w14:paraId="35D0A3BD" w14:textId="77777777" w:rsidR="00D42204" w:rsidRDefault="00D42204">
            <w:pPr>
              <w:rPr>
                <w:rFonts w:ascii="宋体"/>
              </w:rPr>
            </w:pPr>
          </w:p>
        </w:tc>
        <w:tc>
          <w:tcPr>
            <w:tcW w:w="5" w:type="pct"/>
            <w:shd w:val="clear" w:color="auto" w:fill="auto"/>
            <w:vAlign w:val="bottom"/>
          </w:tcPr>
          <w:p w14:paraId="35D0A3BE" w14:textId="77777777" w:rsidR="00D42204" w:rsidRDefault="00D42204">
            <w:pPr>
              <w:rPr>
                <w:rFonts w:ascii="宋体"/>
              </w:rPr>
            </w:pPr>
          </w:p>
        </w:tc>
        <w:tc>
          <w:tcPr>
            <w:tcW w:w="41" w:type="pct"/>
            <w:shd w:val="clear" w:color="auto" w:fill="auto"/>
            <w:vAlign w:val="bottom"/>
          </w:tcPr>
          <w:p w14:paraId="35D0A3BF" w14:textId="77777777" w:rsidR="00D42204" w:rsidRDefault="00D42204">
            <w:pPr>
              <w:rPr>
                <w:rFonts w:ascii="宋体"/>
              </w:rPr>
            </w:pPr>
          </w:p>
        </w:tc>
        <w:tc>
          <w:tcPr>
            <w:tcW w:w="5" w:type="pct"/>
            <w:shd w:val="clear" w:color="auto" w:fill="auto"/>
            <w:vAlign w:val="bottom"/>
          </w:tcPr>
          <w:p w14:paraId="35D0A3C0" w14:textId="77777777" w:rsidR="00D42204" w:rsidRDefault="00D42204">
            <w:pPr>
              <w:rPr>
                <w:rFonts w:ascii="宋体"/>
              </w:rPr>
            </w:pPr>
          </w:p>
        </w:tc>
        <w:tc>
          <w:tcPr>
            <w:tcW w:w="50" w:type="pct"/>
            <w:shd w:val="clear" w:color="auto" w:fill="auto"/>
            <w:vAlign w:val="bottom"/>
          </w:tcPr>
          <w:p w14:paraId="35D0A3C1" w14:textId="77777777" w:rsidR="00D42204" w:rsidRDefault="00D42204">
            <w:pPr>
              <w:rPr>
                <w:rFonts w:ascii="宋体"/>
              </w:rPr>
            </w:pPr>
          </w:p>
        </w:tc>
        <w:tc>
          <w:tcPr>
            <w:tcW w:w="551" w:type="pct"/>
            <w:shd w:val="clear" w:color="auto" w:fill="auto"/>
            <w:vAlign w:val="bottom"/>
          </w:tcPr>
          <w:p w14:paraId="35D0A3C2" w14:textId="77777777" w:rsidR="00D42204" w:rsidRDefault="00D42204">
            <w:pPr>
              <w:rPr>
                <w:rFonts w:ascii="宋体"/>
              </w:rPr>
            </w:pPr>
          </w:p>
        </w:tc>
        <w:tc>
          <w:tcPr>
            <w:tcW w:w="5" w:type="pct"/>
            <w:shd w:val="clear" w:color="auto" w:fill="auto"/>
            <w:vAlign w:val="bottom"/>
          </w:tcPr>
          <w:p w14:paraId="35D0A3C3" w14:textId="77777777" w:rsidR="00D42204" w:rsidRDefault="00D42204">
            <w:pPr>
              <w:rPr>
                <w:rFonts w:ascii="宋体"/>
              </w:rPr>
            </w:pPr>
          </w:p>
        </w:tc>
      </w:tr>
      <w:tr w:rsidR="00D42204" w14:paraId="35D0A3C8" w14:textId="77777777">
        <w:trPr>
          <w:jc w:val="center"/>
        </w:trPr>
        <w:tc>
          <w:tcPr>
            <w:tcW w:w="0" w:type="auto"/>
            <w:gridSpan w:val="3"/>
            <w:shd w:val="clear" w:color="auto" w:fill="auto"/>
            <w:tcMar>
              <w:top w:w="40" w:type="dxa"/>
              <w:left w:w="20" w:type="dxa"/>
              <w:bottom w:w="40" w:type="dxa"/>
              <w:right w:w="20" w:type="dxa"/>
            </w:tcMar>
            <w:vAlign w:val="bottom"/>
          </w:tcPr>
          <w:p w14:paraId="35D0A3C5"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A3C6"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A3C7" w14:textId="77777777" w:rsidR="00D42204" w:rsidRDefault="004E439D">
            <w:pPr>
              <w:jc w:val="center"/>
              <w:textAlignment w:val="bottom"/>
            </w:pPr>
            <w:r>
              <w:rPr>
                <w:rFonts w:ascii="Times New Roman" w:eastAsia="宋体" w:hAnsi="Times New Roman"/>
                <w:b/>
                <w:bCs/>
                <w:color w:val="000000"/>
                <w:sz w:val="16"/>
                <w:szCs w:val="16"/>
              </w:rPr>
              <w:t>Fi</w:t>
            </w:r>
            <w:r>
              <w:rPr>
                <w:rFonts w:ascii="Times New Roman" w:eastAsia="宋体" w:hAnsi="Times New Roman"/>
                <w:b/>
                <w:bCs/>
                <w:color w:val="000000"/>
                <w:sz w:val="16"/>
                <w:szCs w:val="16"/>
              </w:rPr>
              <w:t>scal Years Ended January 31,</w:t>
            </w:r>
          </w:p>
        </w:tc>
      </w:tr>
      <w:tr w:rsidR="00D42204" w14:paraId="35D0A3D0" w14:textId="77777777">
        <w:trPr>
          <w:jc w:val="center"/>
        </w:trPr>
        <w:tc>
          <w:tcPr>
            <w:tcW w:w="0" w:type="auto"/>
            <w:gridSpan w:val="3"/>
            <w:shd w:val="clear" w:color="auto" w:fill="auto"/>
            <w:tcMar>
              <w:top w:w="40" w:type="dxa"/>
              <w:left w:w="20" w:type="dxa"/>
              <w:bottom w:w="40" w:type="dxa"/>
              <w:right w:w="20" w:type="dxa"/>
            </w:tcMar>
            <w:vAlign w:val="bottom"/>
          </w:tcPr>
          <w:p w14:paraId="35D0A3C9"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A3CA"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3CB"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3CC"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3CD"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3CE"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3CF"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A3DE" w14:textId="77777777">
        <w:trPr>
          <w:jc w:val="center"/>
        </w:trPr>
        <w:tc>
          <w:tcPr>
            <w:tcW w:w="0" w:type="auto"/>
            <w:gridSpan w:val="3"/>
            <w:shd w:val="clear" w:color="auto" w:fill="CCEEFF"/>
            <w:tcMar>
              <w:top w:w="40" w:type="dxa"/>
              <w:left w:w="20" w:type="dxa"/>
              <w:bottom w:w="40" w:type="dxa"/>
              <w:right w:w="20" w:type="dxa"/>
            </w:tcMar>
            <w:vAlign w:val="bottom"/>
          </w:tcPr>
          <w:p w14:paraId="35D0A3D1" w14:textId="77777777" w:rsidR="00D42204" w:rsidRDefault="004E439D">
            <w:pPr>
              <w:textAlignment w:val="bottom"/>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35D0A3D2"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3D3"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3D4" w14:textId="77777777" w:rsidR="00D42204" w:rsidRDefault="004E439D">
            <w:pPr>
              <w:jc w:val="right"/>
              <w:textAlignment w:val="center"/>
            </w:pPr>
            <w:r>
              <w:rPr>
                <w:rFonts w:ascii="Times New Roman" w:eastAsia="宋体" w:hAnsi="Times New Roman"/>
                <w:color w:val="000000"/>
                <w:sz w:val="16"/>
                <w:szCs w:val="16"/>
              </w:rPr>
              <w:t>13,940 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3D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3D6"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3D7"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3D8" w14:textId="77777777" w:rsidR="00D42204" w:rsidRDefault="004E439D">
            <w:pPr>
              <w:jc w:val="right"/>
              <w:textAlignment w:val="center"/>
            </w:pPr>
            <w:r>
              <w:rPr>
                <w:rFonts w:ascii="Times New Roman" w:eastAsia="宋体" w:hAnsi="Times New Roman"/>
                <w:color w:val="000000"/>
                <w:sz w:val="16"/>
                <w:szCs w:val="16"/>
              </w:rPr>
              <w:t>13,706 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3D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3DA"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3D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3DC" w14:textId="77777777" w:rsidR="00D42204" w:rsidRDefault="004E439D">
            <w:pPr>
              <w:jc w:val="right"/>
              <w:textAlignment w:val="center"/>
            </w:pPr>
            <w:r>
              <w:rPr>
                <w:rFonts w:ascii="Times New Roman" w:eastAsia="宋体" w:hAnsi="Times New Roman"/>
                <w:color w:val="000000"/>
                <w:sz w:val="16"/>
                <w:szCs w:val="16"/>
              </w:rPr>
              <w:t>15,201 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3DD" w14:textId="77777777" w:rsidR="00D42204" w:rsidRDefault="00D42204">
            <w:pPr>
              <w:jc w:val="right"/>
              <w:rPr>
                <w:rFonts w:ascii="宋体"/>
              </w:rPr>
            </w:pPr>
          </w:p>
        </w:tc>
      </w:tr>
      <w:tr w:rsidR="00D42204" w14:paraId="35D0A3E9" w14:textId="77777777">
        <w:trPr>
          <w:jc w:val="center"/>
        </w:trPr>
        <w:tc>
          <w:tcPr>
            <w:tcW w:w="0" w:type="auto"/>
            <w:gridSpan w:val="3"/>
            <w:shd w:val="clear" w:color="auto" w:fill="FFFFFF"/>
            <w:tcMar>
              <w:top w:w="40" w:type="dxa"/>
              <w:left w:w="380" w:type="dxa"/>
              <w:bottom w:w="40" w:type="dxa"/>
              <w:right w:w="20" w:type="dxa"/>
            </w:tcMar>
            <w:vAlign w:val="center"/>
          </w:tcPr>
          <w:p w14:paraId="35D0A3DF" w14:textId="77777777" w:rsidR="00D42204" w:rsidRDefault="004E439D">
            <w:pPr>
              <w:textAlignment w:val="center"/>
            </w:pPr>
            <w:r>
              <w:rPr>
                <w:rFonts w:ascii="Times New Roman" w:eastAsia="宋体" w:hAnsi="Times New Roman"/>
                <w:color w:val="000000"/>
                <w:sz w:val="16"/>
                <w:szCs w:val="16"/>
              </w:rPr>
              <w:t>Consolidated net income attributable to noncontrolling interest</w:t>
            </w:r>
          </w:p>
        </w:tc>
        <w:tc>
          <w:tcPr>
            <w:tcW w:w="0" w:type="auto"/>
            <w:gridSpan w:val="3"/>
            <w:shd w:val="clear" w:color="auto" w:fill="FFFFFF"/>
            <w:tcMar>
              <w:top w:w="0" w:type="dxa"/>
              <w:left w:w="20" w:type="dxa"/>
              <w:bottom w:w="0" w:type="dxa"/>
              <w:right w:w="20" w:type="dxa"/>
            </w:tcMar>
            <w:vAlign w:val="bottom"/>
          </w:tcPr>
          <w:p w14:paraId="35D0A3E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3E1" w14:textId="77777777" w:rsidR="00D42204" w:rsidRDefault="004E439D">
            <w:pPr>
              <w:jc w:val="right"/>
              <w:textAlignment w:val="center"/>
            </w:pPr>
            <w:r>
              <w:rPr>
                <w:rFonts w:ascii="Times New Roman" w:eastAsia="宋体" w:hAnsi="Times New Roman"/>
                <w:color w:val="000000"/>
                <w:sz w:val="16"/>
                <w:szCs w:val="16"/>
              </w:rPr>
              <w:t>(267)</w:t>
            </w:r>
          </w:p>
        </w:tc>
        <w:tc>
          <w:tcPr>
            <w:tcW w:w="0" w:type="auto"/>
            <w:shd w:val="clear" w:color="auto" w:fill="FFFFFF"/>
            <w:tcMar>
              <w:top w:w="40" w:type="dxa"/>
              <w:left w:w="0" w:type="dxa"/>
              <w:bottom w:w="40" w:type="dxa"/>
              <w:right w:w="20" w:type="dxa"/>
            </w:tcMar>
            <w:vAlign w:val="center"/>
          </w:tcPr>
          <w:p w14:paraId="35D0A3E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3E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3E4" w14:textId="77777777" w:rsidR="00D42204" w:rsidRDefault="004E439D">
            <w:pPr>
              <w:jc w:val="right"/>
              <w:textAlignment w:val="center"/>
            </w:pPr>
            <w:r>
              <w:rPr>
                <w:rFonts w:ascii="Times New Roman" w:eastAsia="宋体" w:hAnsi="Times New Roman"/>
                <w:color w:val="000000"/>
                <w:sz w:val="16"/>
                <w:szCs w:val="16"/>
              </w:rPr>
              <w:t>(196)</w:t>
            </w:r>
          </w:p>
        </w:tc>
        <w:tc>
          <w:tcPr>
            <w:tcW w:w="0" w:type="auto"/>
            <w:shd w:val="clear" w:color="auto" w:fill="FFFFFF"/>
            <w:tcMar>
              <w:top w:w="40" w:type="dxa"/>
              <w:left w:w="0" w:type="dxa"/>
              <w:bottom w:w="40" w:type="dxa"/>
              <w:right w:w="20" w:type="dxa"/>
            </w:tcMar>
            <w:vAlign w:val="center"/>
          </w:tcPr>
          <w:p w14:paraId="35D0A3E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3E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3E7" w14:textId="77777777" w:rsidR="00D42204" w:rsidRDefault="004E439D">
            <w:pPr>
              <w:jc w:val="right"/>
              <w:textAlignment w:val="center"/>
            </w:pPr>
            <w:r>
              <w:rPr>
                <w:rFonts w:ascii="Times New Roman" w:eastAsia="宋体" w:hAnsi="Times New Roman"/>
                <w:color w:val="000000"/>
                <w:sz w:val="16"/>
                <w:szCs w:val="16"/>
              </w:rPr>
              <w:t>(320)</w:t>
            </w:r>
          </w:p>
        </w:tc>
        <w:tc>
          <w:tcPr>
            <w:tcW w:w="0" w:type="auto"/>
            <w:shd w:val="clear" w:color="auto" w:fill="FFFFFF"/>
            <w:tcMar>
              <w:top w:w="40" w:type="dxa"/>
              <w:left w:w="0" w:type="dxa"/>
              <w:bottom w:w="40" w:type="dxa"/>
              <w:right w:w="20" w:type="dxa"/>
            </w:tcMar>
            <w:vAlign w:val="center"/>
          </w:tcPr>
          <w:p w14:paraId="35D0A3E8" w14:textId="77777777" w:rsidR="00D42204" w:rsidRDefault="00D42204">
            <w:pPr>
              <w:jc w:val="right"/>
              <w:rPr>
                <w:rFonts w:ascii="宋体"/>
              </w:rPr>
            </w:pPr>
          </w:p>
        </w:tc>
      </w:tr>
      <w:tr w:rsidR="00D42204" w14:paraId="35D0A3F4" w14:textId="77777777">
        <w:trPr>
          <w:jc w:val="center"/>
        </w:trPr>
        <w:tc>
          <w:tcPr>
            <w:tcW w:w="0" w:type="auto"/>
            <w:gridSpan w:val="3"/>
            <w:shd w:val="clear" w:color="auto" w:fill="CCEEFF"/>
            <w:tcMar>
              <w:top w:w="40" w:type="dxa"/>
              <w:left w:w="20" w:type="dxa"/>
              <w:bottom w:w="40" w:type="dxa"/>
              <w:right w:w="20" w:type="dxa"/>
            </w:tcMar>
            <w:vAlign w:val="center"/>
          </w:tcPr>
          <w:p w14:paraId="35D0A3EA" w14:textId="77777777" w:rsidR="00D42204" w:rsidRDefault="004E439D">
            <w:pPr>
              <w:textAlignment w:val="center"/>
            </w:pPr>
            <w:r>
              <w:rPr>
                <w:rFonts w:ascii="Times New Roman" w:eastAsia="宋体" w:hAnsi="Times New Roman"/>
                <w:b/>
                <w:bCs/>
                <w:color w:val="000000"/>
                <w:sz w:val="16"/>
                <w:szCs w:val="16"/>
              </w:rPr>
              <w:t>Consolidated net income attributable to Walmart</w:t>
            </w:r>
          </w:p>
        </w:tc>
        <w:tc>
          <w:tcPr>
            <w:tcW w:w="0" w:type="auto"/>
            <w:gridSpan w:val="3"/>
            <w:shd w:val="clear" w:color="auto" w:fill="CCEEFF"/>
            <w:tcMar>
              <w:top w:w="0" w:type="dxa"/>
              <w:left w:w="20" w:type="dxa"/>
              <w:bottom w:w="0" w:type="dxa"/>
              <w:right w:w="20" w:type="dxa"/>
            </w:tcMar>
            <w:vAlign w:val="bottom"/>
          </w:tcPr>
          <w:p w14:paraId="35D0A3EB"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3EC" w14:textId="77777777" w:rsidR="00D42204" w:rsidRDefault="004E439D">
            <w:pPr>
              <w:jc w:val="right"/>
              <w:textAlignment w:val="center"/>
            </w:pPr>
            <w:r>
              <w:rPr>
                <w:rFonts w:ascii="Times New Roman" w:eastAsia="宋体" w:hAnsi="Times New Roman"/>
                <w:color w:val="000000"/>
                <w:sz w:val="16"/>
                <w:szCs w:val="16"/>
              </w:rPr>
              <w:t>13,673 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3E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3EE"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3EF" w14:textId="77777777" w:rsidR="00D42204" w:rsidRDefault="004E439D">
            <w:pPr>
              <w:jc w:val="right"/>
              <w:textAlignment w:val="center"/>
            </w:pPr>
            <w:r>
              <w:rPr>
                <w:rFonts w:ascii="Times New Roman" w:eastAsia="宋体" w:hAnsi="Times New Roman"/>
                <w:color w:val="000000"/>
                <w:sz w:val="16"/>
                <w:szCs w:val="16"/>
              </w:rPr>
              <w:t>13,510 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3F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3F1"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3F2" w14:textId="77777777" w:rsidR="00D42204" w:rsidRDefault="004E439D">
            <w:pPr>
              <w:jc w:val="right"/>
              <w:textAlignment w:val="center"/>
            </w:pPr>
            <w:r>
              <w:rPr>
                <w:rFonts w:ascii="Times New Roman" w:eastAsia="宋体" w:hAnsi="Times New Roman"/>
                <w:color w:val="000000"/>
                <w:sz w:val="16"/>
                <w:szCs w:val="16"/>
              </w:rPr>
              <w:t>14,881 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3F3" w14:textId="77777777" w:rsidR="00D42204" w:rsidRDefault="00D42204">
            <w:pPr>
              <w:jc w:val="right"/>
              <w:rPr>
                <w:rFonts w:ascii="宋体"/>
              </w:rPr>
            </w:pPr>
          </w:p>
        </w:tc>
      </w:tr>
      <w:tr w:rsidR="00D42204" w14:paraId="35D0A3FC" w14:textId="77777777">
        <w:trPr>
          <w:trHeight w:val="220"/>
          <w:jc w:val="center"/>
        </w:trPr>
        <w:tc>
          <w:tcPr>
            <w:tcW w:w="0" w:type="auto"/>
            <w:gridSpan w:val="3"/>
            <w:shd w:val="clear" w:color="auto" w:fill="FFFFFF"/>
            <w:tcMar>
              <w:top w:w="0" w:type="dxa"/>
              <w:left w:w="20" w:type="dxa"/>
              <w:bottom w:w="0" w:type="dxa"/>
              <w:right w:w="20" w:type="dxa"/>
            </w:tcMar>
            <w:vAlign w:val="bottom"/>
          </w:tcPr>
          <w:p w14:paraId="35D0A3F5"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3F6" w14:textId="77777777" w:rsidR="00D42204" w:rsidRDefault="00D4220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5D0A3F7"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3F8" w14:textId="77777777" w:rsidR="00D42204" w:rsidRDefault="00D4220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5D0A3F9"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3FA" w14:textId="77777777" w:rsidR="00D42204" w:rsidRDefault="00D4220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5D0A3FB" w14:textId="77777777" w:rsidR="00D42204" w:rsidRDefault="00D42204">
            <w:pPr>
              <w:rPr>
                <w:rFonts w:ascii="宋体"/>
              </w:rPr>
            </w:pPr>
          </w:p>
        </w:tc>
      </w:tr>
      <w:tr w:rsidR="00D42204" w14:paraId="35D0A404" w14:textId="77777777">
        <w:trPr>
          <w:jc w:val="center"/>
        </w:trPr>
        <w:tc>
          <w:tcPr>
            <w:tcW w:w="0" w:type="auto"/>
            <w:gridSpan w:val="3"/>
            <w:shd w:val="clear" w:color="auto" w:fill="CCEEFF"/>
            <w:tcMar>
              <w:top w:w="40" w:type="dxa"/>
              <w:left w:w="20" w:type="dxa"/>
              <w:bottom w:w="40" w:type="dxa"/>
              <w:right w:w="20" w:type="dxa"/>
            </w:tcMar>
            <w:vAlign w:val="center"/>
          </w:tcPr>
          <w:p w14:paraId="35D0A3FD" w14:textId="77777777" w:rsidR="00D42204" w:rsidRDefault="004E439D">
            <w:pPr>
              <w:textAlignment w:val="center"/>
            </w:pPr>
            <w:r>
              <w:rPr>
                <w:rFonts w:ascii="Times New Roman" w:eastAsia="宋体" w:hAnsi="Times New Roman"/>
                <w:color w:val="000000"/>
                <w:sz w:val="16"/>
                <w:szCs w:val="16"/>
              </w:rPr>
              <w:t>Other comprehensive income (loss), net of income taxes</w:t>
            </w:r>
          </w:p>
        </w:tc>
        <w:tc>
          <w:tcPr>
            <w:tcW w:w="0" w:type="auto"/>
            <w:gridSpan w:val="3"/>
            <w:shd w:val="clear" w:color="auto" w:fill="CCEEFF"/>
            <w:tcMar>
              <w:top w:w="0" w:type="dxa"/>
              <w:left w:w="20" w:type="dxa"/>
              <w:bottom w:w="0" w:type="dxa"/>
              <w:right w:w="20" w:type="dxa"/>
            </w:tcMar>
            <w:vAlign w:val="bottom"/>
          </w:tcPr>
          <w:p w14:paraId="35D0A3FE"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3FF"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400"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401"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40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403" w14:textId="77777777" w:rsidR="00D42204" w:rsidRDefault="00D42204">
            <w:pPr>
              <w:rPr>
                <w:rFonts w:ascii="宋体"/>
              </w:rPr>
            </w:pPr>
          </w:p>
        </w:tc>
      </w:tr>
      <w:tr w:rsidR="00D42204" w14:paraId="35D0A40F" w14:textId="77777777">
        <w:trPr>
          <w:jc w:val="center"/>
        </w:trPr>
        <w:tc>
          <w:tcPr>
            <w:tcW w:w="0" w:type="auto"/>
            <w:gridSpan w:val="3"/>
            <w:shd w:val="clear" w:color="auto" w:fill="FFFFFF"/>
            <w:tcMar>
              <w:top w:w="40" w:type="dxa"/>
              <w:left w:w="380" w:type="dxa"/>
              <w:bottom w:w="40" w:type="dxa"/>
              <w:right w:w="20" w:type="dxa"/>
            </w:tcMar>
            <w:vAlign w:val="center"/>
          </w:tcPr>
          <w:p w14:paraId="35D0A405" w14:textId="77777777" w:rsidR="00D42204" w:rsidRDefault="004E439D">
            <w:pPr>
              <w:textAlignment w:val="center"/>
            </w:pPr>
            <w:r>
              <w:rPr>
                <w:rFonts w:ascii="Times New Roman" w:eastAsia="宋体" w:hAnsi="Times New Roman"/>
                <w:color w:val="000000"/>
                <w:sz w:val="16"/>
                <w:szCs w:val="16"/>
              </w:rPr>
              <w:t>Currency translation and other</w:t>
            </w:r>
          </w:p>
        </w:tc>
        <w:tc>
          <w:tcPr>
            <w:tcW w:w="0" w:type="auto"/>
            <w:gridSpan w:val="3"/>
            <w:shd w:val="clear" w:color="auto" w:fill="FFFFFF"/>
            <w:tcMar>
              <w:top w:w="0" w:type="dxa"/>
              <w:left w:w="20" w:type="dxa"/>
              <w:bottom w:w="0" w:type="dxa"/>
              <w:right w:w="20" w:type="dxa"/>
            </w:tcMar>
            <w:vAlign w:val="bottom"/>
          </w:tcPr>
          <w:p w14:paraId="35D0A40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407" w14:textId="77777777" w:rsidR="00D42204" w:rsidRDefault="004E439D">
            <w:pPr>
              <w:jc w:val="right"/>
              <w:textAlignment w:val="center"/>
            </w:pPr>
            <w:r>
              <w:rPr>
                <w:rFonts w:ascii="Times New Roman" w:eastAsia="宋体" w:hAnsi="Times New Roman"/>
                <w:color w:val="000000"/>
                <w:sz w:val="16"/>
                <w:szCs w:val="16"/>
              </w:rPr>
              <w:t>2,442 </w:t>
            </w:r>
          </w:p>
        </w:tc>
        <w:tc>
          <w:tcPr>
            <w:tcW w:w="0" w:type="auto"/>
            <w:shd w:val="clear" w:color="auto" w:fill="FFFFFF"/>
            <w:tcMar>
              <w:top w:w="40" w:type="dxa"/>
              <w:left w:w="0" w:type="dxa"/>
              <w:bottom w:w="40" w:type="dxa"/>
              <w:right w:w="20" w:type="dxa"/>
            </w:tcMar>
            <w:vAlign w:val="center"/>
          </w:tcPr>
          <w:p w14:paraId="35D0A40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40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40A" w14:textId="77777777" w:rsidR="00D42204" w:rsidRDefault="004E439D">
            <w:pPr>
              <w:jc w:val="right"/>
              <w:textAlignment w:val="center"/>
            </w:pPr>
            <w:r>
              <w:rPr>
                <w:rFonts w:ascii="Times New Roman" w:eastAsia="宋体" w:hAnsi="Times New Roman"/>
                <w:color w:val="000000"/>
                <w:sz w:val="16"/>
                <w:szCs w:val="16"/>
              </w:rPr>
              <w:t>842 </w:t>
            </w:r>
          </w:p>
        </w:tc>
        <w:tc>
          <w:tcPr>
            <w:tcW w:w="0" w:type="auto"/>
            <w:shd w:val="clear" w:color="auto" w:fill="FFFFFF"/>
            <w:tcMar>
              <w:top w:w="40" w:type="dxa"/>
              <w:left w:w="0" w:type="dxa"/>
              <w:bottom w:w="40" w:type="dxa"/>
              <w:right w:w="20" w:type="dxa"/>
            </w:tcMar>
            <w:vAlign w:val="center"/>
          </w:tcPr>
          <w:p w14:paraId="35D0A40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40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40D" w14:textId="77777777" w:rsidR="00D42204" w:rsidRDefault="004E439D">
            <w:pPr>
              <w:jc w:val="right"/>
              <w:textAlignment w:val="center"/>
            </w:pPr>
            <w:r>
              <w:rPr>
                <w:rFonts w:ascii="Times New Roman" w:eastAsia="宋体" w:hAnsi="Times New Roman"/>
                <w:color w:val="000000"/>
                <w:sz w:val="16"/>
                <w:szCs w:val="16"/>
              </w:rPr>
              <w:t>286 </w:t>
            </w:r>
          </w:p>
        </w:tc>
        <w:tc>
          <w:tcPr>
            <w:tcW w:w="0" w:type="auto"/>
            <w:shd w:val="clear" w:color="auto" w:fill="FFFFFF"/>
            <w:tcMar>
              <w:top w:w="40" w:type="dxa"/>
              <w:left w:w="0" w:type="dxa"/>
              <w:bottom w:w="40" w:type="dxa"/>
              <w:right w:w="20" w:type="dxa"/>
            </w:tcMar>
            <w:vAlign w:val="center"/>
          </w:tcPr>
          <w:p w14:paraId="35D0A40E" w14:textId="77777777" w:rsidR="00D42204" w:rsidRDefault="00D42204">
            <w:pPr>
              <w:jc w:val="right"/>
              <w:rPr>
                <w:rFonts w:ascii="宋体"/>
              </w:rPr>
            </w:pPr>
          </w:p>
        </w:tc>
      </w:tr>
      <w:tr w:rsidR="00D42204" w14:paraId="35D0A41A" w14:textId="77777777">
        <w:trPr>
          <w:jc w:val="center"/>
        </w:trPr>
        <w:tc>
          <w:tcPr>
            <w:tcW w:w="0" w:type="auto"/>
            <w:gridSpan w:val="3"/>
            <w:shd w:val="clear" w:color="auto" w:fill="CCEEFF"/>
            <w:tcMar>
              <w:top w:w="40" w:type="dxa"/>
              <w:left w:w="380" w:type="dxa"/>
              <w:bottom w:w="40" w:type="dxa"/>
              <w:right w:w="20" w:type="dxa"/>
            </w:tcMar>
            <w:vAlign w:val="center"/>
          </w:tcPr>
          <w:p w14:paraId="35D0A410" w14:textId="77777777" w:rsidR="00D42204" w:rsidRDefault="004E439D">
            <w:pPr>
              <w:textAlignment w:val="center"/>
            </w:pPr>
            <w:r>
              <w:rPr>
                <w:rFonts w:ascii="Times New Roman" w:eastAsia="宋体" w:hAnsi="Times New Roman"/>
                <w:color w:val="000000"/>
                <w:sz w:val="16"/>
                <w:szCs w:val="16"/>
              </w:rPr>
              <w:t>Net investment hedges</w:t>
            </w:r>
          </w:p>
        </w:tc>
        <w:tc>
          <w:tcPr>
            <w:tcW w:w="0" w:type="auto"/>
            <w:gridSpan w:val="3"/>
            <w:shd w:val="clear" w:color="auto" w:fill="CCEEFF"/>
            <w:tcMar>
              <w:top w:w="0" w:type="dxa"/>
              <w:left w:w="20" w:type="dxa"/>
              <w:bottom w:w="0" w:type="dxa"/>
              <w:right w:w="20" w:type="dxa"/>
            </w:tcMar>
            <w:vAlign w:val="bottom"/>
          </w:tcPr>
          <w:p w14:paraId="35D0A41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412" w14:textId="77777777" w:rsidR="00D42204" w:rsidRDefault="004E439D">
            <w:pPr>
              <w:jc w:val="right"/>
              <w:textAlignment w:val="center"/>
            </w:pPr>
            <w:r>
              <w:rPr>
                <w:rFonts w:ascii="Times New Roman" w:eastAsia="宋体" w:hAnsi="Times New Roman"/>
                <w:color w:val="000000"/>
                <w:sz w:val="16"/>
                <w:szCs w:val="16"/>
              </w:rPr>
              <w:t>(1,202)</w:t>
            </w:r>
          </w:p>
        </w:tc>
        <w:tc>
          <w:tcPr>
            <w:tcW w:w="0" w:type="auto"/>
            <w:shd w:val="clear" w:color="auto" w:fill="CCEEFF"/>
            <w:tcMar>
              <w:top w:w="40" w:type="dxa"/>
              <w:left w:w="0" w:type="dxa"/>
              <w:bottom w:w="40" w:type="dxa"/>
              <w:right w:w="20" w:type="dxa"/>
            </w:tcMar>
            <w:vAlign w:val="center"/>
          </w:tcPr>
          <w:p w14:paraId="35D0A41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41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415" w14:textId="77777777" w:rsidR="00D42204" w:rsidRDefault="004E439D">
            <w:pPr>
              <w:jc w:val="right"/>
              <w:textAlignment w:val="center"/>
            </w:pPr>
            <w:r>
              <w:rPr>
                <w:rFonts w:ascii="Times New Roman" w:eastAsia="宋体" w:hAnsi="Times New Roman"/>
                <w:color w:val="000000"/>
                <w:sz w:val="16"/>
                <w:szCs w:val="16"/>
              </w:rPr>
              <w:t>(221)</w:t>
            </w:r>
          </w:p>
        </w:tc>
        <w:tc>
          <w:tcPr>
            <w:tcW w:w="0" w:type="auto"/>
            <w:shd w:val="clear" w:color="auto" w:fill="CCEEFF"/>
            <w:tcMar>
              <w:top w:w="40" w:type="dxa"/>
              <w:left w:w="0" w:type="dxa"/>
              <w:bottom w:w="40" w:type="dxa"/>
              <w:right w:w="20" w:type="dxa"/>
            </w:tcMar>
            <w:vAlign w:val="center"/>
          </w:tcPr>
          <w:p w14:paraId="35D0A41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41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418" w14:textId="77777777" w:rsidR="00D42204" w:rsidRDefault="004E439D">
            <w:pPr>
              <w:jc w:val="right"/>
              <w:textAlignment w:val="center"/>
            </w:pPr>
            <w:r>
              <w:rPr>
                <w:rFonts w:ascii="Times New Roman" w:eastAsia="宋体" w:hAnsi="Times New Roman"/>
                <w:color w:val="000000"/>
                <w:sz w:val="16"/>
                <w:szCs w:val="16"/>
              </w:rPr>
              <w:t>122 </w:t>
            </w:r>
          </w:p>
        </w:tc>
        <w:tc>
          <w:tcPr>
            <w:tcW w:w="0" w:type="auto"/>
            <w:shd w:val="clear" w:color="auto" w:fill="CCEEFF"/>
            <w:tcMar>
              <w:top w:w="40" w:type="dxa"/>
              <w:left w:w="0" w:type="dxa"/>
              <w:bottom w:w="40" w:type="dxa"/>
              <w:right w:w="20" w:type="dxa"/>
            </w:tcMar>
            <w:vAlign w:val="center"/>
          </w:tcPr>
          <w:p w14:paraId="35D0A419" w14:textId="77777777" w:rsidR="00D42204" w:rsidRDefault="00D42204">
            <w:pPr>
              <w:jc w:val="right"/>
              <w:rPr>
                <w:rFonts w:ascii="宋体"/>
              </w:rPr>
            </w:pPr>
          </w:p>
        </w:tc>
      </w:tr>
      <w:tr w:rsidR="00D42204" w14:paraId="35D0A425" w14:textId="77777777">
        <w:trPr>
          <w:jc w:val="center"/>
        </w:trPr>
        <w:tc>
          <w:tcPr>
            <w:tcW w:w="0" w:type="auto"/>
            <w:gridSpan w:val="3"/>
            <w:shd w:val="clear" w:color="auto" w:fill="FFFFFF"/>
            <w:tcMar>
              <w:top w:w="40" w:type="dxa"/>
              <w:left w:w="380" w:type="dxa"/>
              <w:bottom w:w="40" w:type="dxa"/>
              <w:right w:w="20" w:type="dxa"/>
            </w:tcMar>
            <w:vAlign w:val="center"/>
          </w:tcPr>
          <w:p w14:paraId="35D0A41B" w14:textId="77777777" w:rsidR="00D42204" w:rsidRDefault="004E439D">
            <w:pPr>
              <w:textAlignment w:val="center"/>
            </w:pPr>
            <w:r>
              <w:rPr>
                <w:rFonts w:ascii="Times New Roman" w:eastAsia="宋体" w:hAnsi="Times New Roman"/>
                <w:color w:val="000000"/>
                <w:sz w:val="16"/>
                <w:szCs w:val="16"/>
              </w:rPr>
              <w:t>Cash flow hedges</w:t>
            </w:r>
          </w:p>
        </w:tc>
        <w:tc>
          <w:tcPr>
            <w:tcW w:w="0" w:type="auto"/>
            <w:gridSpan w:val="3"/>
            <w:shd w:val="clear" w:color="auto" w:fill="FFFFFF"/>
            <w:tcMar>
              <w:top w:w="0" w:type="dxa"/>
              <w:left w:w="20" w:type="dxa"/>
              <w:bottom w:w="0" w:type="dxa"/>
              <w:right w:w="20" w:type="dxa"/>
            </w:tcMar>
            <w:vAlign w:val="bottom"/>
          </w:tcPr>
          <w:p w14:paraId="35D0A41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41D" w14:textId="77777777" w:rsidR="00D42204" w:rsidRDefault="004E439D">
            <w:pPr>
              <w:jc w:val="right"/>
              <w:textAlignment w:val="center"/>
            </w:pPr>
            <w:r>
              <w:rPr>
                <w:rFonts w:ascii="Times New Roman" w:eastAsia="宋体" w:hAnsi="Times New Roman"/>
                <w:color w:val="000000"/>
                <w:sz w:val="16"/>
                <w:szCs w:val="16"/>
              </w:rPr>
              <w:t>(444)</w:t>
            </w:r>
          </w:p>
        </w:tc>
        <w:tc>
          <w:tcPr>
            <w:tcW w:w="0" w:type="auto"/>
            <w:shd w:val="clear" w:color="auto" w:fill="FFFFFF"/>
            <w:tcMar>
              <w:top w:w="40" w:type="dxa"/>
              <w:left w:w="0" w:type="dxa"/>
              <w:bottom w:w="40" w:type="dxa"/>
              <w:right w:w="20" w:type="dxa"/>
            </w:tcMar>
            <w:vAlign w:val="center"/>
          </w:tcPr>
          <w:p w14:paraId="35D0A41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41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420" w14:textId="77777777" w:rsidR="00D42204" w:rsidRDefault="004E439D">
            <w:pPr>
              <w:jc w:val="right"/>
              <w:textAlignment w:val="center"/>
            </w:pPr>
            <w:r>
              <w:rPr>
                <w:rFonts w:ascii="Times New Roman" w:eastAsia="宋体" w:hAnsi="Times New Roman"/>
                <w:color w:val="000000"/>
                <w:sz w:val="16"/>
                <w:szCs w:val="16"/>
              </w:rPr>
              <w:t>235 </w:t>
            </w:r>
          </w:p>
        </w:tc>
        <w:tc>
          <w:tcPr>
            <w:tcW w:w="0" w:type="auto"/>
            <w:shd w:val="clear" w:color="auto" w:fill="FFFFFF"/>
            <w:tcMar>
              <w:top w:w="40" w:type="dxa"/>
              <w:left w:w="0" w:type="dxa"/>
              <w:bottom w:w="40" w:type="dxa"/>
              <w:right w:w="20" w:type="dxa"/>
            </w:tcMar>
            <w:vAlign w:val="center"/>
          </w:tcPr>
          <w:p w14:paraId="35D0A42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42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423" w14:textId="77777777" w:rsidR="00D42204" w:rsidRDefault="004E439D">
            <w:pPr>
              <w:jc w:val="right"/>
              <w:textAlignment w:val="center"/>
            </w:pPr>
            <w:r>
              <w:rPr>
                <w:rFonts w:ascii="Times New Roman" w:eastAsia="宋体" w:hAnsi="Times New Roman"/>
                <w:color w:val="000000"/>
                <w:sz w:val="16"/>
                <w:szCs w:val="16"/>
              </w:rPr>
              <w:t>(399)</w:t>
            </w:r>
          </w:p>
        </w:tc>
        <w:tc>
          <w:tcPr>
            <w:tcW w:w="0" w:type="auto"/>
            <w:shd w:val="clear" w:color="auto" w:fill="FFFFFF"/>
            <w:tcMar>
              <w:top w:w="40" w:type="dxa"/>
              <w:left w:w="0" w:type="dxa"/>
              <w:bottom w:w="40" w:type="dxa"/>
              <w:right w:w="20" w:type="dxa"/>
            </w:tcMar>
            <w:vAlign w:val="center"/>
          </w:tcPr>
          <w:p w14:paraId="35D0A424" w14:textId="77777777" w:rsidR="00D42204" w:rsidRDefault="00D42204">
            <w:pPr>
              <w:jc w:val="right"/>
              <w:rPr>
                <w:rFonts w:ascii="宋体"/>
              </w:rPr>
            </w:pPr>
          </w:p>
        </w:tc>
      </w:tr>
      <w:tr w:rsidR="00D42204" w14:paraId="35D0A430" w14:textId="77777777">
        <w:trPr>
          <w:jc w:val="center"/>
        </w:trPr>
        <w:tc>
          <w:tcPr>
            <w:tcW w:w="0" w:type="auto"/>
            <w:gridSpan w:val="3"/>
            <w:shd w:val="clear" w:color="auto" w:fill="CCEEFF"/>
            <w:tcMar>
              <w:top w:w="40" w:type="dxa"/>
              <w:left w:w="380" w:type="dxa"/>
              <w:bottom w:w="40" w:type="dxa"/>
              <w:right w:w="20" w:type="dxa"/>
            </w:tcMar>
            <w:vAlign w:val="center"/>
          </w:tcPr>
          <w:p w14:paraId="35D0A426" w14:textId="77777777" w:rsidR="00D42204" w:rsidRDefault="004E439D">
            <w:pPr>
              <w:textAlignment w:val="center"/>
            </w:pPr>
            <w:r>
              <w:rPr>
                <w:rFonts w:ascii="Times New Roman" w:eastAsia="宋体" w:hAnsi="Times New Roman"/>
                <w:color w:val="000000"/>
                <w:sz w:val="16"/>
                <w:szCs w:val="16"/>
              </w:rPr>
              <w:t>Minimum pension liability</w:t>
            </w:r>
          </w:p>
        </w:tc>
        <w:tc>
          <w:tcPr>
            <w:tcW w:w="0" w:type="auto"/>
            <w:gridSpan w:val="3"/>
            <w:shd w:val="clear" w:color="auto" w:fill="CCEEFF"/>
            <w:tcMar>
              <w:top w:w="0" w:type="dxa"/>
              <w:left w:w="20" w:type="dxa"/>
              <w:bottom w:w="0" w:type="dxa"/>
              <w:right w:w="20" w:type="dxa"/>
            </w:tcMar>
            <w:vAlign w:val="bottom"/>
          </w:tcPr>
          <w:p w14:paraId="35D0A42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428" w14:textId="77777777" w:rsidR="00D42204" w:rsidRDefault="004E439D">
            <w:pPr>
              <w:jc w:val="right"/>
              <w:textAlignment w:val="center"/>
            </w:pPr>
            <w:r>
              <w:rPr>
                <w:rFonts w:ascii="Times New Roman" w:eastAsia="宋体" w:hAnsi="Times New Roman"/>
                <w:color w:val="000000"/>
                <w:sz w:val="16"/>
                <w:szCs w:val="16"/>
              </w:rPr>
              <w:t>1,974 </w:t>
            </w:r>
          </w:p>
        </w:tc>
        <w:tc>
          <w:tcPr>
            <w:tcW w:w="0" w:type="auto"/>
            <w:shd w:val="clear" w:color="auto" w:fill="CCEEFF"/>
            <w:tcMar>
              <w:top w:w="40" w:type="dxa"/>
              <w:left w:w="0" w:type="dxa"/>
              <w:bottom w:w="40" w:type="dxa"/>
              <w:right w:w="20" w:type="dxa"/>
            </w:tcMar>
            <w:vAlign w:val="center"/>
          </w:tcPr>
          <w:p w14:paraId="35D0A42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42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42B" w14:textId="77777777" w:rsidR="00D42204" w:rsidRDefault="004E439D">
            <w:pPr>
              <w:jc w:val="right"/>
              <w:textAlignment w:val="center"/>
            </w:pPr>
            <w:r>
              <w:rPr>
                <w:rFonts w:ascii="Times New Roman" w:eastAsia="宋体" w:hAnsi="Times New Roman"/>
                <w:color w:val="000000"/>
                <w:sz w:val="16"/>
                <w:szCs w:val="16"/>
              </w:rPr>
              <w:t>(30)</w:t>
            </w:r>
          </w:p>
        </w:tc>
        <w:tc>
          <w:tcPr>
            <w:tcW w:w="0" w:type="auto"/>
            <w:shd w:val="clear" w:color="auto" w:fill="CCEEFF"/>
            <w:tcMar>
              <w:top w:w="40" w:type="dxa"/>
              <w:left w:w="0" w:type="dxa"/>
              <w:bottom w:w="40" w:type="dxa"/>
              <w:right w:w="20" w:type="dxa"/>
            </w:tcMar>
            <w:vAlign w:val="center"/>
          </w:tcPr>
          <w:p w14:paraId="35D0A42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42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42E" w14:textId="77777777" w:rsidR="00D42204" w:rsidRDefault="004E439D">
            <w:pPr>
              <w:jc w:val="right"/>
              <w:textAlignment w:val="center"/>
            </w:pPr>
            <w:r>
              <w:rPr>
                <w:rFonts w:ascii="Times New Roman" w:eastAsia="宋体" w:hAnsi="Times New Roman"/>
                <w:color w:val="000000"/>
                <w:sz w:val="16"/>
                <w:szCs w:val="16"/>
              </w:rPr>
              <w:t>(1,244)</w:t>
            </w:r>
          </w:p>
        </w:tc>
        <w:tc>
          <w:tcPr>
            <w:tcW w:w="0" w:type="auto"/>
            <w:shd w:val="clear" w:color="auto" w:fill="CCEEFF"/>
            <w:tcMar>
              <w:top w:w="40" w:type="dxa"/>
              <w:left w:w="0" w:type="dxa"/>
              <w:bottom w:w="40" w:type="dxa"/>
              <w:right w:w="20" w:type="dxa"/>
            </w:tcMar>
            <w:vAlign w:val="center"/>
          </w:tcPr>
          <w:p w14:paraId="35D0A42F" w14:textId="77777777" w:rsidR="00D42204" w:rsidRDefault="00D42204">
            <w:pPr>
              <w:jc w:val="right"/>
              <w:rPr>
                <w:rFonts w:ascii="宋体"/>
              </w:rPr>
            </w:pPr>
          </w:p>
        </w:tc>
      </w:tr>
      <w:tr w:rsidR="00D42204" w14:paraId="35D0A438" w14:textId="77777777">
        <w:trPr>
          <w:jc w:val="center"/>
          <w:hidden/>
        </w:trPr>
        <w:tc>
          <w:tcPr>
            <w:tcW w:w="0" w:type="auto"/>
            <w:gridSpan w:val="3"/>
            <w:shd w:val="clear" w:color="auto" w:fill="auto"/>
            <w:vAlign w:val="bottom"/>
          </w:tcPr>
          <w:p w14:paraId="35D0A431" w14:textId="77777777" w:rsidR="00D42204" w:rsidRDefault="00D42204">
            <w:pPr>
              <w:rPr>
                <w:rFonts w:ascii="宋体"/>
                <w:vanish/>
              </w:rPr>
            </w:pPr>
          </w:p>
        </w:tc>
        <w:tc>
          <w:tcPr>
            <w:tcW w:w="0" w:type="auto"/>
            <w:gridSpan w:val="3"/>
            <w:shd w:val="clear" w:color="auto" w:fill="auto"/>
            <w:vAlign w:val="bottom"/>
          </w:tcPr>
          <w:p w14:paraId="35D0A432" w14:textId="77777777" w:rsidR="00D42204" w:rsidRDefault="00D42204">
            <w:pPr>
              <w:rPr>
                <w:rFonts w:ascii="宋体"/>
                <w:vanish/>
              </w:rPr>
            </w:pPr>
          </w:p>
        </w:tc>
        <w:tc>
          <w:tcPr>
            <w:tcW w:w="0" w:type="auto"/>
            <w:gridSpan w:val="3"/>
            <w:shd w:val="clear" w:color="auto" w:fill="auto"/>
            <w:vAlign w:val="bottom"/>
          </w:tcPr>
          <w:p w14:paraId="35D0A433" w14:textId="77777777" w:rsidR="00D42204" w:rsidRDefault="00D42204">
            <w:pPr>
              <w:rPr>
                <w:rFonts w:ascii="宋体"/>
                <w:vanish/>
              </w:rPr>
            </w:pPr>
          </w:p>
        </w:tc>
        <w:tc>
          <w:tcPr>
            <w:tcW w:w="0" w:type="auto"/>
            <w:gridSpan w:val="3"/>
            <w:shd w:val="clear" w:color="auto" w:fill="auto"/>
            <w:vAlign w:val="bottom"/>
          </w:tcPr>
          <w:p w14:paraId="35D0A434" w14:textId="77777777" w:rsidR="00D42204" w:rsidRDefault="00D42204">
            <w:pPr>
              <w:rPr>
                <w:rFonts w:ascii="宋体"/>
                <w:vanish/>
              </w:rPr>
            </w:pPr>
          </w:p>
        </w:tc>
        <w:tc>
          <w:tcPr>
            <w:tcW w:w="0" w:type="auto"/>
            <w:gridSpan w:val="3"/>
            <w:shd w:val="clear" w:color="auto" w:fill="auto"/>
            <w:vAlign w:val="bottom"/>
          </w:tcPr>
          <w:p w14:paraId="35D0A435" w14:textId="77777777" w:rsidR="00D42204" w:rsidRDefault="00D42204">
            <w:pPr>
              <w:rPr>
                <w:rFonts w:ascii="宋体"/>
                <w:vanish/>
              </w:rPr>
            </w:pPr>
          </w:p>
        </w:tc>
        <w:tc>
          <w:tcPr>
            <w:tcW w:w="0" w:type="auto"/>
            <w:gridSpan w:val="3"/>
            <w:shd w:val="clear" w:color="auto" w:fill="auto"/>
            <w:vAlign w:val="bottom"/>
          </w:tcPr>
          <w:p w14:paraId="35D0A436" w14:textId="77777777" w:rsidR="00D42204" w:rsidRDefault="00D42204">
            <w:pPr>
              <w:rPr>
                <w:rFonts w:ascii="宋体"/>
                <w:vanish/>
              </w:rPr>
            </w:pPr>
          </w:p>
        </w:tc>
        <w:tc>
          <w:tcPr>
            <w:tcW w:w="0" w:type="auto"/>
            <w:gridSpan w:val="3"/>
            <w:shd w:val="clear" w:color="auto" w:fill="auto"/>
            <w:vAlign w:val="bottom"/>
          </w:tcPr>
          <w:p w14:paraId="35D0A437" w14:textId="77777777" w:rsidR="00D42204" w:rsidRDefault="00D42204">
            <w:pPr>
              <w:rPr>
                <w:rFonts w:ascii="宋体"/>
                <w:vanish/>
              </w:rPr>
            </w:pPr>
          </w:p>
        </w:tc>
      </w:tr>
      <w:tr w:rsidR="00D42204" w14:paraId="35D0A443" w14:textId="77777777">
        <w:trPr>
          <w:jc w:val="center"/>
        </w:trPr>
        <w:tc>
          <w:tcPr>
            <w:tcW w:w="0" w:type="auto"/>
            <w:gridSpan w:val="3"/>
            <w:shd w:val="clear" w:color="auto" w:fill="FFFFFF"/>
            <w:tcMar>
              <w:top w:w="40" w:type="dxa"/>
              <w:left w:w="20" w:type="dxa"/>
              <w:bottom w:w="40" w:type="dxa"/>
              <w:right w:w="20" w:type="dxa"/>
            </w:tcMar>
            <w:vAlign w:val="center"/>
          </w:tcPr>
          <w:p w14:paraId="35D0A439" w14:textId="77777777" w:rsidR="00D42204" w:rsidRDefault="004E439D">
            <w:pPr>
              <w:textAlignment w:val="center"/>
            </w:pPr>
            <w:r>
              <w:rPr>
                <w:rFonts w:ascii="Times New Roman" w:eastAsia="宋体" w:hAnsi="Times New Roman"/>
                <w:color w:val="000000"/>
                <w:sz w:val="16"/>
                <w:szCs w:val="16"/>
              </w:rPr>
              <w:t>Other comprehensive income (loss), net of income taxes</w:t>
            </w:r>
          </w:p>
        </w:tc>
        <w:tc>
          <w:tcPr>
            <w:tcW w:w="0" w:type="auto"/>
            <w:gridSpan w:val="3"/>
            <w:shd w:val="clear" w:color="auto" w:fill="FFFFFF"/>
            <w:tcMar>
              <w:top w:w="0" w:type="dxa"/>
              <w:left w:w="20" w:type="dxa"/>
              <w:bottom w:w="0" w:type="dxa"/>
              <w:right w:w="20" w:type="dxa"/>
            </w:tcMar>
            <w:vAlign w:val="bottom"/>
          </w:tcPr>
          <w:p w14:paraId="35D0A43A"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43B" w14:textId="77777777" w:rsidR="00D42204" w:rsidRDefault="004E439D">
            <w:pPr>
              <w:jc w:val="right"/>
              <w:textAlignment w:val="center"/>
            </w:pPr>
            <w:r>
              <w:rPr>
                <w:rFonts w:ascii="Times New Roman" w:eastAsia="宋体" w:hAnsi="Times New Roman"/>
                <w:color w:val="000000"/>
                <w:sz w:val="16"/>
                <w:szCs w:val="16"/>
              </w:rPr>
              <w:t>2,770 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43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43D"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43E" w14:textId="77777777" w:rsidR="00D42204" w:rsidRDefault="004E439D">
            <w:pPr>
              <w:jc w:val="right"/>
              <w:textAlignment w:val="center"/>
            </w:pPr>
            <w:r>
              <w:rPr>
                <w:rFonts w:ascii="Times New Roman" w:eastAsia="宋体" w:hAnsi="Times New Roman"/>
                <w:color w:val="000000"/>
                <w:sz w:val="16"/>
                <w:szCs w:val="16"/>
              </w:rPr>
              <w:t>826 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43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440"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441" w14:textId="77777777" w:rsidR="00D42204" w:rsidRDefault="004E439D">
            <w:pPr>
              <w:jc w:val="right"/>
              <w:textAlignment w:val="center"/>
            </w:pPr>
            <w:r>
              <w:rPr>
                <w:rFonts w:ascii="Times New Roman" w:eastAsia="宋体" w:hAnsi="Times New Roman"/>
                <w:color w:val="000000"/>
                <w:sz w:val="16"/>
                <w:szCs w:val="16"/>
              </w:rPr>
              <w:t>(1,235)</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442" w14:textId="77777777" w:rsidR="00D42204" w:rsidRDefault="00D42204">
            <w:pPr>
              <w:jc w:val="right"/>
              <w:rPr>
                <w:rFonts w:ascii="宋体"/>
              </w:rPr>
            </w:pPr>
          </w:p>
        </w:tc>
      </w:tr>
      <w:tr w:rsidR="00D42204" w14:paraId="35D0A44E" w14:textId="77777777">
        <w:trPr>
          <w:jc w:val="center"/>
        </w:trPr>
        <w:tc>
          <w:tcPr>
            <w:tcW w:w="0" w:type="auto"/>
            <w:gridSpan w:val="3"/>
            <w:shd w:val="clear" w:color="auto" w:fill="CCEEFF"/>
            <w:tcMar>
              <w:top w:w="40" w:type="dxa"/>
              <w:left w:w="380" w:type="dxa"/>
              <w:bottom w:w="40" w:type="dxa"/>
              <w:right w:w="20" w:type="dxa"/>
            </w:tcMar>
            <w:vAlign w:val="center"/>
          </w:tcPr>
          <w:p w14:paraId="35D0A444" w14:textId="77777777" w:rsidR="00D42204" w:rsidRDefault="004E439D">
            <w:pPr>
              <w:textAlignment w:val="center"/>
            </w:pPr>
            <w:r>
              <w:rPr>
                <w:rFonts w:ascii="Times New Roman" w:eastAsia="宋体" w:hAnsi="Times New Roman"/>
                <w:color w:val="000000"/>
                <w:sz w:val="16"/>
                <w:szCs w:val="16"/>
              </w:rPr>
              <w:t>Other comprehensive (income) loss attributable to noncontrolling interest</w:t>
            </w:r>
          </w:p>
        </w:tc>
        <w:tc>
          <w:tcPr>
            <w:tcW w:w="0" w:type="auto"/>
            <w:gridSpan w:val="3"/>
            <w:shd w:val="clear" w:color="auto" w:fill="CCEEFF"/>
            <w:tcMar>
              <w:top w:w="0" w:type="dxa"/>
              <w:left w:w="20" w:type="dxa"/>
              <w:bottom w:w="0" w:type="dxa"/>
              <w:right w:w="20" w:type="dxa"/>
            </w:tcMar>
            <w:vAlign w:val="bottom"/>
          </w:tcPr>
          <w:p w14:paraId="35D0A44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446" w14:textId="77777777" w:rsidR="00D42204" w:rsidRDefault="004E439D">
            <w:pPr>
              <w:jc w:val="right"/>
              <w:textAlignment w:val="center"/>
            </w:pPr>
            <w:r>
              <w:rPr>
                <w:rFonts w:ascii="Times New Roman" w:eastAsia="宋体" w:hAnsi="Times New Roman"/>
                <w:color w:val="000000"/>
                <w:sz w:val="16"/>
                <w:szCs w:val="16"/>
              </w:rPr>
              <w:t>230 </w:t>
            </w:r>
          </w:p>
        </w:tc>
        <w:tc>
          <w:tcPr>
            <w:tcW w:w="0" w:type="auto"/>
            <w:shd w:val="clear" w:color="auto" w:fill="CCEEFF"/>
            <w:tcMar>
              <w:top w:w="40" w:type="dxa"/>
              <w:left w:w="0" w:type="dxa"/>
              <w:bottom w:w="40" w:type="dxa"/>
              <w:right w:w="20" w:type="dxa"/>
            </w:tcMar>
            <w:vAlign w:val="center"/>
          </w:tcPr>
          <w:p w14:paraId="35D0A44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44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449" w14:textId="77777777" w:rsidR="00D42204" w:rsidRDefault="004E439D">
            <w:pPr>
              <w:jc w:val="right"/>
              <w:textAlignment w:val="center"/>
            </w:pPr>
            <w:r>
              <w:rPr>
                <w:rFonts w:ascii="Times New Roman" w:eastAsia="宋体" w:hAnsi="Times New Roman"/>
                <w:color w:val="000000"/>
                <w:sz w:val="16"/>
                <w:szCs w:val="16"/>
              </w:rPr>
              <w:t>213 </w:t>
            </w:r>
          </w:p>
        </w:tc>
        <w:tc>
          <w:tcPr>
            <w:tcW w:w="0" w:type="auto"/>
            <w:shd w:val="clear" w:color="auto" w:fill="CCEEFF"/>
            <w:tcMar>
              <w:top w:w="40" w:type="dxa"/>
              <w:left w:w="0" w:type="dxa"/>
              <w:bottom w:w="40" w:type="dxa"/>
              <w:right w:w="20" w:type="dxa"/>
            </w:tcMar>
            <w:vAlign w:val="center"/>
          </w:tcPr>
          <w:p w14:paraId="35D0A44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44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44C" w14:textId="77777777" w:rsidR="00D42204" w:rsidRDefault="004E439D">
            <w:pPr>
              <w:jc w:val="right"/>
              <w:textAlignment w:val="center"/>
            </w:pPr>
            <w:r>
              <w:rPr>
                <w:rFonts w:ascii="Times New Roman" w:eastAsia="宋体" w:hAnsi="Times New Roman"/>
                <w:color w:val="000000"/>
                <w:sz w:val="16"/>
                <w:szCs w:val="16"/>
              </w:rPr>
              <w:t>(28)</w:t>
            </w:r>
          </w:p>
        </w:tc>
        <w:tc>
          <w:tcPr>
            <w:tcW w:w="0" w:type="auto"/>
            <w:shd w:val="clear" w:color="auto" w:fill="CCEEFF"/>
            <w:tcMar>
              <w:top w:w="40" w:type="dxa"/>
              <w:left w:w="0" w:type="dxa"/>
              <w:bottom w:w="40" w:type="dxa"/>
              <w:right w:w="20" w:type="dxa"/>
            </w:tcMar>
            <w:vAlign w:val="center"/>
          </w:tcPr>
          <w:p w14:paraId="35D0A44D" w14:textId="77777777" w:rsidR="00D42204" w:rsidRDefault="00D42204">
            <w:pPr>
              <w:jc w:val="right"/>
              <w:rPr>
                <w:rFonts w:ascii="宋体"/>
              </w:rPr>
            </w:pPr>
          </w:p>
        </w:tc>
      </w:tr>
      <w:tr w:rsidR="00D42204" w14:paraId="35D0A459" w14:textId="77777777">
        <w:trPr>
          <w:jc w:val="center"/>
        </w:trPr>
        <w:tc>
          <w:tcPr>
            <w:tcW w:w="0" w:type="auto"/>
            <w:gridSpan w:val="3"/>
            <w:shd w:val="clear" w:color="auto" w:fill="FFFFFF"/>
            <w:tcMar>
              <w:top w:w="40" w:type="dxa"/>
              <w:left w:w="20" w:type="dxa"/>
              <w:bottom w:w="40" w:type="dxa"/>
              <w:right w:w="20" w:type="dxa"/>
            </w:tcMar>
            <w:vAlign w:val="center"/>
          </w:tcPr>
          <w:p w14:paraId="35D0A44F" w14:textId="77777777" w:rsidR="00D42204" w:rsidRDefault="004E439D">
            <w:pPr>
              <w:textAlignment w:val="center"/>
            </w:pPr>
            <w:r>
              <w:rPr>
                <w:rFonts w:ascii="Times New Roman" w:eastAsia="宋体" w:hAnsi="Times New Roman"/>
                <w:b/>
                <w:bCs/>
                <w:color w:val="000000"/>
                <w:sz w:val="16"/>
                <w:szCs w:val="16"/>
              </w:rPr>
              <w:t>Other comprehensive income (loss) attributable to Walmart</w:t>
            </w:r>
          </w:p>
        </w:tc>
        <w:tc>
          <w:tcPr>
            <w:tcW w:w="0" w:type="auto"/>
            <w:gridSpan w:val="3"/>
            <w:shd w:val="clear" w:color="auto" w:fill="FFFFFF"/>
            <w:tcMar>
              <w:top w:w="0" w:type="dxa"/>
              <w:left w:w="20" w:type="dxa"/>
              <w:bottom w:w="0" w:type="dxa"/>
              <w:right w:w="20" w:type="dxa"/>
            </w:tcMar>
            <w:vAlign w:val="bottom"/>
          </w:tcPr>
          <w:p w14:paraId="35D0A450"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451" w14:textId="77777777" w:rsidR="00D42204" w:rsidRDefault="004E439D">
            <w:pPr>
              <w:jc w:val="right"/>
              <w:textAlignment w:val="center"/>
            </w:pPr>
            <w:r>
              <w:rPr>
                <w:rFonts w:ascii="Times New Roman" w:eastAsia="宋体" w:hAnsi="Times New Roman"/>
                <w:color w:val="000000"/>
                <w:sz w:val="16"/>
                <w:szCs w:val="16"/>
              </w:rPr>
              <w:t>3,000 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45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453"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454" w14:textId="77777777" w:rsidR="00D42204" w:rsidRDefault="004E439D">
            <w:pPr>
              <w:jc w:val="right"/>
              <w:textAlignment w:val="center"/>
            </w:pPr>
            <w:r>
              <w:rPr>
                <w:rFonts w:ascii="Times New Roman" w:eastAsia="宋体" w:hAnsi="Times New Roman"/>
                <w:color w:val="000000"/>
                <w:sz w:val="16"/>
                <w:szCs w:val="16"/>
              </w:rPr>
              <w:t>1,039 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45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456"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457" w14:textId="77777777" w:rsidR="00D42204" w:rsidRDefault="004E439D">
            <w:pPr>
              <w:jc w:val="right"/>
              <w:textAlignment w:val="center"/>
            </w:pPr>
            <w:r>
              <w:rPr>
                <w:rFonts w:ascii="Times New Roman" w:eastAsia="宋体" w:hAnsi="Times New Roman"/>
                <w:color w:val="000000"/>
                <w:sz w:val="16"/>
                <w:szCs w:val="16"/>
              </w:rPr>
              <w:t>(1,263)</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458" w14:textId="77777777" w:rsidR="00D42204" w:rsidRDefault="00D42204">
            <w:pPr>
              <w:jc w:val="right"/>
              <w:rPr>
                <w:rFonts w:ascii="宋体"/>
              </w:rPr>
            </w:pPr>
          </w:p>
        </w:tc>
      </w:tr>
      <w:tr w:rsidR="00D42204" w14:paraId="35D0A461" w14:textId="77777777">
        <w:trPr>
          <w:trHeight w:val="220"/>
          <w:jc w:val="center"/>
        </w:trPr>
        <w:tc>
          <w:tcPr>
            <w:tcW w:w="0" w:type="auto"/>
            <w:gridSpan w:val="3"/>
            <w:shd w:val="clear" w:color="auto" w:fill="CCEEFF"/>
            <w:tcMar>
              <w:top w:w="0" w:type="dxa"/>
              <w:left w:w="20" w:type="dxa"/>
              <w:bottom w:w="0" w:type="dxa"/>
              <w:right w:w="20" w:type="dxa"/>
            </w:tcMar>
            <w:vAlign w:val="bottom"/>
          </w:tcPr>
          <w:p w14:paraId="35D0A45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45B"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45C"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45D"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45E"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45F"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460" w14:textId="77777777" w:rsidR="00D42204" w:rsidRDefault="00D42204">
            <w:pPr>
              <w:rPr>
                <w:rFonts w:ascii="宋体"/>
              </w:rPr>
            </w:pPr>
          </w:p>
        </w:tc>
      </w:tr>
      <w:tr w:rsidR="00D42204" w14:paraId="35D0A46C" w14:textId="77777777">
        <w:trPr>
          <w:jc w:val="center"/>
        </w:trPr>
        <w:tc>
          <w:tcPr>
            <w:tcW w:w="0" w:type="auto"/>
            <w:gridSpan w:val="3"/>
            <w:shd w:val="clear" w:color="auto" w:fill="FFFFFF"/>
            <w:tcMar>
              <w:top w:w="40" w:type="dxa"/>
              <w:left w:w="20" w:type="dxa"/>
              <w:bottom w:w="40" w:type="dxa"/>
              <w:right w:w="20" w:type="dxa"/>
            </w:tcMar>
            <w:vAlign w:val="center"/>
          </w:tcPr>
          <w:p w14:paraId="35D0A462" w14:textId="77777777" w:rsidR="00D42204" w:rsidRDefault="004E439D">
            <w:pPr>
              <w:textAlignment w:val="center"/>
            </w:pPr>
            <w:r>
              <w:rPr>
                <w:rFonts w:ascii="Times New Roman" w:eastAsia="宋体" w:hAnsi="Times New Roman"/>
                <w:color w:val="000000"/>
                <w:sz w:val="16"/>
                <w:szCs w:val="16"/>
              </w:rPr>
              <w:t>Comprehensive income, net of income taxes</w:t>
            </w:r>
          </w:p>
        </w:tc>
        <w:tc>
          <w:tcPr>
            <w:tcW w:w="0" w:type="auto"/>
            <w:gridSpan w:val="3"/>
            <w:shd w:val="clear" w:color="auto" w:fill="FFFFFF"/>
            <w:tcMar>
              <w:top w:w="0" w:type="dxa"/>
              <w:left w:w="20" w:type="dxa"/>
              <w:bottom w:w="0" w:type="dxa"/>
              <w:right w:w="20" w:type="dxa"/>
            </w:tcMar>
            <w:vAlign w:val="bottom"/>
          </w:tcPr>
          <w:p w14:paraId="35D0A46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464" w14:textId="77777777" w:rsidR="00D42204" w:rsidRDefault="004E439D">
            <w:pPr>
              <w:jc w:val="right"/>
              <w:textAlignment w:val="center"/>
            </w:pPr>
            <w:r>
              <w:rPr>
                <w:rFonts w:ascii="Times New Roman" w:eastAsia="宋体" w:hAnsi="Times New Roman"/>
                <w:color w:val="000000"/>
                <w:sz w:val="16"/>
                <w:szCs w:val="16"/>
              </w:rPr>
              <w:t>16,710 </w:t>
            </w:r>
          </w:p>
        </w:tc>
        <w:tc>
          <w:tcPr>
            <w:tcW w:w="0" w:type="auto"/>
            <w:shd w:val="clear" w:color="auto" w:fill="FFFFFF"/>
            <w:tcMar>
              <w:top w:w="40" w:type="dxa"/>
              <w:left w:w="0" w:type="dxa"/>
              <w:bottom w:w="40" w:type="dxa"/>
              <w:right w:w="20" w:type="dxa"/>
            </w:tcMar>
            <w:vAlign w:val="center"/>
          </w:tcPr>
          <w:p w14:paraId="35D0A46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46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467" w14:textId="77777777" w:rsidR="00D42204" w:rsidRDefault="004E439D">
            <w:pPr>
              <w:jc w:val="right"/>
              <w:textAlignment w:val="center"/>
            </w:pPr>
            <w:r>
              <w:rPr>
                <w:rFonts w:ascii="Times New Roman" w:eastAsia="宋体" w:hAnsi="Times New Roman"/>
                <w:color w:val="000000"/>
                <w:sz w:val="16"/>
                <w:szCs w:val="16"/>
              </w:rPr>
              <w:t>14,532 </w:t>
            </w:r>
          </w:p>
        </w:tc>
        <w:tc>
          <w:tcPr>
            <w:tcW w:w="0" w:type="auto"/>
            <w:shd w:val="clear" w:color="auto" w:fill="FFFFFF"/>
            <w:tcMar>
              <w:top w:w="40" w:type="dxa"/>
              <w:left w:w="0" w:type="dxa"/>
              <w:bottom w:w="40" w:type="dxa"/>
              <w:right w:w="20" w:type="dxa"/>
            </w:tcMar>
            <w:vAlign w:val="center"/>
          </w:tcPr>
          <w:p w14:paraId="35D0A46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46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46A" w14:textId="77777777" w:rsidR="00D42204" w:rsidRDefault="004E439D">
            <w:pPr>
              <w:jc w:val="right"/>
              <w:textAlignment w:val="center"/>
            </w:pPr>
            <w:r>
              <w:rPr>
                <w:rFonts w:ascii="Times New Roman" w:eastAsia="宋体" w:hAnsi="Times New Roman"/>
                <w:color w:val="000000"/>
                <w:sz w:val="16"/>
                <w:szCs w:val="16"/>
              </w:rPr>
              <w:t>13,966 </w:t>
            </w:r>
          </w:p>
        </w:tc>
        <w:tc>
          <w:tcPr>
            <w:tcW w:w="0" w:type="auto"/>
            <w:shd w:val="clear" w:color="auto" w:fill="FFFFFF"/>
            <w:tcMar>
              <w:top w:w="40" w:type="dxa"/>
              <w:left w:w="0" w:type="dxa"/>
              <w:bottom w:w="40" w:type="dxa"/>
              <w:right w:w="20" w:type="dxa"/>
            </w:tcMar>
            <w:vAlign w:val="center"/>
          </w:tcPr>
          <w:p w14:paraId="35D0A46B" w14:textId="77777777" w:rsidR="00D42204" w:rsidRDefault="00D42204">
            <w:pPr>
              <w:jc w:val="right"/>
              <w:rPr>
                <w:rFonts w:ascii="宋体"/>
              </w:rPr>
            </w:pPr>
          </w:p>
        </w:tc>
      </w:tr>
      <w:tr w:rsidR="00D42204" w14:paraId="35D0A477" w14:textId="77777777">
        <w:trPr>
          <w:jc w:val="center"/>
        </w:trPr>
        <w:tc>
          <w:tcPr>
            <w:tcW w:w="0" w:type="auto"/>
            <w:gridSpan w:val="3"/>
            <w:shd w:val="clear" w:color="auto" w:fill="CCEEFF"/>
            <w:tcMar>
              <w:top w:w="40" w:type="dxa"/>
              <w:left w:w="380" w:type="dxa"/>
              <w:bottom w:w="40" w:type="dxa"/>
              <w:right w:w="20" w:type="dxa"/>
            </w:tcMar>
            <w:vAlign w:val="bottom"/>
          </w:tcPr>
          <w:p w14:paraId="35D0A46D" w14:textId="77777777" w:rsidR="00D42204" w:rsidRDefault="004E439D">
            <w:pPr>
              <w:textAlignment w:val="bottom"/>
            </w:pPr>
            <w:r>
              <w:rPr>
                <w:rFonts w:ascii="Times New Roman" w:eastAsia="宋体" w:hAnsi="Times New Roman"/>
                <w:color w:val="000000"/>
                <w:sz w:val="16"/>
                <w:szCs w:val="16"/>
              </w:rPr>
              <w:t>Co</w:t>
            </w:r>
            <w:r>
              <w:rPr>
                <w:rFonts w:ascii="Times New Roman" w:eastAsia="宋体" w:hAnsi="Times New Roman"/>
                <w:color w:val="000000"/>
                <w:sz w:val="16"/>
                <w:szCs w:val="16"/>
              </w:rPr>
              <w:t>mprehensive (income) loss attributable to noncontrolling interest</w:t>
            </w:r>
          </w:p>
        </w:tc>
        <w:tc>
          <w:tcPr>
            <w:tcW w:w="0" w:type="auto"/>
            <w:gridSpan w:val="3"/>
            <w:shd w:val="clear" w:color="auto" w:fill="CCEEFF"/>
            <w:tcMar>
              <w:top w:w="0" w:type="dxa"/>
              <w:left w:w="20" w:type="dxa"/>
              <w:bottom w:w="0" w:type="dxa"/>
              <w:right w:w="20" w:type="dxa"/>
            </w:tcMar>
            <w:vAlign w:val="bottom"/>
          </w:tcPr>
          <w:p w14:paraId="35D0A46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46F" w14:textId="77777777" w:rsidR="00D42204" w:rsidRDefault="004E439D">
            <w:pPr>
              <w:jc w:val="right"/>
              <w:textAlignment w:val="center"/>
            </w:pPr>
            <w:r>
              <w:rPr>
                <w:rFonts w:ascii="Times New Roman" w:eastAsia="宋体" w:hAnsi="Times New Roman"/>
                <w:color w:val="000000"/>
                <w:sz w:val="16"/>
                <w:szCs w:val="16"/>
              </w:rPr>
              <w:t>(37)</w:t>
            </w:r>
          </w:p>
        </w:tc>
        <w:tc>
          <w:tcPr>
            <w:tcW w:w="0" w:type="auto"/>
            <w:shd w:val="clear" w:color="auto" w:fill="CCEEFF"/>
            <w:tcMar>
              <w:top w:w="40" w:type="dxa"/>
              <w:left w:w="0" w:type="dxa"/>
              <w:bottom w:w="40" w:type="dxa"/>
              <w:right w:w="20" w:type="dxa"/>
            </w:tcMar>
            <w:vAlign w:val="center"/>
          </w:tcPr>
          <w:p w14:paraId="35D0A47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47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472" w14:textId="77777777" w:rsidR="00D42204" w:rsidRDefault="004E439D">
            <w:pPr>
              <w:jc w:val="right"/>
              <w:textAlignment w:val="center"/>
            </w:pPr>
            <w:r>
              <w:rPr>
                <w:rFonts w:ascii="Times New Roman" w:eastAsia="宋体" w:hAnsi="Times New Roman"/>
                <w:color w:val="000000"/>
                <w:sz w:val="16"/>
                <w:szCs w:val="16"/>
              </w:rPr>
              <w:t>17 </w:t>
            </w:r>
          </w:p>
        </w:tc>
        <w:tc>
          <w:tcPr>
            <w:tcW w:w="0" w:type="auto"/>
            <w:shd w:val="clear" w:color="auto" w:fill="CCEEFF"/>
            <w:tcMar>
              <w:top w:w="40" w:type="dxa"/>
              <w:left w:w="0" w:type="dxa"/>
              <w:bottom w:w="40" w:type="dxa"/>
              <w:right w:w="20" w:type="dxa"/>
            </w:tcMar>
            <w:vAlign w:val="center"/>
          </w:tcPr>
          <w:p w14:paraId="35D0A47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47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475" w14:textId="77777777" w:rsidR="00D42204" w:rsidRDefault="004E439D">
            <w:pPr>
              <w:jc w:val="right"/>
              <w:textAlignment w:val="center"/>
            </w:pPr>
            <w:r>
              <w:rPr>
                <w:rFonts w:ascii="Times New Roman" w:eastAsia="宋体" w:hAnsi="Times New Roman"/>
                <w:color w:val="000000"/>
                <w:sz w:val="16"/>
                <w:szCs w:val="16"/>
              </w:rPr>
              <w:t>(348)</w:t>
            </w:r>
          </w:p>
        </w:tc>
        <w:tc>
          <w:tcPr>
            <w:tcW w:w="0" w:type="auto"/>
            <w:shd w:val="clear" w:color="auto" w:fill="CCEEFF"/>
            <w:tcMar>
              <w:top w:w="40" w:type="dxa"/>
              <w:left w:w="0" w:type="dxa"/>
              <w:bottom w:w="40" w:type="dxa"/>
              <w:right w:w="20" w:type="dxa"/>
            </w:tcMar>
            <w:vAlign w:val="center"/>
          </w:tcPr>
          <w:p w14:paraId="35D0A476" w14:textId="77777777" w:rsidR="00D42204" w:rsidRDefault="00D42204">
            <w:pPr>
              <w:jc w:val="right"/>
              <w:rPr>
                <w:rFonts w:ascii="宋体"/>
              </w:rPr>
            </w:pPr>
          </w:p>
        </w:tc>
      </w:tr>
      <w:tr w:rsidR="00D42204" w14:paraId="35D0A485" w14:textId="77777777">
        <w:trPr>
          <w:jc w:val="center"/>
        </w:trPr>
        <w:tc>
          <w:tcPr>
            <w:tcW w:w="0" w:type="auto"/>
            <w:gridSpan w:val="3"/>
            <w:shd w:val="clear" w:color="auto" w:fill="FFFFFF"/>
            <w:tcMar>
              <w:top w:w="40" w:type="dxa"/>
              <w:left w:w="20" w:type="dxa"/>
              <w:bottom w:w="40" w:type="dxa"/>
              <w:right w:w="20" w:type="dxa"/>
            </w:tcMar>
            <w:vAlign w:val="center"/>
          </w:tcPr>
          <w:p w14:paraId="35D0A478" w14:textId="77777777" w:rsidR="00D42204" w:rsidRDefault="004E439D">
            <w:pPr>
              <w:textAlignment w:val="center"/>
            </w:pPr>
            <w:r>
              <w:rPr>
                <w:rFonts w:ascii="Times New Roman" w:eastAsia="宋体" w:hAnsi="Times New Roman"/>
                <w:b/>
                <w:bCs/>
                <w:color w:val="000000"/>
                <w:sz w:val="16"/>
                <w:szCs w:val="16"/>
              </w:rPr>
              <w:t>Comprehensive income attributable to Walmart</w:t>
            </w:r>
          </w:p>
        </w:tc>
        <w:tc>
          <w:tcPr>
            <w:tcW w:w="0" w:type="auto"/>
            <w:gridSpan w:val="3"/>
            <w:shd w:val="clear" w:color="auto" w:fill="FFFFFF"/>
            <w:tcMar>
              <w:top w:w="0" w:type="dxa"/>
              <w:left w:w="20" w:type="dxa"/>
              <w:bottom w:w="0" w:type="dxa"/>
              <w:right w:w="20" w:type="dxa"/>
            </w:tcMar>
            <w:vAlign w:val="bottom"/>
          </w:tcPr>
          <w:p w14:paraId="35D0A479"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47A"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47B" w14:textId="77777777" w:rsidR="00D42204" w:rsidRDefault="004E439D">
            <w:pPr>
              <w:jc w:val="right"/>
              <w:textAlignment w:val="center"/>
            </w:pPr>
            <w:r>
              <w:rPr>
                <w:rFonts w:ascii="Times New Roman" w:eastAsia="宋体" w:hAnsi="Times New Roman"/>
                <w:color w:val="000000"/>
                <w:sz w:val="16"/>
                <w:szCs w:val="16"/>
              </w:rPr>
              <w:t>16,673 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47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47D"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47E"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47F" w14:textId="77777777" w:rsidR="00D42204" w:rsidRDefault="004E439D">
            <w:pPr>
              <w:jc w:val="right"/>
              <w:textAlignment w:val="center"/>
            </w:pPr>
            <w:r>
              <w:rPr>
                <w:rFonts w:ascii="Times New Roman" w:eastAsia="宋体" w:hAnsi="Times New Roman"/>
                <w:color w:val="000000"/>
                <w:sz w:val="16"/>
                <w:szCs w:val="16"/>
              </w:rPr>
              <w:t>14,549 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48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481"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482"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483" w14:textId="77777777" w:rsidR="00D42204" w:rsidRDefault="004E439D">
            <w:pPr>
              <w:jc w:val="right"/>
              <w:textAlignment w:val="center"/>
            </w:pPr>
            <w:r>
              <w:rPr>
                <w:rFonts w:ascii="Times New Roman" w:eastAsia="宋体" w:hAnsi="Times New Roman"/>
                <w:color w:val="000000"/>
                <w:sz w:val="16"/>
                <w:szCs w:val="16"/>
              </w:rPr>
              <w:t>13,618 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484" w14:textId="77777777" w:rsidR="00D42204" w:rsidRDefault="00D42204">
            <w:pPr>
              <w:jc w:val="right"/>
              <w:rPr>
                <w:rFonts w:ascii="宋体"/>
              </w:rPr>
            </w:pPr>
          </w:p>
        </w:tc>
      </w:tr>
    </w:tbl>
    <w:p w14:paraId="35D0A486" w14:textId="77777777" w:rsidR="00D42204" w:rsidRDefault="004E439D">
      <w:pPr>
        <w:spacing w:before="80"/>
      </w:pPr>
      <w:r>
        <w:rPr>
          <w:rFonts w:ascii="Times New Roman" w:eastAsia="宋体" w:hAnsi="Times New Roman"/>
          <w:i/>
          <w:iCs/>
          <w:color w:val="000000"/>
          <w:sz w:val="16"/>
          <w:szCs w:val="16"/>
        </w:rPr>
        <w:t xml:space="preserve">See accompanying notes. </w:t>
      </w:r>
    </w:p>
    <w:p w14:paraId="35D0A487" w14:textId="77777777" w:rsidR="00D42204" w:rsidRDefault="004E439D">
      <w:pPr>
        <w:jc w:val="center"/>
      </w:pPr>
      <w:r>
        <w:rPr>
          <w:rFonts w:ascii="Times New Roman" w:eastAsia="宋体" w:hAnsi="Times New Roman"/>
          <w:color w:val="000000"/>
          <w:sz w:val="20"/>
          <w:szCs w:val="20"/>
        </w:rPr>
        <w:t>54</w:t>
      </w:r>
    </w:p>
    <w:p w14:paraId="35D0A488" w14:textId="77777777" w:rsidR="00D42204" w:rsidRDefault="004E439D">
      <w:r>
        <w:pict w14:anchorId="35D0C391">
          <v:rect id="_x0000_i1078" style="width:415.3pt;height:1.5pt" o:hralign="center" o:hrstd="t" o:hr="t" fillcolor="#a0a0a0" stroked="f"/>
        </w:pict>
      </w:r>
    </w:p>
    <w:p w14:paraId="35D0A489" w14:textId="77777777" w:rsidR="00D42204" w:rsidRDefault="00D42204"/>
    <w:p w14:paraId="35D0A48A" w14:textId="77777777" w:rsidR="00D42204" w:rsidRDefault="004E439D">
      <w:pPr>
        <w:jc w:val="center"/>
      </w:pPr>
      <w:r>
        <w:rPr>
          <w:rFonts w:ascii="Times New Roman" w:eastAsia="宋体" w:hAnsi="Times New Roman"/>
          <w:b/>
          <w:bCs/>
          <w:color w:val="000000"/>
          <w:sz w:val="20"/>
          <w:szCs w:val="20"/>
        </w:rPr>
        <w:t>Walmart Inc.</w:t>
      </w:r>
    </w:p>
    <w:p w14:paraId="35D0A48B" w14:textId="77777777" w:rsidR="00D42204" w:rsidRDefault="004E439D">
      <w:pPr>
        <w:spacing w:before="60"/>
        <w:jc w:val="center"/>
      </w:pPr>
      <w:r>
        <w:rPr>
          <w:rFonts w:ascii="Times New Roman" w:eastAsia="宋体" w:hAnsi="Times New Roman"/>
          <w:b/>
          <w:bCs/>
          <w:color w:val="000000"/>
          <w:sz w:val="20"/>
          <w:szCs w:val="20"/>
        </w:rPr>
        <w:t>Consolidated Balance Sheets</w:t>
      </w:r>
    </w:p>
    <w:p w14:paraId="35D0A48C" w14:textId="77777777" w:rsidR="00D42204" w:rsidRDefault="00D42204">
      <w:pPr>
        <w:spacing w:before="6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6016"/>
        <w:gridCol w:w="40"/>
        <w:gridCol w:w="36"/>
        <w:gridCol w:w="36"/>
        <w:gridCol w:w="36"/>
        <w:gridCol w:w="100"/>
        <w:gridCol w:w="873"/>
        <w:gridCol w:w="36"/>
        <w:gridCol w:w="36"/>
        <w:gridCol w:w="36"/>
        <w:gridCol w:w="36"/>
        <w:gridCol w:w="100"/>
        <w:gridCol w:w="875"/>
        <w:gridCol w:w="36"/>
      </w:tblGrid>
      <w:tr w:rsidR="00D42204" w14:paraId="35D0A49C" w14:textId="77777777">
        <w:trPr>
          <w:jc w:val="center"/>
        </w:trPr>
        <w:tc>
          <w:tcPr>
            <w:tcW w:w="50" w:type="pct"/>
            <w:shd w:val="clear" w:color="auto" w:fill="auto"/>
            <w:vAlign w:val="bottom"/>
          </w:tcPr>
          <w:p w14:paraId="35D0A48D" w14:textId="77777777" w:rsidR="00D42204" w:rsidRDefault="00D42204">
            <w:pPr>
              <w:rPr>
                <w:rFonts w:ascii="宋体"/>
              </w:rPr>
            </w:pPr>
          </w:p>
        </w:tc>
        <w:tc>
          <w:tcPr>
            <w:tcW w:w="3631" w:type="pct"/>
            <w:shd w:val="clear" w:color="auto" w:fill="auto"/>
            <w:vAlign w:val="bottom"/>
          </w:tcPr>
          <w:p w14:paraId="35D0A48E" w14:textId="77777777" w:rsidR="00D42204" w:rsidRDefault="00D42204">
            <w:pPr>
              <w:rPr>
                <w:rFonts w:ascii="宋体"/>
              </w:rPr>
            </w:pPr>
          </w:p>
        </w:tc>
        <w:tc>
          <w:tcPr>
            <w:tcW w:w="5" w:type="pct"/>
            <w:shd w:val="clear" w:color="auto" w:fill="auto"/>
            <w:vAlign w:val="bottom"/>
          </w:tcPr>
          <w:p w14:paraId="35D0A48F" w14:textId="77777777" w:rsidR="00D42204" w:rsidRDefault="00D42204">
            <w:pPr>
              <w:rPr>
                <w:rFonts w:ascii="宋体"/>
              </w:rPr>
            </w:pPr>
          </w:p>
        </w:tc>
        <w:tc>
          <w:tcPr>
            <w:tcW w:w="5" w:type="pct"/>
            <w:shd w:val="clear" w:color="auto" w:fill="auto"/>
            <w:vAlign w:val="bottom"/>
          </w:tcPr>
          <w:p w14:paraId="35D0A490" w14:textId="77777777" w:rsidR="00D42204" w:rsidRDefault="00D42204">
            <w:pPr>
              <w:rPr>
                <w:rFonts w:ascii="宋体"/>
              </w:rPr>
            </w:pPr>
          </w:p>
        </w:tc>
        <w:tc>
          <w:tcPr>
            <w:tcW w:w="41" w:type="pct"/>
            <w:shd w:val="clear" w:color="auto" w:fill="auto"/>
            <w:vAlign w:val="bottom"/>
          </w:tcPr>
          <w:p w14:paraId="35D0A491" w14:textId="77777777" w:rsidR="00D42204" w:rsidRDefault="00D42204">
            <w:pPr>
              <w:rPr>
                <w:rFonts w:ascii="宋体"/>
              </w:rPr>
            </w:pPr>
          </w:p>
        </w:tc>
        <w:tc>
          <w:tcPr>
            <w:tcW w:w="5" w:type="pct"/>
            <w:shd w:val="clear" w:color="auto" w:fill="auto"/>
            <w:vAlign w:val="bottom"/>
          </w:tcPr>
          <w:p w14:paraId="35D0A492" w14:textId="77777777" w:rsidR="00D42204" w:rsidRDefault="00D42204">
            <w:pPr>
              <w:rPr>
                <w:rFonts w:ascii="宋体"/>
              </w:rPr>
            </w:pPr>
          </w:p>
        </w:tc>
        <w:tc>
          <w:tcPr>
            <w:tcW w:w="50" w:type="pct"/>
            <w:shd w:val="clear" w:color="auto" w:fill="auto"/>
            <w:vAlign w:val="bottom"/>
          </w:tcPr>
          <w:p w14:paraId="35D0A493" w14:textId="77777777" w:rsidR="00D42204" w:rsidRDefault="00D42204">
            <w:pPr>
              <w:rPr>
                <w:rFonts w:ascii="宋体"/>
              </w:rPr>
            </w:pPr>
          </w:p>
        </w:tc>
        <w:tc>
          <w:tcPr>
            <w:tcW w:w="550" w:type="pct"/>
            <w:shd w:val="clear" w:color="auto" w:fill="auto"/>
            <w:vAlign w:val="bottom"/>
          </w:tcPr>
          <w:p w14:paraId="35D0A494" w14:textId="77777777" w:rsidR="00D42204" w:rsidRDefault="00D42204">
            <w:pPr>
              <w:rPr>
                <w:rFonts w:ascii="宋体"/>
              </w:rPr>
            </w:pPr>
          </w:p>
        </w:tc>
        <w:tc>
          <w:tcPr>
            <w:tcW w:w="5" w:type="pct"/>
            <w:shd w:val="clear" w:color="auto" w:fill="auto"/>
            <w:vAlign w:val="bottom"/>
          </w:tcPr>
          <w:p w14:paraId="35D0A495" w14:textId="77777777" w:rsidR="00D42204" w:rsidRDefault="00D42204">
            <w:pPr>
              <w:rPr>
                <w:rFonts w:ascii="宋体"/>
              </w:rPr>
            </w:pPr>
          </w:p>
        </w:tc>
        <w:tc>
          <w:tcPr>
            <w:tcW w:w="5" w:type="pct"/>
            <w:shd w:val="clear" w:color="auto" w:fill="auto"/>
            <w:vAlign w:val="bottom"/>
          </w:tcPr>
          <w:p w14:paraId="35D0A496" w14:textId="77777777" w:rsidR="00D42204" w:rsidRDefault="00D42204">
            <w:pPr>
              <w:rPr>
                <w:rFonts w:ascii="宋体"/>
              </w:rPr>
            </w:pPr>
          </w:p>
        </w:tc>
        <w:tc>
          <w:tcPr>
            <w:tcW w:w="41" w:type="pct"/>
            <w:shd w:val="clear" w:color="auto" w:fill="auto"/>
            <w:vAlign w:val="bottom"/>
          </w:tcPr>
          <w:p w14:paraId="35D0A497" w14:textId="77777777" w:rsidR="00D42204" w:rsidRDefault="00D42204">
            <w:pPr>
              <w:rPr>
                <w:rFonts w:ascii="宋体"/>
              </w:rPr>
            </w:pPr>
          </w:p>
        </w:tc>
        <w:tc>
          <w:tcPr>
            <w:tcW w:w="5" w:type="pct"/>
            <w:shd w:val="clear" w:color="auto" w:fill="auto"/>
            <w:vAlign w:val="bottom"/>
          </w:tcPr>
          <w:p w14:paraId="35D0A498" w14:textId="77777777" w:rsidR="00D42204" w:rsidRDefault="00D42204">
            <w:pPr>
              <w:rPr>
                <w:rFonts w:ascii="宋体"/>
              </w:rPr>
            </w:pPr>
          </w:p>
        </w:tc>
        <w:tc>
          <w:tcPr>
            <w:tcW w:w="50" w:type="pct"/>
            <w:shd w:val="clear" w:color="auto" w:fill="auto"/>
            <w:vAlign w:val="bottom"/>
          </w:tcPr>
          <w:p w14:paraId="35D0A499" w14:textId="77777777" w:rsidR="00D42204" w:rsidRDefault="00D42204">
            <w:pPr>
              <w:rPr>
                <w:rFonts w:ascii="宋体"/>
              </w:rPr>
            </w:pPr>
          </w:p>
        </w:tc>
        <w:tc>
          <w:tcPr>
            <w:tcW w:w="551" w:type="pct"/>
            <w:shd w:val="clear" w:color="auto" w:fill="auto"/>
            <w:vAlign w:val="bottom"/>
          </w:tcPr>
          <w:p w14:paraId="35D0A49A" w14:textId="77777777" w:rsidR="00D42204" w:rsidRDefault="00D42204">
            <w:pPr>
              <w:rPr>
                <w:rFonts w:ascii="宋体"/>
              </w:rPr>
            </w:pPr>
          </w:p>
        </w:tc>
        <w:tc>
          <w:tcPr>
            <w:tcW w:w="5" w:type="pct"/>
            <w:shd w:val="clear" w:color="auto" w:fill="auto"/>
            <w:vAlign w:val="bottom"/>
          </w:tcPr>
          <w:p w14:paraId="35D0A49B" w14:textId="77777777" w:rsidR="00D42204" w:rsidRDefault="00D42204">
            <w:pPr>
              <w:rPr>
                <w:rFonts w:ascii="宋体"/>
              </w:rPr>
            </w:pPr>
          </w:p>
        </w:tc>
      </w:tr>
      <w:tr w:rsidR="00D42204" w14:paraId="35D0A4A0" w14:textId="77777777">
        <w:trPr>
          <w:jc w:val="center"/>
        </w:trPr>
        <w:tc>
          <w:tcPr>
            <w:tcW w:w="0" w:type="auto"/>
            <w:gridSpan w:val="3"/>
            <w:shd w:val="clear" w:color="auto" w:fill="auto"/>
            <w:tcMar>
              <w:top w:w="0" w:type="dxa"/>
              <w:left w:w="20" w:type="dxa"/>
              <w:bottom w:w="0" w:type="dxa"/>
              <w:right w:w="20" w:type="dxa"/>
            </w:tcMar>
            <w:vAlign w:val="bottom"/>
          </w:tcPr>
          <w:p w14:paraId="35D0A49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49E" w14:textId="77777777" w:rsidR="00D42204" w:rsidRDefault="00D42204">
            <w:pPr>
              <w:rPr>
                <w:rFonts w:ascii="宋体"/>
              </w:rPr>
            </w:pPr>
          </w:p>
        </w:tc>
        <w:tc>
          <w:tcPr>
            <w:tcW w:w="0" w:type="auto"/>
            <w:gridSpan w:val="9"/>
            <w:shd w:val="clear" w:color="auto" w:fill="auto"/>
            <w:tcMar>
              <w:top w:w="40" w:type="dxa"/>
              <w:left w:w="20" w:type="dxa"/>
              <w:bottom w:w="40" w:type="dxa"/>
              <w:right w:w="20" w:type="dxa"/>
            </w:tcMar>
            <w:vAlign w:val="bottom"/>
          </w:tcPr>
          <w:p w14:paraId="35D0A49F" w14:textId="77777777" w:rsidR="00D42204" w:rsidRDefault="004E439D">
            <w:pPr>
              <w:jc w:val="center"/>
              <w:textAlignment w:val="bottom"/>
            </w:pPr>
            <w:r>
              <w:rPr>
                <w:rFonts w:ascii="Times New Roman" w:eastAsia="宋体" w:hAnsi="Times New Roman"/>
                <w:b/>
                <w:bCs/>
                <w:color w:val="000000"/>
                <w:sz w:val="16"/>
                <w:szCs w:val="16"/>
              </w:rPr>
              <w:t>As of January 31,</w:t>
            </w:r>
          </w:p>
        </w:tc>
      </w:tr>
      <w:tr w:rsidR="00D42204" w14:paraId="35D0A4A6" w14:textId="77777777">
        <w:trPr>
          <w:jc w:val="center"/>
        </w:trPr>
        <w:tc>
          <w:tcPr>
            <w:tcW w:w="0" w:type="auto"/>
            <w:gridSpan w:val="3"/>
            <w:shd w:val="clear" w:color="auto" w:fill="auto"/>
            <w:tcMar>
              <w:top w:w="40" w:type="dxa"/>
              <w:left w:w="20" w:type="dxa"/>
              <w:bottom w:w="40" w:type="dxa"/>
              <w:right w:w="20" w:type="dxa"/>
            </w:tcMar>
            <w:vAlign w:val="bottom"/>
          </w:tcPr>
          <w:p w14:paraId="35D0A4A1"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A4A2"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4A3"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4A4"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4A5" w14:textId="77777777" w:rsidR="00D42204" w:rsidRDefault="004E439D">
            <w:pPr>
              <w:jc w:val="center"/>
              <w:textAlignment w:val="bottom"/>
            </w:pPr>
            <w:r>
              <w:rPr>
                <w:rFonts w:ascii="Times New Roman" w:eastAsia="宋体" w:hAnsi="Times New Roman"/>
                <w:b/>
                <w:bCs/>
                <w:color w:val="000000"/>
                <w:sz w:val="16"/>
                <w:szCs w:val="16"/>
              </w:rPr>
              <w:t>2021</w:t>
            </w:r>
          </w:p>
        </w:tc>
      </w:tr>
      <w:tr w:rsidR="00D42204" w14:paraId="35D0A4AC" w14:textId="77777777">
        <w:trPr>
          <w:jc w:val="center"/>
        </w:trPr>
        <w:tc>
          <w:tcPr>
            <w:tcW w:w="0" w:type="auto"/>
            <w:gridSpan w:val="3"/>
            <w:shd w:val="clear" w:color="auto" w:fill="CCEEFF"/>
            <w:tcMar>
              <w:top w:w="40" w:type="dxa"/>
              <w:left w:w="20" w:type="dxa"/>
              <w:bottom w:w="40" w:type="dxa"/>
              <w:right w:w="20" w:type="dxa"/>
            </w:tcMar>
            <w:vAlign w:val="center"/>
          </w:tcPr>
          <w:p w14:paraId="35D0A4A7" w14:textId="77777777" w:rsidR="00D42204" w:rsidRDefault="004E439D">
            <w:pPr>
              <w:textAlignment w:val="center"/>
            </w:pPr>
            <w:r>
              <w:rPr>
                <w:rFonts w:ascii="Times New Roman" w:eastAsia="宋体" w:hAnsi="Times New Roman"/>
                <w:b/>
                <w:bCs/>
                <w:color w:val="000000"/>
                <w:sz w:val="16"/>
                <w:szCs w:val="16"/>
              </w:rPr>
              <w:t>ASSETS</w:t>
            </w:r>
          </w:p>
        </w:tc>
        <w:tc>
          <w:tcPr>
            <w:tcW w:w="0" w:type="auto"/>
            <w:gridSpan w:val="3"/>
            <w:shd w:val="clear" w:color="auto" w:fill="CCEEFF"/>
            <w:tcMar>
              <w:top w:w="0" w:type="dxa"/>
              <w:left w:w="20" w:type="dxa"/>
              <w:bottom w:w="0" w:type="dxa"/>
              <w:right w:w="20" w:type="dxa"/>
            </w:tcMar>
            <w:vAlign w:val="bottom"/>
          </w:tcPr>
          <w:p w14:paraId="35D0A4A8"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4A9"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4AA"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4AB" w14:textId="77777777" w:rsidR="00D42204" w:rsidRDefault="00D42204">
            <w:pPr>
              <w:rPr>
                <w:rFonts w:ascii="宋体"/>
              </w:rPr>
            </w:pPr>
          </w:p>
        </w:tc>
      </w:tr>
      <w:tr w:rsidR="00D42204" w14:paraId="35D0A4B2" w14:textId="77777777">
        <w:trPr>
          <w:jc w:val="center"/>
        </w:trPr>
        <w:tc>
          <w:tcPr>
            <w:tcW w:w="0" w:type="auto"/>
            <w:gridSpan w:val="3"/>
            <w:shd w:val="clear" w:color="auto" w:fill="FFFFFF"/>
            <w:tcMar>
              <w:top w:w="40" w:type="dxa"/>
              <w:left w:w="20" w:type="dxa"/>
              <w:bottom w:w="40" w:type="dxa"/>
              <w:right w:w="20" w:type="dxa"/>
            </w:tcMar>
            <w:vAlign w:val="center"/>
          </w:tcPr>
          <w:p w14:paraId="35D0A4AD" w14:textId="77777777" w:rsidR="00D42204" w:rsidRDefault="004E439D">
            <w:pPr>
              <w:textAlignment w:val="center"/>
            </w:pPr>
            <w:r>
              <w:rPr>
                <w:rFonts w:ascii="Times New Roman" w:eastAsia="宋体" w:hAnsi="Times New Roman"/>
                <w:b/>
                <w:bCs/>
                <w:color w:val="000000"/>
                <w:sz w:val="16"/>
                <w:szCs w:val="16"/>
              </w:rPr>
              <w:t>Current assets:</w:t>
            </w:r>
          </w:p>
        </w:tc>
        <w:tc>
          <w:tcPr>
            <w:tcW w:w="0" w:type="auto"/>
            <w:gridSpan w:val="3"/>
            <w:shd w:val="clear" w:color="auto" w:fill="FFFFFF"/>
            <w:tcMar>
              <w:top w:w="0" w:type="dxa"/>
              <w:left w:w="20" w:type="dxa"/>
              <w:bottom w:w="0" w:type="dxa"/>
              <w:right w:w="20" w:type="dxa"/>
            </w:tcMar>
            <w:vAlign w:val="bottom"/>
          </w:tcPr>
          <w:p w14:paraId="35D0A4AE"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4AF"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4B0"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4B1" w14:textId="77777777" w:rsidR="00D42204" w:rsidRDefault="00D42204">
            <w:pPr>
              <w:rPr>
                <w:rFonts w:ascii="宋体"/>
              </w:rPr>
            </w:pPr>
          </w:p>
        </w:tc>
      </w:tr>
      <w:tr w:rsidR="00D42204" w14:paraId="35D0A4BC" w14:textId="77777777">
        <w:trPr>
          <w:jc w:val="center"/>
        </w:trPr>
        <w:tc>
          <w:tcPr>
            <w:tcW w:w="0" w:type="auto"/>
            <w:gridSpan w:val="3"/>
            <w:shd w:val="clear" w:color="auto" w:fill="CCEEFF"/>
            <w:tcMar>
              <w:top w:w="40" w:type="dxa"/>
              <w:left w:w="380" w:type="dxa"/>
              <w:bottom w:w="40" w:type="dxa"/>
              <w:right w:w="20" w:type="dxa"/>
            </w:tcMar>
            <w:vAlign w:val="center"/>
          </w:tcPr>
          <w:p w14:paraId="35D0A4B3" w14:textId="77777777" w:rsidR="00D42204" w:rsidRDefault="004E439D">
            <w:pPr>
              <w:textAlignment w:val="center"/>
            </w:pPr>
            <w:r>
              <w:rPr>
                <w:rFonts w:ascii="Times New Roman" w:eastAsia="宋体" w:hAnsi="Times New Roman"/>
                <w:color w:val="000000"/>
                <w:sz w:val="16"/>
                <w:szCs w:val="16"/>
              </w:rPr>
              <w:t>Cash and cash equivalents</w:t>
            </w:r>
          </w:p>
        </w:tc>
        <w:tc>
          <w:tcPr>
            <w:tcW w:w="0" w:type="auto"/>
            <w:gridSpan w:val="3"/>
            <w:shd w:val="clear" w:color="auto" w:fill="CCEEFF"/>
            <w:tcMar>
              <w:top w:w="0" w:type="dxa"/>
              <w:left w:w="20" w:type="dxa"/>
              <w:bottom w:w="0" w:type="dxa"/>
              <w:right w:w="20" w:type="dxa"/>
            </w:tcMar>
            <w:vAlign w:val="bottom"/>
          </w:tcPr>
          <w:p w14:paraId="35D0A4B4"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A4B5"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A4B6" w14:textId="77777777" w:rsidR="00D42204" w:rsidRDefault="004E439D">
            <w:pPr>
              <w:jc w:val="right"/>
              <w:textAlignment w:val="center"/>
            </w:pPr>
            <w:r>
              <w:rPr>
                <w:rFonts w:ascii="Times New Roman" w:eastAsia="宋体" w:hAnsi="Times New Roman"/>
                <w:color w:val="000000"/>
                <w:sz w:val="16"/>
                <w:szCs w:val="16"/>
              </w:rPr>
              <w:t>14,760 </w:t>
            </w:r>
          </w:p>
        </w:tc>
        <w:tc>
          <w:tcPr>
            <w:tcW w:w="0" w:type="auto"/>
            <w:shd w:val="clear" w:color="auto" w:fill="CCEEFF"/>
            <w:tcMar>
              <w:top w:w="40" w:type="dxa"/>
              <w:left w:w="0" w:type="dxa"/>
              <w:bottom w:w="40" w:type="dxa"/>
              <w:right w:w="20" w:type="dxa"/>
            </w:tcMar>
            <w:vAlign w:val="center"/>
          </w:tcPr>
          <w:p w14:paraId="35D0A4B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4B8"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A4B9"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A4BA" w14:textId="77777777" w:rsidR="00D42204" w:rsidRDefault="004E439D">
            <w:pPr>
              <w:jc w:val="right"/>
              <w:textAlignment w:val="center"/>
            </w:pPr>
            <w:r>
              <w:rPr>
                <w:rFonts w:ascii="Times New Roman" w:eastAsia="宋体" w:hAnsi="Times New Roman"/>
                <w:color w:val="000000"/>
                <w:sz w:val="16"/>
                <w:szCs w:val="16"/>
              </w:rPr>
              <w:t>17,741 </w:t>
            </w:r>
          </w:p>
        </w:tc>
        <w:tc>
          <w:tcPr>
            <w:tcW w:w="0" w:type="auto"/>
            <w:shd w:val="clear" w:color="auto" w:fill="CCEEFF"/>
            <w:tcMar>
              <w:top w:w="40" w:type="dxa"/>
              <w:left w:w="0" w:type="dxa"/>
              <w:bottom w:w="40" w:type="dxa"/>
              <w:right w:w="20" w:type="dxa"/>
            </w:tcMar>
            <w:vAlign w:val="center"/>
          </w:tcPr>
          <w:p w14:paraId="35D0A4BB" w14:textId="77777777" w:rsidR="00D42204" w:rsidRDefault="00D42204">
            <w:pPr>
              <w:jc w:val="right"/>
              <w:rPr>
                <w:rFonts w:ascii="宋体"/>
              </w:rPr>
            </w:pPr>
          </w:p>
        </w:tc>
      </w:tr>
      <w:tr w:rsidR="00D42204" w14:paraId="35D0A4C4" w14:textId="77777777">
        <w:trPr>
          <w:jc w:val="center"/>
        </w:trPr>
        <w:tc>
          <w:tcPr>
            <w:tcW w:w="0" w:type="auto"/>
            <w:gridSpan w:val="3"/>
            <w:shd w:val="clear" w:color="auto" w:fill="FFFFFF"/>
            <w:tcMar>
              <w:top w:w="40" w:type="dxa"/>
              <w:left w:w="380" w:type="dxa"/>
              <w:bottom w:w="40" w:type="dxa"/>
              <w:right w:w="20" w:type="dxa"/>
            </w:tcMar>
            <w:vAlign w:val="center"/>
          </w:tcPr>
          <w:p w14:paraId="35D0A4BD" w14:textId="77777777" w:rsidR="00D42204" w:rsidRDefault="004E439D">
            <w:pPr>
              <w:textAlignment w:val="center"/>
            </w:pPr>
            <w:r>
              <w:rPr>
                <w:rFonts w:ascii="Times New Roman" w:eastAsia="宋体" w:hAnsi="Times New Roman"/>
                <w:color w:val="000000"/>
                <w:sz w:val="16"/>
                <w:szCs w:val="16"/>
              </w:rPr>
              <w:t>Receivables, net</w:t>
            </w:r>
          </w:p>
        </w:tc>
        <w:tc>
          <w:tcPr>
            <w:tcW w:w="0" w:type="auto"/>
            <w:gridSpan w:val="3"/>
            <w:shd w:val="clear" w:color="auto" w:fill="FFFFFF"/>
            <w:tcMar>
              <w:top w:w="0" w:type="dxa"/>
              <w:left w:w="20" w:type="dxa"/>
              <w:bottom w:w="0" w:type="dxa"/>
              <w:right w:w="20" w:type="dxa"/>
            </w:tcMar>
            <w:vAlign w:val="bottom"/>
          </w:tcPr>
          <w:p w14:paraId="35D0A4B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4BF" w14:textId="77777777" w:rsidR="00D42204" w:rsidRDefault="004E439D">
            <w:pPr>
              <w:jc w:val="right"/>
              <w:textAlignment w:val="center"/>
            </w:pPr>
            <w:r>
              <w:rPr>
                <w:rFonts w:ascii="Times New Roman" w:eastAsia="宋体" w:hAnsi="Times New Roman"/>
                <w:color w:val="000000"/>
                <w:sz w:val="16"/>
                <w:szCs w:val="16"/>
              </w:rPr>
              <w:t>8,280 </w:t>
            </w:r>
          </w:p>
        </w:tc>
        <w:tc>
          <w:tcPr>
            <w:tcW w:w="0" w:type="auto"/>
            <w:shd w:val="clear" w:color="auto" w:fill="FFFFFF"/>
            <w:tcMar>
              <w:top w:w="40" w:type="dxa"/>
              <w:left w:w="0" w:type="dxa"/>
              <w:bottom w:w="40" w:type="dxa"/>
              <w:right w:w="20" w:type="dxa"/>
            </w:tcMar>
            <w:vAlign w:val="center"/>
          </w:tcPr>
          <w:p w14:paraId="35D0A4C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4C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4C2" w14:textId="77777777" w:rsidR="00D42204" w:rsidRDefault="004E439D">
            <w:pPr>
              <w:jc w:val="right"/>
              <w:textAlignment w:val="center"/>
            </w:pPr>
            <w:r>
              <w:rPr>
                <w:rFonts w:ascii="Times New Roman" w:eastAsia="宋体" w:hAnsi="Times New Roman"/>
                <w:color w:val="000000"/>
                <w:sz w:val="16"/>
                <w:szCs w:val="16"/>
              </w:rPr>
              <w:t>6,516 </w:t>
            </w:r>
          </w:p>
        </w:tc>
        <w:tc>
          <w:tcPr>
            <w:tcW w:w="0" w:type="auto"/>
            <w:shd w:val="clear" w:color="auto" w:fill="FFFFFF"/>
            <w:tcMar>
              <w:top w:w="40" w:type="dxa"/>
              <w:left w:w="0" w:type="dxa"/>
              <w:bottom w:w="40" w:type="dxa"/>
              <w:right w:w="20" w:type="dxa"/>
            </w:tcMar>
            <w:vAlign w:val="center"/>
          </w:tcPr>
          <w:p w14:paraId="35D0A4C3" w14:textId="77777777" w:rsidR="00D42204" w:rsidRDefault="00D42204">
            <w:pPr>
              <w:jc w:val="right"/>
              <w:rPr>
                <w:rFonts w:ascii="宋体"/>
              </w:rPr>
            </w:pPr>
          </w:p>
        </w:tc>
      </w:tr>
      <w:tr w:rsidR="00D42204" w14:paraId="35D0A4CC" w14:textId="77777777">
        <w:trPr>
          <w:jc w:val="center"/>
        </w:trPr>
        <w:tc>
          <w:tcPr>
            <w:tcW w:w="0" w:type="auto"/>
            <w:gridSpan w:val="3"/>
            <w:shd w:val="clear" w:color="auto" w:fill="CCEEFF"/>
            <w:tcMar>
              <w:top w:w="40" w:type="dxa"/>
              <w:left w:w="380" w:type="dxa"/>
              <w:bottom w:w="40" w:type="dxa"/>
              <w:right w:w="20" w:type="dxa"/>
            </w:tcMar>
            <w:vAlign w:val="center"/>
          </w:tcPr>
          <w:p w14:paraId="35D0A4C5" w14:textId="77777777" w:rsidR="00D42204" w:rsidRDefault="004E439D">
            <w:pPr>
              <w:textAlignment w:val="center"/>
            </w:pPr>
            <w:r>
              <w:rPr>
                <w:rFonts w:ascii="Times New Roman" w:eastAsia="宋体" w:hAnsi="Times New Roman"/>
                <w:color w:val="000000"/>
                <w:sz w:val="16"/>
                <w:szCs w:val="16"/>
              </w:rPr>
              <w:t>Inventories</w:t>
            </w:r>
          </w:p>
        </w:tc>
        <w:tc>
          <w:tcPr>
            <w:tcW w:w="0" w:type="auto"/>
            <w:gridSpan w:val="3"/>
            <w:shd w:val="clear" w:color="auto" w:fill="CCEEFF"/>
            <w:tcMar>
              <w:top w:w="0" w:type="dxa"/>
              <w:left w:w="20" w:type="dxa"/>
              <w:bottom w:w="0" w:type="dxa"/>
              <w:right w:w="20" w:type="dxa"/>
            </w:tcMar>
            <w:vAlign w:val="bottom"/>
          </w:tcPr>
          <w:p w14:paraId="35D0A4C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4C7" w14:textId="77777777" w:rsidR="00D42204" w:rsidRDefault="004E439D">
            <w:pPr>
              <w:jc w:val="right"/>
              <w:textAlignment w:val="center"/>
            </w:pPr>
            <w:r>
              <w:rPr>
                <w:rFonts w:ascii="Times New Roman" w:eastAsia="宋体" w:hAnsi="Times New Roman"/>
                <w:color w:val="000000"/>
                <w:sz w:val="16"/>
                <w:szCs w:val="16"/>
              </w:rPr>
              <w:t>56,511 </w:t>
            </w:r>
          </w:p>
        </w:tc>
        <w:tc>
          <w:tcPr>
            <w:tcW w:w="0" w:type="auto"/>
            <w:shd w:val="clear" w:color="auto" w:fill="CCEEFF"/>
            <w:tcMar>
              <w:top w:w="40" w:type="dxa"/>
              <w:left w:w="0" w:type="dxa"/>
              <w:bottom w:w="40" w:type="dxa"/>
              <w:right w:w="20" w:type="dxa"/>
            </w:tcMar>
            <w:vAlign w:val="center"/>
          </w:tcPr>
          <w:p w14:paraId="35D0A4C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4C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4CA" w14:textId="77777777" w:rsidR="00D42204" w:rsidRDefault="004E439D">
            <w:pPr>
              <w:jc w:val="right"/>
              <w:textAlignment w:val="center"/>
            </w:pPr>
            <w:r>
              <w:rPr>
                <w:rFonts w:ascii="Times New Roman" w:eastAsia="宋体" w:hAnsi="Times New Roman"/>
                <w:color w:val="000000"/>
                <w:sz w:val="16"/>
                <w:szCs w:val="16"/>
              </w:rPr>
              <w:t>44,949 </w:t>
            </w:r>
          </w:p>
        </w:tc>
        <w:tc>
          <w:tcPr>
            <w:tcW w:w="0" w:type="auto"/>
            <w:shd w:val="clear" w:color="auto" w:fill="CCEEFF"/>
            <w:tcMar>
              <w:top w:w="40" w:type="dxa"/>
              <w:left w:w="0" w:type="dxa"/>
              <w:bottom w:w="40" w:type="dxa"/>
              <w:right w:w="20" w:type="dxa"/>
            </w:tcMar>
            <w:vAlign w:val="center"/>
          </w:tcPr>
          <w:p w14:paraId="35D0A4CB" w14:textId="77777777" w:rsidR="00D42204" w:rsidRDefault="00D42204">
            <w:pPr>
              <w:jc w:val="right"/>
              <w:rPr>
                <w:rFonts w:ascii="宋体"/>
              </w:rPr>
            </w:pPr>
          </w:p>
        </w:tc>
      </w:tr>
      <w:tr w:rsidR="00D42204" w14:paraId="35D0A4D4" w14:textId="77777777">
        <w:trPr>
          <w:jc w:val="center"/>
        </w:trPr>
        <w:tc>
          <w:tcPr>
            <w:tcW w:w="0" w:type="auto"/>
            <w:gridSpan w:val="3"/>
            <w:shd w:val="clear" w:color="auto" w:fill="FFFFFF"/>
            <w:tcMar>
              <w:top w:w="40" w:type="dxa"/>
              <w:left w:w="380" w:type="dxa"/>
              <w:bottom w:w="40" w:type="dxa"/>
              <w:right w:w="20" w:type="dxa"/>
            </w:tcMar>
            <w:vAlign w:val="center"/>
          </w:tcPr>
          <w:p w14:paraId="35D0A4CD" w14:textId="77777777" w:rsidR="00D42204" w:rsidRDefault="004E439D">
            <w:pPr>
              <w:textAlignment w:val="center"/>
            </w:pPr>
            <w:r>
              <w:rPr>
                <w:rFonts w:ascii="Times New Roman" w:eastAsia="宋体" w:hAnsi="Times New Roman"/>
                <w:color w:val="000000"/>
                <w:sz w:val="16"/>
                <w:szCs w:val="16"/>
              </w:rPr>
              <w:t>Prepaid expenses and other</w:t>
            </w:r>
          </w:p>
        </w:tc>
        <w:tc>
          <w:tcPr>
            <w:tcW w:w="0" w:type="auto"/>
            <w:gridSpan w:val="3"/>
            <w:shd w:val="clear" w:color="auto" w:fill="FFFFFF"/>
            <w:tcMar>
              <w:top w:w="0" w:type="dxa"/>
              <w:left w:w="20" w:type="dxa"/>
              <w:bottom w:w="0" w:type="dxa"/>
              <w:right w:w="20" w:type="dxa"/>
            </w:tcMar>
            <w:vAlign w:val="bottom"/>
          </w:tcPr>
          <w:p w14:paraId="35D0A4C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4CF" w14:textId="77777777" w:rsidR="00D42204" w:rsidRDefault="004E439D">
            <w:pPr>
              <w:jc w:val="right"/>
              <w:textAlignment w:val="center"/>
            </w:pPr>
            <w:r>
              <w:rPr>
                <w:rFonts w:ascii="Times New Roman" w:eastAsia="宋体" w:hAnsi="Times New Roman"/>
                <w:color w:val="000000"/>
                <w:sz w:val="16"/>
                <w:szCs w:val="16"/>
              </w:rPr>
              <w:t>1,519 </w:t>
            </w:r>
          </w:p>
        </w:tc>
        <w:tc>
          <w:tcPr>
            <w:tcW w:w="0" w:type="auto"/>
            <w:shd w:val="clear" w:color="auto" w:fill="FFFFFF"/>
            <w:tcMar>
              <w:top w:w="40" w:type="dxa"/>
              <w:left w:w="0" w:type="dxa"/>
              <w:bottom w:w="40" w:type="dxa"/>
              <w:right w:w="20" w:type="dxa"/>
            </w:tcMar>
            <w:vAlign w:val="center"/>
          </w:tcPr>
          <w:p w14:paraId="35D0A4D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4D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4D2" w14:textId="77777777" w:rsidR="00D42204" w:rsidRDefault="004E439D">
            <w:pPr>
              <w:jc w:val="right"/>
              <w:textAlignment w:val="center"/>
            </w:pPr>
            <w:r>
              <w:rPr>
                <w:rFonts w:ascii="Times New Roman" w:eastAsia="宋体" w:hAnsi="Times New Roman"/>
                <w:color w:val="000000"/>
                <w:sz w:val="16"/>
                <w:szCs w:val="16"/>
              </w:rPr>
              <w:t>20,861 </w:t>
            </w:r>
          </w:p>
        </w:tc>
        <w:tc>
          <w:tcPr>
            <w:tcW w:w="0" w:type="auto"/>
            <w:shd w:val="clear" w:color="auto" w:fill="FFFFFF"/>
            <w:tcMar>
              <w:top w:w="40" w:type="dxa"/>
              <w:left w:w="0" w:type="dxa"/>
              <w:bottom w:w="40" w:type="dxa"/>
              <w:right w:w="20" w:type="dxa"/>
            </w:tcMar>
            <w:vAlign w:val="center"/>
          </w:tcPr>
          <w:p w14:paraId="35D0A4D3" w14:textId="77777777" w:rsidR="00D42204" w:rsidRDefault="00D42204">
            <w:pPr>
              <w:jc w:val="right"/>
              <w:rPr>
                <w:rFonts w:ascii="宋体"/>
              </w:rPr>
            </w:pPr>
          </w:p>
        </w:tc>
      </w:tr>
      <w:tr w:rsidR="00D42204" w14:paraId="35D0A4DC" w14:textId="77777777">
        <w:trPr>
          <w:jc w:val="center"/>
        </w:trPr>
        <w:tc>
          <w:tcPr>
            <w:tcW w:w="0" w:type="auto"/>
            <w:gridSpan w:val="3"/>
            <w:shd w:val="clear" w:color="auto" w:fill="CCEEFF"/>
            <w:tcMar>
              <w:top w:w="40" w:type="dxa"/>
              <w:left w:w="740" w:type="dxa"/>
              <w:bottom w:w="40" w:type="dxa"/>
              <w:right w:w="20" w:type="dxa"/>
            </w:tcMar>
            <w:vAlign w:val="center"/>
          </w:tcPr>
          <w:p w14:paraId="35D0A4D5" w14:textId="77777777" w:rsidR="00D42204" w:rsidRDefault="004E439D">
            <w:pPr>
              <w:textAlignment w:val="center"/>
            </w:pPr>
            <w:r>
              <w:rPr>
                <w:rFonts w:ascii="Times New Roman" w:eastAsia="宋体" w:hAnsi="Times New Roman"/>
                <w:color w:val="000000"/>
                <w:sz w:val="16"/>
                <w:szCs w:val="16"/>
              </w:rPr>
              <w:t>Total current assets</w:t>
            </w:r>
          </w:p>
        </w:tc>
        <w:tc>
          <w:tcPr>
            <w:tcW w:w="0" w:type="auto"/>
            <w:gridSpan w:val="3"/>
            <w:shd w:val="clear" w:color="auto" w:fill="CCEEFF"/>
            <w:tcMar>
              <w:top w:w="0" w:type="dxa"/>
              <w:left w:w="20" w:type="dxa"/>
              <w:bottom w:w="0" w:type="dxa"/>
              <w:right w:w="20" w:type="dxa"/>
            </w:tcMar>
            <w:vAlign w:val="bottom"/>
          </w:tcPr>
          <w:p w14:paraId="35D0A4D6"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4D7" w14:textId="77777777" w:rsidR="00D42204" w:rsidRDefault="004E439D">
            <w:pPr>
              <w:jc w:val="right"/>
              <w:textAlignment w:val="center"/>
            </w:pPr>
            <w:r>
              <w:rPr>
                <w:rFonts w:ascii="Times New Roman" w:eastAsia="宋体" w:hAnsi="Times New Roman"/>
                <w:color w:val="000000"/>
                <w:sz w:val="16"/>
                <w:szCs w:val="16"/>
              </w:rPr>
              <w:t>81,070 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4D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4D9"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4DA" w14:textId="77777777" w:rsidR="00D42204" w:rsidRDefault="004E439D">
            <w:pPr>
              <w:jc w:val="right"/>
              <w:textAlignment w:val="center"/>
            </w:pPr>
            <w:r>
              <w:rPr>
                <w:rFonts w:ascii="Times New Roman" w:eastAsia="宋体" w:hAnsi="Times New Roman"/>
                <w:color w:val="000000"/>
                <w:sz w:val="16"/>
                <w:szCs w:val="16"/>
              </w:rPr>
              <w:t>90,067 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4DB" w14:textId="77777777" w:rsidR="00D42204" w:rsidRDefault="00D42204">
            <w:pPr>
              <w:jc w:val="right"/>
              <w:rPr>
                <w:rFonts w:ascii="宋体"/>
              </w:rPr>
            </w:pPr>
          </w:p>
        </w:tc>
      </w:tr>
      <w:tr w:rsidR="00D42204" w14:paraId="35D0A4E2" w14:textId="77777777">
        <w:trPr>
          <w:trHeight w:val="240"/>
          <w:jc w:val="center"/>
        </w:trPr>
        <w:tc>
          <w:tcPr>
            <w:tcW w:w="0" w:type="auto"/>
            <w:gridSpan w:val="3"/>
            <w:shd w:val="clear" w:color="auto" w:fill="FFFFFF"/>
            <w:tcMar>
              <w:top w:w="0" w:type="dxa"/>
              <w:left w:w="20" w:type="dxa"/>
              <w:bottom w:w="0" w:type="dxa"/>
              <w:right w:w="20" w:type="dxa"/>
            </w:tcMar>
            <w:vAlign w:val="bottom"/>
          </w:tcPr>
          <w:p w14:paraId="35D0A4DD"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4DE"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4DF"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4E0"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4E1" w14:textId="77777777" w:rsidR="00D42204" w:rsidRDefault="00D42204">
            <w:pPr>
              <w:rPr>
                <w:rFonts w:ascii="宋体"/>
              </w:rPr>
            </w:pPr>
          </w:p>
        </w:tc>
      </w:tr>
      <w:tr w:rsidR="00D42204" w14:paraId="35D0A4E8" w14:textId="77777777">
        <w:trPr>
          <w:jc w:val="center"/>
          <w:hidden/>
        </w:trPr>
        <w:tc>
          <w:tcPr>
            <w:tcW w:w="0" w:type="auto"/>
            <w:gridSpan w:val="3"/>
            <w:shd w:val="clear" w:color="auto" w:fill="auto"/>
            <w:vAlign w:val="bottom"/>
          </w:tcPr>
          <w:p w14:paraId="35D0A4E3" w14:textId="77777777" w:rsidR="00D42204" w:rsidRDefault="00D42204">
            <w:pPr>
              <w:rPr>
                <w:rFonts w:ascii="宋体"/>
                <w:vanish/>
              </w:rPr>
            </w:pPr>
          </w:p>
        </w:tc>
        <w:tc>
          <w:tcPr>
            <w:tcW w:w="0" w:type="auto"/>
            <w:gridSpan w:val="3"/>
            <w:shd w:val="clear" w:color="auto" w:fill="auto"/>
            <w:vAlign w:val="bottom"/>
          </w:tcPr>
          <w:p w14:paraId="35D0A4E4" w14:textId="77777777" w:rsidR="00D42204" w:rsidRDefault="00D42204">
            <w:pPr>
              <w:rPr>
                <w:rFonts w:ascii="宋体"/>
                <w:vanish/>
              </w:rPr>
            </w:pPr>
          </w:p>
        </w:tc>
        <w:tc>
          <w:tcPr>
            <w:tcW w:w="0" w:type="auto"/>
            <w:gridSpan w:val="3"/>
            <w:shd w:val="clear" w:color="auto" w:fill="auto"/>
            <w:vAlign w:val="bottom"/>
          </w:tcPr>
          <w:p w14:paraId="35D0A4E5" w14:textId="77777777" w:rsidR="00D42204" w:rsidRDefault="00D42204">
            <w:pPr>
              <w:rPr>
                <w:rFonts w:ascii="宋体"/>
                <w:vanish/>
              </w:rPr>
            </w:pPr>
          </w:p>
        </w:tc>
        <w:tc>
          <w:tcPr>
            <w:tcW w:w="0" w:type="auto"/>
            <w:gridSpan w:val="3"/>
            <w:shd w:val="clear" w:color="auto" w:fill="auto"/>
            <w:vAlign w:val="bottom"/>
          </w:tcPr>
          <w:p w14:paraId="35D0A4E6" w14:textId="77777777" w:rsidR="00D42204" w:rsidRDefault="00D42204">
            <w:pPr>
              <w:rPr>
                <w:rFonts w:ascii="宋体"/>
                <w:vanish/>
              </w:rPr>
            </w:pPr>
          </w:p>
        </w:tc>
        <w:tc>
          <w:tcPr>
            <w:tcW w:w="0" w:type="auto"/>
            <w:gridSpan w:val="3"/>
            <w:shd w:val="clear" w:color="auto" w:fill="auto"/>
            <w:vAlign w:val="bottom"/>
          </w:tcPr>
          <w:p w14:paraId="35D0A4E7" w14:textId="77777777" w:rsidR="00D42204" w:rsidRDefault="00D42204">
            <w:pPr>
              <w:rPr>
                <w:rFonts w:ascii="宋体"/>
                <w:vanish/>
              </w:rPr>
            </w:pPr>
          </w:p>
        </w:tc>
      </w:tr>
      <w:tr w:rsidR="00D42204" w14:paraId="35D0A4EE" w14:textId="77777777">
        <w:trPr>
          <w:jc w:val="center"/>
          <w:hidden/>
        </w:trPr>
        <w:tc>
          <w:tcPr>
            <w:tcW w:w="0" w:type="auto"/>
            <w:gridSpan w:val="3"/>
            <w:shd w:val="clear" w:color="auto" w:fill="auto"/>
            <w:vAlign w:val="bottom"/>
          </w:tcPr>
          <w:p w14:paraId="35D0A4E9" w14:textId="77777777" w:rsidR="00D42204" w:rsidRDefault="00D42204">
            <w:pPr>
              <w:rPr>
                <w:rFonts w:ascii="宋体"/>
                <w:vanish/>
              </w:rPr>
            </w:pPr>
          </w:p>
        </w:tc>
        <w:tc>
          <w:tcPr>
            <w:tcW w:w="0" w:type="auto"/>
            <w:gridSpan w:val="3"/>
            <w:shd w:val="clear" w:color="auto" w:fill="auto"/>
            <w:vAlign w:val="bottom"/>
          </w:tcPr>
          <w:p w14:paraId="35D0A4EA" w14:textId="77777777" w:rsidR="00D42204" w:rsidRDefault="00D42204">
            <w:pPr>
              <w:rPr>
                <w:rFonts w:ascii="宋体"/>
                <w:vanish/>
              </w:rPr>
            </w:pPr>
          </w:p>
        </w:tc>
        <w:tc>
          <w:tcPr>
            <w:tcW w:w="0" w:type="auto"/>
            <w:gridSpan w:val="3"/>
            <w:shd w:val="clear" w:color="auto" w:fill="auto"/>
            <w:vAlign w:val="bottom"/>
          </w:tcPr>
          <w:p w14:paraId="35D0A4EB" w14:textId="77777777" w:rsidR="00D42204" w:rsidRDefault="00D42204">
            <w:pPr>
              <w:rPr>
                <w:rFonts w:ascii="宋体"/>
                <w:vanish/>
              </w:rPr>
            </w:pPr>
          </w:p>
        </w:tc>
        <w:tc>
          <w:tcPr>
            <w:tcW w:w="0" w:type="auto"/>
            <w:gridSpan w:val="3"/>
            <w:shd w:val="clear" w:color="auto" w:fill="auto"/>
            <w:vAlign w:val="bottom"/>
          </w:tcPr>
          <w:p w14:paraId="35D0A4EC" w14:textId="77777777" w:rsidR="00D42204" w:rsidRDefault="00D42204">
            <w:pPr>
              <w:rPr>
                <w:rFonts w:ascii="宋体"/>
                <w:vanish/>
              </w:rPr>
            </w:pPr>
          </w:p>
        </w:tc>
        <w:tc>
          <w:tcPr>
            <w:tcW w:w="0" w:type="auto"/>
            <w:gridSpan w:val="3"/>
            <w:shd w:val="clear" w:color="auto" w:fill="auto"/>
            <w:vAlign w:val="bottom"/>
          </w:tcPr>
          <w:p w14:paraId="35D0A4ED" w14:textId="77777777" w:rsidR="00D42204" w:rsidRDefault="00D42204">
            <w:pPr>
              <w:rPr>
                <w:rFonts w:ascii="宋体"/>
                <w:vanish/>
              </w:rPr>
            </w:pPr>
          </w:p>
        </w:tc>
      </w:tr>
      <w:tr w:rsidR="00D42204" w14:paraId="35D0A4F4" w14:textId="77777777">
        <w:trPr>
          <w:jc w:val="center"/>
          <w:hidden/>
        </w:trPr>
        <w:tc>
          <w:tcPr>
            <w:tcW w:w="0" w:type="auto"/>
            <w:gridSpan w:val="3"/>
            <w:shd w:val="clear" w:color="auto" w:fill="auto"/>
            <w:vAlign w:val="bottom"/>
          </w:tcPr>
          <w:p w14:paraId="35D0A4EF" w14:textId="77777777" w:rsidR="00D42204" w:rsidRDefault="00D42204">
            <w:pPr>
              <w:rPr>
                <w:rFonts w:ascii="宋体"/>
                <w:vanish/>
              </w:rPr>
            </w:pPr>
          </w:p>
        </w:tc>
        <w:tc>
          <w:tcPr>
            <w:tcW w:w="0" w:type="auto"/>
            <w:gridSpan w:val="3"/>
            <w:shd w:val="clear" w:color="auto" w:fill="auto"/>
            <w:vAlign w:val="bottom"/>
          </w:tcPr>
          <w:p w14:paraId="35D0A4F0" w14:textId="77777777" w:rsidR="00D42204" w:rsidRDefault="00D42204">
            <w:pPr>
              <w:rPr>
                <w:rFonts w:ascii="宋体"/>
                <w:vanish/>
              </w:rPr>
            </w:pPr>
          </w:p>
        </w:tc>
        <w:tc>
          <w:tcPr>
            <w:tcW w:w="0" w:type="auto"/>
            <w:gridSpan w:val="3"/>
            <w:shd w:val="clear" w:color="auto" w:fill="auto"/>
            <w:vAlign w:val="bottom"/>
          </w:tcPr>
          <w:p w14:paraId="35D0A4F1" w14:textId="77777777" w:rsidR="00D42204" w:rsidRDefault="00D42204">
            <w:pPr>
              <w:rPr>
                <w:rFonts w:ascii="宋体"/>
                <w:vanish/>
              </w:rPr>
            </w:pPr>
          </w:p>
        </w:tc>
        <w:tc>
          <w:tcPr>
            <w:tcW w:w="0" w:type="auto"/>
            <w:gridSpan w:val="3"/>
            <w:shd w:val="clear" w:color="auto" w:fill="auto"/>
            <w:vAlign w:val="bottom"/>
          </w:tcPr>
          <w:p w14:paraId="35D0A4F2" w14:textId="77777777" w:rsidR="00D42204" w:rsidRDefault="00D42204">
            <w:pPr>
              <w:rPr>
                <w:rFonts w:ascii="宋体"/>
                <w:vanish/>
              </w:rPr>
            </w:pPr>
          </w:p>
        </w:tc>
        <w:tc>
          <w:tcPr>
            <w:tcW w:w="0" w:type="auto"/>
            <w:gridSpan w:val="3"/>
            <w:shd w:val="clear" w:color="auto" w:fill="auto"/>
            <w:vAlign w:val="bottom"/>
          </w:tcPr>
          <w:p w14:paraId="35D0A4F3" w14:textId="77777777" w:rsidR="00D42204" w:rsidRDefault="00D42204">
            <w:pPr>
              <w:rPr>
                <w:rFonts w:ascii="宋体"/>
                <w:vanish/>
              </w:rPr>
            </w:pPr>
          </w:p>
        </w:tc>
      </w:tr>
      <w:tr w:rsidR="00D42204" w14:paraId="35D0A4FC" w14:textId="77777777">
        <w:trPr>
          <w:jc w:val="center"/>
        </w:trPr>
        <w:tc>
          <w:tcPr>
            <w:tcW w:w="0" w:type="auto"/>
            <w:gridSpan w:val="3"/>
            <w:shd w:val="clear" w:color="auto" w:fill="CCEEFF"/>
            <w:tcMar>
              <w:top w:w="40" w:type="dxa"/>
              <w:left w:w="20" w:type="dxa"/>
              <w:bottom w:w="40" w:type="dxa"/>
              <w:right w:w="20" w:type="dxa"/>
            </w:tcMar>
            <w:vAlign w:val="center"/>
          </w:tcPr>
          <w:p w14:paraId="35D0A4F5" w14:textId="77777777" w:rsidR="00D42204" w:rsidRDefault="004E439D">
            <w:pPr>
              <w:textAlignment w:val="center"/>
            </w:pPr>
            <w:r>
              <w:rPr>
                <w:rFonts w:ascii="Times New Roman" w:eastAsia="宋体" w:hAnsi="Times New Roman"/>
                <w:color w:val="000000"/>
                <w:sz w:val="16"/>
                <w:szCs w:val="16"/>
              </w:rPr>
              <w:t>Property and equipment, net</w:t>
            </w:r>
          </w:p>
        </w:tc>
        <w:tc>
          <w:tcPr>
            <w:tcW w:w="0" w:type="auto"/>
            <w:gridSpan w:val="3"/>
            <w:shd w:val="clear" w:color="auto" w:fill="CCEEFF"/>
            <w:tcMar>
              <w:top w:w="0" w:type="dxa"/>
              <w:left w:w="20" w:type="dxa"/>
              <w:bottom w:w="0" w:type="dxa"/>
              <w:right w:w="20" w:type="dxa"/>
            </w:tcMar>
            <w:vAlign w:val="bottom"/>
          </w:tcPr>
          <w:p w14:paraId="35D0A4F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4F7" w14:textId="77777777" w:rsidR="00D42204" w:rsidRDefault="004E439D">
            <w:pPr>
              <w:jc w:val="right"/>
              <w:textAlignment w:val="center"/>
            </w:pPr>
            <w:r>
              <w:rPr>
                <w:rFonts w:ascii="Times New Roman" w:eastAsia="宋体" w:hAnsi="Times New Roman"/>
                <w:color w:val="000000"/>
                <w:sz w:val="16"/>
                <w:szCs w:val="16"/>
              </w:rPr>
              <w:t>94,515 </w:t>
            </w:r>
          </w:p>
        </w:tc>
        <w:tc>
          <w:tcPr>
            <w:tcW w:w="0" w:type="auto"/>
            <w:shd w:val="clear" w:color="auto" w:fill="CCEEFF"/>
            <w:tcMar>
              <w:top w:w="40" w:type="dxa"/>
              <w:left w:w="0" w:type="dxa"/>
              <w:bottom w:w="40" w:type="dxa"/>
              <w:right w:w="20" w:type="dxa"/>
            </w:tcMar>
            <w:vAlign w:val="center"/>
          </w:tcPr>
          <w:p w14:paraId="35D0A4F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4F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4FA" w14:textId="77777777" w:rsidR="00D42204" w:rsidRDefault="004E439D">
            <w:pPr>
              <w:jc w:val="right"/>
              <w:textAlignment w:val="center"/>
            </w:pPr>
            <w:r>
              <w:rPr>
                <w:rFonts w:ascii="Times New Roman" w:eastAsia="宋体" w:hAnsi="Times New Roman"/>
                <w:color w:val="000000"/>
                <w:sz w:val="16"/>
                <w:szCs w:val="16"/>
              </w:rPr>
              <w:t>92,201 </w:t>
            </w:r>
          </w:p>
        </w:tc>
        <w:tc>
          <w:tcPr>
            <w:tcW w:w="0" w:type="auto"/>
            <w:shd w:val="clear" w:color="auto" w:fill="CCEEFF"/>
            <w:tcMar>
              <w:top w:w="40" w:type="dxa"/>
              <w:left w:w="0" w:type="dxa"/>
              <w:bottom w:w="40" w:type="dxa"/>
              <w:right w:w="20" w:type="dxa"/>
            </w:tcMar>
            <w:vAlign w:val="center"/>
          </w:tcPr>
          <w:p w14:paraId="35D0A4FB" w14:textId="77777777" w:rsidR="00D42204" w:rsidRDefault="00D42204">
            <w:pPr>
              <w:jc w:val="right"/>
              <w:rPr>
                <w:rFonts w:ascii="宋体"/>
              </w:rPr>
            </w:pPr>
          </w:p>
        </w:tc>
      </w:tr>
      <w:tr w:rsidR="00D42204" w14:paraId="35D0A502" w14:textId="77777777">
        <w:trPr>
          <w:jc w:val="center"/>
          <w:hidden/>
        </w:trPr>
        <w:tc>
          <w:tcPr>
            <w:tcW w:w="0" w:type="auto"/>
            <w:gridSpan w:val="3"/>
            <w:shd w:val="clear" w:color="auto" w:fill="auto"/>
            <w:vAlign w:val="bottom"/>
          </w:tcPr>
          <w:p w14:paraId="35D0A4FD" w14:textId="77777777" w:rsidR="00D42204" w:rsidRDefault="00D42204">
            <w:pPr>
              <w:rPr>
                <w:rFonts w:ascii="宋体"/>
                <w:vanish/>
              </w:rPr>
            </w:pPr>
          </w:p>
        </w:tc>
        <w:tc>
          <w:tcPr>
            <w:tcW w:w="0" w:type="auto"/>
            <w:gridSpan w:val="3"/>
            <w:shd w:val="clear" w:color="auto" w:fill="auto"/>
            <w:vAlign w:val="bottom"/>
          </w:tcPr>
          <w:p w14:paraId="35D0A4FE" w14:textId="77777777" w:rsidR="00D42204" w:rsidRDefault="00D42204">
            <w:pPr>
              <w:rPr>
                <w:rFonts w:ascii="宋体"/>
                <w:vanish/>
              </w:rPr>
            </w:pPr>
          </w:p>
        </w:tc>
        <w:tc>
          <w:tcPr>
            <w:tcW w:w="0" w:type="auto"/>
            <w:gridSpan w:val="3"/>
            <w:shd w:val="clear" w:color="auto" w:fill="auto"/>
            <w:vAlign w:val="bottom"/>
          </w:tcPr>
          <w:p w14:paraId="35D0A4FF" w14:textId="77777777" w:rsidR="00D42204" w:rsidRDefault="00D42204">
            <w:pPr>
              <w:rPr>
                <w:rFonts w:ascii="宋体"/>
                <w:vanish/>
              </w:rPr>
            </w:pPr>
          </w:p>
        </w:tc>
        <w:tc>
          <w:tcPr>
            <w:tcW w:w="0" w:type="auto"/>
            <w:gridSpan w:val="3"/>
            <w:shd w:val="clear" w:color="auto" w:fill="auto"/>
            <w:vAlign w:val="bottom"/>
          </w:tcPr>
          <w:p w14:paraId="35D0A500" w14:textId="77777777" w:rsidR="00D42204" w:rsidRDefault="00D42204">
            <w:pPr>
              <w:rPr>
                <w:rFonts w:ascii="宋体"/>
                <w:vanish/>
              </w:rPr>
            </w:pPr>
          </w:p>
        </w:tc>
        <w:tc>
          <w:tcPr>
            <w:tcW w:w="0" w:type="auto"/>
            <w:gridSpan w:val="3"/>
            <w:shd w:val="clear" w:color="auto" w:fill="auto"/>
            <w:vAlign w:val="bottom"/>
          </w:tcPr>
          <w:p w14:paraId="35D0A501" w14:textId="77777777" w:rsidR="00D42204" w:rsidRDefault="00D42204">
            <w:pPr>
              <w:rPr>
                <w:rFonts w:ascii="宋体"/>
                <w:vanish/>
              </w:rPr>
            </w:pPr>
          </w:p>
        </w:tc>
      </w:tr>
      <w:tr w:rsidR="00D42204" w14:paraId="35D0A50A" w14:textId="77777777">
        <w:trPr>
          <w:jc w:val="center"/>
        </w:trPr>
        <w:tc>
          <w:tcPr>
            <w:tcW w:w="0" w:type="auto"/>
            <w:gridSpan w:val="3"/>
            <w:shd w:val="clear" w:color="auto" w:fill="FFFFFF"/>
            <w:tcMar>
              <w:top w:w="40" w:type="dxa"/>
              <w:left w:w="20" w:type="dxa"/>
              <w:bottom w:w="40" w:type="dxa"/>
              <w:right w:w="20" w:type="dxa"/>
            </w:tcMar>
            <w:vAlign w:val="center"/>
          </w:tcPr>
          <w:p w14:paraId="35D0A503" w14:textId="77777777" w:rsidR="00D42204" w:rsidRDefault="004E439D">
            <w:pPr>
              <w:textAlignment w:val="center"/>
            </w:pPr>
            <w:r>
              <w:rPr>
                <w:rFonts w:ascii="Times New Roman" w:eastAsia="宋体" w:hAnsi="Times New Roman"/>
                <w:color w:val="000000"/>
                <w:sz w:val="16"/>
                <w:szCs w:val="16"/>
              </w:rPr>
              <w:t>Operating lease right-of-use assets</w:t>
            </w:r>
          </w:p>
        </w:tc>
        <w:tc>
          <w:tcPr>
            <w:tcW w:w="0" w:type="auto"/>
            <w:gridSpan w:val="3"/>
            <w:shd w:val="clear" w:color="auto" w:fill="FFFFFF"/>
            <w:tcMar>
              <w:top w:w="0" w:type="dxa"/>
              <w:left w:w="20" w:type="dxa"/>
              <w:bottom w:w="0" w:type="dxa"/>
              <w:right w:w="20" w:type="dxa"/>
            </w:tcMar>
            <w:vAlign w:val="bottom"/>
          </w:tcPr>
          <w:p w14:paraId="35D0A50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505" w14:textId="77777777" w:rsidR="00D42204" w:rsidRDefault="004E439D">
            <w:pPr>
              <w:jc w:val="right"/>
              <w:textAlignment w:val="center"/>
            </w:pPr>
            <w:r>
              <w:rPr>
                <w:rFonts w:ascii="Times New Roman" w:eastAsia="宋体" w:hAnsi="Times New Roman"/>
                <w:color w:val="000000"/>
                <w:sz w:val="16"/>
                <w:szCs w:val="16"/>
              </w:rPr>
              <w:t>13,758 </w:t>
            </w:r>
          </w:p>
        </w:tc>
        <w:tc>
          <w:tcPr>
            <w:tcW w:w="0" w:type="auto"/>
            <w:shd w:val="clear" w:color="auto" w:fill="FFFFFF"/>
            <w:tcMar>
              <w:top w:w="40" w:type="dxa"/>
              <w:left w:w="0" w:type="dxa"/>
              <w:bottom w:w="40" w:type="dxa"/>
              <w:right w:w="20" w:type="dxa"/>
            </w:tcMar>
            <w:vAlign w:val="center"/>
          </w:tcPr>
          <w:p w14:paraId="35D0A50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50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508" w14:textId="77777777" w:rsidR="00D42204" w:rsidRDefault="004E439D">
            <w:pPr>
              <w:jc w:val="right"/>
              <w:textAlignment w:val="center"/>
            </w:pPr>
            <w:r>
              <w:rPr>
                <w:rFonts w:ascii="Times New Roman" w:eastAsia="宋体" w:hAnsi="Times New Roman"/>
                <w:color w:val="000000"/>
                <w:sz w:val="16"/>
                <w:szCs w:val="16"/>
              </w:rPr>
              <w:t>13,642 </w:t>
            </w:r>
          </w:p>
        </w:tc>
        <w:tc>
          <w:tcPr>
            <w:tcW w:w="0" w:type="auto"/>
            <w:shd w:val="clear" w:color="auto" w:fill="FFFFFF"/>
            <w:tcMar>
              <w:top w:w="40" w:type="dxa"/>
              <w:left w:w="0" w:type="dxa"/>
              <w:bottom w:w="40" w:type="dxa"/>
              <w:right w:w="20" w:type="dxa"/>
            </w:tcMar>
            <w:vAlign w:val="center"/>
          </w:tcPr>
          <w:p w14:paraId="35D0A509" w14:textId="77777777" w:rsidR="00D42204" w:rsidRDefault="00D42204">
            <w:pPr>
              <w:jc w:val="right"/>
              <w:rPr>
                <w:rFonts w:ascii="宋体"/>
              </w:rPr>
            </w:pPr>
          </w:p>
        </w:tc>
      </w:tr>
      <w:tr w:rsidR="00D42204" w14:paraId="35D0A512" w14:textId="77777777">
        <w:trPr>
          <w:jc w:val="center"/>
        </w:trPr>
        <w:tc>
          <w:tcPr>
            <w:tcW w:w="0" w:type="auto"/>
            <w:gridSpan w:val="3"/>
            <w:shd w:val="clear" w:color="auto" w:fill="CCEEFF"/>
            <w:tcMar>
              <w:top w:w="40" w:type="dxa"/>
              <w:left w:w="20" w:type="dxa"/>
              <w:bottom w:w="40" w:type="dxa"/>
              <w:right w:w="20" w:type="dxa"/>
            </w:tcMar>
            <w:vAlign w:val="center"/>
          </w:tcPr>
          <w:p w14:paraId="35D0A50B" w14:textId="77777777" w:rsidR="00D42204" w:rsidRDefault="004E439D">
            <w:pPr>
              <w:textAlignment w:val="center"/>
            </w:pPr>
            <w:r>
              <w:rPr>
                <w:rFonts w:ascii="Times New Roman" w:eastAsia="宋体" w:hAnsi="Times New Roman"/>
                <w:color w:val="000000"/>
                <w:sz w:val="16"/>
                <w:szCs w:val="16"/>
              </w:rPr>
              <w:t>Finance lease right-of-use assets, net</w:t>
            </w:r>
          </w:p>
        </w:tc>
        <w:tc>
          <w:tcPr>
            <w:tcW w:w="0" w:type="auto"/>
            <w:gridSpan w:val="3"/>
            <w:shd w:val="clear" w:color="auto" w:fill="CCEEFF"/>
            <w:tcMar>
              <w:top w:w="0" w:type="dxa"/>
              <w:left w:w="20" w:type="dxa"/>
              <w:bottom w:w="0" w:type="dxa"/>
              <w:right w:w="20" w:type="dxa"/>
            </w:tcMar>
            <w:vAlign w:val="bottom"/>
          </w:tcPr>
          <w:p w14:paraId="35D0A50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50D" w14:textId="77777777" w:rsidR="00D42204" w:rsidRDefault="004E439D">
            <w:pPr>
              <w:jc w:val="right"/>
              <w:textAlignment w:val="center"/>
            </w:pPr>
            <w:r>
              <w:rPr>
                <w:rFonts w:ascii="Times New Roman" w:eastAsia="宋体" w:hAnsi="Times New Roman"/>
                <w:color w:val="000000"/>
                <w:sz w:val="16"/>
                <w:szCs w:val="16"/>
              </w:rPr>
              <w:t>4,351 </w:t>
            </w:r>
          </w:p>
        </w:tc>
        <w:tc>
          <w:tcPr>
            <w:tcW w:w="0" w:type="auto"/>
            <w:shd w:val="clear" w:color="auto" w:fill="CCEEFF"/>
            <w:tcMar>
              <w:top w:w="40" w:type="dxa"/>
              <w:left w:w="0" w:type="dxa"/>
              <w:bottom w:w="40" w:type="dxa"/>
              <w:right w:w="20" w:type="dxa"/>
            </w:tcMar>
            <w:vAlign w:val="center"/>
          </w:tcPr>
          <w:p w14:paraId="35D0A50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50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510" w14:textId="77777777" w:rsidR="00D42204" w:rsidRDefault="004E439D">
            <w:pPr>
              <w:jc w:val="right"/>
              <w:textAlignment w:val="center"/>
            </w:pPr>
            <w:r>
              <w:rPr>
                <w:rFonts w:ascii="Times New Roman" w:eastAsia="宋体" w:hAnsi="Times New Roman"/>
                <w:color w:val="000000"/>
                <w:sz w:val="16"/>
                <w:szCs w:val="16"/>
              </w:rPr>
              <w:t>4,005 </w:t>
            </w:r>
          </w:p>
        </w:tc>
        <w:tc>
          <w:tcPr>
            <w:tcW w:w="0" w:type="auto"/>
            <w:shd w:val="clear" w:color="auto" w:fill="CCEEFF"/>
            <w:tcMar>
              <w:top w:w="40" w:type="dxa"/>
              <w:left w:w="0" w:type="dxa"/>
              <w:bottom w:w="40" w:type="dxa"/>
              <w:right w:w="20" w:type="dxa"/>
            </w:tcMar>
            <w:vAlign w:val="center"/>
          </w:tcPr>
          <w:p w14:paraId="35D0A511" w14:textId="77777777" w:rsidR="00D42204" w:rsidRDefault="00D42204">
            <w:pPr>
              <w:jc w:val="right"/>
              <w:rPr>
                <w:rFonts w:ascii="宋体"/>
              </w:rPr>
            </w:pPr>
          </w:p>
        </w:tc>
      </w:tr>
      <w:tr w:rsidR="00D42204" w14:paraId="35D0A518" w14:textId="77777777">
        <w:trPr>
          <w:jc w:val="center"/>
          <w:hidden/>
        </w:trPr>
        <w:tc>
          <w:tcPr>
            <w:tcW w:w="0" w:type="auto"/>
            <w:gridSpan w:val="3"/>
            <w:shd w:val="clear" w:color="auto" w:fill="auto"/>
            <w:vAlign w:val="bottom"/>
          </w:tcPr>
          <w:p w14:paraId="35D0A513" w14:textId="77777777" w:rsidR="00D42204" w:rsidRDefault="00D42204">
            <w:pPr>
              <w:rPr>
                <w:rFonts w:ascii="宋体"/>
                <w:vanish/>
              </w:rPr>
            </w:pPr>
          </w:p>
        </w:tc>
        <w:tc>
          <w:tcPr>
            <w:tcW w:w="0" w:type="auto"/>
            <w:gridSpan w:val="3"/>
            <w:shd w:val="clear" w:color="auto" w:fill="auto"/>
            <w:vAlign w:val="bottom"/>
          </w:tcPr>
          <w:p w14:paraId="35D0A514" w14:textId="77777777" w:rsidR="00D42204" w:rsidRDefault="00D42204">
            <w:pPr>
              <w:rPr>
                <w:rFonts w:ascii="宋体"/>
                <w:vanish/>
              </w:rPr>
            </w:pPr>
          </w:p>
        </w:tc>
        <w:tc>
          <w:tcPr>
            <w:tcW w:w="0" w:type="auto"/>
            <w:gridSpan w:val="3"/>
            <w:shd w:val="clear" w:color="auto" w:fill="auto"/>
            <w:vAlign w:val="bottom"/>
          </w:tcPr>
          <w:p w14:paraId="35D0A515" w14:textId="77777777" w:rsidR="00D42204" w:rsidRDefault="00D42204">
            <w:pPr>
              <w:rPr>
                <w:rFonts w:ascii="宋体"/>
                <w:vanish/>
              </w:rPr>
            </w:pPr>
          </w:p>
        </w:tc>
        <w:tc>
          <w:tcPr>
            <w:tcW w:w="0" w:type="auto"/>
            <w:gridSpan w:val="3"/>
            <w:shd w:val="clear" w:color="auto" w:fill="auto"/>
            <w:vAlign w:val="bottom"/>
          </w:tcPr>
          <w:p w14:paraId="35D0A516" w14:textId="77777777" w:rsidR="00D42204" w:rsidRDefault="00D42204">
            <w:pPr>
              <w:rPr>
                <w:rFonts w:ascii="宋体"/>
                <w:vanish/>
              </w:rPr>
            </w:pPr>
          </w:p>
        </w:tc>
        <w:tc>
          <w:tcPr>
            <w:tcW w:w="0" w:type="auto"/>
            <w:gridSpan w:val="3"/>
            <w:shd w:val="clear" w:color="auto" w:fill="auto"/>
            <w:vAlign w:val="bottom"/>
          </w:tcPr>
          <w:p w14:paraId="35D0A517" w14:textId="77777777" w:rsidR="00D42204" w:rsidRDefault="00D42204">
            <w:pPr>
              <w:rPr>
                <w:rFonts w:ascii="宋体"/>
                <w:vanish/>
              </w:rPr>
            </w:pPr>
          </w:p>
        </w:tc>
      </w:tr>
      <w:tr w:rsidR="00D42204" w14:paraId="35D0A51E" w14:textId="77777777">
        <w:trPr>
          <w:jc w:val="center"/>
          <w:hidden/>
        </w:trPr>
        <w:tc>
          <w:tcPr>
            <w:tcW w:w="0" w:type="auto"/>
            <w:gridSpan w:val="3"/>
            <w:shd w:val="clear" w:color="auto" w:fill="auto"/>
            <w:vAlign w:val="bottom"/>
          </w:tcPr>
          <w:p w14:paraId="35D0A519" w14:textId="77777777" w:rsidR="00D42204" w:rsidRDefault="00D42204">
            <w:pPr>
              <w:rPr>
                <w:rFonts w:ascii="宋体"/>
                <w:vanish/>
              </w:rPr>
            </w:pPr>
          </w:p>
        </w:tc>
        <w:tc>
          <w:tcPr>
            <w:tcW w:w="0" w:type="auto"/>
            <w:gridSpan w:val="3"/>
            <w:shd w:val="clear" w:color="auto" w:fill="auto"/>
            <w:vAlign w:val="bottom"/>
          </w:tcPr>
          <w:p w14:paraId="35D0A51A" w14:textId="77777777" w:rsidR="00D42204" w:rsidRDefault="00D42204">
            <w:pPr>
              <w:rPr>
                <w:rFonts w:ascii="宋体"/>
                <w:vanish/>
              </w:rPr>
            </w:pPr>
          </w:p>
        </w:tc>
        <w:tc>
          <w:tcPr>
            <w:tcW w:w="0" w:type="auto"/>
            <w:gridSpan w:val="3"/>
            <w:shd w:val="clear" w:color="auto" w:fill="auto"/>
            <w:vAlign w:val="bottom"/>
          </w:tcPr>
          <w:p w14:paraId="35D0A51B" w14:textId="77777777" w:rsidR="00D42204" w:rsidRDefault="00D42204">
            <w:pPr>
              <w:rPr>
                <w:rFonts w:ascii="宋体"/>
                <w:vanish/>
              </w:rPr>
            </w:pPr>
          </w:p>
        </w:tc>
        <w:tc>
          <w:tcPr>
            <w:tcW w:w="0" w:type="auto"/>
            <w:gridSpan w:val="3"/>
            <w:shd w:val="clear" w:color="auto" w:fill="auto"/>
            <w:vAlign w:val="bottom"/>
          </w:tcPr>
          <w:p w14:paraId="35D0A51C" w14:textId="77777777" w:rsidR="00D42204" w:rsidRDefault="00D42204">
            <w:pPr>
              <w:rPr>
                <w:rFonts w:ascii="宋体"/>
                <w:vanish/>
              </w:rPr>
            </w:pPr>
          </w:p>
        </w:tc>
        <w:tc>
          <w:tcPr>
            <w:tcW w:w="0" w:type="auto"/>
            <w:gridSpan w:val="3"/>
            <w:shd w:val="clear" w:color="auto" w:fill="auto"/>
            <w:vAlign w:val="bottom"/>
          </w:tcPr>
          <w:p w14:paraId="35D0A51D" w14:textId="77777777" w:rsidR="00D42204" w:rsidRDefault="00D42204">
            <w:pPr>
              <w:rPr>
                <w:rFonts w:ascii="宋体"/>
                <w:vanish/>
              </w:rPr>
            </w:pPr>
          </w:p>
        </w:tc>
      </w:tr>
      <w:tr w:rsidR="00D42204" w14:paraId="35D0A526" w14:textId="77777777">
        <w:trPr>
          <w:jc w:val="center"/>
        </w:trPr>
        <w:tc>
          <w:tcPr>
            <w:tcW w:w="0" w:type="auto"/>
            <w:gridSpan w:val="3"/>
            <w:shd w:val="clear" w:color="auto" w:fill="FFFFFF"/>
            <w:tcMar>
              <w:top w:w="40" w:type="dxa"/>
              <w:left w:w="20" w:type="dxa"/>
              <w:bottom w:w="40" w:type="dxa"/>
              <w:right w:w="20" w:type="dxa"/>
            </w:tcMar>
            <w:vAlign w:val="center"/>
          </w:tcPr>
          <w:p w14:paraId="35D0A51F" w14:textId="77777777" w:rsidR="00D42204" w:rsidRDefault="004E439D">
            <w:pPr>
              <w:textAlignment w:val="center"/>
            </w:pPr>
            <w:r>
              <w:rPr>
                <w:rFonts w:ascii="Times New Roman" w:eastAsia="宋体" w:hAnsi="Times New Roman"/>
                <w:color w:val="000000"/>
                <w:sz w:val="16"/>
                <w:szCs w:val="16"/>
              </w:rPr>
              <w:t>Goodwill</w:t>
            </w:r>
          </w:p>
        </w:tc>
        <w:tc>
          <w:tcPr>
            <w:tcW w:w="0" w:type="auto"/>
            <w:gridSpan w:val="3"/>
            <w:shd w:val="clear" w:color="auto" w:fill="FFFFFF"/>
            <w:tcMar>
              <w:top w:w="0" w:type="dxa"/>
              <w:left w:w="20" w:type="dxa"/>
              <w:bottom w:w="0" w:type="dxa"/>
              <w:right w:w="20" w:type="dxa"/>
            </w:tcMar>
            <w:vAlign w:val="bottom"/>
          </w:tcPr>
          <w:p w14:paraId="35D0A52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521" w14:textId="77777777" w:rsidR="00D42204" w:rsidRDefault="004E439D">
            <w:pPr>
              <w:jc w:val="right"/>
              <w:textAlignment w:val="center"/>
            </w:pPr>
            <w:r>
              <w:rPr>
                <w:rFonts w:ascii="Times New Roman" w:eastAsia="宋体" w:hAnsi="Times New Roman"/>
                <w:color w:val="000000"/>
                <w:sz w:val="16"/>
                <w:szCs w:val="16"/>
              </w:rPr>
              <w:t>29,014 </w:t>
            </w:r>
          </w:p>
        </w:tc>
        <w:tc>
          <w:tcPr>
            <w:tcW w:w="0" w:type="auto"/>
            <w:shd w:val="clear" w:color="auto" w:fill="FFFFFF"/>
            <w:tcMar>
              <w:top w:w="40" w:type="dxa"/>
              <w:left w:w="0" w:type="dxa"/>
              <w:bottom w:w="40" w:type="dxa"/>
              <w:right w:w="20" w:type="dxa"/>
            </w:tcMar>
            <w:vAlign w:val="center"/>
          </w:tcPr>
          <w:p w14:paraId="35D0A52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52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524" w14:textId="77777777" w:rsidR="00D42204" w:rsidRDefault="004E439D">
            <w:pPr>
              <w:jc w:val="right"/>
              <w:textAlignment w:val="center"/>
            </w:pPr>
            <w:r>
              <w:rPr>
                <w:rFonts w:ascii="Times New Roman" w:eastAsia="宋体" w:hAnsi="Times New Roman"/>
                <w:color w:val="000000"/>
                <w:sz w:val="16"/>
                <w:szCs w:val="16"/>
              </w:rPr>
              <w:t>28,983 </w:t>
            </w:r>
          </w:p>
        </w:tc>
        <w:tc>
          <w:tcPr>
            <w:tcW w:w="0" w:type="auto"/>
            <w:shd w:val="clear" w:color="auto" w:fill="FFFFFF"/>
            <w:tcMar>
              <w:top w:w="40" w:type="dxa"/>
              <w:left w:w="0" w:type="dxa"/>
              <w:bottom w:w="40" w:type="dxa"/>
              <w:right w:w="20" w:type="dxa"/>
            </w:tcMar>
            <w:vAlign w:val="center"/>
          </w:tcPr>
          <w:p w14:paraId="35D0A525" w14:textId="77777777" w:rsidR="00D42204" w:rsidRDefault="00D42204">
            <w:pPr>
              <w:jc w:val="right"/>
              <w:rPr>
                <w:rFonts w:ascii="宋体"/>
              </w:rPr>
            </w:pPr>
          </w:p>
        </w:tc>
      </w:tr>
      <w:tr w:rsidR="00D42204" w14:paraId="35D0A52E" w14:textId="77777777">
        <w:trPr>
          <w:jc w:val="center"/>
        </w:trPr>
        <w:tc>
          <w:tcPr>
            <w:tcW w:w="0" w:type="auto"/>
            <w:gridSpan w:val="3"/>
            <w:shd w:val="clear" w:color="auto" w:fill="CCEEFF"/>
            <w:tcMar>
              <w:top w:w="40" w:type="dxa"/>
              <w:left w:w="20" w:type="dxa"/>
              <w:bottom w:w="40" w:type="dxa"/>
              <w:right w:w="20" w:type="dxa"/>
            </w:tcMar>
          </w:tcPr>
          <w:p w14:paraId="35D0A527" w14:textId="77777777" w:rsidR="00D42204" w:rsidRDefault="004E439D">
            <w:pPr>
              <w:textAlignment w:val="top"/>
            </w:pPr>
            <w:r>
              <w:rPr>
                <w:rFonts w:ascii="Times New Roman" w:eastAsia="宋体" w:hAnsi="Times New Roman"/>
                <w:color w:val="000000"/>
                <w:sz w:val="16"/>
                <w:szCs w:val="16"/>
              </w:rPr>
              <w:t>Other long-term assets</w:t>
            </w:r>
          </w:p>
        </w:tc>
        <w:tc>
          <w:tcPr>
            <w:tcW w:w="0" w:type="auto"/>
            <w:gridSpan w:val="3"/>
            <w:shd w:val="clear" w:color="auto" w:fill="CCEEFF"/>
            <w:tcMar>
              <w:top w:w="0" w:type="dxa"/>
              <w:left w:w="20" w:type="dxa"/>
              <w:bottom w:w="0" w:type="dxa"/>
              <w:right w:w="20" w:type="dxa"/>
            </w:tcMar>
            <w:vAlign w:val="bottom"/>
          </w:tcPr>
          <w:p w14:paraId="35D0A52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529" w14:textId="77777777" w:rsidR="00D42204" w:rsidRDefault="004E439D">
            <w:pPr>
              <w:jc w:val="right"/>
              <w:textAlignment w:val="center"/>
            </w:pPr>
            <w:r>
              <w:rPr>
                <w:rFonts w:ascii="Times New Roman" w:eastAsia="宋体" w:hAnsi="Times New Roman"/>
                <w:color w:val="000000"/>
                <w:sz w:val="16"/>
                <w:szCs w:val="16"/>
              </w:rPr>
              <w:t>22,152 </w:t>
            </w:r>
          </w:p>
        </w:tc>
        <w:tc>
          <w:tcPr>
            <w:tcW w:w="0" w:type="auto"/>
            <w:shd w:val="clear" w:color="auto" w:fill="CCEEFF"/>
            <w:tcMar>
              <w:top w:w="40" w:type="dxa"/>
              <w:left w:w="0" w:type="dxa"/>
              <w:bottom w:w="40" w:type="dxa"/>
              <w:right w:w="20" w:type="dxa"/>
            </w:tcMar>
            <w:vAlign w:val="center"/>
          </w:tcPr>
          <w:p w14:paraId="35D0A52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52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52C" w14:textId="77777777" w:rsidR="00D42204" w:rsidRDefault="004E439D">
            <w:pPr>
              <w:jc w:val="right"/>
              <w:textAlignment w:val="center"/>
            </w:pPr>
            <w:r>
              <w:rPr>
                <w:rFonts w:ascii="Times New Roman" w:eastAsia="宋体" w:hAnsi="Times New Roman"/>
                <w:color w:val="000000"/>
                <w:sz w:val="16"/>
                <w:szCs w:val="16"/>
              </w:rPr>
              <w:t>23,598 </w:t>
            </w:r>
          </w:p>
        </w:tc>
        <w:tc>
          <w:tcPr>
            <w:tcW w:w="0" w:type="auto"/>
            <w:shd w:val="clear" w:color="auto" w:fill="CCEEFF"/>
            <w:tcMar>
              <w:top w:w="40" w:type="dxa"/>
              <w:left w:w="0" w:type="dxa"/>
              <w:bottom w:w="40" w:type="dxa"/>
              <w:right w:w="20" w:type="dxa"/>
            </w:tcMar>
            <w:vAlign w:val="center"/>
          </w:tcPr>
          <w:p w14:paraId="35D0A52D" w14:textId="77777777" w:rsidR="00D42204" w:rsidRDefault="00D42204">
            <w:pPr>
              <w:jc w:val="right"/>
              <w:rPr>
                <w:rFonts w:ascii="宋体"/>
              </w:rPr>
            </w:pPr>
          </w:p>
        </w:tc>
      </w:tr>
      <w:tr w:rsidR="00D42204" w14:paraId="35D0A538" w14:textId="77777777">
        <w:trPr>
          <w:jc w:val="center"/>
        </w:trPr>
        <w:tc>
          <w:tcPr>
            <w:tcW w:w="0" w:type="auto"/>
            <w:gridSpan w:val="3"/>
            <w:shd w:val="clear" w:color="auto" w:fill="FFFFFF"/>
            <w:tcMar>
              <w:top w:w="40" w:type="dxa"/>
              <w:left w:w="20" w:type="dxa"/>
              <w:bottom w:w="40" w:type="dxa"/>
              <w:right w:w="20" w:type="dxa"/>
            </w:tcMar>
            <w:vAlign w:val="center"/>
          </w:tcPr>
          <w:p w14:paraId="35D0A52F" w14:textId="77777777" w:rsidR="00D42204" w:rsidRDefault="004E439D">
            <w:pPr>
              <w:textAlignment w:val="center"/>
            </w:pPr>
            <w:r>
              <w:rPr>
                <w:rFonts w:ascii="Times New Roman" w:eastAsia="宋体" w:hAnsi="Times New Roman"/>
                <w:b/>
                <w:bCs/>
                <w:color w:val="000000"/>
                <w:sz w:val="16"/>
                <w:szCs w:val="16"/>
              </w:rPr>
              <w:t>Total assets</w:t>
            </w:r>
          </w:p>
        </w:tc>
        <w:tc>
          <w:tcPr>
            <w:tcW w:w="0" w:type="auto"/>
            <w:gridSpan w:val="3"/>
            <w:shd w:val="clear" w:color="auto" w:fill="FFFFFF"/>
            <w:tcMar>
              <w:top w:w="0" w:type="dxa"/>
              <w:left w:w="20" w:type="dxa"/>
              <w:bottom w:w="0" w:type="dxa"/>
              <w:right w:w="20" w:type="dxa"/>
            </w:tcMar>
            <w:vAlign w:val="bottom"/>
          </w:tcPr>
          <w:p w14:paraId="35D0A530" w14:textId="77777777" w:rsidR="00D42204" w:rsidRDefault="00D4220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35D0A531"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35D0A532" w14:textId="77777777" w:rsidR="00D42204" w:rsidRDefault="004E439D">
            <w:pPr>
              <w:jc w:val="right"/>
              <w:textAlignment w:val="center"/>
            </w:pPr>
            <w:r>
              <w:rPr>
                <w:rFonts w:ascii="Times New Roman" w:eastAsia="宋体" w:hAnsi="Times New Roman"/>
                <w:color w:val="000000"/>
                <w:sz w:val="16"/>
                <w:szCs w:val="16"/>
              </w:rPr>
              <w:t>244,860 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53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534" w14:textId="77777777" w:rsidR="00D42204" w:rsidRDefault="00D4220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35D0A535"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35D0A536" w14:textId="77777777" w:rsidR="00D42204" w:rsidRDefault="004E439D">
            <w:pPr>
              <w:jc w:val="right"/>
              <w:textAlignment w:val="center"/>
            </w:pPr>
            <w:r>
              <w:rPr>
                <w:rFonts w:ascii="Times New Roman" w:eastAsia="宋体" w:hAnsi="Times New Roman"/>
                <w:color w:val="000000"/>
                <w:sz w:val="16"/>
                <w:szCs w:val="16"/>
              </w:rPr>
              <w:t>252,496 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537" w14:textId="77777777" w:rsidR="00D42204" w:rsidRDefault="00D42204">
            <w:pPr>
              <w:jc w:val="right"/>
              <w:rPr>
                <w:rFonts w:ascii="宋体"/>
              </w:rPr>
            </w:pPr>
          </w:p>
        </w:tc>
      </w:tr>
      <w:tr w:rsidR="00D42204" w14:paraId="35D0A53E" w14:textId="77777777">
        <w:trPr>
          <w:trHeight w:val="240"/>
          <w:jc w:val="center"/>
        </w:trPr>
        <w:tc>
          <w:tcPr>
            <w:tcW w:w="0" w:type="auto"/>
            <w:gridSpan w:val="3"/>
            <w:shd w:val="clear" w:color="auto" w:fill="CCEEFF"/>
            <w:tcMar>
              <w:top w:w="0" w:type="dxa"/>
              <w:left w:w="20" w:type="dxa"/>
              <w:bottom w:w="0" w:type="dxa"/>
              <w:right w:w="20" w:type="dxa"/>
            </w:tcMar>
            <w:vAlign w:val="bottom"/>
          </w:tcPr>
          <w:p w14:paraId="35D0A539"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53A" w14:textId="77777777" w:rsidR="00D42204" w:rsidRDefault="00D4220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5D0A53B"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53C" w14:textId="77777777" w:rsidR="00D42204" w:rsidRDefault="00D4220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5D0A53D" w14:textId="77777777" w:rsidR="00D42204" w:rsidRDefault="00D42204">
            <w:pPr>
              <w:rPr>
                <w:rFonts w:ascii="宋体"/>
              </w:rPr>
            </w:pPr>
          </w:p>
        </w:tc>
      </w:tr>
      <w:tr w:rsidR="00D42204" w14:paraId="35D0A544" w14:textId="77777777">
        <w:trPr>
          <w:jc w:val="center"/>
        </w:trPr>
        <w:tc>
          <w:tcPr>
            <w:tcW w:w="0" w:type="auto"/>
            <w:gridSpan w:val="3"/>
            <w:shd w:val="clear" w:color="auto" w:fill="FFFFFF"/>
            <w:tcMar>
              <w:top w:w="40" w:type="dxa"/>
              <w:left w:w="20" w:type="dxa"/>
              <w:bottom w:w="40" w:type="dxa"/>
              <w:right w:w="20" w:type="dxa"/>
            </w:tcMar>
            <w:vAlign w:val="center"/>
          </w:tcPr>
          <w:p w14:paraId="35D0A53F" w14:textId="77777777" w:rsidR="00D42204" w:rsidRDefault="004E439D">
            <w:pPr>
              <w:textAlignment w:val="center"/>
            </w:pPr>
            <w:r>
              <w:rPr>
                <w:rFonts w:ascii="Times New Roman" w:eastAsia="宋体" w:hAnsi="Times New Roman"/>
                <w:b/>
                <w:bCs/>
                <w:color w:val="000000"/>
                <w:sz w:val="16"/>
                <w:szCs w:val="16"/>
              </w:rPr>
              <w:t>LIABILITIES AND EQUITY</w:t>
            </w:r>
          </w:p>
        </w:tc>
        <w:tc>
          <w:tcPr>
            <w:tcW w:w="0" w:type="auto"/>
            <w:gridSpan w:val="3"/>
            <w:shd w:val="clear" w:color="auto" w:fill="FFFFFF"/>
            <w:tcMar>
              <w:top w:w="0" w:type="dxa"/>
              <w:left w:w="20" w:type="dxa"/>
              <w:bottom w:w="0" w:type="dxa"/>
              <w:right w:w="20" w:type="dxa"/>
            </w:tcMar>
            <w:vAlign w:val="bottom"/>
          </w:tcPr>
          <w:p w14:paraId="35D0A540"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541"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542"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543" w14:textId="77777777" w:rsidR="00D42204" w:rsidRDefault="00D42204">
            <w:pPr>
              <w:rPr>
                <w:rFonts w:ascii="宋体"/>
              </w:rPr>
            </w:pPr>
          </w:p>
        </w:tc>
      </w:tr>
      <w:tr w:rsidR="00D42204" w14:paraId="35D0A54A" w14:textId="77777777">
        <w:trPr>
          <w:jc w:val="center"/>
        </w:trPr>
        <w:tc>
          <w:tcPr>
            <w:tcW w:w="0" w:type="auto"/>
            <w:gridSpan w:val="3"/>
            <w:shd w:val="clear" w:color="auto" w:fill="CCEEFF"/>
            <w:tcMar>
              <w:top w:w="40" w:type="dxa"/>
              <w:left w:w="20" w:type="dxa"/>
              <w:bottom w:w="40" w:type="dxa"/>
              <w:right w:w="20" w:type="dxa"/>
            </w:tcMar>
            <w:vAlign w:val="center"/>
          </w:tcPr>
          <w:p w14:paraId="35D0A545" w14:textId="77777777" w:rsidR="00D42204" w:rsidRDefault="004E439D">
            <w:pPr>
              <w:textAlignment w:val="center"/>
            </w:pPr>
            <w:r>
              <w:rPr>
                <w:rFonts w:ascii="Times New Roman" w:eastAsia="宋体" w:hAnsi="Times New Roman"/>
                <w:b/>
                <w:bCs/>
                <w:color w:val="000000"/>
                <w:sz w:val="16"/>
                <w:szCs w:val="16"/>
              </w:rPr>
              <w:t>Current liabilities:</w:t>
            </w:r>
          </w:p>
        </w:tc>
        <w:tc>
          <w:tcPr>
            <w:tcW w:w="0" w:type="auto"/>
            <w:gridSpan w:val="3"/>
            <w:shd w:val="clear" w:color="auto" w:fill="CCEEFF"/>
            <w:tcMar>
              <w:top w:w="0" w:type="dxa"/>
              <w:left w:w="20" w:type="dxa"/>
              <w:bottom w:w="0" w:type="dxa"/>
              <w:right w:w="20" w:type="dxa"/>
            </w:tcMar>
            <w:vAlign w:val="bottom"/>
          </w:tcPr>
          <w:p w14:paraId="35D0A546"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547"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54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549" w14:textId="77777777" w:rsidR="00D42204" w:rsidRDefault="00D42204">
            <w:pPr>
              <w:rPr>
                <w:rFonts w:ascii="宋体"/>
              </w:rPr>
            </w:pPr>
          </w:p>
        </w:tc>
      </w:tr>
      <w:tr w:rsidR="00D42204" w14:paraId="35D0A554" w14:textId="77777777">
        <w:trPr>
          <w:jc w:val="center"/>
        </w:trPr>
        <w:tc>
          <w:tcPr>
            <w:tcW w:w="0" w:type="auto"/>
            <w:gridSpan w:val="3"/>
            <w:shd w:val="clear" w:color="auto" w:fill="FFFFFF"/>
            <w:tcMar>
              <w:top w:w="40" w:type="dxa"/>
              <w:left w:w="380" w:type="dxa"/>
              <w:bottom w:w="40" w:type="dxa"/>
              <w:right w:w="20" w:type="dxa"/>
            </w:tcMar>
            <w:vAlign w:val="center"/>
          </w:tcPr>
          <w:p w14:paraId="35D0A54B" w14:textId="77777777" w:rsidR="00D42204" w:rsidRDefault="004E439D">
            <w:pPr>
              <w:textAlignment w:val="center"/>
            </w:pPr>
            <w:r>
              <w:rPr>
                <w:rFonts w:ascii="Times New Roman" w:eastAsia="宋体" w:hAnsi="Times New Roman"/>
                <w:color w:val="000000"/>
                <w:sz w:val="16"/>
                <w:szCs w:val="16"/>
              </w:rPr>
              <w:t>Short-term borrowings</w:t>
            </w:r>
          </w:p>
        </w:tc>
        <w:tc>
          <w:tcPr>
            <w:tcW w:w="0" w:type="auto"/>
            <w:gridSpan w:val="3"/>
            <w:shd w:val="clear" w:color="auto" w:fill="FFFFFF"/>
            <w:tcMar>
              <w:top w:w="0" w:type="dxa"/>
              <w:left w:w="20" w:type="dxa"/>
              <w:bottom w:w="0" w:type="dxa"/>
              <w:right w:w="20" w:type="dxa"/>
            </w:tcMar>
            <w:vAlign w:val="bottom"/>
          </w:tcPr>
          <w:p w14:paraId="35D0A54C"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54D"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54E" w14:textId="77777777" w:rsidR="00D42204" w:rsidRDefault="004E439D">
            <w:pPr>
              <w:jc w:val="right"/>
              <w:textAlignment w:val="center"/>
            </w:pPr>
            <w:r>
              <w:rPr>
                <w:rFonts w:ascii="Times New Roman" w:eastAsia="宋体" w:hAnsi="Times New Roman"/>
                <w:color w:val="000000"/>
                <w:sz w:val="16"/>
                <w:szCs w:val="16"/>
              </w:rPr>
              <w:t>410 </w:t>
            </w:r>
          </w:p>
        </w:tc>
        <w:tc>
          <w:tcPr>
            <w:tcW w:w="0" w:type="auto"/>
            <w:shd w:val="clear" w:color="auto" w:fill="FFFFFF"/>
            <w:tcMar>
              <w:top w:w="40" w:type="dxa"/>
              <w:left w:w="0" w:type="dxa"/>
              <w:bottom w:w="40" w:type="dxa"/>
              <w:right w:w="20" w:type="dxa"/>
            </w:tcMar>
            <w:vAlign w:val="center"/>
          </w:tcPr>
          <w:p w14:paraId="35D0A54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550"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551"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552" w14:textId="77777777" w:rsidR="00D42204" w:rsidRDefault="004E439D">
            <w:pPr>
              <w:jc w:val="right"/>
              <w:textAlignment w:val="center"/>
            </w:pPr>
            <w:r>
              <w:rPr>
                <w:rFonts w:ascii="Times New Roman" w:eastAsia="宋体" w:hAnsi="Times New Roman"/>
                <w:color w:val="000000"/>
                <w:sz w:val="16"/>
                <w:szCs w:val="16"/>
              </w:rPr>
              <w:t>224 </w:t>
            </w:r>
          </w:p>
        </w:tc>
        <w:tc>
          <w:tcPr>
            <w:tcW w:w="0" w:type="auto"/>
            <w:shd w:val="clear" w:color="auto" w:fill="FFFFFF"/>
            <w:tcMar>
              <w:top w:w="40" w:type="dxa"/>
              <w:left w:w="0" w:type="dxa"/>
              <w:bottom w:w="40" w:type="dxa"/>
              <w:right w:w="20" w:type="dxa"/>
            </w:tcMar>
            <w:vAlign w:val="center"/>
          </w:tcPr>
          <w:p w14:paraId="35D0A553" w14:textId="77777777" w:rsidR="00D42204" w:rsidRDefault="00D42204">
            <w:pPr>
              <w:jc w:val="right"/>
              <w:rPr>
                <w:rFonts w:ascii="宋体"/>
              </w:rPr>
            </w:pPr>
          </w:p>
        </w:tc>
      </w:tr>
      <w:tr w:rsidR="00D42204" w14:paraId="35D0A55C" w14:textId="77777777">
        <w:trPr>
          <w:jc w:val="center"/>
        </w:trPr>
        <w:tc>
          <w:tcPr>
            <w:tcW w:w="0" w:type="auto"/>
            <w:gridSpan w:val="3"/>
            <w:shd w:val="clear" w:color="auto" w:fill="CCEEFF"/>
            <w:tcMar>
              <w:top w:w="40" w:type="dxa"/>
              <w:left w:w="380" w:type="dxa"/>
              <w:bottom w:w="40" w:type="dxa"/>
              <w:right w:w="20" w:type="dxa"/>
            </w:tcMar>
            <w:vAlign w:val="center"/>
          </w:tcPr>
          <w:p w14:paraId="35D0A555" w14:textId="77777777" w:rsidR="00D42204" w:rsidRDefault="004E439D">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vAlign w:val="bottom"/>
          </w:tcPr>
          <w:p w14:paraId="35D0A55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557" w14:textId="77777777" w:rsidR="00D42204" w:rsidRDefault="004E439D">
            <w:pPr>
              <w:jc w:val="right"/>
              <w:textAlignment w:val="center"/>
            </w:pPr>
            <w:r>
              <w:rPr>
                <w:rFonts w:ascii="Times New Roman" w:eastAsia="宋体" w:hAnsi="Times New Roman"/>
                <w:color w:val="000000"/>
                <w:sz w:val="16"/>
                <w:szCs w:val="16"/>
              </w:rPr>
              <w:t>55,261 </w:t>
            </w:r>
          </w:p>
        </w:tc>
        <w:tc>
          <w:tcPr>
            <w:tcW w:w="0" w:type="auto"/>
            <w:shd w:val="clear" w:color="auto" w:fill="CCEEFF"/>
            <w:tcMar>
              <w:top w:w="40" w:type="dxa"/>
              <w:left w:w="0" w:type="dxa"/>
              <w:bottom w:w="40" w:type="dxa"/>
              <w:right w:w="20" w:type="dxa"/>
            </w:tcMar>
            <w:vAlign w:val="center"/>
          </w:tcPr>
          <w:p w14:paraId="35D0A55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55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55A" w14:textId="77777777" w:rsidR="00D42204" w:rsidRDefault="004E439D">
            <w:pPr>
              <w:jc w:val="right"/>
              <w:textAlignment w:val="center"/>
            </w:pPr>
            <w:r>
              <w:rPr>
                <w:rFonts w:ascii="Times New Roman" w:eastAsia="宋体" w:hAnsi="Times New Roman"/>
                <w:color w:val="000000"/>
                <w:sz w:val="16"/>
                <w:szCs w:val="16"/>
              </w:rPr>
              <w:t>49,141 </w:t>
            </w:r>
          </w:p>
        </w:tc>
        <w:tc>
          <w:tcPr>
            <w:tcW w:w="0" w:type="auto"/>
            <w:shd w:val="clear" w:color="auto" w:fill="CCEEFF"/>
            <w:tcMar>
              <w:top w:w="40" w:type="dxa"/>
              <w:left w:w="0" w:type="dxa"/>
              <w:bottom w:w="40" w:type="dxa"/>
              <w:right w:w="20" w:type="dxa"/>
            </w:tcMar>
            <w:vAlign w:val="center"/>
          </w:tcPr>
          <w:p w14:paraId="35D0A55B" w14:textId="77777777" w:rsidR="00D42204" w:rsidRDefault="00D42204">
            <w:pPr>
              <w:jc w:val="right"/>
              <w:rPr>
                <w:rFonts w:ascii="宋体"/>
              </w:rPr>
            </w:pPr>
          </w:p>
        </w:tc>
      </w:tr>
      <w:tr w:rsidR="00D42204" w14:paraId="35D0A562" w14:textId="77777777">
        <w:trPr>
          <w:jc w:val="center"/>
          <w:hidden/>
        </w:trPr>
        <w:tc>
          <w:tcPr>
            <w:tcW w:w="0" w:type="auto"/>
            <w:gridSpan w:val="3"/>
            <w:shd w:val="clear" w:color="auto" w:fill="auto"/>
            <w:vAlign w:val="bottom"/>
          </w:tcPr>
          <w:p w14:paraId="35D0A55D" w14:textId="77777777" w:rsidR="00D42204" w:rsidRDefault="00D42204">
            <w:pPr>
              <w:rPr>
                <w:rFonts w:ascii="宋体"/>
                <w:vanish/>
              </w:rPr>
            </w:pPr>
          </w:p>
        </w:tc>
        <w:tc>
          <w:tcPr>
            <w:tcW w:w="0" w:type="auto"/>
            <w:gridSpan w:val="3"/>
            <w:shd w:val="clear" w:color="auto" w:fill="auto"/>
            <w:vAlign w:val="bottom"/>
          </w:tcPr>
          <w:p w14:paraId="35D0A55E" w14:textId="77777777" w:rsidR="00D42204" w:rsidRDefault="00D42204">
            <w:pPr>
              <w:rPr>
                <w:rFonts w:ascii="宋体"/>
                <w:vanish/>
              </w:rPr>
            </w:pPr>
          </w:p>
        </w:tc>
        <w:tc>
          <w:tcPr>
            <w:tcW w:w="0" w:type="auto"/>
            <w:gridSpan w:val="3"/>
            <w:shd w:val="clear" w:color="auto" w:fill="auto"/>
            <w:vAlign w:val="bottom"/>
          </w:tcPr>
          <w:p w14:paraId="35D0A55F" w14:textId="77777777" w:rsidR="00D42204" w:rsidRDefault="00D42204">
            <w:pPr>
              <w:rPr>
                <w:rFonts w:ascii="宋体"/>
                <w:vanish/>
              </w:rPr>
            </w:pPr>
          </w:p>
        </w:tc>
        <w:tc>
          <w:tcPr>
            <w:tcW w:w="0" w:type="auto"/>
            <w:gridSpan w:val="3"/>
            <w:shd w:val="clear" w:color="auto" w:fill="auto"/>
            <w:vAlign w:val="bottom"/>
          </w:tcPr>
          <w:p w14:paraId="35D0A560" w14:textId="77777777" w:rsidR="00D42204" w:rsidRDefault="00D42204">
            <w:pPr>
              <w:rPr>
                <w:rFonts w:ascii="宋体"/>
                <w:vanish/>
              </w:rPr>
            </w:pPr>
          </w:p>
        </w:tc>
        <w:tc>
          <w:tcPr>
            <w:tcW w:w="0" w:type="auto"/>
            <w:gridSpan w:val="3"/>
            <w:shd w:val="clear" w:color="auto" w:fill="auto"/>
            <w:vAlign w:val="bottom"/>
          </w:tcPr>
          <w:p w14:paraId="35D0A561" w14:textId="77777777" w:rsidR="00D42204" w:rsidRDefault="00D42204">
            <w:pPr>
              <w:rPr>
                <w:rFonts w:ascii="宋体"/>
                <w:vanish/>
              </w:rPr>
            </w:pPr>
          </w:p>
        </w:tc>
      </w:tr>
      <w:tr w:rsidR="00D42204" w14:paraId="35D0A56A" w14:textId="77777777">
        <w:trPr>
          <w:jc w:val="center"/>
        </w:trPr>
        <w:tc>
          <w:tcPr>
            <w:tcW w:w="0" w:type="auto"/>
            <w:gridSpan w:val="3"/>
            <w:shd w:val="clear" w:color="auto" w:fill="FFFFFF"/>
            <w:tcMar>
              <w:top w:w="40" w:type="dxa"/>
              <w:left w:w="380" w:type="dxa"/>
              <w:bottom w:w="40" w:type="dxa"/>
              <w:right w:w="20" w:type="dxa"/>
            </w:tcMar>
            <w:vAlign w:val="center"/>
          </w:tcPr>
          <w:p w14:paraId="35D0A563" w14:textId="77777777" w:rsidR="00D42204" w:rsidRDefault="004E439D">
            <w:pPr>
              <w:textAlignment w:val="center"/>
            </w:pPr>
            <w:r>
              <w:rPr>
                <w:rFonts w:ascii="Times New Roman" w:eastAsia="宋体" w:hAnsi="Times New Roman"/>
                <w:color w:val="000000"/>
                <w:sz w:val="16"/>
                <w:szCs w:val="16"/>
              </w:rPr>
              <w:t>Accrued liabilities</w:t>
            </w:r>
          </w:p>
        </w:tc>
        <w:tc>
          <w:tcPr>
            <w:tcW w:w="0" w:type="auto"/>
            <w:gridSpan w:val="3"/>
            <w:shd w:val="clear" w:color="auto" w:fill="FFFFFF"/>
            <w:tcMar>
              <w:top w:w="0" w:type="dxa"/>
              <w:left w:w="20" w:type="dxa"/>
              <w:bottom w:w="0" w:type="dxa"/>
              <w:right w:w="20" w:type="dxa"/>
            </w:tcMar>
            <w:vAlign w:val="bottom"/>
          </w:tcPr>
          <w:p w14:paraId="35D0A56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565" w14:textId="77777777" w:rsidR="00D42204" w:rsidRDefault="004E439D">
            <w:pPr>
              <w:jc w:val="right"/>
              <w:textAlignment w:val="center"/>
            </w:pPr>
            <w:r>
              <w:rPr>
                <w:rFonts w:ascii="Times New Roman" w:eastAsia="宋体" w:hAnsi="Times New Roman"/>
                <w:color w:val="000000"/>
                <w:sz w:val="16"/>
                <w:szCs w:val="16"/>
              </w:rPr>
              <w:t>26,060 </w:t>
            </w:r>
          </w:p>
        </w:tc>
        <w:tc>
          <w:tcPr>
            <w:tcW w:w="0" w:type="auto"/>
            <w:shd w:val="clear" w:color="auto" w:fill="FFFFFF"/>
            <w:tcMar>
              <w:top w:w="40" w:type="dxa"/>
              <w:left w:w="0" w:type="dxa"/>
              <w:bottom w:w="40" w:type="dxa"/>
              <w:right w:w="20" w:type="dxa"/>
            </w:tcMar>
            <w:vAlign w:val="center"/>
          </w:tcPr>
          <w:p w14:paraId="35D0A56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56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568" w14:textId="77777777" w:rsidR="00D42204" w:rsidRDefault="004E439D">
            <w:pPr>
              <w:jc w:val="right"/>
              <w:textAlignment w:val="center"/>
            </w:pPr>
            <w:r>
              <w:rPr>
                <w:rFonts w:ascii="Times New Roman" w:eastAsia="宋体" w:hAnsi="Times New Roman"/>
                <w:color w:val="000000"/>
                <w:sz w:val="16"/>
                <w:szCs w:val="16"/>
              </w:rPr>
              <w:t>37,966 </w:t>
            </w:r>
          </w:p>
        </w:tc>
        <w:tc>
          <w:tcPr>
            <w:tcW w:w="0" w:type="auto"/>
            <w:shd w:val="clear" w:color="auto" w:fill="FFFFFF"/>
            <w:tcMar>
              <w:top w:w="40" w:type="dxa"/>
              <w:left w:w="0" w:type="dxa"/>
              <w:bottom w:w="40" w:type="dxa"/>
              <w:right w:w="20" w:type="dxa"/>
            </w:tcMar>
            <w:vAlign w:val="center"/>
          </w:tcPr>
          <w:p w14:paraId="35D0A569" w14:textId="77777777" w:rsidR="00D42204" w:rsidRDefault="00D42204">
            <w:pPr>
              <w:jc w:val="right"/>
              <w:rPr>
                <w:rFonts w:ascii="宋体"/>
              </w:rPr>
            </w:pPr>
          </w:p>
        </w:tc>
      </w:tr>
      <w:tr w:rsidR="00D42204" w14:paraId="35D0A572" w14:textId="77777777">
        <w:trPr>
          <w:jc w:val="center"/>
        </w:trPr>
        <w:tc>
          <w:tcPr>
            <w:tcW w:w="0" w:type="auto"/>
            <w:gridSpan w:val="3"/>
            <w:shd w:val="clear" w:color="auto" w:fill="CCEEFF"/>
            <w:tcMar>
              <w:top w:w="40" w:type="dxa"/>
              <w:left w:w="380" w:type="dxa"/>
              <w:bottom w:w="40" w:type="dxa"/>
              <w:right w:w="20" w:type="dxa"/>
            </w:tcMar>
            <w:vAlign w:val="center"/>
          </w:tcPr>
          <w:p w14:paraId="35D0A56B" w14:textId="77777777" w:rsidR="00D42204" w:rsidRDefault="004E439D">
            <w:pPr>
              <w:textAlignment w:val="center"/>
            </w:pPr>
            <w:r>
              <w:rPr>
                <w:rFonts w:ascii="Times New Roman" w:eastAsia="宋体" w:hAnsi="Times New Roman"/>
                <w:color w:val="000000"/>
                <w:sz w:val="16"/>
                <w:szCs w:val="16"/>
              </w:rPr>
              <w:t xml:space="preserve">Accrued income </w:t>
            </w:r>
            <w:r>
              <w:rPr>
                <w:rFonts w:ascii="Times New Roman" w:eastAsia="宋体" w:hAnsi="Times New Roman"/>
                <w:color w:val="000000"/>
                <w:sz w:val="16"/>
                <w:szCs w:val="16"/>
              </w:rPr>
              <w:t>taxes</w:t>
            </w:r>
          </w:p>
        </w:tc>
        <w:tc>
          <w:tcPr>
            <w:tcW w:w="0" w:type="auto"/>
            <w:gridSpan w:val="3"/>
            <w:shd w:val="clear" w:color="auto" w:fill="CCEEFF"/>
            <w:tcMar>
              <w:top w:w="0" w:type="dxa"/>
              <w:left w:w="20" w:type="dxa"/>
              <w:bottom w:w="0" w:type="dxa"/>
              <w:right w:w="20" w:type="dxa"/>
            </w:tcMar>
            <w:vAlign w:val="bottom"/>
          </w:tcPr>
          <w:p w14:paraId="35D0A56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56D" w14:textId="77777777" w:rsidR="00D42204" w:rsidRDefault="004E439D">
            <w:pPr>
              <w:jc w:val="right"/>
              <w:textAlignment w:val="center"/>
            </w:pPr>
            <w:r>
              <w:rPr>
                <w:rFonts w:ascii="Times New Roman" w:eastAsia="宋体" w:hAnsi="Times New Roman"/>
                <w:color w:val="000000"/>
                <w:sz w:val="16"/>
                <w:szCs w:val="16"/>
              </w:rPr>
              <w:t>851 </w:t>
            </w:r>
          </w:p>
        </w:tc>
        <w:tc>
          <w:tcPr>
            <w:tcW w:w="0" w:type="auto"/>
            <w:shd w:val="clear" w:color="auto" w:fill="CCEEFF"/>
            <w:tcMar>
              <w:top w:w="40" w:type="dxa"/>
              <w:left w:w="0" w:type="dxa"/>
              <w:bottom w:w="40" w:type="dxa"/>
              <w:right w:w="20" w:type="dxa"/>
            </w:tcMar>
            <w:vAlign w:val="center"/>
          </w:tcPr>
          <w:p w14:paraId="35D0A56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56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570" w14:textId="77777777" w:rsidR="00D42204" w:rsidRDefault="004E439D">
            <w:pPr>
              <w:jc w:val="right"/>
              <w:textAlignment w:val="center"/>
            </w:pPr>
            <w:r>
              <w:rPr>
                <w:rFonts w:ascii="Times New Roman" w:eastAsia="宋体" w:hAnsi="Times New Roman"/>
                <w:color w:val="000000"/>
                <w:sz w:val="16"/>
                <w:szCs w:val="16"/>
              </w:rPr>
              <w:t>242 </w:t>
            </w:r>
          </w:p>
        </w:tc>
        <w:tc>
          <w:tcPr>
            <w:tcW w:w="0" w:type="auto"/>
            <w:shd w:val="clear" w:color="auto" w:fill="CCEEFF"/>
            <w:tcMar>
              <w:top w:w="40" w:type="dxa"/>
              <w:left w:w="0" w:type="dxa"/>
              <w:bottom w:w="40" w:type="dxa"/>
              <w:right w:w="20" w:type="dxa"/>
            </w:tcMar>
            <w:vAlign w:val="center"/>
          </w:tcPr>
          <w:p w14:paraId="35D0A571" w14:textId="77777777" w:rsidR="00D42204" w:rsidRDefault="00D42204">
            <w:pPr>
              <w:jc w:val="right"/>
              <w:rPr>
                <w:rFonts w:ascii="宋体"/>
              </w:rPr>
            </w:pPr>
          </w:p>
        </w:tc>
      </w:tr>
      <w:tr w:rsidR="00D42204" w14:paraId="35D0A57A" w14:textId="77777777">
        <w:trPr>
          <w:jc w:val="center"/>
        </w:trPr>
        <w:tc>
          <w:tcPr>
            <w:tcW w:w="0" w:type="auto"/>
            <w:gridSpan w:val="3"/>
            <w:shd w:val="clear" w:color="auto" w:fill="FFFFFF"/>
            <w:tcMar>
              <w:top w:w="40" w:type="dxa"/>
              <w:left w:w="380" w:type="dxa"/>
              <w:bottom w:w="40" w:type="dxa"/>
              <w:right w:w="20" w:type="dxa"/>
            </w:tcMar>
            <w:vAlign w:val="center"/>
          </w:tcPr>
          <w:p w14:paraId="35D0A573" w14:textId="77777777" w:rsidR="00D42204" w:rsidRDefault="004E439D">
            <w:pPr>
              <w:textAlignment w:val="center"/>
            </w:pPr>
            <w:r>
              <w:rPr>
                <w:rFonts w:ascii="Times New Roman" w:eastAsia="宋体" w:hAnsi="Times New Roman"/>
                <w:color w:val="000000"/>
                <w:sz w:val="16"/>
                <w:szCs w:val="16"/>
              </w:rPr>
              <w:t>Long-term debt due within one year</w:t>
            </w:r>
          </w:p>
        </w:tc>
        <w:tc>
          <w:tcPr>
            <w:tcW w:w="0" w:type="auto"/>
            <w:gridSpan w:val="3"/>
            <w:shd w:val="clear" w:color="auto" w:fill="FFFFFF"/>
            <w:tcMar>
              <w:top w:w="0" w:type="dxa"/>
              <w:left w:w="20" w:type="dxa"/>
              <w:bottom w:w="0" w:type="dxa"/>
              <w:right w:w="20" w:type="dxa"/>
            </w:tcMar>
            <w:vAlign w:val="bottom"/>
          </w:tcPr>
          <w:p w14:paraId="35D0A57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575" w14:textId="77777777" w:rsidR="00D42204" w:rsidRDefault="004E439D">
            <w:pPr>
              <w:jc w:val="right"/>
              <w:textAlignment w:val="center"/>
            </w:pPr>
            <w:r>
              <w:rPr>
                <w:rFonts w:ascii="Times New Roman" w:eastAsia="宋体" w:hAnsi="Times New Roman"/>
                <w:color w:val="000000"/>
                <w:sz w:val="16"/>
                <w:szCs w:val="16"/>
              </w:rPr>
              <w:t>2,803 </w:t>
            </w:r>
          </w:p>
        </w:tc>
        <w:tc>
          <w:tcPr>
            <w:tcW w:w="0" w:type="auto"/>
            <w:shd w:val="clear" w:color="auto" w:fill="FFFFFF"/>
            <w:tcMar>
              <w:top w:w="40" w:type="dxa"/>
              <w:left w:w="0" w:type="dxa"/>
              <w:bottom w:w="40" w:type="dxa"/>
              <w:right w:w="20" w:type="dxa"/>
            </w:tcMar>
            <w:vAlign w:val="center"/>
          </w:tcPr>
          <w:p w14:paraId="35D0A57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57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578" w14:textId="77777777" w:rsidR="00D42204" w:rsidRDefault="004E439D">
            <w:pPr>
              <w:jc w:val="right"/>
              <w:textAlignment w:val="center"/>
            </w:pPr>
            <w:r>
              <w:rPr>
                <w:rFonts w:ascii="Times New Roman" w:eastAsia="宋体" w:hAnsi="Times New Roman"/>
                <w:color w:val="000000"/>
                <w:sz w:val="16"/>
                <w:szCs w:val="16"/>
              </w:rPr>
              <w:t>3,115 </w:t>
            </w:r>
          </w:p>
        </w:tc>
        <w:tc>
          <w:tcPr>
            <w:tcW w:w="0" w:type="auto"/>
            <w:shd w:val="clear" w:color="auto" w:fill="FFFFFF"/>
            <w:tcMar>
              <w:top w:w="40" w:type="dxa"/>
              <w:left w:w="0" w:type="dxa"/>
              <w:bottom w:w="40" w:type="dxa"/>
              <w:right w:w="20" w:type="dxa"/>
            </w:tcMar>
            <w:vAlign w:val="center"/>
          </w:tcPr>
          <w:p w14:paraId="35D0A579" w14:textId="77777777" w:rsidR="00D42204" w:rsidRDefault="00D42204">
            <w:pPr>
              <w:jc w:val="right"/>
              <w:rPr>
                <w:rFonts w:ascii="宋体"/>
              </w:rPr>
            </w:pPr>
          </w:p>
        </w:tc>
      </w:tr>
      <w:tr w:rsidR="00D42204" w14:paraId="35D0A582" w14:textId="77777777">
        <w:trPr>
          <w:jc w:val="center"/>
        </w:trPr>
        <w:tc>
          <w:tcPr>
            <w:tcW w:w="0" w:type="auto"/>
            <w:gridSpan w:val="3"/>
            <w:shd w:val="clear" w:color="auto" w:fill="CCEEFF"/>
            <w:tcMar>
              <w:top w:w="40" w:type="dxa"/>
              <w:left w:w="380" w:type="dxa"/>
              <w:bottom w:w="40" w:type="dxa"/>
              <w:right w:w="20" w:type="dxa"/>
            </w:tcMar>
            <w:vAlign w:val="center"/>
          </w:tcPr>
          <w:p w14:paraId="35D0A57B" w14:textId="77777777" w:rsidR="00D42204" w:rsidRDefault="004E439D">
            <w:pPr>
              <w:textAlignment w:val="center"/>
            </w:pPr>
            <w:r>
              <w:rPr>
                <w:rFonts w:ascii="Times New Roman" w:eastAsia="宋体" w:hAnsi="Times New Roman"/>
                <w:color w:val="000000"/>
                <w:sz w:val="16"/>
                <w:szCs w:val="16"/>
              </w:rPr>
              <w:t>Operating lease obligations due within one year</w:t>
            </w:r>
          </w:p>
        </w:tc>
        <w:tc>
          <w:tcPr>
            <w:tcW w:w="0" w:type="auto"/>
            <w:gridSpan w:val="3"/>
            <w:shd w:val="clear" w:color="auto" w:fill="CCEEFF"/>
            <w:tcMar>
              <w:top w:w="0" w:type="dxa"/>
              <w:left w:w="20" w:type="dxa"/>
              <w:bottom w:w="0" w:type="dxa"/>
              <w:right w:w="20" w:type="dxa"/>
            </w:tcMar>
            <w:vAlign w:val="bottom"/>
          </w:tcPr>
          <w:p w14:paraId="35D0A57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57D" w14:textId="77777777" w:rsidR="00D42204" w:rsidRDefault="004E439D">
            <w:pPr>
              <w:jc w:val="right"/>
              <w:textAlignment w:val="center"/>
            </w:pPr>
            <w:r>
              <w:rPr>
                <w:rFonts w:ascii="Times New Roman" w:eastAsia="宋体" w:hAnsi="Times New Roman"/>
                <w:color w:val="000000"/>
                <w:sz w:val="16"/>
                <w:szCs w:val="16"/>
              </w:rPr>
              <w:t>1,483 </w:t>
            </w:r>
          </w:p>
        </w:tc>
        <w:tc>
          <w:tcPr>
            <w:tcW w:w="0" w:type="auto"/>
            <w:shd w:val="clear" w:color="auto" w:fill="CCEEFF"/>
            <w:tcMar>
              <w:top w:w="40" w:type="dxa"/>
              <w:left w:w="0" w:type="dxa"/>
              <w:bottom w:w="40" w:type="dxa"/>
              <w:right w:w="20" w:type="dxa"/>
            </w:tcMar>
            <w:vAlign w:val="center"/>
          </w:tcPr>
          <w:p w14:paraId="35D0A57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57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580" w14:textId="77777777" w:rsidR="00D42204" w:rsidRDefault="004E439D">
            <w:pPr>
              <w:jc w:val="right"/>
              <w:textAlignment w:val="center"/>
            </w:pPr>
            <w:r>
              <w:rPr>
                <w:rFonts w:ascii="Times New Roman" w:eastAsia="宋体" w:hAnsi="Times New Roman"/>
                <w:color w:val="000000"/>
                <w:sz w:val="16"/>
                <w:szCs w:val="16"/>
              </w:rPr>
              <w:t>1,466 </w:t>
            </w:r>
          </w:p>
        </w:tc>
        <w:tc>
          <w:tcPr>
            <w:tcW w:w="0" w:type="auto"/>
            <w:shd w:val="clear" w:color="auto" w:fill="CCEEFF"/>
            <w:tcMar>
              <w:top w:w="40" w:type="dxa"/>
              <w:left w:w="0" w:type="dxa"/>
              <w:bottom w:w="40" w:type="dxa"/>
              <w:right w:w="20" w:type="dxa"/>
            </w:tcMar>
            <w:vAlign w:val="center"/>
          </w:tcPr>
          <w:p w14:paraId="35D0A581" w14:textId="77777777" w:rsidR="00D42204" w:rsidRDefault="00D42204">
            <w:pPr>
              <w:jc w:val="right"/>
              <w:rPr>
                <w:rFonts w:ascii="宋体"/>
              </w:rPr>
            </w:pPr>
          </w:p>
        </w:tc>
      </w:tr>
      <w:tr w:rsidR="00D42204" w14:paraId="35D0A58A" w14:textId="77777777">
        <w:trPr>
          <w:jc w:val="center"/>
        </w:trPr>
        <w:tc>
          <w:tcPr>
            <w:tcW w:w="0" w:type="auto"/>
            <w:gridSpan w:val="3"/>
            <w:shd w:val="clear" w:color="auto" w:fill="FFFFFF"/>
            <w:tcMar>
              <w:top w:w="40" w:type="dxa"/>
              <w:left w:w="380" w:type="dxa"/>
              <w:bottom w:w="40" w:type="dxa"/>
              <w:right w:w="20" w:type="dxa"/>
            </w:tcMar>
            <w:vAlign w:val="center"/>
          </w:tcPr>
          <w:p w14:paraId="35D0A583" w14:textId="77777777" w:rsidR="00D42204" w:rsidRDefault="004E439D">
            <w:pPr>
              <w:textAlignment w:val="center"/>
            </w:pPr>
            <w:r>
              <w:rPr>
                <w:rFonts w:ascii="Times New Roman" w:eastAsia="宋体" w:hAnsi="Times New Roman"/>
                <w:color w:val="000000"/>
                <w:sz w:val="16"/>
                <w:szCs w:val="16"/>
              </w:rPr>
              <w:t>Finance lease obligations due within one year</w:t>
            </w:r>
          </w:p>
        </w:tc>
        <w:tc>
          <w:tcPr>
            <w:tcW w:w="0" w:type="auto"/>
            <w:gridSpan w:val="3"/>
            <w:shd w:val="clear" w:color="auto" w:fill="FFFFFF"/>
            <w:tcMar>
              <w:top w:w="0" w:type="dxa"/>
              <w:left w:w="20" w:type="dxa"/>
              <w:bottom w:w="0" w:type="dxa"/>
              <w:right w:w="20" w:type="dxa"/>
            </w:tcMar>
            <w:vAlign w:val="bottom"/>
          </w:tcPr>
          <w:p w14:paraId="35D0A58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585" w14:textId="77777777" w:rsidR="00D42204" w:rsidRDefault="004E439D">
            <w:pPr>
              <w:jc w:val="right"/>
              <w:textAlignment w:val="center"/>
            </w:pPr>
            <w:r>
              <w:rPr>
                <w:rFonts w:ascii="Times New Roman" w:eastAsia="宋体" w:hAnsi="Times New Roman"/>
                <w:color w:val="000000"/>
                <w:sz w:val="16"/>
                <w:szCs w:val="16"/>
              </w:rPr>
              <w:t>511 </w:t>
            </w:r>
          </w:p>
        </w:tc>
        <w:tc>
          <w:tcPr>
            <w:tcW w:w="0" w:type="auto"/>
            <w:shd w:val="clear" w:color="auto" w:fill="FFFFFF"/>
            <w:tcMar>
              <w:top w:w="40" w:type="dxa"/>
              <w:left w:w="0" w:type="dxa"/>
              <w:bottom w:w="40" w:type="dxa"/>
              <w:right w:w="20" w:type="dxa"/>
            </w:tcMar>
            <w:vAlign w:val="center"/>
          </w:tcPr>
          <w:p w14:paraId="35D0A58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58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588" w14:textId="77777777" w:rsidR="00D42204" w:rsidRDefault="004E439D">
            <w:pPr>
              <w:jc w:val="right"/>
              <w:textAlignment w:val="center"/>
            </w:pPr>
            <w:r>
              <w:rPr>
                <w:rFonts w:ascii="Times New Roman" w:eastAsia="宋体" w:hAnsi="Times New Roman"/>
                <w:color w:val="000000"/>
                <w:sz w:val="16"/>
                <w:szCs w:val="16"/>
              </w:rPr>
              <w:t>491 </w:t>
            </w:r>
          </w:p>
        </w:tc>
        <w:tc>
          <w:tcPr>
            <w:tcW w:w="0" w:type="auto"/>
            <w:shd w:val="clear" w:color="auto" w:fill="FFFFFF"/>
            <w:tcMar>
              <w:top w:w="40" w:type="dxa"/>
              <w:left w:w="0" w:type="dxa"/>
              <w:bottom w:w="40" w:type="dxa"/>
              <w:right w:w="20" w:type="dxa"/>
            </w:tcMar>
            <w:vAlign w:val="center"/>
          </w:tcPr>
          <w:p w14:paraId="35D0A589" w14:textId="77777777" w:rsidR="00D42204" w:rsidRDefault="00D42204">
            <w:pPr>
              <w:jc w:val="right"/>
              <w:rPr>
                <w:rFonts w:ascii="宋体"/>
              </w:rPr>
            </w:pPr>
          </w:p>
        </w:tc>
      </w:tr>
      <w:tr w:rsidR="00D42204" w14:paraId="35D0A590" w14:textId="77777777">
        <w:trPr>
          <w:jc w:val="center"/>
          <w:hidden/>
        </w:trPr>
        <w:tc>
          <w:tcPr>
            <w:tcW w:w="0" w:type="auto"/>
            <w:gridSpan w:val="3"/>
            <w:shd w:val="clear" w:color="auto" w:fill="auto"/>
            <w:vAlign w:val="bottom"/>
          </w:tcPr>
          <w:p w14:paraId="35D0A58B" w14:textId="77777777" w:rsidR="00D42204" w:rsidRDefault="00D42204">
            <w:pPr>
              <w:rPr>
                <w:rFonts w:ascii="宋体"/>
                <w:vanish/>
              </w:rPr>
            </w:pPr>
          </w:p>
        </w:tc>
        <w:tc>
          <w:tcPr>
            <w:tcW w:w="0" w:type="auto"/>
            <w:gridSpan w:val="3"/>
            <w:shd w:val="clear" w:color="auto" w:fill="auto"/>
            <w:vAlign w:val="bottom"/>
          </w:tcPr>
          <w:p w14:paraId="35D0A58C" w14:textId="77777777" w:rsidR="00D42204" w:rsidRDefault="00D42204">
            <w:pPr>
              <w:rPr>
                <w:rFonts w:ascii="宋体"/>
                <w:vanish/>
              </w:rPr>
            </w:pPr>
          </w:p>
        </w:tc>
        <w:tc>
          <w:tcPr>
            <w:tcW w:w="0" w:type="auto"/>
            <w:gridSpan w:val="3"/>
            <w:shd w:val="clear" w:color="auto" w:fill="auto"/>
            <w:vAlign w:val="bottom"/>
          </w:tcPr>
          <w:p w14:paraId="35D0A58D" w14:textId="77777777" w:rsidR="00D42204" w:rsidRDefault="00D42204">
            <w:pPr>
              <w:rPr>
                <w:rFonts w:ascii="宋体"/>
                <w:vanish/>
              </w:rPr>
            </w:pPr>
          </w:p>
        </w:tc>
        <w:tc>
          <w:tcPr>
            <w:tcW w:w="0" w:type="auto"/>
            <w:gridSpan w:val="3"/>
            <w:shd w:val="clear" w:color="auto" w:fill="auto"/>
            <w:vAlign w:val="bottom"/>
          </w:tcPr>
          <w:p w14:paraId="35D0A58E" w14:textId="77777777" w:rsidR="00D42204" w:rsidRDefault="00D42204">
            <w:pPr>
              <w:rPr>
                <w:rFonts w:ascii="宋体"/>
                <w:vanish/>
              </w:rPr>
            </w:pPr>
          </w:p>
        </w:tc>
        <w:tc>
          <w:tcPr>
            <w:tcW w:w="0" w:type="auto"/>
            <w:gridSpan w:val="3"/>
            <w:shd w:val="clear" w:color="auto" w:fill="auto"/>
            <w:vAlign w:val="bottom"/>
          </w:tcPr>
          <w:p w14:paraId="35D0A58F" w14:textId="77777777" w:rsidR="00D42204" w:rsidRDefault="00D42204">
            <w:pPr>
              <w:rPr>
                <w:rFonts w:ascii="宋体"/>
                <w:vanish/>
              </w:rPr>
            </w:pPr>
          </w:p>
        </w:tc>
      </w:tr>
      <w:tr w:rsidR="00D42204" w14:paraId="35D0A598" w14:textId="77777777">
        <w:trPr>
          <w:jc w:val="center"/>
        </w:trPr>
        <w:tc>
          <w:tcPr>
            <w:tcW w:w="0" w:type="auto"/>
            <w:gridSpan w:val="3"/>
            <w:shd w:val="clear" w:color="auto" w:fill="CCEEFF"/>
            <w:tcMar>
              <w:top w:w="40" w:type="dxa"/>
              <w:left w:w="740" w:type="dxa"/>
              <w:bottom w:w="40" w:type="dxa"/>
              <w:right w:w="20" w:type="dxa"/>
            </w:tcMar>
            <w:vAlign w:val="center"/>
          </w:tcPr>
          <w:p w14:paraId="35D0A591" w14:textId="77777777" w:rsidR="00D42204" w:rsidRDefault="004E439D">
            <w:pPr>
              <w:textAlignment w:val="center"/>
            </w:pPr>
            <w:r>
              <w:rPr>
                <w:rFonts w:ascii="Times New Roman" w:eastAsia="宋体" w:hAnsi="Times New Roman"/>
                <w:color w:val="000000"/>
                <w:sz w:val="16"/>
                <w:szCs w:val="16"/>
              </w:rPr>
              <w:t>Total current liabilities</w:t>
            </w:r>
          </w:p>
        </w:tc>
        <w:tc>
          <w:tcPr>
            <w:tcW w:w="0" w:type="auto"/>
            <w:gridSpan w:val="3"/>
            <w:shd w:val="clear" w:color="auto" w:fill="CCEEFF"/>
            <w:tcMar>
              <w:top w:w="0" w:type="dxa"/>
              <w:left w:w="20" w:type="dxa"/>
              <w:bottom w:w="0" w:type="dxa"/>
              <w:right w:w="20" w:type="dxa"/>
            </w:tcMar>
            <w:vAlign w:val="bottom"/>
          </w:tcPr>
          <w:p w14:paraId="35D0A592"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593" w14:textId="77777777" w:rsidR="00D42204" w:rsidRDefault="004E439D">
            <w:pPr>
              <w:jc w:val="right"/>
              <w:textAlignment w:val="center"/>
            </w:pPr>
            <w:r>
              <w:rPr>
                <w:rFonts w:ascii="Times New Roman" w:eastAsia="宋体" w:hAnsi="Times New Roman"/>
                <w:color w:val="000000"/>
                <w:sz w:val="16"/>
                <w:szCs w:val="16"/>
              </w:rPr>
              <w:t>87,379 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59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595"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596" w14:textId="77777777" w:rsidR="00D42204" w:rsidRDefault="004E439D">
            <w:pPr>
              <w:jc w:val="right"/>
              <w:textAlignment w:val="center"/>
            </w:pPr>
            <w:r>
              <w:rPr>
                <w:rFonts w:ascii="Times New Roman" w:eastAsia="宋体" w:hAnsi="Times New Roman"/>
                <w:color w:val="000000"/>
                <w:sz w:val="16"/>
                <w:szCs w:val="16"/>
              </w:rPr>
              <w:t>92,645 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597" w14:textId="77777777" w:rsidR="00D42204" w:rsidRDefault="00D42204">
            <w:pPr>
              <w:jc w:val="right"/>
              <w:rPr>
                <w:rFonts w:ascii="宋体"/>
              </w:rPr>
            </w:pPr>
          </w:p>
        </w:tc>
      </w:tr>
      <w:tr w:rsidR="00D42204" w14:paraId="35D0A59E" w14:textId="77777777">
        <w:trPr>
          <w:trHeight w:val="240"/>
          <w:jc w:val="center"/>
        </w:trPr>
        <w:tc>
          <w:tcPr>
            <w:tcW w:w="0" w:type="auto"/>
            <w:gridSpan w:val="3"/>
            <w:shd w:val="clear" w:color="auto" w:fill="FFFFFF"/>
            <w:tcMar>
              <w:top w:w="0" w:type="dxa"/>
              <w:left w:w="20" w:type="dxa"/>
              <w:bottom w:w="0" w:type="dxa"/>
              <w:right w:w="20" w:type="dxa"/>
            </w:tcMar>
            <w:vAlign w:val="bottom"/>
          </w:tcPr>
          <w:p w14:paraId="35D0A599"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59A"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59B"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59C"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59D" w14:textId="77777777" w:rsidR="00D42204" w:rsidRDefault="00D42204">
            <w:pPr>
              <w:rPr>
                <w:rFonts w:ascii="宋体"/>
              </w:rPr>
            </w:pPr>
          </w:p>
        </w:tc>
      </w:tr>
      <w:tr w:rsidR="00D42204" w14:paraId="35D0A5A6" w14:textId="77777777">
        <w:trPr>
          <w:jc w:val="center"/>
        </w:trPr>
        <w:tc>
          <w:tcPr>
            <w:tcW w:w="0" w:type="auto"/>
            <w:gridSpan w:val="3"/>
            <w:shd w:val="clear" w:color="auto" w:fill="CCEEFF"/>
            <w:tcMar>
              <w:top w:w="40" w:type="dxa"/>
              <w:left w:w="20" w:type="dxa"/>
              <w:bottom w:w="40" w:type="dxa"/>
              <w:right w:w="20" w:type="dxa"/>
            </w:tcMar>
            <w:vAlign w:val="center"/>
          </w:tcPr>
          <w:p w14:paraId="35D0A59F" w14:textId="77777777" w:rsidR="00D42204" w:rsidRDefault="004E439D">
            <w:pPr>
              <w:textAlignment w:val="center"/>
            </w:pPr>
            <w:r>
              <w:rPr>
                <w:rFonts w:ascii="Times New Roman" w:eastAsia="宋体" w:hAnsi="Times New Roman"/>
                <w:color w:val="000000"/>
                <w:sz w:val="16"/>
                <w:szCs w:val="16"/>
              </w:rPr>
              <w:t>Long-term debt</w:t>
            </w:r>
          </w:p>
        </w:tc>
        <w:tc>
          <w:tcPr>
            <w:tcW w:w="0" w:type="auto"/>
            <w:gridSpan w:val="3"/>
            <w:shd w:val="clear" w:color="auto" w:fill="CCEEFF"/>
            <w:tcMar>
              <w:top w:w="0" w:type="dxa"/>
              <w:left w:w="20" w:type="dxa"/>
              <w:bottom w:w="0" w:type="dxa"/>
              <w:right w:w="20" w:type="dxa"/>
            </w:tcMar>
            <w:vAlign w:val="bottom"/>
          </w:tcPr>
          <w:p w14:paraId="35D0A5A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5A1" w14:textId="77777777" w:rsidR="00D42204" w:rsidRDefault="004E439D">
            <w:pPr>
              <w:jc w:val="right"/>
              <w:textAlignment w:val="center"/>
            </w:pPr>
            <w:r>
              <w:rPr>
                <w:rFonts w:ascii="Times New Roman" w:eastAsia="宋体" w:hAnsi="Times New Roman"/>
                <w:color w:val="000000"/>
                <w:sz w:val="16"/>
                <w:szCs w:val="16"/>
              </w:rPr>
              <w:t>34,864 </w:t>
            </w:r>
          </w:p>
        </w:tc>
        <w:tc>
          <w:tcPr>
            <w:tcW w:w="0" w:type="auto"/>
            <w:shd w:val="clear" w:color="auto" w:fill="CCEEFF"/>
            <w:tcMar>
              <w:top w:w="40" w:type="dxa"/>
              <w:left w:w="0" w:type="dxa"/>
              <w:bottom w:w="40" w:type="dxa"/>
              <w:right w:w="20" w:type="dxa"/>
            </w:tcMar>
            <w:vAlign w:val="center"/>
          </w:tcPr>
          <w:p w14:paraId="35D0A5A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5A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5A4" w14:textId="77777777" w:rsidR="00D42204" w:rsidRDefault="004E439D">
            <w:pPr>
              <w:jc w:val="right"/>
              <w:textAlignment w:val="center"/>
            </w:pPr>
            <w:r>
              <w:rPr>
                <w:rFonts w:ascii="Times New Roman" w:eastAsia="宋体" w:hAnsi="Times New Roman"/>
                <w:color w:val="000000"/>
                <w:sz w:val="16"/>
                <w:szCs w:val="16"/>
              </w:rPr>
              <w:t>41,194 </w:t>
            </w:r>
          </w:p>
        </w:tc>
        <w:tc>
          <w:tcPr>
            <w:tcW w:w="0" w:type="auto"/>
            <w:shd w:val="clear" w:color="auto" w:fill="CCEEFF"/>
            <w:tcMar>
              <w:top w:w="40" w:type="dxa"/>
              <w:left w:w="0" w:type="dxa"/>
              <w:bottom w:w="40" w:type="dxa"/>
              <w:right w:w="20" w:type="dxa"/>
            </w:tcMar>
            <w:vAlign w:val="center"/>
          </w:tcPr>
          <w:p w14:paraId="35D0A5A5" w14:textId="77777777" w:rsidR="00D42204" w:rsidRDefault="00D42204">
            <w:pPr>
              <w:jc w:val="right"/>
              <w:rPr>
                <w:rFonts w:ascii="宋体"/>
              </w:rPr>
            </w:pPr>
          </w:p>
        </w:tc>
      </w:tr>
      <w:tr w:rsidR="00D42204" w14:paraId="35D0A5AE" w14:textId="77777777">
        <w:trPr>
          <w:jc w:val="center"/>
        </w:trPr>
        <w:tc>
          <w:tcPr>
            <w:tcW w:w="0" w:type="auto"/>
            <w:gridSpan w:val="3"/>
            <w:shd w:val="clear" w:color="auto" w:fill="FFFFFF"/>
            <w:tcMar>
              <w:top w:w="40" w:type="dxa"/>
              <w:left w:w="20" w:type="dxa"/>
              <w:bottom w:w="40" w:type="dxa"/>
              <w:right w:w="20" w:type="dxa"/>
            </w:tcMar>
            <w:vAlign w:val="center"/>
          </w:tcPr>
          <w:p w14:paraId="35D0A5A7" w14:textId="77777777" w:rsidR="00D42204" w:rsidRDefault="004E439D">
            <w:pPr>
              <w:textAlignment w:val="center"/>
            </w:pPr>
            <w:r>
              <w:rPr>
                <w:rFonts w:ascii="Times New Roman" w:eastAsia="宋体" w:hAnsi="Times New Roman"/>
                <w:color w:val="000000"/>
                <w:sz w:val="16"/>
                <w:szCs w:val="16"/>
              </w:rPr>
              <w:t>Long-term operating lease obligations</w:t>
            </w:r>
          </w:p>
        </w:tc>
        <w:tc>
          <w:tcPr>
            <w:tcW w:w="0" w:type="auto"/>
            <w:gridSpan w:val="3"/>
            <w:shd w:val="clear" w:color="auto" w:fill="FFFFFF"/>
            <w:tcMar>
              <w:top w:w="0" w:type="dxa"/>
              <w:left w:w="20" w:type="dxa"/>
              <w:bottom w:w="0" w:type="dxa"/>
              <w:right w:w="20" w:type="dxa"/>
            </w:tcMar>
            <w:vAlign w:val="bottom"/>
          </w:tcPr>
          <w:p w14:paraId="35D0A5A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5A9" w14:textId="77777777" w:rsidR="00D42204" w:rsidRDefault="004E439D">
            <w:pPr>
              <w:jc w:val="right"/>
              <w:textAlignment w:val="center"/>
            </w:pPr>
            <w:r>
              <w:rPr>
                <w:rFonts w:ascii="Times New Roman" w:eastAsia="宋体" w:hAnsi="Times New Roman"/>
                <w:color w:val="000000"/>
                <w:sz w:val="16"/>
                <w:szCs w:val="16"/>
              </w:rPr>
              <w:t>13,009 </w:t>
            </w:r>
          </w:p>
        </w:tc>
        <w:tc>
          <w:tcPr>
            <w:tcW w:w="0" w:type="auto"/>
            <w:shd w:val="clear" w:color="auto" w:fill="FFFFFF"/>
            <w:tcMar>
              <w:top w:w="40" w:type="dxa"/>
              <w:left w:w="0" w:type="dxa"/>
              <w:bottom w:w="40" w:type="dxa"/>
              <w:right w:w="20" w:type="dxa"/>
            </w:tcMar>
            <w:vAlign w:val="center"/>
          </w:tcPr>
          <w:p w14:paraId="35D0A5A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5A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5AC" w14:textId="77777777" w:rsidR="00D42204" w:rsidRDefault="004E439D">
            <w:pPr>
              <w:jc w:val="right"/>
              <w:textAlignment w:val="center"/>
            </w:pPr>
            <w:r>
              <w:rPr>
                <w:rFonts w:ascii="Times New Roman" w:eastAsia="宋体" w:hAnsi="Times New Roman"/>
                <w:color w:val="000000"/>
                <w:sz w:val="16"/>
                <w:szCs w:val="16"/>
              </w:rPr>
              <w:t>12,909 </w:t>
            </w:r>
          </w:p>
        </w:tc>
        <w:tc>
          <w:tcPr>
            <w:tcW w:w="0" w:type="auto"/>
            <w:shd w:val="clear" w:color="auto" w:fill="FFFFFF"/>
            <w:tcMar>
              <w:top w:w="40" w:type="dxa"/>
              <w:left w:w="0" w:type="dxa"/>
              <w:bottom w:w="40" w:type="dxa"/>
              <w:right w:w="20" w:type="dxa"/>
            </w:tcMar>
            <w:vAlign w:val="center"/>
          </w:tcPr>
          <w:p w14:paraId="35D0A5AD" w14:textId="77777777" w:rsidR="00D42204" w:rsidRDefault="00D42204">
            <w:pPr>
              <w:jc w:val="right"/>
              <w:rPr>
                <w:rFonts w:ascii="宋体"/>
              </w:rPr>
            </w:pPr>
          </w:p>
        </w:tc>
      </w:tr>
      <w:tr w:rsidR="00D42204" w14:paraId="35D0A5B6" w14:textId="77777777">
        <w:trPr>
          <w:jc w:val="center"/>
        </w:trPr>
        <w:tc>
          <w:tcPr>
            <w:tcW w:w="0" w:type="auto"/>
            <w:gridSpan w:val="3"/>
            <w:shd w:val="clear" w:color="auto" w:fill="CCEEFF"/>
            <w:tcMar>
              <w:top w:w="40" w:type="dxa"/>
              <w:left w:w="20" w:type="dxa"/>
              <w:bottom w:w="40" w:type="dxa"/>
              <w:right w:w="20" w:type="dxa"/>
            </w:tcMar>
            <w:vAlign w:val="center"/>
          </w:tcPr>
          <w:p w14:paraId="35D0A5AF" w14:textId="77777777" w:rsidR="00D42204" w:rsidRDefault="004E439D">
            <w:pPr>
              <w:textAlignment w:val="center"/>
            </w:pPr>
            <w:r>
              <w:rPr>
                <w:rFonts w:ascii="Times New Roman" w:eastAsia="宋体" w:hAnsi="Times New Roman"/>
                <w:color w:val="000000"/>
                <w:sz w:val="16"/>
                <w:szCs w:val="16"/>
              </w:rPr>
              <w:t>Long-term finance lease obligations</w:t>
            </w:r>
          </w:p>
        </w:tc>
        <w:tc>
          <w:tcPr>
            <w:tcW w:w="0" w:type="auto"/>
            <w:gridSpan w:val="3"/>
            <w:shd w:val="clear" w:color="auto" w:fill="CCEEFF"/>
            <w:tcMar>
              <w:top w:w="0" w:type="dxa"/>
              <w:left w:w="20" w:type="dxa"/>
              <w:bottom w:w="0" w:type="dxa"/>
              <w:right w:w="20" w:type="dxa"/>
            </w:tcMar>
            <w:vAlign w:val="bottom"/>
          </w:tcPr>
          <w:p w14:paraId="35D0A5B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5B1" w14:textId="77777777" w:rsidR="00D42204" w:rsidRDefault="004E439D">
            <w:pPr>
              <w:jc w:val="right"/>
              <w:textAlignment w:val="center"/>
            </w:pPr>
            <w:r>
              <w:rPr>
                <w:rFonts w:ascii="Times New Roman" w:eastAsia="宋体" w:hAnsi="Times New Roman"/>
                <w:color w:val="000000"/>
                <w:sz w:val="16"/>
                <w:szCs w:val="16"/>
              </w:rPr>
              <w:t>4,243 </w:t>
            </w:r>
          </w:p>
        </w:tc>
        <w:tc>
          <w:tcPr>
            <w:tcW w:w="0" w:type="auto"/>
            <w:shd w:val="clear" w:color="auto" w:fill="CCEEFF"/>
            <w:tcMar>
              <w:top w:w="40" w:type="dxa"/>
              <w:left w:w="0" w:type="dxa"/>
              <w:bottom w:w="40" w:type="dxa"/>
              <w:right w:w="20" w:type="dxa"/>
            </w:tcMar>
            <w:vAlign w:val="center"/>
          </w:tcPr>
          <w:p w14:paraId="35D0A5B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5B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5B4" w14:textId="77777777" w:rsidR="00D42204" w:rsidRDefault="004E439D">
            <w:pPr>
              <w:jc w:val="right"/>
              <w:textAlignment w:val="center"/>
            </w:pPr>
            <w:r>
              <w:rPr>
                <w:rFonts w:ascii="Times New Roman" w:eastAsia="宋体" w:hAnsi="Times New Roman"/>
                <w:color w:val="000000"/>
                <w:sz w:val="16"/>
                <w:szCs w:val="16"/>
              </w:rPr>
              <w:t>3,847 </w:t>
            </w:r>
          </w:p>
        </w:tc>
        <w:tc>
          <w:tcPr>
            <w:tcW w:w="0" w:type="auto"/>
            <w:shd w:val="clear" w:color="auto" w:fill="CCEEFF"/>
            <w:tcMar>
              <w:top w:w="40" w:type="dxa"/>
              <w:left w:w="0" w:type="dxa"/>
              <w:bottom w:w="40" w:type="dxa"/>
              <w:right w:w="20" w:type="dxa"/>
            </w:tcMar>
            <w:vAlign w:val="center"/>
          </w:tcPr>
          <w:p w14:paraId="35D0A5B5" w14:textId="77777777" w:rsidR="00D42204" w:rsidRDefault="00D42204">
            <w:pPr>
              <w:jc w:val="right"/>
              <w:rPr>
                <w:rFonts w:ascii="宋体"/>
              </w:rPr>
            </w:pPr>
          </w:p>
        </w:tc>
      </w:tr>
      <w:tr w:rsidR="00D42204" w14:paraId="35D0A5BC" w14:textId="77777777">
        <w:trPr>
          <w:jc w:val="center"/>
          <w:hidden/>
        </w:trPr>
        <w:tc>
          <w:tcPr>
            <w:tcW w:w="0" w:type="auto"/>
            <w:gridSpan w:val="3"/>
            <w:shd w:val="clear" w:color="auto" w:fill="auto"/>
            <w:vAlign w:val="bottom"/>
          </w:tcPr>
          <w:p w14:paraId="35D0A5B7" w14:textId="77777777" w:rsidR="00D42204" w:rsidRDefault="00D42204">
            <w:pPr>
              <w:rPr>
                <w:rFonts w:ascii="宋体"/>
                <w:vanish/>
              </w:rPr>
            </w:pPr>
          </w:p>
        </w:tc>
        <w:tc>
          <w:tcPr>
            <w:tcW w:w="0" w:type="auto"/>
            <w:gridSpan w:val="3"/>
            <w:shd w:val="clear" w:color="auto" w:fill="auto"/>
            <w:vAlign w:val="bottom"/>
          </w:tcPr>
          <w:p w14:paraId="35D0A5B8" w14:textId="77777777" w:rsidR="00D42204" w:rsidRDefault="00D42204">
            <w:pPr>
              <w:rPr>
                <w:rFonts w:ascii="宋体"/>
                <w:vanish/>
              </w:rPr>
            </w:pPr>
          </w:p>
        </w:tc>
        <w:tc>
          <w:tcPr>
            <w:tcW w:w="0" w:type="auto"/>
            <w:gridSpan w:val="3"/>
            <w:shd w:val="clear" w:color="auto" w:fill="auto"/>
            <w:vAlign w:val="bottom"/>
          </w:tcPr>
          <w:p w14:paraId="35D0A5B9" w14:textId="77777777" w:rsidR="00D42204" w:rsidRDefault="00D42204">
            <w:pPr>
              <w:rPr>
                <w:rFonts w:ascii="宋体"/>
                <w:vanish/>
              </w:rPr>
            </w:pPr>
          </w:p>
        </w:tc>
        <w:tc>
          <w:tcPr>
            <w:tcW w:w="0" w:type="auto"/>
            <w:gridSpan w:val="3"/>
            <w:shd w:val="clear" w:color="auto" w:fill="auto"/>
            <w:vAlign w:val="bottom"/>
          </w:tcPr>
          <w:p w14:paraId="35D0A5BA" w14:textId="77777777" w:rsidR="00D42204" w:rsidRDefault="00D42204">
            <w:pPr>
              <w:rPr>
                <w:rFonts w:ascii="宋体"/>
                <w:vanish/>
              </w:rPr>
            </w:pPr>
          </w:p>
        </w:tc>
        <w:tc>
          <w:tcPr>
            <w:tcW w:w="0" w:type="auto"/>
            <w:gridSpan w:val="3"/>
            <w:shd w:val="clear" w:color="auto" w:fill="auto"/>
            <w:vAlign w:val="bottom"/>
          </w:tcPr>
          <w:p w14:paraId="35D0A5BB" w14:textId="77777777" w:rsidR="00D42204" w:rsidRDefault="00D42204">
            <w:pPr>
              <w:rPr>
                <w:rFonts w:ascii="宋体"/>
                <w:vanish/>
              </w:rPr>
            </w:pPr>
          </w:p>
        </w:tc>
      </w:tr>
      <w:tr w:rsidR="00D42204" w14:paraId="35D0A5C4" w14:textId="77777777">
        <w:trPr>
          <w:jc w:val="center"/>
        </w:trPr>
        <w:tc>
          <w:tcPr>
            <w:tcW w:w="0" w:type="auto"/>
            <w:gridSpan w:val="3"/>
            <w:shd w:val="clear" w:color="auto" w:fill="FFFFFF"/>
            <w:tcMar>
              <w:top w:w="40" w:type="dxa"/>
              <w:left w:w="20" w:type="dxa"/>
              <w:bottom w:w="40" w:type="dxa"/>
              <w:right w:w="20" w:type="dxa"/>
            </w:tcMar>
            <w:vAlign w:val="center"/>
          </w:tcPr>
          <w:p w14:paraId="35D0A5BD" w14:textId="77777777" w:rsidR="00D42204" w:rsidRDefault="004E439D">
            <w:pPr>
              <w:textAlignment w:val="center"/>
            </w:pPr>
            <w:r>
              <w:rPr>
                <w:rFonts w:ascii="Times New Roman" w:eastAsia="宋体" w:hAnsi="Times New Roman"/>
                <w:color w:val="000000"/>
                <w:sz w:val="16"/>
                <w:szCs w:val="16"/>
              </w:rPr>
              <w:t>Deferred income taxes and other</w:t>
            </w:r>
          </w:p>
        </w:tc>
        <w:tc>
          <w:tcPr>
            <w:tcW w:w="0" w:type="auto"/>
            <w:gridSpan w:val="3"/>
            <w:shd w:val="clear" w:color="auto" w:fill="FFFFFF"/>
            <w:tcMar>
              <w:top w:w="0" w:type="dxa"/>
              <w:left w:w="20" w:type="dxa"/>
              <w:bottom w:w="0" w:type="dxa"/>
              <w:right w:w="20" w:type="dxa"/>
            </w:tcMar>
            <w:vAlign w:val="bottom"/>
          </w:tcPr>
          <w:p w14:paraId="35D0A5B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5BF" w14:textId="77777777" w:rsidR="00D42204" w:rsidRDefault="004E439D">
            <w:pPr>
              <w:jc w:val="right"/>
              <w:textAlignment w:val="center"/>
            </w:pPr>
            <w:r>
              <w:rPr>
                <w:rFonts w:ascii="Times New Roman" w:eastAsia="宋体" w:hAnsi="Times New Roman"/>
                <w:color w:val="000000"/>
                <w:sz w:val="16"/>
                <w:szCs w:val="16"/>
              </w:rPr>
              <w:t>13,474 </w:t>
            </w:r>
          </w:p>
        </w:tc>
        <w:tc>
          <w:tcPr>
            <w:tcW w:w="0" w:type="auto"/>
            <w:shd w:val="clear" w:color="auto" w:fill="FFFFFF"/>
            <w:tcMar>
              <w:top w:w="40" w:type="dxa"/>
              <w:left w:w="0" w:type="dxa"/>
              <w:bottom w:w="40" w:type="dxa"/>
              <w:right w:w="20" w:type="dxa"/>
            </w:tcMar>
            <w:vAlign w:val="center"/>
          </w:tcPr>
          <w:p w14:paraId="35D0A5C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5C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5C2" w14:textId="77777777" w:rsidR="00D42204" w:rsidRDefault="004E439D">
            <w:pPr>
              <w:jc w:val="right"/>
              <w:textAlignment w:val="center"/>
            </w:pPr>
            <w:r>
              <w:rPr>
                <w:rFonts w:ascii="Times New Roman" w:eastAsia="宋体" w:hAnsi="Times New Roman"/>
                <w:color w:val="000000"/>
                <w:sz w:val="16"/>
                <w:szCs w:val="16"/>
              </w:rPr>
              <w:t>14,370 </w:t>
            </w:r>
          </w:p>
        </w:tc>
        <w:tc>
          <w:tcPr>
            <w:tcW w:w="0" w:type="auto"/>
            <w:shd w:val="clear" w:color="auto" w:fill="FFFFFF"/>
            <w:tcMar>
              <w:top w:w="40" w:type="dxa"/>
              <w:left w:w="0" w:type="dxa"/>
              <w:bottom w:w="40" w:type="dxa"/>
              <w:right w:w="20" w:type="dxa"/>
            </w:tcMar>
            <w:vAlign w:val="center"/>
          </w:tcPr>
          <w:p w14:paraId="35D0A5C3" w14:textId="77777777" w:rsidR="00D42204" w:rsidRDefault="00D42204">
            <w:pPr>
              <w:jc w:val="right"/>
              <w:rPr>
                <w:rFonts w:ascii="宋体"/>
              </w:rPr>
            </w:pPr>
          </w:p>
        </w:tc>
      </w:tr>
      <w:tr w:rsidR="00D42204" w14:paraId="35D0A5CA" w14:textId="77777777">
        <w:trPr>
          <w:trHeight w:val="240"/>
          <w:jc w:val="center"/>
        </w:trPr>
        <w:tc>
          <w:tcPr>
            <w:tcW w:w="0" w:type="auto"/>
            <w:gridSpan w:val="3"/>
            <w:shd w:val="clear" w:color="auto" w:fill="CCEEFF"/>
            <w:tcMar>
              <w:top w:w="0" w:type="dxa"/>
              <w:left w:w="20" w:type="dxa"/>
              <w:bottom w:w="0" w:type="dxa"/>
              <w:right w:w="20" w:type="dxa"/>
            </w:tcMar>
            <w:vAlign w:val="bottom"/>
          </w:tcPr>
          <w:p w14:paraId="35D0A5C5"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5C6"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5C7"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5C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5C9" w14:textId="77777777" w:rsidR="00D42204" w:rsidRDefault="00D42204">
            <w:pPr>
              <w:rPr>
                <w:rFonts w:ascii="宋体"/>
              </w:rPr>
            </w:pPr>
          </w:p>
        </w:tc>
      </w:tr>
      <w:tr w:rsidR="00D42204" w14:paraId="35D0A5D0" w14:textId="77777777">
        <w:trPr>
          <w:jc w:val="center"/>
        </w:trPr>
        <w:tc>
          <w:tcPr>
            <w:tcW w:w="0" w:type="auto"/>
            <w:gridSpan w:val="3"/>
            <w:shd w:val="clear" w:color="auto" w:fill="FFFFFF"/>
            <w:tcMar>
              <w:top w:w="40" w:type="dxa"/>
              <w:left w:w="20" w:type="dxa"/>
              <w:bottom w:w="40" w:type="dxa"/>
              <w:right w:w="20" w:type="dxa"/>
            </w:tcMar>
            <w:vAlign w:val="center"/>
          </w:tcPr>
          <w:p w14:paraId="35D0A5CB" w14:textId="77777777" w:rsidR="00D42204" w:rsidRDefault="004E439D">
            <w:pPr>
              <w:textAlignment w:val="center"/>
            </w:pPr>
            <w:r>
              <w:rPr>
                <w:rFonts w:ascii="Times New Roman" w:eastAsia="宋体" w:hAnsi="Times New Roman"/>
                <w:color w:val="000000"/>
                <w:sz w:val="16"/>
                <w:szCs w:val="16"/>
              </w:rPr>
              <w:t xml:space="preserve">Commitments and </w:t>
            </w:r>
            <w:r>
              <w:rPr>
                <w:rFonts w:ascii="Times New Roman" w:eastAsia="宋体" w:hAnsi="Times New Roman"/>
                <w:color w:val="000000"/>
                <w:sz w:val="16"/>
                <w:szCs w:val="16"/>
              </w:rPr>
              <w:t>contingencies</w:t>
            </w:r>
          </w:p>
        </w:tc>
        <w:tc>
          <w:tcPr>
            <w:tcW w:w="0" w:type="auto"/>
            <w:gridSpan w:val="3"/>
            <w:shd w:val="clear" w:color="auto" w:fill="FFFFFF"/>
            <w:tcMar>
              <w:top w:w="0" w:type="dxa"/>
              <w:left w:w="20" w:type="dxa"/>
              <w:bottom w:w="0" w:type="dxa"/>
              <w:right w:w="20" w:type="dxa"/>
            </w:tcMar>
            <w:vAlign w:val="bottom"/>
          </w:tcPr>
          <w:p w14:paraId="35D0A5CC"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5CD"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5CE"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5CF" w14:textId="77777777" w:rsidR="00D42204" w:rsidRDefault="00D42204">
            <w:pPr>
              <w:rPr>
                <w:rFonts w:ascii="宋体"/>
              </w:rPr>
            </w:pPr>
          </w:p>
        </w:tc>
      </w:tr>
      <w:tr w:rsidR="00D42204" w14:paraId="35D0A5D6" w14:textId="77777777">
        <w:trPr>
          <w:trHeight w:val="240"/>
          <w:jc w:val="center"/>
        </w:trPr>
        <w:tc>
          <w:tcPr>
            <w:tcW w:w="0" w:type="auto"/>
            <w:gridSpan w:val="3"/>
            <w:shd w:val="clear" w:color="auto" w:fill="CCEEFF"/>
            <w:tcMar>
              <w:top w:w="0" w:type="dxa"/>
              <w:left w:w="20" w:type="dxa"/>
              <w:bottom w:w="0" w:type="dxa"/>
              <w:right w:w="20" w:type="dxa"/>
            </w:tcMar>
            <w:vAlign w:val="bottom"/>
          </w:tcPr>
          <w:p w14:paraId="35D0A5D1"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5D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5D3"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5D4"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5D5" w14:textId="77777777" w:rsidR="00D42204" w:rsidRDefault="00D42204">
            <w:pPr>
              <w:rPr>
                <w:rFonts w:ascii="宋体"/>
              </w:rPr>
            </w:pPr>
          </w:p>
        </w:tc>
      </w:tr>
      <w:tr w:rsidR="00D42204" w14:paraId="35D0A5DC" w14:textId="77777777">
        <w:trPr>
          <w:jc w:val="center"/>
        </w:trPr>
        <w:tc>
          <w:tcPr>
            <w:tcW w:w="0" w:type="auto"/>
            <w:gridSpan w:val="3"/>
            <w:shd w:val="clear" w:color="auto" w:fill="FFFFFF"/>
            <w:tcMar>
              <w:top w:w="40" w:type="dxa"/>
              <w:left w:w="20" w:type="dxa"/>
              <w:bottom w:w="40" w:type="dxa"/>
              <w:right w:w="20" w:type="dxa"/>
            </w:tcMar>
            <w:vAlign w:val="center"/>
          </w:tcPr>
          <w:p w14:paraId="35D0A5D7" w14:textId="77777777" w:rsidR="00D42204" w:rsidRDefault="004E439D">
            <w:pPr>
              <w:textAlignment w:val="center"/>
            </w:pPr>
            <w:r>
              <w:rPr>
                <w:rFonts w:ascii="Times New Roman" w:eastAsia="宋体" w:hAnsi="Times New Roman"/>
                <w:b/>
                <w:bCs/>
                <w:color w:val="000000"/>
                <w:sz w:val="16"/>
                <w:szCs w:val="16"/>
              </w:rPr>
              <w:t>Equity:</w:t>
            </w:r>
          </w:p>
        </w:tc>
        <w:tc>
          <w:tcPr>
            <w:tcW w:w="0" w:type="auto"/>
            <w:gridSpan w:val="3"/>
            <w:shd w:val="clear" w:color="auto" w:fill="FFFFFF"/>
            <w:tcMar>
              <w:top w:w="0" w:type="dxa"/>
              <w:left w:w="20" w:type="dxa"/>
              <w:bottom w:w="0" w:type="dxa"/>
              <w:right w:w="20" w:type="dxa"/>
            </w:tcMar>
            <w:vAlign w:val="bottom"/>
          </w:tcPr>
          <w:p w14:paraId="35D0A5D8"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5D9"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5DA"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5DB" w14:textId="77777777" w:rsidR="00D42204" w:rsidRDefault="00D42204">
            <w:pPr>
              <w:rPr>
                <w:rFonts w:ascii="宋体"/>
              </w:rPr>
            </w:pPr>
          </w:p>
        </w:tc>
      </w:tr>
      <w:tr w:rsidR="00D42204" w14:paraId="35D0A5E4" w14:textId="77777777">
        <w:trPr>
          <w:jc w:val="center"/>
        </w:trPr>
        <w:tc>
          <w:tcPr>
            <w:tcW w:w="0" w:type="auto"/>
            <w:gridSpan w:val="3"/>
            <w:shd w:val="clear" w:color="auto" w:fill="CCEEFF"/>
            <w:tcMar>
              <w:top w:w="40" w:type="dxa"/>
              <w:left w:w="380" w:type="dxa"/>
              <w:bottom w:w="40" w:type="dxa"/>
              <w:right w:w="20" w:type="dxa"/>
            </w:tcMar>
            <w:vAlign w:val="center"/>
          </w:tcPr>
          <w:p w14:paraId="35D0A5DD" w14:textId="77777777" w:rsidR="00D42204" w:rsidRDefault="004E439D">
            <w:pPr>
              <w:textAlignment w:val="center"/>
            </w:pPr>
            <w:r>
              <w:rPr>
                <w:rFonts w:ascii="Times New Roman" w:eastAsia="宋体" w:hAnsi="Times New Roman"/>
                <w:color w:val="000000"/>
                <w:sz w:val="16"/>
                <w:szCs w:val="16"/>
              </w:rPr>
              <w:t>Common stock</w:t>
            </w:r>
          </w:p>
        </w:tc>
        <w:tc>
          <w:tcPr>
            <w:tcW w:w="0" w:type="auto"/>
            <w:gridSpan w:val="3"/>
            <w:shd w:val="clear" w:color="auto" w:fill="CCEEFF"/>
            <w:tcMar>
              <w:top w:w="0" w:type="dxa"/>
              <w:left w:w="20" w:type="dxa"/>
              <w:bottom w:w="0" w:type="dxa"/>
              <w:right w:w="20" w:type="dxa"/>
            </w:tcMar>
            <w:vAlign w:val="bottom"/>
          </w:tcPr>
          <w:p w14:paraId="35D0A5D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5DF" w14:textId="77777777" w:rsidR="00D42204" w:rsidRDefault="004E439D">
            <w:pPr>
              <w:jc w:val="right"/>
              <w:textAlignment w:val="center"/>
            </w:pPr>
            <w:r>
              <w:rPr>
                <w:rFonts w:ascii="Times New Roman" w:eastAsia="宋体" w:hAnsi="Times New Roman"/>
                <w:color w:val="000000"/>
                <w:sz w:val="16"/>
                <w:szCs w:val="16"/>
              </w:rPr>
              <w:t>276 </w:t>
            </w:r>
          </w:p>
        </w:tc>
        <w:tc>
          <w:tcPr>
            <w:tcW w:w="0" w:type="auto"/>
            <w:shd w:val="clear" w:color="auto" w:fill="CCEEFF"/>
            <w:tcMar>
              <w:top w:w="40" w:type="dxa"/>
              <w:left w:w="0" w:type="dxa"/>
              <w:bottom w:w="40" w:type="dxa"/>
              <w:right w:w="20" w:type="dxa"/>
            </w:tcMar>
            <w:vAlign w:val="center"/>
          </w:tcPr>
          <w:p w14:paraId="35D0A5E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5E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5E2" w14:textId="77777777" w:rsidR="00D42204" w:rsidRDefault="004E439D">
            <w:pPr>
              <w:jc w:val="right"/>
              <w:textAlignment w:val="center"/>
            </w:pPr>
            <w:r>
              <w:rPr>
                <w:rFonts w:ascii="Times New Roman" w:eastAsia="宋体" w:hAnsi="Times New Roman"/>
                <w:color w:val="000000"/>
                <w:sz w:val="16"/>
                <w:szCs w:val="16"/>
              </w:rPr>
              <w:t>282 </w:t>
            </w:r>
          </w:p>
        </w:tc>
        <w:tc>
          <w:tcPr>
            <w:tcW w:w="0" w:type="auto"/>
            <w:shd w:val="clear" w:color="auto" w:fill="CCEEFF"/>
            <w:tcMar>
              <w:top w:w="40" w:type="dxa"/>
              <w:left w:w="0" w:type="dxa"/>
              <w:bottom w:w="40" w:type="dxa"/>
              <w:right w:w="20" w:type="dxa"/>
            </w:tcMar>
            <w:vAlign w:val="center"/>
          </w:tcPr>
          <w:p w14:paraId="35D0A5E3" w14:textId="77777777" w:rsidR="00D42204" w:rsidRDefault="00D42204">
            <w:pPr>
              <w:jc w:val="right"/>
              <w:rPr>
                <w:rFonts w:ascii="宋体"/>
              </w:rPr>
            </w:pPr>
          </w:p>
        </w:tc>
      </w:tr>
      <w:tr w:rsidR="00D42204" w14:paraId="35D0A5EC" w14:textId="77777777">
        <w:trPr>
          <w:jc w:val="center"/>
        </w:trPr>
        <w:tc>
          <w:tcPr>
            <w:tcW w:w="0" w:type="auto"/>
            <w:gridSpan w:val="3"/>
            <w:shd w:val="clear" w:color="auto" w:fill="FFFFFF"/>
            <w:tcMar>
              <w:top w:w="40" w:type="dxa"/>
              <w:left w:w="380" w:type="dxa"/>
              <w:bottom w:w="40" w:type="dxa"/>
              <w:right w:w="20" w:type="dxa"/>
            </w:tcMar>
            <w:vAlign w:val="center"/>
          </w:tcPr>
          <w:p w14:paraId="35D0A5E5" w14:textId="77777777" w:rsidR="00D42204" w:rsidRDefault="004E439D">
            <w:pPr>
              <w:textAlignment w:val="center"/>
            </w:pPr>
            <w:r>
              <w:rPr>
                <w:rFonts w:ascii="Times New Roman" w:eastAsia="宋体" w:hAnsi="Times New Roman"/>
                <w:color w:val="000000"/>
                <w:sz w:val="16"/>
                <w:szCs w:val="16"/>
              </w:rPr>
              <w:t>Capital in excess of par value</w:t>
            </w:r>
          </w:p>
        </w:tc>
        <w:tc>
          <w:tcPr>
            <w:tcW w:w="0" w:type="auto"/>
            <w:gridSpan w:val="3"/>
            <w:shd w:val="clear" w:color="auto" w:fill="FFFFFF"/>
            <w:tcMar>
              <w:top w:w="0" w:type="dxa"/>
              <w:left w:w="20" w:type="dxa"/>
              <w:bottom w:w="0" w:type="dxa"/>
              <w:right w:w="20" w:type="dxa"/>
            </w:tcMar>
            <w:vAlign w:val="bottom"/>
          </w:tcPr>
          <w:p w14:paraId="35D0A5E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5E7" w14:textId="77777777" w:rsidR="00D42204" w:rsidRDefault="004E439D">
            <w:pPr>
              <w:jc w:val="right"/>
              <w:textAlignment w:val="center"/>
            </w:pPr>
            <w:r>
              <w:rPr>
                <w:rFonts w:ascii="Times New Roman" w:eastAsia="宋体" w:hAnsi="Times New Roman"/>
                <w:color w:val="000000"/>
                <w:sz w:val="16"/>
                <w:szCs w:val="16"/>
              </w:rPr>
              <w:t>4,839 </w:t>
            </w:r>
          </w:p>
        </w:tc>
        <w:tc>
          <w:tcPr>
            <w:tcW w:w="0" w:type="auto"/>
            <w:shd w:val="clear" w:color="auto" w:fill="FFFFFF"/>
            <w:tcMar>
              <w:top w:w="40" w:type="dxa"/>
              <w:left w:w="0" w:type="dxa"/>
              <w:bottom w:w="40" w:type="dxa"/>
              <w:right w:w="20" w:type="dxa"/>
            </w:tcMar>
            <w:vAlign w:val="center"/>
          </w:tcPr>
          <w:p w14:paraId="35D0A5E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5E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5EA" w14:textId="77777777" w:rsidR="00D42204" w:rsidRDefault="004E439D">
            <w:pPr>
              <w:jc w:val="right"/>
              <w:textAlignment w:val="center"/>
            </w:pPr>
            <w:r>
              <w:rPr>
                <w:rFonts w:ascii="Times New Roman" w:eastAsia="宋体" w:hAnsi="Times New Roman"/>
                <w:color w:val="000000"/>
                <w:sz w:val="16"/>
                <w:szCs w:val="16"/>
              </w:rPr>
              <w:t>3,646 </w:t>
            </w:r>
          </w:p>
        </w:tc>
        <w:tc>
          <w:tcPr>
            <w:tcW w:w="0" w:type="auto"/>
            <w:shd w:val="clear" w:color="auto" w:fill="FFFFFF"/>
            <w:tcMar>
              <w:top w:w="40" w:type="dxa"/>
              <w:left w:w="0" w:type="dxa"/>
              <w:bottom w:w="40" w:type="dxa"/>
              <w:right w:w="20" w:type="dxa"/>
            </w:tcMar>
            <w:vAlign w:val="center"/>
          </w:tcPr>
          <w:p w14:paraId="35D0A5EB" w14:textId="77777777" w:rsidR="00D42204" w:rsidRDefault="00D42204">
            <w:pPr>
              <w:jc w:val="right"/>
              <w:rPr>
                <w:rFonts w:ascii="宋体"/>
              </w:rPr>
            </w:pPr>
          </w:p>
        </w:tc>
      </w:tr>
      <w:tr w:rsidR="00D42204" w14:paraId="35D0A5F4" w14:textId="77777777">
        <w:trPr>
          <w:jc w:val="center"/>
        </w:trPr>
        <w:tc>
          <w:tcPr>
            <w:tcW w:w="0" w:type="auto"/>
            <w:gridSpan w:val="3"/>
            <w:shd w:val="clear" w:color="auto" w:fill="CCEEFF"/>
            <w:tcMar>
              <w:top w:w="40" w:type="dxa"/>
              <w:left w:w="380" w:type="dxa"/>
              <w:bottom w:w="40" w:type="dxa"/>
              <w:right w:w="20" w:type="dxa"/>
            </w:tcMar>
            <w:vAlign w:val="center"/>
          </w:tcPr>
          <w:p w14:paraId="35D0A5ED" w14:textId="77777777" w:rsidR="00D42204" w:rsidRDefault="004E439D">
            <w:pPr>
              <w:textAlignment w:val="center"/>
            </w:pPr>
            <w:r>
              <w:rPr>
                <w:rFonts w:ascii="Times New Roman" w:eastAsia="宋体" w:hAnsi="Times New Roman"/>
                <w:color w:val="000000"/>
                <w:sz w:val="16"/>
                <w:szCs w:val="16"/>
              </w:rPr>
              <w:t>Retained earnings</w:t>
            </w:r>
          </w:p>
        </w:tc>
        <w:tc>
          <w:tcPr>
            <w:tcW w:w="0" w:type="auto"/>
            <w:gridSpan w:val="3"/>
            <w:shd w:val="clear" w:color="auto" w:fill="CCEEFF"/>
            <w:tcMar>
              <w:top w:w="0" w:type="dxa"/>
              <w:left w:w="20" w:type="dxa"/>
              <w:bottom w:w="0" w:type="dxa"/>
              <w:right w:w="20" w:type="dxa"/>
            </w:tcMar>
            <w:vAlign w:val="bottom"/>
          </w:tcPr>
          <w:p w14:paraId="35D0A5E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5EF" w14:textId="77777777" w:rsidR="00D42204" w:rsidRDefault="004E439D">
            <w:pPr>
              <w:jc w:val="right"/>
              <w:textAlignment w:val="center"/>
            </w:pPr>
            <w:r>
              <w:rPr>
                <w:rFonts w:ascii="Times New Roman" w:eastAsia="宋体" w:hAnsi="Times New Roman"/>
                <w:color w:val="000000"/>
                <w:sz w:val="16"/>
                <w:szCs w:val="16"/>
              </w:rPr>
              <w:t>86,904 </w:t>
            </w:r>
          </w:p>
        </w:tc>
        <w:tc>
          <w:tcPr>
            <w:tcW w:w="0" w:type="auto"/>
            <w:shd w:val="clear" w:color="auto" w:fill="CCEEFF"/>
            <w:tcMar>
              <w:top w:w="40" w:type="dxa"/>
              <w:left w:w="0" w:type="dxa"/>
              <w:bottom w:w="40" w:type="dxa"/>
              <w:right w:w="20" w:type="dxa"/>
            </w:tcMar>
            <w:vAlign w:val="center"/>
          </w:tcPr>
          <w:p w14:paraId="35D0A5F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5F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5F2" w14:textId="77777777" w:rsidR="00D42204" w:rsidRDefault="004E439D">
            <w:pPr>
              <w:jc w:val="right"/>
              <w:textAlignment w:val="center"/>
            </w:pPr>
            <w:r>
              <w:rPr>
                <w:rFonts w:ascii="Times New Roman" w:eastAsia="宋体" w:hAnsi="Times New Roman"/>
                <w:color w:val="000000"/>
                <w:sz w:val="16"/>
                <w:szCs w:val="16"/>
              </w:rPr>
              <w:t>88,763 </w:t>
            </w:r>
          </w:p>
        </w:tc>
        <w:tc>
          <w:tcPr>
            <w:tcW w:w="0" w:type="auto"/>
            <w:shd w:val="clear" w:color="auto" w:fill="CCEEFF"/>
            <w:tcMar>
              <w:top w:w="40" w:type="dxa"/>
              <w:left w:w="0" w:type="dxa"/>
              <w:bottom w:w="40" w:type="dxa"/>
              <w:right w:w="20" w:type="dxa"/>
            </w:tcMar>
            <w:vAlign w:val="center"/>
          </w:tcPr>
          <w:p w14:paraId="35D0A5F3" w14:textId="77777777" w:rsidR="00D42204" w:rsidRDefault="00D42204">
            <w:pPr>
              <w:jc w:val="right"/>
              <w:rPr>
                <w:rFonts w:ascii="宋体"/>
              </w:rPr>
            </w:pPr>
          </w:p>
        </w:tc>
      </w:tr>
      <w:tr w:rsidR="00D42204" w14:paraId="35D0A5FC" w14:textId="77777777">
        <w:trPr>
          <w:jc w:val="center"/>
        </w:trPr>
        <w:tc>
          <w:tcPr>
            <w:tcW w:w="0" w:type="auto"/>
            <w:gridSpan w:val="3"/>
            <w:shd w:val="clear" w:color="auto" w:fill="FFFFFF"/>
            <w:tcMar>
              <w:top w:w="40" w:type="dxa"/>
              <w:left w:w="380" w:type="dxa"/>
              <w:bottom w:w="40" w:type="dxa"/>
              <w:right w:w="20" w:type="dxa"/>
            </w:tcMar>
            <w:vAlign w:val="center"/>
          </w:tcPr>
          <w:p w14:paraId="35D0A5F5" w14:textId="77777777" w:rsidR="00D42204" w:rsidRDefault="004E439D">
            <w:pPr>
              <w:textAlignment w:val="center"/>
            </w:pPr>
            <w:r>
              <w:rPr>
                <w:rFonts w:ascii="Times New Roman" w:eastAsia="宋体" w:hAnsi="Times New Roman"/>
                <w:color w:val="000000"/>
                <w:sz w:val="16"/>
                <w:szCs w:val="16"/>
              </w:rPr>
              <w:t>Accumulated other comprehensive loss</w:t>
            </w:r>
          </w:p>
        </w:tc>
        <w:tc>
          <w:tcPr>
            <w:tcW w:w="0" w:type="auto"/>
            <w:gridSpan w:val="3"/>
            <w:shd w:val="clear" w:color="auto" w:fill="FFFFFF"/>
            <w:tcMar>
              <w:top w:w="0" w:type="dxa"/>
              <w:left w:w="20" w:type="dxa"/>
              <w:bottom w:w="0" w:type="dxa"/>
              <w:right w:w="20" w:type="dxa"/>
            </w:tcMar>
            <w:vAlign w:val="bottom"/>
          </w:tcPr>
          <w:p w14:paraId="35D0A5F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5F7" w14:textId="77777777" w:rsidR="00D42204" w:rsidRDefault="004E439D">
            <w:pPr>
              <w:jc w:val="right"/>
              <w:textAlignment w:val="center"/>
            </w:pPr>
            <w:r>
              <w:rPr>
                <w:rFonts w:ascii="Times New Roman" w:eastAsia="宋体" w:hAnsi="Times New Roman"/>
                <w:color w:val="000000"/>
                <w:sz w:val="16"/>
                <w:szCs w:val="16"/>
              </w:rPr>
              <w:t>(8,766)</w:t>
            </w:r>
          </w:p>
        </w:tc>
        <w:tc>
          <w:tcPr>
            <w:tcW w:w="0" w:type="auto"/>
            <w:shd w:val="clear" w:color="auto" w:fill="FFFFFF"/>
            <w:tcMar>
              <w:top w:w="40" w:type="dxa"/>
              <w:left w:w="0" w:type="dxa"/>
              <w:bottom w:w="40" w:type="dxa"/>
              <w:right w:w="20" w:type="dxa"/>
            </w:tcMar>
            <w:vAlign w:val="center"/>
          </w:tcPr>
          <w:p w14:paraId="35D0A5F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5F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5FA" w14:textId="77777777" w:rsidR="00D42204" w:rsidRDefault="004E439D">
            <w:pPr>
              <w:jc w:val="right"/>
              <w:textAlignment w:val="center"/>
            </w:pPr>
            <w:r>
              <w:rPr>
                <w:rFonts w:ascii="Times New Roman" w:eastAsia="宋体" w:hAnsi="Times New Roman"/>
                <w:color w:val="000000"/>
                <w:sz w:val="16"/>
                <w:szCs w:val="16"/>
              </w:rPr>
              <w:t>(11,766)</w:t>
            </w:r>
          </w:p>
        </w:tc>
        <w:tc>
          <w:tcPr>
            <w:tcW w:w="0" w:type="auto"/>
            <w:shd w:val="clear" w:color="auto" w:fill="FFFFFF"/>
            <w:tcMar>
              <w:top w:w="40" w:type="dxa"/>
              <w:left w:w="0" w:type="dxa"/>
              <w:bottom w:w="40" w:type="dxa"/>
              <w:right w:w="20" w:type="dxa"/>
            </w:tcMar>
            <w:vAlign w:val="center"/>
          </w:tcPr>
          <w:p w14:paraId="35D0A5FB" w14:textId="77777777" w:rsidR="00D42204" w:rsidRDefault="00D42204">
            <w:pPr>
              <w:jc w:val="right"/>
              <w:rPr>
                <w:rFonts w:ascii="宋体"/>
              </w:rPr>
            </w:pPr>
          </w:p>
        </w:tc>
      </w:tr>
      <w:tr w:rsidR="00D42204" w14:paraId="35D0A604" w14:textId="77777777">
        <w:trPr>
          <w:jc w:val="center"/>
        </w:trPr>
        <w:tc>
          <w:tcPr>
            <w:tcW w:w="0" w:type="auto"/>
            <w:gridSpan w:val="3"/>
            <w:shd w:val="clear" w:color="auto" w:fill="CCEEFF"/>
            <w:tcMar>
              <w:top w:w="40" w:type="dxa"/>
              <w:left w:w="740" w:type="dxa"/>
              <w:bottom w:w="40" w:type="dxa"/>
              <w:right w:w="20" w:type="dxa"/>
            </w:tcMar>
            <w:vAlign w:val="center"/>
          </w:tcPr>
          <w:p w14:paraId="35D0A5FD" w14:textId="77777777" w:rsidR="00D42204" w:rsidRDefault="004E439D">
            <w:pPr>
              <w:textAlignment w:val="center"/>
            </w:pPr>
            <w:r>
              <w:rPr>
                <w:rFonts w:ascii="Times New Roman" w:eastAsia="宋体" w:hAnsi="Times New Roman"/>
                <w:color w:val="000000"/>
                <w:sz w:val="16"/>
                <w:szCs w:val="16"/>
              </w:rPr>
              <w:t>Total Walmart shareholders' equity</w:t>
            </w:r>
          </w:p>
        </w:tc>
        <w:tc>
          <w:tcPr>
            <w:tcW w:w="0" w:type="auto"/>
            <w:gridSpan w:val="3"/>
            <w:shd w:val="clear" w:color="auto" w:fill="CCEEFF"/>
            <w:tcMar>
              <w:top w:w="0" w:type="dxa"/>
              <w:left w:w="20" w:type="dxa"/>
              <w:bottom w:w="0" w:type="dxa"/>
              <w:right w:w="20" w:type="dxa"/>
            </w:tcMar>
            <w:vAlign w:val="bottom"/>
          </w:tcPr>
          <w:p w14:paraId="35D0A5FE"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5FF" w14:textId="77777777" w:rsidR="00D42204" w:rsidRDefault="004E439D">
            <w:pPr>
              <w:jc w:val="right"/>
              <w:textAlignment w:val="center"/>
            </w:pPr>
            <w:r>
              <w:rPr>
                <w:rFonts w:ascii="Times New Roman" w:eastAsia="宋体" w:hAnsi="Times New Roman"/>
                <w:color w:val="000000"/>
                <w:sz w:val="16"/>
                <w:szCs w:val="16"/>
              </w:rPr>
              <w:t>83,253 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60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601"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602" w14:textId="77777777" w:rsidR="00D42204" w:rsidRDefault="004E439D">
            <w:pPr>
              <w:jc w:val="right"/>
              <w:textAlignment w:val="center"/>
            </w:pPr>
            <w:r>
              <w:rPr>
                <w:rFonts w:ascii="Times New Roman" w:eastAsia="宋体" w:hAnsi="Times New Roman"/>
                <w:color w:val="000000"/>
                <w:sz w:val="16"/>
                <w:szCs w:val="16"/>
              </w:rPr>
              <w:t>80,925 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603" w14:textId="77777777" w:rsidR="00D42204" w:rsidRDefault="00D42204">
            <w:pPr>
              <w:jc w:val="right"/>
              <w:rPr>
                <w:rFonts w:ascii="宋体"/>
              </w:rPr>
            </w:pPr>
          </w:p>
        </w:tc>
      </w:tr>
      <w:tr w:rsidR="00D42204" w14:paraId="35D0A60C" w14:textId="77777777">
        <w:trPr>
          <w:jc w:val="center"/>
        </w:trPr>
        <w:tc>
          <w:tcPr>
            <w:tcW w:w="0" w:type="auto"/>
            <w:gridSpan w:val="3"/>
            <w:shd w:val="clear" w:color="auto" w:fill="FFFFFF"/>
            <w:tcMar>
              <w:top w:w="40" w:type="dxa"/>
              <w:left w:w="380" w:type="dxa"/>
              <w:bottom w:w="40" w:type="dxa"/>
              <w:right w:w="20" w:type="dxa"/>
            </w:tcMar>
            <w:vAlign w:val="center"/>
          </w:tcPr>
          <w:p w14:paraId="35D0A605" w14:textId="77777777" w:rsidR="00D42204" w:rsidRDefault="004E439D">
            <w:pPr>
              <w:textAlignment w:val="center"/>
            </w:pPr>
            <w:r>
              <w:rPr>
                <w:rFonts w:ascii="Times New Roman" w:eastAsia="宋体" w:hAnsi="Times New Roman"/>
                <w:color w:val="000000"/>
                <w:sz w:val="16"/>
                <w:szCs w:val="16"/>
              </w:rPr>
              <w:t>Noncontrolling interest</w:t>
            </w:r>
          </w:p>
        </w:tc>
        <w:tc>
          <w:tcPr>
            <w:tcW w:w="0" w:type="auto"/>
            <w:gridSpan w:val="3"/>
            <w:shd w:val="clear" w:color="auto" w:fill="FFFFFF"/>
            <w:tcMar>
              <w:top w:w="0" w:type="dxa"/>
              <w:left w:w="20" w:type="dxa"/>
              <w:bottom w:w="0" w:type="dxa"/>
              <w:right w:w="20" w:type="dxa"/>
            </w:tcMar>
            <w:vAlign w:val="bottom"/>
          </w:tcPr>
          <w:p w14:paraId="35D0A60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607" w14:textId="77777777" w:rsidR="00D42204" w:rsidRDefault="004E439D">
            <w:pPr>
              <w:jc w:val="right"/>
              <w:textAlignment w:val="center"/>
            </w:pPr>
            <w:r>
              <w:rPr>
                <w:rFonts w:ascii="Times New Roman" w:eastAsia="宋体" w:hAnsi="Times New Roman"/>
                <w:color w:val="000000"/>
                <w:sz w:val="16"/>
                <w:szCs w:val="16"/>
              </w:rPr>
              <w:t>8,638 </w:t>
            </w:r>
          </w:p>
        </w:tc>
        <w:tc>
          <w:tcPr>
            <w:tcW w:w="0" w:type="auto"/>
            <w:shd w:val="clear" w:color="auto" w:fill="FFFFFF"/>
            <w:tcMar>
              <w:top w:w="40" w:type="dxa"/>
              <w:left w:w="0" w:type="dxa"/>
              <w:bottom w:w="40" w:type="dxa"/>
              <w:right w:w="20" w:type="dxa"/>
            </w:tcMar>
            <w:vAlign w:val="center"/>
          </w:tcPr>
          <w:p w14:paraId="35D0A60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60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60A" w14:textId="77777777" w:rsidR="00D42204" w:rsidRDefault="004E439D">
            <w:pPr>
              <w:jc w:val="right"/>
              <w:textAlignment w:val="center"/>
            </w:pPr>
            <w:r>
              <w:rPr>
                <w:rFonts w:ascii="Times New Roman" w:eastAsia="宋体" w:hAnsi="Times New Roman"/>
                <w:color w:val="000000"/>
                <w:sz w:val="16"/>
                <w:szCs w:val="16"/>
              </w:rPr>
              <w:t>6,606 </w:t>
            </w:r>
          </w:p>
        </w:tc>
        <w:tc>
          <w:tcPr>
            <w:tcW w:w="0" w:type="auto"/>
            <w:shd w:val="clear" w:color="auto" w:fill="FFFFFF"/>
            <w:tcMar>
              <w:top w:w="40" w:type="dxa"/>
              <w:left w:w="0" w:type="dxa"/>
              <w:bottom w:w="40" w:type="dxa"/>
              <w:right w:w="20" w:type="dxa"/>
            </w:tcMar>
            <w:vAlign w:val="center"/>
          </w:tcPr>
          <w:p w14:paraId="35D0A60B" w14:textId="77777777" w:rsidR="00D42204" w:rsidRDefault="00D42204">
            <w:pPr>
              <w:jc w:val="right"/>
              <w:rPr>
                <w:rFonts w:ascii="宋体"/>
              </w:rPr>
            </w:pPr>
          </w:p>
        </w:tc>
      </w:tr>
      <w:tr w:rsidR="00D42204" w14:paraId="35D0A614" w14:textId="77777777">
        <w:trPr>
          <w:jc w:val="center"/>
        </w:trPr>
        <w:tc>
          <w:tcPr>
            <w:tcW w:w="0" w:type="auto"/>
            <w:gridSpan w:val="3"/>
            <w:shd w:val="clear" w:color="auto" w:fill="CCEEFF"/>
            <w:tcMar>
              <w:top w:w="40" w:type="dxa"/>
              <w:left w:w="740" w:type="dxa"/>
              <w:bottom w:w="40" w:type="dxa"/>
              <w:right w:w="20" w:type="dxa"/>
            </w:tcMar>
            <w:vAlign w:val="center"/>
          </w:tcPr>
          <w:p w14:paraId="35D0A60D" w14:textId="77777777" w:rsidR="00D42204" w:rsidRDefault="004E439D">
            <w:pPr>
              <w:textAlignment w:val="center"/>
            </w:pPr>
            <w:r>
              <w:rPr>
                <w:rFonts w:ascii="Times New Roman" w:eastAsia="宋体" w:hAnsi="Times New Roman"/>
                <w:color w:val="000000"/>
                <w:sz w:val="16"/>
                <w:szCs w:val="16"/>
              </w:rPr>
              <w:t>Total equity</w:t>
            </w:r>
          </w:p>
        </w:tc>
        <w:tc>
          <w:tcPr>
            <w:tcW w:w="0" w:type="auto"/>
            <w:gridSpan w:val="3"/>
            <w:shd w:val="clear" w:color="auto" w:fill="CCEEFF"/>
            <w:tcMar>
              <w:top w:w="0" w:type="dxa"/>
              <w:left w:w="20" w:type="dxa"/>
              <w:bottom w:w="0" w:type="dxa"/>
              <w:right w:w="20" w:type="dxa"/>
            </w:tcMar>
            <w:vAlign w:val="bottom"/>
          </w:tcPr>
          <w:p w14:paraId="35D0A60E"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60F" w14:textId="77777777" w:rsidR="00D42204" w:rsidRDefault="004E439D">
            <w:pPr>
              <w:jc w:val="right"/>
              <w:textAlignment w:val="center"/>
            </w:pPr>
            <w:r>
              <w:rPr>
                <w:rFonts w:ascii="Times New Roman" w:eastAsia="宋体" w:hAnsi="Times New Roman"/>
                <w:color w:val="000000"/>
                <w:sz w:val="16"/>
                <w:szCs w:val="16"/>
              </w:rPr>
              <w:t>91,891 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61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611"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612" w14:textId="77777777" w:rsidR="00D42204" w:rsidRDefault="004E439D">
            <w:pPr>
              <w:jc w:val="right"/>
              <w:textAlignment w:val="center"/>
            </w:pPr>
            <w:r>
              <w:rPr>
                <w:rFonts w:ascii="Times New Roman" w:eastAsia="宋体" w:hAnsi="Times New Roman"/>
                <w:color w:val="000000"/>
                <w:sz w:val="16"/>
                <w:szCs w:val="16"/>
              </w:rPr>
              <w:t>87,531 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613" w14:textId="77777777" w:rsidR="00D42204" w:rsidRDefault="00D42204">
            <w:pPr>
              <w:jc w:val="right"/>
              <w:rPr>
                <w:rFonts w:ascii="宋体"/>
              </w:rPr>
            </w:pPr>
          </w:p>
        </w:tc>
      </w:tr>
      <w:tr w:rsidR="00D42204" w14:paraId="35D0A61E" w14:textId="77777777">
        <w:trPr>
          <w:jc w:val="center"/>
        </w:trPr>
        <w:tc>
          <w:tcPr>
            <w:tcW w:w="0" w:type="auto"/>
            <w:gridSpan w:val="3"/>
            <w:shd w:val="clear" w:color="auto" w:fill="FFFFFF"/>
            <w:tcMar>
              <w:top w:w="40" w:type="dxa"/>
              <w:left w:w="20" w:type="dxa"/>
              <w:bottom w:w="40" w:type="dxa"/>
              <w:right w:w="20" w:type="dxa"/>
            </w:tcMar>
            <w:vAlign w:val="center"/>
          </w:tcPr>
          <w:p w14:paraId="35D0A615" w14:textId="77777777" w:rsidR="00D42204" w:rsidRDefault="004E439D">
            <w:pPr>
              <w:textAlignment w:val="center"/>
            </w:pPr>
            <w:r>
              <w:rPr>
                <w:rFonts w:ascii="Times New Roman" w:eastAsia="宋体" w:hAnsi="Times New Roman"/>
                <w:b/>
                <w:bCs/>
                <w:color w:val="000000"/>
                <w:sz w:val="16"/>
                <w:szCs w:val="16"/>
              </w:rPr>
              <w:t>Total liabilities and equity</w:t>
            </w:r>
          </w:p>
        </w:tc>
        <w:tc>
          <w:tcPr>
            <w:tcW w:w="0" w:type="auto"/>
            <w:gridSpan w:val="3"/>
            <w:shd w:val="clear" w:color="auto" w:fill="FFFFFF"/>
            <w:tcMar>
              <w:top w:w="0" w:type="dxa"/>
              <w:left w:w="20" w:type="dxa"/>
              <w:bottom w:w="0" w:type="dxa"/>
              <w:right w:w="20" w:type="dxa"/>
            </w:tcMar>
            <w:vAlign w:val="bottom"/>
          </w:tcPr>
          <w:p w14:paraId="35D0A616"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617"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618" w14:textId="77777777" w:rsidR="00D42204" w:rsidRDefault="004E439D">
            <w:pPr>
              <w:jc w:val="right"/>
              <w:textAlignment w:val="center"/>
            </w:pPr>
            <w:r>
              <w:rPr>
                <w:rFonts w:ascii="Times New Roman" w:eastAsia="宋体" w:hAnsi="Times New Roman"/>
                <w:color w:val="000000"/>
                <w:sz w:val="16"/>
                <w:szCs w:val="16"/>
              </w:rPr>
              <w:t>244,860 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61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61A"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61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61C" w14:textId="77777777" w:rsidR="00D42204" w:rsidRDefault="004E439D">
            <w:pPr>
              <w:jc w:val="right"/>
              <w:textAlignment w:val="center"/>
            </w:pPr>
            <w:r>
              <w:rPr>
                <w:rFonts w:ascii="Times New Roman" w:eastAsia="宋体" w:hAnsi="Times New Roman"/>
                <w:color w:val="000000"/>
                <w:sz w:val="16"/>
                <w:szCs w:val="16"/>
              </w:rPr>
              <w:t>252,496 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61D" w14:textId="77777777" w:rsidR="00D42204" w:rsidRDefault="00D42204">
            <w:pPr>
              <w:jc w:val="right"/>
              <w:rPr>
                <w:rFonts w:ascii="宋体"/>
              </w:rPr>
            </w:pPr>
          </w:p>
        </w:tc>
      </w:tr>
    </w:tbl>
    <w:p w14:paraId="35D0A61F" w14:textId="77777777" w:rsidR="00D42204" w:rsidRDefault="004E439D">
      <w:pPr>
        <w:spacing w:before="80"/>
      </w:pPr>
      <w:r>
        <w:rPr>
          <w:rFonts w:ascii="Times New Roman" w:eastAsia="宋体" w:hAnsi="Times New Roman"/>
          <w:i/>
          <w:iCs/>
          <w:color w:val="000000"/>
          <w:sz w:val="16"/>
          <w:szCs w:val="16"/>
        </w:rPr>
        <w:t>See ac</w:t>
      </w:r>
      <w:r>
        <w:rPr>
          <w:rFonts w:ascii="Times New Roman" w:eastAsia="宋体" w:hAnsi="Times New Roman"/>
          <w:i/>
          <w:iCs/>
          <w:color w:val="000000"/>
          <w:sz w:val="16"/>
          <w:szCs w:val="16"/>
        </w:rPr>
        <w:t xml:space="preserve">companying notes. </w:t>
      </w:r>
    </w:p>
    <w:p w14:paraId="35D0A620" w14:textId="77777777" w:rsidR="00D42204" w:rsidRDefault="004E439D">
      <w:pPr>
        <w:jc w:val="center"/>
      </w:pPr>
      <w:r>
        <w:rPr>
          <w:rFonts w:ascii="Times New Roman" w:eastAsia="宋体" w:hAnsi="Times New Roman"/>
          <w:color w:val="000000"/>
          <w:sz w:val="20"/>
          <w:szCs w:val="20"/>
        </w:rPr>
        <w:t>55</w:t>
      </w:r>
    </w:p>
    <w:p w14:paraId="35D0A621" w14:textId="77777777" w:rsidR="00D42204" w:rsidRDefault="004E439D">
      <w:r>
        <w:pict w14:anchorId="35D0C392">
          <v:rect id="_x0000_i1079" style="width:415.3pt;height:1.5pt" o:hralign="center" o:hrstd="t" o:hr="t" fillcolor="#a0a0a0" stroked="f"/>
        </w:pict>
      </w:r>
    </w:p>
    <w:p w14:paraId="35D0A622" w14:textId="77777777" w:rsidR="00D42204" w:rsidRDefault="00D42204"/>
    <w:p w14:paraId="35D0A623" w14:textId="77777777" w:rsidR="00D42204" w:rsidRDefault="004E439D">
      <w:pPr>
        <w:jc w:val="center"/>
      </w:pPr>
      <w:r>
        <w:rPr>
          <w:rFonts w:ascii="Times New Roman" w:eastAsia="宋体" w:hAnsi="Times New Roman"/>
          <w:b/>
          <w:bCs/>
          <w:color w:val="000000"/>
          <w:sz w:val="20"/>
          <w:szCs w:val="20"/>
        </w:rPr>
        <w:t>Walmart Inc.</w:t>
      </w:r>
    </w:p>
    <w:p w14:paraId="35D0A624" w14:textId="77777777" w:rsidR="00D42204" w:rsidRDefault="004E439D">
      <w:pPr>
        <w:spacing w:before="60"/>
        <w:jc w:val="center"/>
      </w:pPr>
      <w:r>
        <w:rPr>
          <w:rFonts w:ascii="Times New Roman" w:eastAsia="宋体" w:hAnsi="Times New Roman"/>
          <w:b/>
          <w:bCs/>
          <w:color w:val="000000"/>
          <w:sz w:val="20"/>
          <w:szCs w:val="20"/>
        </w:rPr>
        <w:t>Consolidated Statements of Shareholders' Equity</w:t>
      </w:r>
    </w:p>
    <w:p w14:paraId="35D0A625" w14:textId="77777777" w:rsidR="00D42204" w:rsidRDefault="00D42204">
      <w:pPr>
        <w:spacing w:before="6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1003"/>
        <w:gridCol w:w="39"/>
        <w:gridCol w:w="100"/>
        <w:gridCol w:w="394"/>
        <w:gridCol w:w="37"/>
        <w:gridCol w:w="37"/>
        <w:gridCol w:w="37"/>
        <w:gridCol w:w="36"/>
        <w:gridCol w:w="119"/>
        <w:gridCol w:w="471"/>
        <w:gridCol w:w="36"/>
        <w:gridCol w:w="36"/>
        <w:gridCol w:w="36"/>
        <w:gridCol w:w="36"/>
        <w:gridCol w:w="123"/>
        <w:gridCol w:w="594"/>
        <w:gridCol w:w="36"/>
        <w:gridCol w:w="36"/>
        <w:gridCol w:w="36"/>
        <w:gridCol w:w="36"/>
        <w:gridCol w:w="101"/>
        <w:gridCol w:w="554"/>
        <w:gridCol w:w="36"/>
        <w:gridCol w:w="36"/>
        <w:gridCol w:w="36"/>
        <w:gridCol w:w="36"/>
        <w:gridCol w:w="127"/>
        <w:gridCol w:w="968"/>
        <w:gridCol w:w="36"/>
        <w:gridCol w:w="36"/>
        <w:gridCol w:w="36"/>
        <w:gridCol w:w="36"/>
        <w:gridCol w:w="123"/>
        <w:gridCol w:w="857"/>
        <w:gridCol w:w="36"/>
        <w:gridCol w:w="36"/>
        <w:gridCol w:w="36"/>
        <w:gridCol w:w="36"/>
        <w:gridCol w:w="125"/>
        <w:gridCol w:w="935"/>
        <w:gridCol w:w="36"/>
        <w:gridCol w:w="36"/>
        <w:gridCol w:w="36"/>
        <w:gridCol w:w="36"/>
        <w:gridCol w:w="100"/>
        <w:gridCol w:w="480"/>
        <w:gridCol w:w="36"/>
        <w:gridCol w:w="36"/>
      </w:tblGrid>
      <w:tr w:rsidR="00D42204" w14:paraId="35D0A657" w14:textId="77777777">
        <w:trPr>
          <w:jc w:val="center"/>
        </w:trPr>
        <w:tc>
          <w:tcPr>
            <w:tcW w:w="50" w:type="pct"/>
            <w:shd w:val="clear" w:color="auto" w:fill="auto"/>
            <w:vAlign w:val="bottom"/>
          </w:tcPr>
          <w:p w14:paraId="35D0A626" w14:textId="77777777" w:rsidR="00D42204" w:rsidRDefault="00D42204">
            <w:pPr>
              <w:rPr>
                <w:rFonts w:ascii="宋体"/>
              </w:rPr>
            </w:pPr>
          </w:p>
        </w:tc>
        <w:tc>
          <w:tcPr>
            <w:tcW w:w="1963" w:type="pct"/>
            <w:shd w:val="clear" w:color="auto" w:fill="auto"/>
            <w:vAlign w:val="bottom"/>
          </w:tcPr>
          <w:p w14:paraId="35D0A627" w14:textId="77777777" w:rsidR="00D42204" w:rsidRDefault="00D42204">
            <w:pPr>
              <w:rPr>
                <w:rFonts w:ascii="宋体"/>
              </w:rPr>
            </w:pPr>
          </w:p>
        </w:tc>
        <w:tc>
          <w:tcPr>
            <w:tcW w:w="5" w:type="pct"/>
            <w:shd w:val="clear" w:color="auto" w:fill="auto"/>
            <w:vAlign w:val="bottom"/>
          </w:tcPr>
          <w:p w14:paraId="35D0A628" w14:textId="77777777" w:rsidR="00D42204" w:rsidRDefault="00D42204">
            <w:pPr>
              <w:rPr>
                <w:rFonts w:ascii="宋体"/>
              </w:rPr>
            </w:pPr>
          </w:p>
        </w:tc>
        <w:tc>
          <w:tcPr>
            <w:tcW w:w="50" w:type="pct"/>
            <w:shd w:val="clear" w:color="auto" w:fill="auto"/>
            <w:vAlign w:val="bottom"/>
          </w:tcPr>
          <w:p w14:paraId="35D0A629" w14:textId="77777777" w:rsidR="00D42204" w:rsidRDefault="00D42204">
            <w:pPr>
              <w:rPr>
                <w:rFonts w:ascii="宋体"/>
              </w:rPr>
            </w:pPr>
          </w:p>
        </w:tc>
        <w:tc>
          <w:tcPr>
            <w:tcW w:w="199" w:type="pct"/>
            <w:shd w:val="clear" w:color="auto" w:fill="auto"/>
            <w:vAlign w:val="bottom"/>
          </w:tcPr>
          <w:p w14:paraId="35D0A62A" w14:textId="77777777" w:rsidR="00D42204" w:rsidRDefault="00D42204">
            <w:pPr>
              <w:rPr>
                <w:rFonts w:ascii="宋体"/>
              </w:rPr>
            </w:pPr>
          </w:p>
        </w:tc>
        <w:tc>
          <w:tcPr>
            <w:tcW w:w="5" w:type="pct"/>
            <w:shd w:val="clear" w:color="auto" w:fill="auto"/>
            <w:vAlign w:val="bottom"/>
          </w:tcPr>
          <w:p w14:paraId="35D0A62B" w14:textId="77777777" w:rsidR="00D42204" w:rsidRDefault="00D42204">
            <w:pPr>
              <w:rPr>
                <w:rFonts w:ascii="宋体"/>
              </w:rPr>
            </w:pPr>
          </w:p>
        </w:tc>
        <w:tc>
          <w:tcPr>
            <w:tcW w:w="5" w:type="pct"/>
            <w:shd w:val="clear" w:color="auto" w:fill="auto"/>
            <w:vAlign w:val="bottom"/>
          </w:tcPr>
          <w:p w14:paraId="35D0A62C" w14:textId="77777777" w:rsidR="00D42204" w:rsidRDefault="00D42204">
            <w:pPr>
              <w:rPr>
                <w:rFonts w:ascii="宋体"/>
              </w:rPr>
            </w:pPr>
          </w:p>
        </w:tc>
        <w:tc>
          <w:tcPr>
            <w:tcW w:w="17" w:type="pct"/>
            <w:shd w:val="clear" w:color="auto" w:fill="auto"/>
            <w:vAlign w:val="bottom"/>
          </w:tcPr>
          <w:p w14:paraId="35D0A62D" w14:textId="77777777" w:rsidR="00D42204" w:rsidRDefault="00D42204">
            <w:pPr>
              <w:rPr>
                <w:rFonts w:ascii="宋体"/>
              </w:rPr>
            </w:pPr>
          </w:p>
        </w:tc>
        <w:tc>
          <w:tcPr>
            <w:tcW w:w="5" w:type="pct"/>
            <w:shd w:val="clear" w:color="auto" w:fill="auto"/>
            <w:vAlign w:val="bottom"/>
          </w:tcPr>
          <w:p w14:paraId="35D0A62E" w14:textId="77777777" w:rsidR="00D42204" w:rsidRDefault="00D42204">
            <w:pPr>
              <w:rPr>
                <w:rFonts w:ascii="宋体"/>
              </w:rPr>
            </w:pPr>
          </w:p>
        </w:tc>
        <w:tc>
          <w:tcPr>
            <w:tcW w:w="50" w:type="pct"/>
            <w:shd w:val="clear" w:color="auto" w:fill="auto"/>
            <w:vAlign w:val="bottom"/>
          </w:tcPr>
          <w:p w14:paraId="35D0A62F" w14:textId="77777777" w:rsidR="00D42204" w:rsidRDefault="00D42204">
            <w:pPr>
              <w:rPr>
                <w:rFonts w:ascii="宋体"/>
              </w:rPr>
            </w:pPr>
          </w:p>
        </w:tc>
        <w:tc>
          <w:tcPr>
            <w:tcW w:w="199" w:type="pct"/>
            <w:shd w:val="clear" w:color="auto" w:fill="auto"/>
            <w:vAlign w:val="bottom"/>
          </w:tcPr>
          <w:p w14:paraId="35D0A630" w14:textId="77777777" w:rsidR="00D42204" w:rsidRDefault="00D42204">
            <w:pPr>
              <w:rPr>
                <w:rFonts w:ascii="宋体"/>
              </w:rPr>
            </w:pPr>
          </w:p>
        </w:tc>
        <w:tc>
          <w:tcPr>
            <w:tcW w:w="5" w:type="pct"/>
            <w:shd w:val="clear" w:color="auto" w:fill="auto"/>
            <w:vAlign w:val="bottom"/>
          </w:tcPr>
          <w:p w14:paraId="35D0A631" w14:textId="77777777" w:rsidR="00D42204" w:rsidRDefault="00D42204">
            <w:pPr>
              <w:rPr>
                <w:rFonts w:ascii="宋体"/>
              </w:rPr>
            </w:pPr>
          </w:p>
        </w:tc>
        <w:tc>
          <w:tcPr>
            <w:tcW w:w="5" w:type="pct"/>
            <w:shd w:val="clear" w:color="auto" w:fill="auto"/>
            <w:vAlign w:val="bottom"/>
          </w:tcPr>
          <w:p w14:paraId="35D0A632" w14:textId="77777777" w:rsidR="00D42204" w:rsidRDefault="00D42204">
            <w:pPr>
              <w:rPr>
                <w:rFonts w:ascii="宋体"/>
              </w:rPr>
            </w:pPr>
          </w:p>
        </w:tc>
        <w:tc>
          <w:tcPr>
            <w:tcW w:w="17" w:type="pct"/>
            <w:shd w:val="clear" w:color="auto" w:fill="auto"/>
            <w:vAlign w:val="bottom"/>
          </w:tcPr>
          <w:p w14:paraId="35D0A633" w14:textId="77777777" w:rsidR="00D42204" w:rsidRDefault="00D42204">
            <w:pPr>
              <w:rPr>
                <w:rFonts w:ascii="宋体"/>
              </w:rPr>
            </w:pPr>
          </w:p>
        </w:tc>
        <w:tc>
          <w:tcPr>
            <w:tcW w:w="5" w:type="pct"/>
            <w:shd w:val="clear" w:color="auto" w:fill="auto"/>
            <w:vAlign w:val="bottom"/>
          </w:tcPr>
          <w:p w14:paraId="35D0A634" w14:textId="77777777" w:rsidR="00D42204" w:rsidRDefault="00D42204">
            <w:pPr>
              <w:rPr>
                <w:rFonts w:ascii="宋体"/>
              </w:rPr>
            </w:pPr>
          </w:p>
        </w:tc>
        <w:tc>
          <w:tcPr>
            <w:tcW w:w="50" w:type="pct"/>
            <w:shd w:val="clear" w:color="auto" w:fill="auto"/>
            <w:vAlign w:val="bottom"/>
          </w:tcPr>
          <w:p w14:paraId="35D0A635" w14:textId="77777777" w:rsidR="00D42204" w:rsidRDefault="00D42204">
            <w:pPr>
              <w:rPr>
                <w:rFonts w:ascii="宋体"/>
              </w:rPr>
            </w:pPr>
          </w:p>
        </w:tc>
        <w:tc>
          <w:tcPr>
            <w:tcW w:w="242" w:type="pct"/>
            <w:shd w:val="clear" w:color="auto" w:fill="auto"/>
            <w:vAlign w:val="bottom"/>
          </w:tcPr>
          <w:p w14:paraId="35D0A636" w14:textId="77777777" w:rsidR="00D42204" w:rsidRDefault="00D42204">
            <w:pPr>
              <w:rPr>
                <w:rFonts w:ascii="宋体"/>
              </w:rPr>
            </w:pPr>
          </w:p>
        </w:tc>
        <w:tc>
          <w:tcPr>
            <w:tcW w:w="5" w:type="pct"/>
            <w:shd w:val="clear" w:color="auto" w:fill="auto"/>
            <w:vAlign w:val="bottom"/>
          </w:tcPr>
          <w:p w14:paraId="35D0A637" w14:textId="77777777" w:rsidR="00D42204" w:rsidRDefault="00D42204">
            <w:pPr>
              <w:rPr>
                <w:rFonts w:ascii="宋体"/>
              </w:rPr>
            </w:pPr>
          </w:p>
        </w:tc>
        <w:tc>
          <w:tcPr>
            <w:tcW w:w="5" w:type="pct"/>
            <w:shd w:val="clear" w:color="auto" w:fill="auto"/>
            <w:vAlign w:val="bottom"/>
          </w:tcPr>
          <w:p w14:paraId="35D0A638" w14:textId="77777777" w:rsidR="00D42204" w:rsidRDefault="00D42204">
            <w:pPr>
              <w:rPr>
                <w:rFonts w:ascii="宋体"/>
              </w:rPr>
            </w:pPr>
          </w:p>
        </w:tc>
        <w:tc>
          <w:tcPr>
            <w:tcW w:w="17" w:type="pct"/>
            <w:shd w:val="clear" w:color="auto" w:fill="auto"/>
            <w:vAlign w:val="bottom"/>
          </w:tcPr>
          <w:p w14:paraId="35D0A639" w14:textId="77777777" w:rsidR="00D42204" w:rsidRDefault="00D42204">
            <w:pPr>
              <w:rPr>
                <w:rFonts w:ascii="宋体"/>
              </w:rPr>
            </w:pPr>
          </w:p>
        </w:tc>
        <w:tc>
          <w:tcPr>
            <w:tcW w:w="5" w:type="pct"/>
            <w:shd w:val="clear" w:color="auto" w:fill="auto"/>
            <w:vAlign w:val="bottom"/>
          </w:tcPr>
          <w:p w14:paraId="35D0A63A" w14:textId="77777777" w:rsidR="00D42204" w:rsidRDefault="00D42204">
            <w:pPr>
              <w:rPr>
                <w:rFonts w:ascii="宋体"/>
              </w:rPr>
            </w:pPr>
          </w:p>
        </w:tc>
        <w:tc>
          <w:tcPr>
            <w:tcW w:w="50" w:type="pct"/>
            <w:shd w:val="clear" w:color="auto" w:fill="auto"/>
            <w:vAlign w:val="bottom"/>
          </w:tcPr>
          <w:p w14:paraId="35D0A63B" w14:textId="77777777" w:rsidR="00D42204" w:rsidRDefault="00D42204">
            <w:pPr>
              <w:rPr>
                <w:rFonts w:ascii="宋体"/>
              </w:rPr>
            </w:pPr>
          </w:p>
        </w:tc>
        <w:tc>
          <w:tcPr>
            <w:tcW w:w="307" w:type="pct"/>
            <w:shd w:val="clear" w:color="auto" w:fill="auto"/>
            <w:vAlign w:val="bottom"/>
          </w:tcPr>
          <w:p w14:paraId="35D0A63C" w14:textId="77777777" w:rsidR="00D42204" w:rsidRDefault="00D42204">
            <w:pPr>
              <w:rPr>
                <w:rFonts w:ascii="宋体"/>
              </w:rPr>
            </w:pPr>
          </w:p>
        </w:tc>
        <w:tc>
          <w:tcPr>
            <w:tcW w:w="5" w:type="pct"/>
            <w:shd w:val="clear" w:color="auto" w:fill="auto"/>
            <w:vAlign w:val="bottom"/>
          </w:tcPr>
          <w:p w14:paraId="35D0A63D" w14:textId="77777777" w:rsidR="00D42204" w:rsidRDefault="00D42204">
            <w:pPr>
              <w:rPr>
                <w:rFonts w:ascii="宋体"/>
              </w:rPr>
            </w:pPr>
          </w:p>
        </w:tc>
        <w:tc>
          <w:tcPr>
            <w:tcW w:w="5" w:type="pct"/>
            <w:shd w:val="clear" w:color="auto" w:fill="auto"/>
            <w:vAlign w:val="bottom"/>
          </w:tcPr>
          <w:p w14:paraId="35D0A63E" w14:textId="77777777" w:rsidR="00D42204" w:rsidRDefault="00D42204">
            <w:pPr>
              <w:rPr>
                <w:rFonts w:ascii="宋体"/>
              </w:rPr>
            </w:pPr>
          </w:p>
        </w:tc>
        <w:tc>
          <w:tcPr>
            <w:tcW w:w="17" w:type="pct"/>
            <w:shd w:val="clear" w:color="auto" w:fill="auto"/>
            <w:vAlign w:val="bottom"/>
          </w:tcPr>
          <w:p w14:paraId="35D0A63F" w14:textId="77777777" w:rsidR="00D42204" w:rsidRDefault="00D42204">
            <w:pPr>
              <w:rPr>
                <w:rFonts w:ascii="宋体"/>
              </w:rPr>
            </w:pPr>
          </w:p>
        </w:tc>
        <w:tc>
          <w:tcPr>
            <w:tcW w:w="5" w:type="pct"/>
            <w:shd w:val="clear" w:color="auto" w:fill="auto"/>
            <w:vAlign w:val="bottom"/>
          </w:tcPr>
          <w:p w14:paraId="35D0A640" w14:textId="77777777" w:rsidR="00D42204" w:rsidRDefault="00D42204">
            <w:pPr>
              <w:rPr>
                <w:rFonts w:ascii="宋体"/>
              </w:rPr>
            </w:pPr>
          </w:p>
        </w:tc>
        <w:tc>
          <w:tcPr>
            <w:tcW w:w="50" w:type="pct"/>
            <w:shd w:val="clear" w:color="auto" w:fill="auto"/>
            <w:vAlign w:val="bottom"/>
          </w:tcPr>
          <w:p w14:paraId="35D0A641" w14:textId="77777777" w:rsidR="00D42204" w:rsidRDefault="00D42204">
            <w:pPr>
              <w:rPr>
                <w:rFonts w:ascii="宋体"/>
              </w:rPr>
            </w:pPr>
          </w:p>
        </w:tc>
        <w:tc>
          <w:tcPr>
            <w:tcW w:w="383" w:type="pct"/>
            <w:shd w:val="clear" w:color="auto" w:fill="auto"/>
            <w:vAlign w:val="bottom"/>
          </w:tcPr>
          <w:p w14:paraId="35D0A642" w14:textId="77777777" w:rsidR="00D42204" w:rsidRDefault="00D42204">
            <w:pPr>
              <w:rPr>
                <w:rFonts w:ascii="宋体"/>
              </w:rPr>
            </w:pPr>
          </w:p>
        </w:tc>
        <w:tc>
          <w:tcPr>
            <w:tcW w:w="5" w:type="pct"/>
            <w:shd w:val="clear" w:color="auto" w:fill="auto"/>
            <w:vAlign w:val="bottom"/>
          </w:tcPr>
          <w:p w14:paraId="35D0A643" w14:textId="77777777" w:rsidR="00D42204" w:rsidRDefault="00D42204">
            <w:pPr>
              <w:rPr>
                <w:rFonts w:ascii="宋体"/>
              </w:rPr>
            </w:pPr>
          </w:p>
        </w:tc>
        <w:tc>
          <w:tcPr>
            <w:tcW w:w="5" w:type="pct"/>
            <w:shd w:val="clear" w:color="auto" w:fill="auto"/>
            <w:vAlign w:val="bottom"/>
          </w:tcPr>
          <w:p w14:paraId="35D0A644" w14:textId="77777777" w:rsidR="00D42204" w:rsidRDefault="00D42204">
            <w:pPr>
              <w:rPr>
                <w:rFonts w:ascii="宋体"/>
              </w:rPr>
            </w:pPr>
          </w:p>
        </w:tc>
        <w:tc>
          <w:tcPr>
            <w:tcW w:w="17" w:type="pct"/>
            <w:shd w:val="clear" w:color="auto" w:fill="auto"/>
            <w:vAlign w:val="bottom"/>
          </w:tcPr>
          <w:p w14:paraId="35D0A645" w14:textId="77777777" w:rsidR="00D42204" w:rsidRDefault="00D42204">
            <w:pPr>
              <w:rPr>
                <w:rFonts w:ascii="宋体"/>
              </w:rPr>
            </w:pPr>
          </w:p>
        </w:tc>
        <w:tc>
          <w:tcPr>
            <w:tcW w:w="5" w:type="pct"/>
            <w:shd w:val="clear" w:color="auto" w:fill="auto"/>
            <w:vAlign w:val="bottom"/>
          </w:tcPr>
          <w:p w14:paraId="35D0A646" w14:textId="77777777" w:rsidR="00D42204" w:rsidRDefault="00D42204">
            <w:pPr>
              <w:rPr>
                <w:rFonts w:ascii="宋体"/>
              </w:rPr>
            </w:pPr>
          </w:p>
        </w:tc>
        <w:tc>
          <w:tcPr>
            <w:tcW w:w="50" w:type="pct"/>
            <w:shd w:val="clear" w:color="auto" w:fill="auto"/>
            <w:vAlign w:val="bottom"/>
          </w:tcPr>
          <w:p w14:paraId="35D0A647" w14:textId="77777777" w:rsidR="00D42204" w:rsidRDefault="00D42204">
            <w:pPr>
              <w:rPr>
                <w:rFonts w:ascii="宋体"/>
              </w:rPr>
            </w:pPr>
          </w:p>
        </w:tc>
        <w:tc>
          <w:tcPr>
            <w:tcW w:w="350" w:type="pct"/>
            <w:shd w:val="clear" w:color="auto" w:fill="auto"/>
            <w:vAlign w:val="bottom"/>
          </w:tcPr>
          <w:p w14:paraId="35D0A648" w14:textId="77777777" w:rsidR="00D42204" w:rsidRDefault="00D42204">
            <w:pPr>
              <w:rPr>
                <w:rFonts w:ascii="宋体"/>
              </w:rPr>
            </w:pPr>
          </w:p>
        </w:tc>
        <w:tc>
          <w:tcPr>
            <w:tcW w:w="5" w:type="pct"/>
            <w:shd w:val="clear" w:color="auto" w:fill="auto"/>
            <w:vAlign w:val="bottom"/>
          </w:tcPr>
          <w:p w14:paraId="35D0A649" w14:textId="77777777" w:rsidR="00D42204" w:rsidRDefault="00D42204">
            <w:pPr>
              <w:rPr>
                <w:rFonts w:ascii="宋体"/>
              </w:rPr>
            </w:pPr>
          </w:p>
        </w:tc>
        <w:tc>
          <w:tcPr>
            <w:tcW w:w="5" w:type="pct"/>
            <w:shd w:val="clear" w:color="auto" w:fill="auto"/>
            <w:vAlign w:val="bottom"/>
          </w:tcPr>
          <w:p w14:paraId="35D0A64A" w14:textId="77777777" w:rsidR="00D42204" w:rsidRDefault="00D42204">
            <w:pPr>
              <w:rPr>
                <w:rFonts w:ascii="宋体"/>
              </w:rPr>
            </w:pPr>
          </w:p>
        </w:tc>
        <w:tc>
          <w:tcPr>
            <w:tcW w:w="17" w:type="pct"/>
            <w:shd w:val="clear" w:color="auto" w:fill="auto"/>
            <w:vAlign w:val="bottom"/>
          </w:tcPr>
          <w:p w14:paraId="35D0A64B" w14:textId="77777777" w:rsidR="00D42204" w:rsidRDefault="00D42204">
            <w:pPr>
              <w:rPr>
                <w:rFonts w:ascii="宋体"/>
              </w:rPr>
            </w:pPr>
          </w:p>
        </w:tc>
        <w:tc>
          <w:tcPr>
            <w:tcW w:w="5" w:type="pct"/>
            <w:shd w:val="clear" w:color="auto" w:fill="auto"/>
            <w:vAlign w:val="bottom"/>
          </w:tcPr>
          <w:p w14:paraId="35D0A64C" w14:textId="77777777" w:rsidR="00D42204" w:rsidRDefault="00D42204">
            <w:pPr>
              <w:rPr>
                <w:rFonts w:ascii="宋体"/>
              </w:rPr>
            </w:pPr>
          </w:p>
        </w:tc>
        <w:tc>
          <w:tcPr>
            <w:tcW w:w="50" w:type="pct"/>
            <w:shd w:val="clear" w:color="auto" w:fill="auto"/>
            <w:vAlign w:val="bottom"/>
          </w:tcPr>
          <w:p w14:paraId="35D0A64D" w14:textId="77777777" w:rsidR="00D42204" w:rsidRDefault="00D42204">
            <w:pPr>
              <w:rPr>
                <w:rFonts w:ascii="宋体"/>
              </w:rPr>
            </w:pPr>
          </w:p>
        </w:tc>
        <w:tc>
          <w:tcPr>
            <w:tcW w:w="377" w:type="pct"/>
            <w:shd w:val="clear" w:color="auto" w:fill="auto"/>
            <w:vAlign w:val="bottom"/>
          </w:tcPr>
          <w:p w14:paraId="35D0A64E" w14:textId="77777777" w:rsidR="00D42204" w:rsidRDefault="00D42204">
            <w:pPr>
              <w:rPr>
                <w:rFonts w:ascii="宋体"/>
              </w:rPr>
            </w:pPr>
          </w:p>
        </w:tc>
        <w:tc>
          <w:tcPr>
            <w:tcW w:w="5" w:type="pct"/>
            <w:shd w:val="clear" w:color="auto" w:fill="auto"/>
            <w:vAlign w:val="bottom"/>
          </w:tcPr>
          <w:p w14:paraId="35D0A64F" w14:textId="77777777" w:rsidR="00D42204" w:rsidRDefault="00D42204">
            <w:pPr>
              <w:rPr>
                <w:rFonts w:ascii="宋体"/>
              </w:rPr>
            </w:pPr>
          </w:p>
        </w:tc>
        <w:tc>
          <w:tcPr>
            <w:tcW w:w="5" w:type="pct"/>
            <w:shd w:val="clear" w:color="auto" w:fill="auto"/>
            <w:vAlign w:val="bottom"/>
          </w:tcPr>
          <w:p w14:paraId="35D0A650" w14:textId="77777777" w:rsidR="00D42204" w:rsidRDefault="00D42204">
            <w:pPr>
              <w:rPr>
                <w:rFonts w:ascii="宋体"/>
              </w:rPr>
            </w:pPr>
          </w:p>
        </w:tc>
        <w:tc>
          <w:tcPr>
            <w:tcW w:w="17" w:type="pct"/>
            <w:shd w:val="clear" w:color="auto" w:fill="auto"/>
            <w:vAlign w:val="bottom"/>
          </w:tcPr>
          <w:p w14:paraId="35D0A651" w14:textId="77777777" w:rsidR="00D42204" w:rsidRDefault="00D42204">
            <w:pPr>
              <w:rPr>
                <w:rFonts w:ascii="宋体"/>
              </w:rPr>
            </w:pPr>
          </w:p>
        </w:tc>
        <w:tc>
          <w:tcPr>
            <w:tcW w:w="5" w:type="pct"/>
            <w:shd w:val="clear" w:color="auto" w:fill="auto"/>
            <w:vAlign w:val="bottom"/>
          </w:tcPr>
          <w:p w14:paraId="35D0A652" w14:textId="77777777" w:rsidR="00D42204" w:rsidRDefault="00D42204">
            <w:pPr>
              <w:rPr>
                <w:rFonts w:ascii="宋体"/>
              </w:rPr>
            </w:pPr>
          </w:p>
        </w:tc>
        <w:tc>
          <w:tcPr>
            <w:tcW w:w="50" w:type="pct"/>
            <w:shd w:val="clear" w:color="auto" w:fill="auto"/>
            <w:vAlign w:val="bottom"/>
          </w:tcPr>
          <w:p w14:paraId="35D0A653" w14:textId="77777777" w:rsidR="00D42204" w:rsidRDefault="00D42204">
            <w:pPr>
              <w:rPr>
                <w:rFonts w:ascii="宋体"/>
              </w:rPr>
            </w:pPr>
          </w:p>
        </w:tc>
        <w:tc>
          <w:tcPr>
            <w:tcW w:w="291" w:type="pct"/>
            <w:shd w:val="clear" w:color="auto" w:fill="auto"/>
            <w:vAlign w:val="bottom"/>
          </w:tcPr>
          <w:p w14:paraId="35D0A654" w14:textId="77777777" w:rsidR="00D42204" w:rsidRDefault="00D42204">
            <w:pPr>
              <w:rPr>
                <w:rFonts w:ascii="宋体"/>
              </w:rPr>
            </w:pPr>
          </w:p>
        </w:tc>
        <w:tc>
          <w:tcPr>
            <w:tcW w:w="5" w:type="pct"/>
            <w:shd w:val="clear" w:color="auto" w:fill="auto"/>
            <w:vAlign w:val="bottom"/>
          </w:tcPr>
          <w:p w14:paraId="35D0A655" w14:textId="77777777" w:rsidR="00D42204" w:rsidRDefault="00D42204">
            <w:pPr>
              <w:rPr>
                <w:rFonts w:ascii="宋体"/>
              </w:rPr>
            </w:pPr>
          </w:p>
        </w:tc>
        <w:tc>
          <w:tcPr>
            <w:tcW w:w="0" w:type="auto"/>
            <w:shd w:val="clear" w:color="auto" w:fill="auto"/>
            <w:vAlign w:val="bottom"/>
          </w:tcPr>
          <w:p w14:paraId="35D0A656" w14:textId="77777777" w:rsidR="00D42204" w:rsidRDefault="00D42204">
            <w:pPr>
              <w:rPr>
                <w:rFonts w:ascii="宋体"/>
                <w:vanish/>
              </w:rPr>
            </w:pPr>
          </w:p>
        </w:tc>
      </w:tr>
      <w:tr w:rsidR="00D42204" w14:paraId="35D0A669" w14:textId="77777777">
        <w:trPr>
          <w:jc w:val="center"/>
        </w:trPr>
        <w:tc>
          <w:tcPr>
            <w:tcW w:w="0" w:type="auto"/>
            <w:gridSpan w:val="3"/>
            <w:shd w:val="clear" w:color="auto" w:fill="auto"/>
            <w:tcMar>
              <w:top w:w="0" w:type="dxa"/>
              <w:left w:w="20" w:type="dxa"/>
              <w:bottom w:w="0" w:type="dxa"/>
              <w:right w:w="20" w:type="dxa"/>
            </w:tcMar>
            <w:vAlign w:val="bottom"/>
          </w:tcPr>
          <w:p w14:paraId="35D0A658"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59"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5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5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5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5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5E"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5F"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60"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661" w14:textId="77777777" w:rsidR="00D42204" w:rsidRDefault="004E439D">
            <w:pPr>
              <w:jc w:val="center"/>
              <w:textAlignment w:val="bottom"/>
            </w:pPr>
            <w:r>
              <w:rPr>
                <w:rFonts w:ascii="Times New Roman" w:eastAsia="宋体" w:hAnsi="Times New Roman"/>
                <w:b/>
                <w:bCs/>
                <w:color w:val="000000"/>
                <w:sz w:val="16"/>
                <w:szCs w:val="16"/>
              </w:rPr>
              <w:t>Accumulated</w:t>
            </w:r>
          </w:p>
        </w:tc>
        <w:tc>
          <w:tcPr>
            <w:tcW w:w="0" w:type="auto"/>
            <w:gridSpan w:val="3"/>
            <w:shd w:val="clear" w:color="auto" w:fill="auto"/>
            <w:tcMar>
              <w:top w:w="0" w:type="dxa"/>
              <w:left w:w="20" w:type="dxa"/>
              <w:bottom w:w="0" w:type="dxa"/>
              <w:right w:w="20" w:type="dxa"/>
            </w:tcMar>
            <w:vAlign w:val="bottom"/>
          </w:tcPr>
          <w:p w14:paraId="35D0A662"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663" w14:textId="77777777" w:rsidR="00D42204" w:rsidRDefault="004E439D">
            <w:pPr>
              <w:jc w:val="center"/>
              <w:textAlignment w:val="bottom"/>
            </w:pPr>
            <w:r>
              <w:rPr>
                <w:rFonts w:ascii="Times New Roman" w:eastAsia="宋体" w:hAnsi="Times New Roman"/>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35D0A664"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65"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66"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67" w14:textId="77777777" w:rsidR="00D42204" w:rsidRDefault="00D42204">
            <w:pPr>
              <w:rPr>
                <w:rFonts w:ascii="宋体"/>
              </w:rPr>
            </w:pPr>
          </w:p>
        </w:tc>
        <w:tc>
          <w:tcPr>
            <w:tcW w:w="0" w:type="auto"/>
            <w:shd w:val="clear" w:color="auto" w:fill="auto"/>
            <w:vAlign w:val="bottom"/>
          </w:tcPr>
          <w:p w14:paraId="35D0A668" w14:textId="77777777" w:rsidR="00D42204" w:rsidRDefault="00D42204">
            <w:pPr>
              <w:rPr>
                <w:rFonts w:ascii="宋体"/>
                <w:vanish/>
              </w:rPr>
            </w:pPr>
          </w:p>
        </w:tc>
      </w:tr>
      <w:tr w:rsidR="00D42204" w14:paraId="35D0A67B" w14:textId="77777777">
        <w:trPr>
          <w:jc w:val="center"/>
        </w:trPr>
        <w:tc>
          <w:tcPr>
            <w:tcW w:w="0" w:type="auto"/>
            <w:gridSpan w:val="3"/>
            <w:shd w:val="clear" w:color="auto" w:fill="auto"/>
            <w:tcMar>
              <w:top w:w="0" w:type="dxa"/>
              <w:left w:w="20" w:type="dxa"/>
              <w:bottom w:w="0" w:type="dxa"/>
              <w:right w:w="20" w:type="dxa"/>
            </w:tcMar>
            <w:vAlign w:val="bottom"/>
          </w:tcPr>
          <w:p w14:paraId="35D0A66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6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6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6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6E"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66F" w14:textId="77777777" w:rsidR="00D42204" w:rsidRDefault="004E439D">
            <w:pPr>
              <w:jc w:val="center"/>
              <w:textAlignment w:val="bottom"/>
            </w:pPr>
            <w:r>
              <w:rPr>
                <w:rFonts w:ascii="Times New Roman" w:eastAsia="宋体" w:hAnsi="Times New Roman"/>
                <w:b/>
                <w:bCs/>
                <w:color w:val="000000"/>
                <w:sz w:val="16"/>
                <w:szCs w:val="16"/>
              </w:rPr>
              <w:t>Capital in</w:t>
            </w:r>
          </w:p>
        </w:tc>
        <w:tc>
          <w:tcPr>
            <w:tcW w:w="0" w:type="auto"/>
            <w:gridSpan w:val="3"/>
            <w:shd w:val="clear" w:color="auto" w:fill="auto"/>
            <w:tcMar>
              <w:top w:w="0" w:type="dxa"/>
              <w:left w:w="20" w:type="dxa"/>
              <w:bottom w:w="0" w:type="dxa"/>
              <w:right w:w="20" w:type="dxa"/>
            </w:tcMar>
            <w:vAlign w:val="bottom"/>
          </w:tcPr>
          <w:p w14:paraId="35D0A670"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71"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72"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673" w14:textId="77777777" w:rsidR="00D42204" w:rsidRDefault="004E439D">
            <w:pPr>
              <w:jc w:val="center"/>
              <w:textAlignment w:val="bottom"/>
            </w:pPr>
            <w:r>
              <w:rPr>
                <w:rFonts w:ascii="Times New Roman" w:eastAsia="宋体" w:hAnsi="Times New Roman"/>
                <w:b/>
                <w:bCs/>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35D0A674"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675" w14:textId="77777777" w:rsidR="00D42204" w:rsidRDefault="004E439D">
            <w:pPr>
              <w:jc w:val="center"/>
              <w:textAlignment w:val="bottom"/>
            </w:pPr>
            <w:r>
              <w:rPr>
                <w:rFonts w:ascii="Times New Roman" w:eastAsia="宋体" w:hAnsi="Times New Roman"/>
                <w:b/>
                <w:bCs/>
                <w:color w:val="000000"/>
                <w:sz w:val="16"/>
                <w:szCs w:val="16"/>
              </w:rPr>
              <w:t>Walmart</w:t>
            </w:r>
          </w:p>
        </w:tc>
        <w:tc>
          <w:tcPr>
            <w:tcW w:w="0" w:type="auto"/>
            <w:gridSpan w:val="3"/>
            <w:shd w:val="clear" w:color="auto" w:fill="auto"/>
            <w:tcMar>
              <w:top w:w="0" w:type="dxa"/>
              <w:left w:w="20" w:type="dxa"/>
              <w:bottom w:w="0" w:type="dxa"/>
              <w:right w:w="20" w:type="dxa"/>
            </w:tcMar>
            <w:vAlign w:val="bottom"/>
          </w:tcPr>
          <w:p w14:paraId="35D0A676"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77"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78"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679" w14:textId="77777777" w:rsidR="00D42204" w:rsidRDefault="00D42204">
            <w:pPr>
              <w:rPr>
                <w:rFonts w:ascii="宋体"/>
              </w:rPr>
            </w:pPr>
          </w:p>
        </w:tc>
        <w:tc>
          <w:tcPr>
            <w:tcW w:w="0" w:type="auto"/>
            <w:shd w:val="clear" w:color="auto" w:fill="auto"/>
            <w:vAlign w:val="bottom"/>
          </w:tcPr>
          <w:p w14:paraId="35D0A67A" w14:textId="77777777" w:rsidR="00D42204" w:rsidRDefault="00D42204">
            <w:pPr>
              <w:rPr>
                <w:rFonts w:ascii="宋体"/>
                <w:vanish/>
              </w:rPr>
            </w:pPr>
          </w:p>
        </w:tc>
      </w:tr>
      <w:tr w:rsidR="00D42204" w14:paraId="35D0A68B" w14:textId="77777777">
        <w:trPr>
          <w:trHeight w:val="240"/>
          <w:jc w:val="center"/>
        </w:trPr>
        <w:tc>
          <w:tcPr>
            <w:tcW w:w="0" w:type="auto"/>
            <w:gridSpan w:val="3"/>
            <w:vMerge w:val="restart"/>
            <w:shd w:val="clear" w:color="auto" w:fill="auto"/>
            <w:tcMar>
              <w:top w:w="40" w:type="dxa"/>
              <w:left w:w="20" w:type="dxa"/>
              <w:bottom w:w="40" w:type="dxa"/>
              <w:right w:w="20" w:type="dxa"/>
            </w:tcMar>
            <w:vAlign w:val="bottom"/>
          </w:tcPr>
          <w:p w14:paraId="35D0A67C"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9"/>
            <w:shd w:val="clear" w:color="auto" w:fill="auto"/>
            <w:tcMar>
              <w:top w:w="40" w:type="dxa"/>
              <w:left w:w="20" w:type="dxa"/>
              <w:bottom w:w="40" w:type="dxa"/>
              <w:right w:w="20" w:type="dxa"/>
            </w:tcMar>
            <w:vAlign w:val="bottom"/>
          </w:tcPr>
          <w:p w14:paraId="35D0A67D" w14:textId="77777777" w:rsidR="00D42204" w:rsidRDefault="004E439D">
            <w:pPr>
              <w:jc w:val="center"/>
              <w:textAlignment w:val="bottom"/>
            </w:pPr>
            <w:r>
              <w:rPr>
                <w:rFonts w:ascii="Times New Roman" w:eastAsia="宋体" w:hAnsi="Times New Roman"/>
                <w:b/>
                <w:bCs/>
                <w:color w:val="000000"/>
                <w:sz w:val="16"/>
                <w:szCs w:val="16"/>
              </w:rPr>
              <w:t>Common Stock</w:t>
            </w:r>
          </w:p>
        </w:tc>
        <w:tc>
          <w:tcPr>
            <w:tcW w:w="0" w:type="auto"/>
            <w:gridSpan w:val="3"/>
            <w:shd w:val="clear" w:color="auto" w:fill="auto"/>
            <w:tcMar>
              <w:top w:w="0" w:type="dxa"/>
              <w:left w:w="20" w:type="dxa"/>
              <w:bottom w:w="0" w:type="dxa"/>
              <w:right w:w="20" w:type="dxa"/>
            </w:tcMar>
            <w:vAlign w:val="bottom"/>
          </w:tcPr>
          <w:p w14:paraId="35D0A67E"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67F" w14:textId="77777777" w:rsidR="00D42204" w:rsidRDefault="004E439D">
            <w:pPr>
              <w:jc w:val="center"/>
              <w:textAlignment w:val="bottom"/>
            </w:pPr>
            <w:r>
              <w:rPr>
                <w:rFonts w:ascii="Times New Roman" w:eastAsia="宋体" w:hAnsi="Times New Roman"/>
                <w:b/>
                <w:bCs/>
                <w:color w:val="000000"/>
                <w:sz w:val="16"/>
                <w:szCs w:val="16"/>
              </w:rPr>
              <w:t>Excess of</w:t>
            </w:r>
          </w:p>
        </w:tc>
        <w:tc>
          <w:tcPr>
            <w:tcW w:w="0" w:type="auto"/>
            <w:gridSpan w:val="3"/>
            <w:shd w:val="clear" w:color="auto" w:fill="auto"/>
            <w:tcMar>
              <w:top w:w="0" w:type="dxa"/>
              <w:left w:w="20" w:type="dxa"/>
              <w:bottom w:w="0" w:type="dxa"/>
              <w:right w:w="20" w:type="dxa"/>
            </w:tcMar>
            <w:vAlign w:val="bottom"/>
          </w:tcPr>
          <w:p w14:paraId="35D0A680"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681" w14:textId="77777777" w:rsidR="00D42204" w:rsidRDefault="004E439D">
            <w:pPr>
              <w:jc w:val="center"/>
              <w:textAlignment w:val="bottom"/>
            </w:pPr>
            <w:r>
              <w:rPr>
                <w:rFonts w:ascii="Times New Roman" w:eastAsia="宋体" w:hAnsi="Times New Roman"/>
                <w:b/>
                <w:bCs/>
                <w:color w:val="000000"/>
                <w:sz w:val="16"/>
                <w:szCs w:val="16"/>
              </w:rPr>
              <w:t>Retained</w:t>
            </w:r>
          </w:p>
        </w:tc>
        <w:tc>
          <w:tcPr>
            <w:tcW w:w="0" w:type="auto"/>
            <w:gridSpan w:val="3"/>
            <w:shd w:val="clear" w:color="auto" w:fill="auto"/>
            <w:tcMar>
              <w:top w:w="0" w:type="dxa"/>
              <w:left w:w="20" w:type="dxa"/>
              <w:bottom w:w="0" w:type="dxa"/>
              <w:right w:w="20" w:type="dxa"/>
            </w:tcMar>
            <w:vAlign w:val="bottom"/>
          </w:tcPr>
          <w:p w14:paraId="35D0A682"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683" w14:textId="77777777" w:rsidR="00D42204" w:rsidRDefault="004E439D">
            <w:pPr>
              <w:jc w:val="center"/>
              <w:textAlignment w:val="bottom"/>
            </w:pPr>
            <w:r>
              <w:rPr>
                <w:rFonts w:ascii="Times New Roman" w:eastAsia="宋体" w:hAnsi="Times New Roman"/>
                <w:b/>
                <w:bCs/>
                <w:color w:val="000000"/>
                <w:sz w:val="16"/>
                <w:szCs w:val="16"/>
              </w:rPr>
              <w:t>Comprehensive</w:t>
            </w:r>
          </w:p>
        </w:tc>
        <w:tc>
          <w:tcPr>
            <w:tcW w:w="0" w:type="auto"/>
            <w:gridSpan w:val="3"/>
            <w:shd w:val="clear" w:color="auto" w:fill="auto"/>
            <w:tcMar>
              <w:top w:w="0" w:type="dxa"/>
              <w:left w:w="20" w:type="dxa"/>
              <w:bottom w:w="0" w:type="dxa"/>
              <w:right w:w="20" w:type="dxa"/>
            </w:tcMar>
            <w:vAlign w:val="bottom"/>
          </w:tcPr>
          <w:p w14:paraId="35D0A684"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685" w14:textId="77777777" w:rsidR="00D42204" w:rsidRDefault="004E439D">
            <w:pPr>
              <w:jc w:val="center"/>
              <w:textAlignment w:val="bottom"/>
            </w:pPr>
            <w:r>
              <w:rPr>
                <w:rFonts w:ascii="Times New Roman" w:eastAsia="宋体" w:hAnsi="Times New Roman"/>
                <w:b/>
                <w:bCs/>
                <w:color w:val="000000"/>
                <w:sz w:val="16"/>
                <w:szCs w:val="16"/>
              </w:rPr>
              <w:t>Shareholders'</w:t>
            </w:r>
          </w:p>
        </w:tc>
        <w:tc>
          <w:tcPr>
            <w:tcW w:w="0" w:type="auto"/>
            <w:gridSpan w:val="3"/>
            <w:shd w:val="clear" w:color="auto" w:fill="auto"/>
            <w:tcMar>
              <w:top w:w="0" w:type="dxa"/>
              <w:left w:w="20" w:type="dxa"/>
              <w:bottom w:w="0" w:type="dxa"/>
              <w:right w:w="20" w:type="dxa"/>
            </w:tcMar>
            <w:vAlign w:val="bottom"/>
          </w:tcPr>
          <w:p w14:paraId="35D0A686"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687" w14:textId="77777777" w:rsidR="00D42204" w:rsidRDefault="004E439D">
            <w:pPr>
              <w:jc w:val="center"/>
              <w:textAlignment w:val="bottom"/>
            </w:pPr>
            <w:r>
              <w:rPr>
                <w:rFonts w:ascii="Times New Roman" w:eastAsia="宋体" w:hAnsi="Times New Roman"/>
                <w:b/>
                <w:bCs/>
                <w:color w:val="000000"/>
                <w:sz w:val="16"/>
                <w:szCs w:val="16"/>
              </w:rPr>
              <w:t>Noncontrolling</w:t>
            </w:r>
          </w:p>
        </w:tc>
        <w:tc>
          <w:tcPr>
            <w:tcW w:w="0" w:type="auto"/>
            <w:gridSpan w:val="3"/>
            <w:shd w:val="clear" w:color="auto" w:fill="auto"/>
            <w:tcMar>
              <w:top w:w="0" w:type="dxa"/>
              <w:left w:w="20" w:type="dxa"/>
              <w:bottom w:w="0" w:type="dxa"/>
              <w:right w:w="20" w:type="dxa"/>
            </w:tcMar>
            <w:vAlign w:val="bottom"/>
          </w:tcPr>
          <w:p w14:paraId="35D0A688"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689" w14:textId="77777777" w:rsidR="00D42204" w:rsidRDefault="004E439D">
            <w:pPr>
              <w:jc w:val="center"/>
              <w:textAlignment w:val="bottom"/>
            </w:pPr>
            <w:r>
              <w:rPr>
                <w:rFonts w:ascii="Times New Roman" w:eastAsia="宋体" w:hAnsi="Times New Roman"/>
                <w:b/>
                <w:bCs/>
                <w:color w:val="000000"/>
                <w:sz w:val="16"/>
                <w:szCs w:val="16"/>
              </w:rPr>
              <w:t>Total</w:t>
            </w:r>
          </w:p>
        </w:tc>
        <w:tc>
          <w:tcPr>
            <w:tcW w:w="0" w:type="auto"/>
            <w:shd w:val="clear" w:color="auto" w:fill="auto"/>
            <w:vAlign w:val="bottom"/>
          </w:tcPr>
          <w:p w14:paraId="35D0A68A" w14:textId="77777777" w:rsidR="00D42204" w:rsidRDefault="00D42204">
            <w:pPr>
              <w:rPr>
                <w:rFonts w:ascii="宋体"/>
                <w:vanish/>
              </w:rPr>
            </w:pPr>
          </w:p>
        </w:tc>
      </w:tr>
      <w:tr w:rsidR="00D42204" w14:paraId="35D0A69D" w14:textId="77777777">
        <w:trPr>
          <w:trHeight w:val="240"/>
          <w:jc w:val="center"/>
        </w:trPr>
        <w:tc>
          <w:tcPr>
            <w:tcW w:w="0" w:type="auto"/>
            <w:gridSpan w:val="3"/>
            <w:vMerge/>
            <w:shd w:val="clear" w:color="auto" w:fill="auto"/>
            <w:tcMar>
              <w:top w:w="40" w:type="dxa"/>
              <w:left w:w="20" w:type="dxa"/>
              <w:bottom w:w="40" w:type="dxa"/>
              <w:right w:w="20" w:type="dxa"/>
            </w:tcMar>
            <w:vAlign w:val="bottom"/>
          </w:tcPr>
          <w:p w14:paraId="35D0A68C"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68D" w14:textId="77777777" w:rsidR="00D42204" w:rsidRDefault="004E439D">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68E"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68F" w14:textId="77777777" w:rsidR="00D42204" w:rsidRDefault="004E439D">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35D0A690"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691" w14:textId="77777777" w:rsidR="00D42204" w:rsidRDefault="004E439D">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35D0A692"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693" w14:textId="77777777" w:rsidR="00D42204" w:rsidRDefault="004E439D">
            <w:pPr>
              <w:jc w:val="center"/>
              <w:textAlignment w:val="bottom"/>
            </w:pPr>
            <w:r>
              <w:rPr>
                <w:rFonts w:ascii="Times New Roman" w:eastAsia="宋体" w:hAnsi="Times New Roman"/>
                <w:b/>
                <w:bCs/>
                <w:color w:val="000000"/>
                <w:sz w:val="16"/>
                <w:szCs w:val="16"/>
              </w:rPr>
              <w:t>Earnings</w:t>
            </w:r>
          </w:p>
        </w:tc>
        <w:tc>
          <w:tcPr>
            <w:tcW w:w="0" w:type="auto"/>
            <w:gridSpan w:val="3"/>
            <w:shd w:val="clear" w:color="auto" w:fill="auto"/>
            <w:tcMar>
              <w:top w:w="0" w:type="dxa"/>
              <w:left w:w="20" w:type="dxa"/>
              <w:bottom w:w="0" w:type="dxa"/>
              <w:right w:w="20" w:type="dxa"/>
            </w:tcMar>
            <w:vAlign w:val="bottom"/>
          </w:tcPr>
          <w:p w14:paraId="35D0A694"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695" w14:textId="77777777" w:rsidR="00D42204" w:rsidRDefault="004E439D">
            <w:pPr>
              <w:jc w:val="center"/>
              <w:textAlignment w:val="bottom"/>
            </w:pPr>
            <w:r>
              <w:rPr>
                <w:rFonts w:ascii="Times New Roman" w:eastAsia="宋体" w:hAnsi="Times New Roman"/>
                <w:b/>
                <w:bCs/>
                <w:color w:val="000000"/>
                <w:sz w:val="16"/>
                <w:szCs w:val="16"/>
              </w:rPr>
              <w:t>Income (Loss)</w:t>
            </w:r>
          </w:p>
        </w:tc>
        <w:tc>
          <w:tcPr>
            <w:tcW w:w="0" w:type="auto"/>
            <w:gridSpan w:val="3"/>
            <w:shd w:val="clear" w:color="auto" w:fill="auto"/>
            <w:tcMar>
              <w:top w:w="0" w:type="dxa"/>
              <w:left w:w="20" w:type="dxa"/>
              <w:bottom w:w="0" w:type="dxa"/>
              <w:right w:w="20" w:type="dxa"/>
            </w:tcMar>
            <w:vAlign w:val="bottom"/>
          </w:tcPr>
          <w:p w14:paraId="35D0A696"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697" w14:textId="77777777" w:rsidR="00D42204" w:rsidRDefault="004E439D">
            <w:pPr>
              <w:jc w:val="center"/>
              <w:textAlignment w:val="bottom"/>
            </w:pPr>
            <w:r>
              <w:rPr>
                <w:rFonts w:ascii="Times New Roman" w:eastAsia="宋体" w:hAnsi="Times New Roman"/>
                <w:b/>
                <w:bCs/>
                <w:color w:val="000000"/>
                <w:sz w:val="16"/>
                <w:szCs w:val="16"/>
              </w:rPr>
              <w:t>Equity</w:t>
            </w:r>
          </w:p>
        </w:tc>
        <w:tc>
          <w:tcPr>
            <w:tcW w:w="0" w:type="auto"/>
            <w:gridSpan w:val="3"/>
            <w:shd w:val="clear" w:color="auto" w:fill="auto"/>
            <w:tcMar>
              <w:top w:w="0" w:type="dxa"/>
              <w:left w:w="20" w:type="dxa"/>
              <w:bottom w:w="0" w:type="dxa"/>
              <w:right w:w="20" w:type="dxa"/>
            </w:tcMar>
            <w:vAlign w:val="bottom"/>
          </w:tcPr>
          <w:p w14:paraId="35D0A698"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699" w14:textId="77777777" w:rsidR="00D42204" w:rsidRDefault="004E439D">
            <w:pPr>
              <w:jc w:val="center"/>
              <w:textAlignment w:val="bottom"/>
            </w:pPr>
            <w:r>
              <w:rPr>
                <w:rFonts w:ascii="Times New Roman" w:eastAsia="宋体" w:hAnsi="Times New Roman"/>
                <w:b/>
                <w:bCs/>
                <w:color w:val="000000"/>
                <w:sz w:val="16"/>
                <w:szCs w:val="16"/>
              </w:rPr>
              <w:t>Interest</w:t>
            </w:r>
          </w:p>
        </w:tc>
        <w:tc>
          <w:tcPr>
            <w:tcW w:w="0" w:type="auto"/>
            <w:gridSpan w:val="3"/>
            <w:shd w:val="clear" w:color="auto" w:fill="auto"/>
            <w:tcMar>
              <w:top w:w="0" w:type="dxa"/>
              <w:left w:w="20" w:type="dxa"/>
              <w:bottom w:w="0" w:type="dxa"/>
              <w:right w:w="20" w:type="dxa"/>
            </w:tcMar>
            <w:vAlign w:val="bottom"/>
          </w:tcPr>
          <w:p w14:paraId="35D0A69A"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69B" w14:textId="77777777" w:rsidR="00D42204" w:rsidRDefault="004E439D">
            <w:pPr>
              <w:jc w:val="center"/>
              <w:textAlignment w:val="bottom"/>
            </w:pPr>
            <w:r>
              <w:rPr>
                <w:rFonts w:ascii="Times New Roman" w:eastAsia="宋体" w:hAnsi="Times New Roman"/>
                <w:b/>
                <w:bCs/>
                <w:color w:val="000000"/>
                <w:sz w:val="16"/>
                <w:szCs w:val="16"/>
              </w:rPr>
              <w:t>Equity</w:t>
            </w:r>
          </w:p>
        </w:tc>
        <w:tc>
          <w:tcPr>
            <w:tcW w:w="0" w:type="auto"/>
            <w:shd w:val="clear" w:color="auto" w:fill="auto"/>
            <w:vAlign w:val="bottom"/>
          </w:tcPr>
          <w:p w14:paraId="35D0A69C" w14:textId="77777777" w:rsidR="00D42204" w:rsidRDefault="00D42204">
            <w:pPr>
              <w:rPr>
                <w:rFonts w:ascii="宋体"/>
                <w:vanish/>
              </w:rPr>
            </w:pPr>
          </w:p>
        </w:tc>
      </w:tr>
      <w:tr w:rsidR="004E439D" w14:paraId="35D0A6BE" w14:textId="77777777">
        <w:trPr>
          <w:jc w:val="center"/>
        </w:trPr>
        <w:tc>
          <w:tcPr>
            <w:tcW w:w="0" w:type="auto"/>
            <w:gridSpan w:val="3"/>
            <w:shd w:val="clear" w:color="auto" w:fill="CCEEFF"/>
            <w:tcMar>
              <w:top w:w="40" w:type="dxa"/>
              <w:left w:w="20" w:type="dxa"/>
              <w:bottom w:w="40" w:type="dxa"/>
              <w:right w:w="20" w:type="dxa"/>
            </w:tcMar>
            <w:vAlign w:val="center"/>
          </w:tcPr>
          <w:p w14:paraId="35D0A69E" w14:textId="77777777" w:rsidR="00D42204" w:rsidRDefault="004E439D">
            <w:pPr>
              <w:textAlignment w:val="center"/>
            </w:pPr>
            <w:r>
              <w:rPr>
                <w:rFonts w:ascii="Times New Roman" w:eastAsia="宋体" w:hAnsi="Times New Roman"/>
                <w:b/>
                <w:bCs/>
                <w:color w:val="000000"/>
                <w:sz w:val="16"/>
                <w:szCs w:val="16"/>
              </w:rPr>
              <w:t>Balances as of February 1, 2019</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69F" w14:textId="77777777" w:rsidR="00D42204" w:rsidRDefault="004E439D">
            <w:pPr>
              <w:jc w:val="right"/>
              <w:textAlignment w:val="center"/>
            </w:pPr>
            <w:r>
              <w:rPr>
                <w:rFonts w:ascii="Times New Roman" w:eastAsia="宋体" w:hAnsi="Times New Roman"/>
                <w:color w:val="000000"/>
                <w:sz w:val="16"/>
                <w:szCs w:val="16"/>
              </w:rPr>
              <w:t>2,878 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6A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6A1"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6A2"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6A3" w14:textId="77777777" w:rsidR="00D42204" w:rsidRDefault="004E439D">
            <w:pPr>
              <w:jc w:val="right"/>
              <w:textAlignment w:val="center"/>
            </w:pPr>
            <w:r>
              <w:rPr>
                <w:rFonts w:ascii="Times New Roman" w:eastAsia="宋体" w:hAnsi="Times New Roman"/>
                <w:color w:val="000000"/>
                <w:sz w:val="16"/>
                <w:szCs w:val="16"/>
              </w:rPr>
              <w:t>288 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6A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6A5"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6A6"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6A7" w14:textId="77777777" w:rsidR="00D42204" w:rsidRDefault="004E439D">
            <w:pPr>
              <w:jc w:val="right"/>
              <w:textAlignment w:val="center"/>
            </w:pPr>
            <w:r>
              <w:rPr>
                <w:rFonts w:ascii="Times New Roman" w:eastAsia="宋体" w:hAnsi="Times New Roman"/>
                <w:color w:val="000000"/>
                <w:sz w:val="16"/>
                <w:szCs w:val="16"/>
              </w:rPr>
              <w:t>2,965 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6A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6A9"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6AA"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6AB" w14:textId="77777777" w:rsidR="00D42204" w:rsidRDefault="004E439D">
            <w:pPr>
              <w:jc w:val="right"/>
              <w:textAlignment w:val="center"/>
            </w:pPr>
            <w:r>
              <w:rPr>
                <w:rFonts w:ascii="Times New Roman" w:eastAsia="宋体" w:hAnsi="Times New Roman"/>
                <w:color w:val="000000"/>
                <w:sz w:val="16"/>
                <w:szCs w:val="16"/>
              </w:rPr>
              <w:t>80,785 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6A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6AD"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6AE"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6AF" w14:textId="77777777" w:rsidR="00D42204" w:rsidRDefault="004E439D">
            <w:pPr>
              <w:jc w:val="right"/>
              <w:textAlignment w:val="center"/>
            </w:pPr>
            <w:r>
              <w:rPr>
                <w:rFonts w:ascii="Times New Roman" w:eastAsia="宋体" w:hAnsi="Times New Roman"/>
                <w:color w:val="000000"/>
                <w:sz w:val="16"/>
                <w:szCs w:val="16"/>
              </w:rPr>
              <w:t>(11,542)</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6B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6B1"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6B2"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6B3" w14:textId="77777777" w:rsidR="00D42204" w:rsidRDefault="004E439D">
            <w:pPr>
              <w:jc w:val="right"/>
              <w:textAlignment w:val="center"/>
            </w:pPr>
            <w:r>
              <w:rPr>
                <w:rFonts w:ascii="Times New Roman" w:eastAsia="宋体" w:hAnsi="Times New Roman"/>
                <w:color w:val="000000"/>
                <w:sz w:val="16"/>
                <w:szCs w:val="16"/>
              </w:rPr>
              <w:t>72,496 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6B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6B5"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6B6"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6B7" w14:textId="77777777" w:rsidR="00D42204" w:rsidRDefault="004E439D">
            <w:pPr>
              <w:jc w:val="right"/>
              <w:textAlignment w:val="center"/>
            </w:pPr>
            <w:r>
              <w:rPr>
                <w:rFonts w:ascii="Times New Roman" w:eastAsia="宋体" w:hAnsi="Times New Roman"/>
                <w:color w:val="000000"/>
                <w:sz w:val="16"/>
                <w:szCs w:val="16"/>
              </w:rPr>
              <w:t>7,138 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6B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6B9"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6BA"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6BB" w14:textId="77777777" w:rsidR="00D42204" w:rsidRDefault="004E439D">
            <w:pPr>
              <w:jc w:val="right"/>
              <w:textAlignment w:val="center"/>
            </w:pPr>
            <w:r>
              <w:rPr>
                <w:rFonts w:ascii="Times New Roman" w:eastAsia="宋体" w:hAnsi="Times New Roman"/>
                <w:color w:val="000000"/>
                <w:sz w:val="16"/>
                <w:szCs w:val="16"/>
              </w:rPr>
              <w:t>79,634 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6BC" w14:textId="77777777" w:rsidR="00D42204" w:rsidRDefault="00D42204">
            <w:pPr>
              <w:jc w:val="right"/>
              <w:rPr>
                <w:rFonts w:ascii="宋体"/>
              </w:rPr>
            </w:pPr>
          </w:p>
        </w:tc>
        <w:tc>
          <w:tcPr>
            <w:tcW w:w="0" w:type="auto"/>
            <w:shd w:val="clear" w:color="auto" w:fill="auto"/>
            <w:vAlign w:val="bottom"/>
          </w:tcPr>
          <w:p w14:paraId="35D0A6BD" w14:textId="77777777" w:rsidR="00D42204" w:rsidRDefault="00D42204">
            <w:pPr>
              <w:rPr>
                <w:rFonts w:ascii="宋体"/>
                <w:vanish/>
              </w:rPr>
            </w:pPr>
          </w:p>
        </w:tc>
      </w:tr>
      <w:tr w:rsidR="00D42204" w14:paraId="35D0A6D8" w14:textId="77777777">
        <w:trPr>
          <w:jc w:val="center"/>
        </w:trPr>
        <w:tc>
          <w:tcPr>
            <w:tcW w:w="0" w:type="auto"/>
            <w:gridSpan w:val="3"/>
            <w:shd w:val="clear" w:color="auto" w:fill="FFFFFF"/>
            <w:tcMar>
              <w:top w:w="40" w:type="dxa"/>
              <w:left w:w="20" w:type="dxa"/>
              <w:bottom w:w="40" w:type="dxa"/>
              <w:right w:w="20" w:type="dxa"/>
            </w:tcMar>
            <w:vAlign w:val="center"/>
          </w:tcPr>
          <w:p w14:paraId="35D0A6BF" w14:textId="77777777" w:rsidR="00D42204" w:rsidRDefault="004E439D">
            <w:pPr>
              <w:textAlignment w:val="center"/>
            </w:pPr>
            <w:r>
              <w:rPr>
                <w:rFonts w:ascii="Times New Roman" w:eastAsia="宋体" w:hAnsi="Times New Roman"/>
                <w:color w:val="000000"/>
                <w:sz w:val="16"/>
                <w:szCs w:val="16"/>
              </w:rPr>
              <w:t xml:space="preserve">Adoption of new </w:t>
            </w:r>
            <w:r>
              <w:rPr>
                <w:rFonts w:ascii="Times New Roman" w:eastAsia="宋体" w:hAnsi="Times New Roman"/>
                <w:color w:val="000000"/>
                <w:sz w:val="16"/>
                <w:szCs w:val="16"/>
              </w:rPr>
              <w:t>accounting standards, net of income taxes</w:t>
            </w:r>
          </w:p>
        </w:tc>
        <w:tc>
          <w:tcPr>
            <w:tcW w:w="0" w:type="auto"/>
            <w:gridSpan w:val="2"/>
            <w:shd w:val="clear" w:color="auto" w:fill="FFFFFF"/>
            <w:tcMar>
              <w:top w:w="40" w:type="dxa"/>
              <w:left w:w="20" w:type="dxa"/>
              <w:bottom w:w="40" w:type="dxa"/>
              <w:right w:w="0" w:type="dxa"/>
            </w:tcMar>
            <w:vAlign w:val="center"/>
          </w:tcPr>
          <w:p w14:paraId="35D0A6C0"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6C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6C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6C3"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6C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6C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6C6"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6C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6C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6C9" w14:textId="77777777" w:rsidR="00D42204" w:rsidRDefault="004E439D">
            <w:pPr>
              <w:jc w:val="right"/>
              <w:textAlignment w:val="center"/>
            </w:pPr>
            <w:r>
              <w:rPr>
                <w:rFonts w:ascii="Times New Roman" w:eastAsia="宋体" w:hAnsi="Times New Roman"/>
                <w:color w:val="000000"/>
                <w:sz w:val="16"/>
                <w:szCs w:val="16"/>
              </w:rPr>
              <w:t>(266)</w:t>
            </w:r>
          </w:p>
        </w:tc>
        <w:tc>
          <w:tcPr>
            <w:tcW w:w="0" w:type="auto"/>
            <w:shd w:val="clear" w:color="auto" w:fill="FFFFFF"/>
            <w:tcMar>
              <w:top w:w="40" w:type="dxa"/>
              <w:left w:w="0" w:type="dxa"/>
              <w:bottom w:w="40" w:type="dxa"/>
              <w:right w:w="20" w:type="dxa"/>
            </w:tcMar>
            <w:vAlign w:val="center"/>
          </w:tcPr>
          <w:p w14:paraId="35D0A6C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6C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6CC"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6C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6C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6CF" w14:textId="77777777" w:rsidR="00D42204" w:rsidRDefault="004E439D">
            <w:pPr>
              <w:jc w:val="right"/>
              <w:textAlignment w:val="center"/>
            </w:pPr>
            <w:r>
              <w:rPr>
                <w:rFonts w:ascii="Times New Roman" w:eastAsia="宋体" w:hAnsi="Times New Roman"/>
                <w:color w:val="000000"/>
                <w:sz w:val="16"/>
                <w:szCs w:val="16"/>
              </w:rPr>
              <w:t>(266)</w:t>
            </w:r>
          </w:p>
        </w:tc>
        <w:tc>
          <w:tcPr>
            <w:tcW w:w="0" w:type="auto"/>
            <w:shd w:val="clear" w:color="auto" w:fill="FFFFFF"/>
            <w:tcMar>
              <w:top w:w="40" w:type="dxa"/>
              <w:left w:w="0" w:type="dxa"/>
              <w:bottom w:w="40" w:type="dxa"/>
              <w:right w:w="20" w:type="dxa"/>
            </w:tcMar>
            <w:vAlign w:val="center"/>
          </w:tcPr>
          <w:p w14:paraId="35D0A6D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6D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6D2" w14:textId="77777777" w:rsidR="00D42204" w:rsidRDefault="004E439D">
            <w:pPr>
              <w:jc w:val="right"/>
              <w:textAlignment w:val="center"/>
            </w:pPr>
            <w:r>
              <w:rPr>
                <w:rFonts w:ascii="Times New Roman" w:eastAsia="宋体" w:hAnsi="Times New Roman"/>
                <w:color w:val="000000"/>
                <w:sz w:val="16"/>
                <w:szCs w:val="16"/>
              </w:rPr>
              <w:t>(34)</w:t>
            </w:r>
          </w:p>
        </w:tc>
        <w:tc>
          <w:tcPr>
            <w:tcW w:w="0" w:type="auto"/>
            <w:shd w:val="clear" w:color="auto" w:fill="FFFFFF"/>
            <w:tcMar>
              <w:top w:w="40" w:type="dxa"/>
              <w:left w:w="0" w:type="dxa"/>
              <w:bottom w:w="40" w:type="dxa"/>
              <w:right w:w="20" w:type="dxa"/>
            </w:tcMar>
            <w:vAlign w:val="center"/>
          </w:tcPr>
          <w:p w14:paraId="35D0A6D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6D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6D5" w14:textId="77777777" w:rsidR="00D42204" w:rsidRDefault="004E439D">
            <w:pPr>
              <w:jc w:val="right"/>
              <w:textAlignment w:val="center"/>
            </w:pPr>
            <w:r>
              <w:rPr>
                <w:rFonts w:ascii="Times New Roman" w:eastAsia="宋体" w:hAnsi="Times New Roman"/>
                <w:color w:val="000000"/>
                <w:sz w:val="16"/>
                <w:szCs w:val="16"/>
              </w:rPr>
              <w:t>(300)</w:t>
            </w:r>
          </w:p>
        </w:tc>
        <w:tc>
          <w:tcPr>
            <w:tcW w:w="0" w:type="auto"/>
            <w:shd w:val="clear" w:color="auto" w:fill="FFFFFF"/>
            <w:tcMar>
              <w:top w:w="40" w:type="dxa"/>
              <w:left w:w="0" w:type="dxa"/>
              <w:bottom w:w="40" w:type="dxa"/>
              <w:right w:w="20" w:type="dxa"/>
            </w:tcMar>
            <w:vAlign w:val="center"/>
          </w:tcPr>
          <w:p w14:paraId="35D0A6D6" w14:textId="77777777" w:rsidR="00D42204" w:rsidRDefault="00D42204">
            <w:pPr>
              <w:jc w:val="right"/>
              <w:rPr>
                <w:rFonts w:ascii="宋体"/>
              </w:rPr>
            </w:pPr>
          </w:p>
        </w:tc>
        <w:tc>
          <w:tcPr>
            <w:tcW w:w="0" w:type="auto"/>
            <w:shd w:val="clear" w:color="auto" w:fill="auto"/>
            <w:vAlign w:val="bottom"/>
          </w:tcPr>
          <w:p w14:paraId="35D0A6D7" w14:textId="77777777" w:rsidR="00D42204" w:rsidRDefault="00D42204">
            <w:pPr>
              <w:rPr>
                <w:rFonts w:ascii="宋体"/>
                <w:vanish/>
              </w:rPr>
            </w:pPr>
          </w:p>
        </w:tc>
      </w:tr>
      <w:tr w:rsidR="00D42204" w14:paraId="35D0A6F2" w14:textId="77777777">
        <w:trPr>
          <w:jc w:val="center"/>
        </w:trPr>
        <w:tc>
          <w:tcPr>
            <w:tcW w:w="0" w:type="auto"/>
            <w:gridSpan w:val="3"/>
            <w:shd w:val="clear" w:color="auto" w:fill="CCEEFF"/>
            <w:tcMar>
              <w:top w:w="40" w:type="dxa"/>
              <w:left w:w="20" w:type="dxa"/>
              <w:bottom w:w="40" w:type="dxa"/>
              <w:right w:w="20" w:type="dxa"/>
            </w:tcMar>
            <w:vAlign w:val="center"/>
          </w:tcPr>
          <w:p w14:paraId="35D0A6D9" w14:textId="77777777" w:rsidR="00D42204" w:rsidRDefault="004E439D">
            <w:pPr>
              <w:textAlignment w:val="center"/>
            </w:pPr>
            <w:r>
              <w:rPr>
                <w:rFonts w:ascii="Times New Roman" w:eastAsia="宋体" w:hAnsi="Times New Roman"/>
                <w:color w:val="000000"/>
                <w:sz w:val="16"/>
                <w:szCs w:val="16"/>
              </w:rPr>
              <w:t>Consolidated net income</w:t>
            </w:r>
          </w:p>
        </w:tc>
        <w:tc>
          <w:tcPr>
            <w:tcW w:w="0" w:type="auto"/>
            <w:gridSpan w:val="2"/>
            <w:shd w:val="clear" w:color="auto" w:fill="CCEEFF"/>
            <w:tcMar>
              <w:top w:w="40" w:type="dxa"/>
              <w:left w:w="20" w:type="dxa"/>
              <w:bottom w:w="40" w:type="dxa"/>
              <w:right w:w="0" w:type="dxa"/>
            </w:tcMar>
            <w:vAlign w:val="center"/>
          </w:tcPr>
          <w:p w14:paraId="35D0A6DA"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6D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6D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6DD"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6D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6D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6E0"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6E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6E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6E3" w14:textId="77777777" w:rsidR="00D42204" w:rsidRDefault="004E439D">
            <w:pPr>
              <w:jc w:val="right"/>
              <w:textAlignment w:val="center"/>
            </w:pPr>
            <w:r>
              <w:rPr>
                <w:rFonts w:ascii="Times New Roman" w:eastAsia="宋体" w:hAnsi="Times New Roman"/>
                <w:color w:val="000000"/>
                <w:sz w:val="16"/>
                <w:szCs w:val="16"/>
              </w:rPr>
              <w:t>14,881 </w:t>
            </w:r>
          </w:p>
        </w:tc>
        <w:tc>
          <w:tcPr>
            <w:tcW w:w="0" w:type="auto"/>
            <w:shd w:val="clear" w:color="auto" w:fill="CCEEFF"/>
            <w:tcMar>
              <w:top w:w="40" w:type="dxa"/>
              <w:left w:w="0" w:type="dxa"/>
              <w:bottom w:w="40" w:type="dxa"/>
              <w:right w:w="20" w:type="dxa"/>
            </w:tcMar>
            <w:vAlign w:val="center"/>
          </w:tcPr>
          <w:p w14:paraId="35D0A6E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6E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6E6"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6E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6E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6E9" w14:textId="77777777" w:rsidR="00D42204" w:rsidRDefault="004E439D">
            <w:pPr>
              <w:jc w:val="right"/>
              <w:textAlignment w:val="center"/>
            </w:pPr>
            <w:r>
              <w:rPr>
                <w:rFonts w:ascii="Times New Roman" w:eastAsia="宋体" w:hAnsi="Times New Roman"/>
                <w:color w:val="000000"/>
                <w:sz w:val="16"/>
                <w:szCs w:val="16"/>
              </w:rPr>
              <w:t>14,881 </w:t>
            </w:r>
          </w:p>
        </w:tc>
        <w:tc>
          <w:tcPr>
            <w:tcW w:w="0" w:type="auto"/>
            <w:shd w:val="clear" w:color="auto" w:fill="CCEEFF"/>
            <w:tcMar>
              <w:top w:w="40" w:type="dxa"/>
              <w:left w:w="0" w:type="dxa"/>
              <w:bottom w:w="40" w:type="dxa"/>
              <w:right w:w="20" w:type="dxa"/>
            </w:tcMar>
            <w:vAlign w:val="center"/>
          </w:tcPr>
          <w:p w14:paraId="35D0A6E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6E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6EC" w14:textId="77777777" w:rsidR="00D42204" w:rsidRDefault="004E439D">
            <w:pPr>
              <w:jc w:val="right"/>
              <w:textAlignment w:val="center"/>
            </w:pPr>
            <w:r>
              <w:rPr>
                <w:rFonts w:ascii="Times New Roman" w:eastAsia="宋体" w:hAnsi="Times New Roman"/>
                <w:color w:val="000000"/>
                <w:sz w:val="16"/>
                <w:szCs w:val="16"/>
              </w:rPr>
              <w:t>320 </w:t>
            </w:r>
          </w:p>
        </w:tc>
        <w:tc>
          <w:tcPr>
            <w:tcW w:w="0" w:type="auto"/>
            <w:shd w:val="clear" w:color="auto" w:fill="CCEEFF"/>
            <w:tcMar>
              <w:top w:w="40" w:type="dxa"/>
              <w:left w:w="0" w:type="dxa"/>
              <w:bottom w:w="40" w:type="dxa"/>
              <w:right w:w="20" w:type="dxa"/>
            </w:tcMar>
            <w:vAlign w:val="center"/>
          </w:tcPr>
          <w:p w14:paraId="35D0A6E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6E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6EF" w14:textId="77777777" w:rsidR="00D42204" w:rsidRDefault="004E439D">
            <w:pPr>
              <w:jc w:val="right"/>
              <w:textAlignment w:val="center"/>
            </w:pPr>
            <w:r>
              <w:rPr>
                <w:rFonts w:ascii="Times New Roman" w:eastAsia="宋体" w:hAnsi="Times New Roman"/>
                <w:color w:val="000000"/>
                <w:sz w:val="16"/>
                <w:szCs w:val="16"/>
              </w:rPr>
              <w:t>15,201 </w:t>
            </w:r>
          </w:p>
        </w:tc>
        <w:tc>
          <w:tcPr>
            <w:tcW w:w="0" w:type="auto"/>
            <w:shd w:val="clear" w:color="auto" w:fill="CCEEFF"/>
            <w:tcMar>
              <w:top w:w="40" w:type="dxa"/>
              <w:left w:w="0" w:type="dxa"/>
              <w:bottom w:w="40" w:type="dxa"/>
              <w:right w:w="20" w:type="dxa"/>
            </w:tcMar>
            <w:vAlign w:val="center"/>
          </w:tcPr>
          <w:p w14:paraId="35D0A6F0" w14:textId="77777777" w:rsidR="00D42204" w:rsidRDefault="00D42204">
            <w:pPr>
              <w:jc w:val="right"/>
              <w:rPr>
                <w:rFonts w:ascii="宋体"/>
              </w:rPr>
            </w:pPr>
          </w:p>
        </w:tc>
        <w:tc>
          <w:tcPr>
            <w:tcW w:w="0" w:type="auto"/>
            <w:shd w:val="clear" w:color="auto" w:fill="auto"/>
            <w:vAlign w:val="bottom"/>
          </w:tcPr>
          <w:p w14:paraId="35D0A6F1" w14:textId="77777777" w:rsidR="00D42204" w:rsidRDefault="00D42204">
            <w:pPr>
              <w:rPr>
                <w:rFonts w:ascii="宋体"/>
                <w:vanish/>
              </w:rPr>
            </w:pPr>
          </w:p>
        </w:tc>
      </w:tr>
      <w:tr w:rsidR="00D42204" w14:paraId="35D0A70C" w14:textId="77777777">
        <w:trPr>
          <w:jc w:val="center"/>
        </w:trPr>
        <w:tc>
          <w:tcPr>
            <w:tcW w:w="0" w:type="auto"/>
            <w:gridSpan w:val="3"/>
            <w:shd w:val="clear" w:color="auto" w:fill="FFFFFF"/>
            <w:tcMar>
              <w:top w:w="40" w:type="dxa"/>
              <w:left w:w="20" w:type="dxa"/>
              <w:bottom w:w="40" w:type="dxa"/>
              <w:right w:w="20" w:type="dxa"/>
            </w:tcMar>
            <w:vAlign w:val="center"/>
          </w:tcPr>
          <w:p w14:paraId="35D0A6F3" w14:textId="77777777" w:rsidR="00D42204" w:rsidRDefault="004E439D">
            <w:pPr>
              <w:textAlignment w:val="center"/>
            </w:pPr>
            <w:r>
              <w:rPr>
                <w:rFonts w:ascii="Times New Roman" w:eastAsia="宋体" w:hAnsi="Times New Roman"/>
                <w:color w:val="000000"/>
                <w:sz w:val="16"/>
                <w:szCs w:val="16"/>
              </w:rPr>
              <w:t>Other comprehensive income (loss), net of income taxes</w:t>
            </w:r>
          </w:p>
        </w:tc>
        <w:tc>
          <w:tcPr>
            <w:tcW w:w="0" w:type="auto"/>
            <w:gridSpan w:val="2"/>
            <w:shd w:val="clear" w:color="auto" w:fill="FFFFFF"/>
            <w:tcMar>
              <w:top w:w="40" w:type="dxa"/>
              <w:left w:w="20" w:type="dxa"/>
              <w:bottom w:w="40" w:type="dxa"/>
              <w:right w:w="0" w:type="dxa"/>
            </w:tcMar>
            <w:vAlign w:val="center"/>
          </w:tcPr>
          <w:p w14:paraId="35D0A6F4"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6F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6F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6F7"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6F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6F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6FA"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6F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6F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6FD"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6F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6F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00" w14:textId="77777777" w:rsidR="00D42204" w:rsidRDefault="004E439D">
            <w:pPr>
              <w:jc w:val="right"/>
              <w:textAlignment w:val="center"/>
            </w:pPr>
            <w:r>
              <w:rPr>
                <w:rFonts w:ascii="Times New Roman" w:eastAsia="宋体" w:hAnsi="Times New Roman"/>
                <w:color w:val="000000"/>
                <w:sz w:val="16"/>
                <w:szCs w:val="16"/>
              </w:rPr>
              <w:t>(1,263)</w:t>
            </w:r>
          </w:p>
        </w:tc>
        <w:tc>
          <w:tcPr>
            <w:tcW w:w="0" w:type="auto"/>
            <w:shd w:val="clear" w:color="auto" w:fill="FFFFFF"/>
            <w:tcMar>
              <w:top w:w="40" w:type="dxa"/>
              <w:left w:w="0" w:type="dxa"/>
              <w:bottom w:w="40" w:type="dxa"/>
              <w:right w:w="20" w:type="dxa"/>
            </w:tcMar>
            <w:vAlign w:val="center"/>
          </w:tcPr>
          <w:p w14:paraId="35D0A70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0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03" w14:textId="77777777" w:rsidR="00D42204" w:rsidRDefault="004E439D">
            <w:pPr>
              <w:jc w:val="right"/>
              <w:textAlignment w:val="center"/>
            </w:pPr>
            <w:r>
              <w:rPr>
                <w:rFonts w:ascii="Times New Roman" w:eastAsia="宋体" w:hAnsi="Times New Roman"/>
                <w:color w:val="000000"/>
                <w:sz w:val="16"/>
                <w:szCs w:val="16"/>
              </w:rPr>
              <w:t>(1,263)</w:t>
            </w:r>
          </w:p>
        </w:tc>
        <w:tc>
          <w:tcPr>
            <w:tcW w:w="0" w:type="auto"/>
            <w:shd w:val="clear" w:color="auto" w:fill="FFFFFF"/>
            <w:tcMar>
              <w:top w:w="40" w:type="dxa"/>
              <w:left w:w="0" w:type="dxa"/>
              <w:bottom w:w="40" w:type="dxa"/>
              <w:right w:w="20" w:type="dxa"/>
            </w:tcMar>
            <w:vAlign w:val="center"/>
          </w:tcPr>
          <w:p w14:paraId="35D0A70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0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06" w14:textId="77777777" w:rsidR="00D42204" w:rsidRDefault="004E439D">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35D0A70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0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09" w14:textId="77777777" w:rsidR="00D42204" w:rsidRDefault="004E439D">
            <w:pPr>
              <w:jc w:val="right"/>
              <w:textAlignment w:val="center"/>
            </w:pPr>
            <w:r>
              <w:rPr>
                <w:rFonts w:ascii="Times New Roman" w:eastAsia="宋体" w:hAnsi="Times New Roman"/>
                <w:color w:val="000000"/>
                <w:sz w:val="16"/>
                <w:szCs w:val="16"/>
              </w:rPr>
              <w:t>(1,235)</w:t>
            </w:r>
          </w:p>
        </w:tc>
        <w:tc>
          <w:tcPr>
            <w:tcW w:w="0" w:type="auto"/>
            <w:shd w:val="clear" w:color="auto" w:fill="FFFFFF"/>
            <w:tcMar>
              <w:top w:w="40" w:type="dxa"/>
              <w:left w:w="0" w:type="dxa"/>
              <w:bottom w:w="40" w:type="dxa"/>
              <w:right w:w="20" w:type="dxa"/>
            </w:tcMar>
            <w:vAlign w:val="center"/>
          </w:tcPr>
          <w:p w14:paraId="35D0A70A" w14:textId="77777777" w:rsidR="00D42204" w:rsidRDefault="00D42204">
            <w:pPr>
              <w:jc w:val="right"/>
              <w:rPr>
                <w:rFonts w:ascii="宋体"/>
              </w:rPr>
            </w:pPr>
          </w:p>
        </w:tc>
        <w:tc>
          <w:tcPr>
            <w:tcW w:w="0" w:type="auto"/>
            <w:shd w:val="clear" w:color="auto" w:fill="auto"/>
            <w:vAlign w:val="bottom"/>
          </w:tcPr>
          <w:p w14:paraId="35D0A70B" w14:textId="77777777" w:rsidR="00D42204" w:rsidRDefault="00D42204">
            <w:pPr>
              <w:rPr>
                <w:rFonts w:ascii="宋体"/>
                <w:vanish/>
              </w:rPr>
            </w:pPr>
          </w:p>
        </w:tc>
      </w:tr>
      <w:tr w:rsidR="00D42204" w14:paraId="35D0A726" w14:textId="77777777">
        <w:trPr>
          <w:jc w:val="center"/>
        </w:trPr>
        <w:tc>
          <w:tcPr>
            <w:tcW w:w="0" w:type="auto"/>
            <w:gridSpan w:val="3"/>
            <w:shd w:val="clear" w:color="auto" w:fill="CCEEFF"/>
            <w:tcMar>
              <w:top w:w="40" w:type="dxa"/>
              <w:left w:w="20" w:type="dxa"/>
              <w:bottom w:w="40" w:type="dxa"/>
              <w:right w:w="20" w:type="dxa"/>
            </w:tcMar>
            <w:vAlign w:val="center"/>
          </w:tcPr>
          <w:p w14:paraId="35D0A70D" w14:textId="77777777" w:rsidR="00D42204" w:rsidRDefault="004E439D">
            <w:pPr>
              <w:textAlignment w:val="center"/>
            </w:pPr>
            <w:r>
              <w:rPr>
                <w:rFonts w:ascii="Times New Roman" w:eastAsia="宋体" w:hAnsi="Times New Roman"/>
                <w:color w:val="000000"/>
                <w:sz w:val="16"/>
                <w:szCs w:val="16"/>
              </w:rPr>
              <w:t>Cash dividends declared ($2.12 per share)</w:t>
            </w:r>
          </w:p>
        </w:tc>
        <w:tc>
          <w:tcPr>
            <w:tcW w:w="0" w:type="auto"/>
            <w:gridSpan w:val="2"/>
            <w:shd w:val="clear" w:color="auto" w:fill="CCEEFF"/>
            <w:tcMar>
              <w:top w:w="40" w:type="dxa"/>
              <w:left w:w="20" w:type="dxa"/>
              <w:bottom w:w="40" w:type="dxa"/>
              <w:right w:w="0" w:type="dxa"/>
            </w:tcMar>
            <w:vAlign w:val="center"/>
          </w:tcPr>
          <w:p w14:paraId="35D0A70E"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0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1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11"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1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1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14"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1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1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17" w14:textId="77777777" w:rsidR="00D42204" w:rsidRDefault="004E439D">
            <w:pPr>
              <w:jc w:val="right"/>
              <w:textAlignment w:val="center"/>
            </w:pPr>
            <w:r>
              <w:rPr>
                <w:rFonts w:ascii="Times New Roman" w:eastAsia="宋体" w:hAnsi="Times New Roman"/>
                <w:color w:val="000000"/>
                <w:sz w:val="16"/>
                <w:szCs w:val="16"/>
              </w:rPr>
              <w:t>(6,048)</w:t>
            </w:r>
          </w:p>
        </w:tc>
        <w:tc>
          <w:tcPr>
            <w:tcW w:w="0" w:type="auto"/>
            <w:shd w:val="clear" w:color="auto" w:fill="CCEEFF"/>
            <w:tcMar>
              <w:top w:w="40" w:type="dxa"/>
              <w:left w:w="0" w:type="dxa"/>
              <w:bottom w:w="40" w:type="dxa"/>
              <w:right w:w="20" w:type="dxa"/>
            </w:tcMar>
            <w:vAlign w:val="center"/>
          </w:tcPr>
          <w:p w14:paraId="35D0A71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1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1A"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1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1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1D" w14:textId="77777777" w:rsidR="00D42204" w:rsidRDefault="004E439D">
            <w:pPr>
              <w:jc w:val="right"/>
              <w:textAlignment w:val="center"/>
            </w:pPr>
            <w:r>
              <w:rPr>
                <w:rFonts w:ascii="Times New Roman" w:eastAsia="宋体" w:hAnsi="Times New Roman"/>
                <w:color w:val="000000"/>
                <w:sz w:val="16"/>
                <w:szCs w:val="16"/>
              </w:rPr>
              <w:t>(6,048)</w:t>
            </w:r>
          </w:p>
        </w:tc>
        <w:tc>
          <w:tcPr>
            <w:tcW w:w="0" w:type="auto"/>
            <w:shd w:val="clear" w:color="auto" w:fill="CCEEFF"/>
            <w:tcMar>
              <w:top w:w="40" w:type="dxa"/>
              <w:left w:w="0" w:type="dxa"/>
              <w:bottom w:w="40" w:type="dxa"/>
              <w:right w:w="20" w:type="dxa"/>
            </w:tcMar>
            <w:vAlign w:val="center"/>
          </w:tcPr>
          <w:p w14:paraId="35D0A71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1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20"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2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2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23" w14:textId="77777777" w:rsidR="00D42204" w:rsidRDefault="004E439D">
            <w:pPr>
              <w:jc w:val="right"/>
              <w:textAlignment w:val="center"/>
            </w:pPr>
            <w:r>
              <w:rPr>
                <w:rFonts w:ascii="Times New Roman" w:eastAsia="宋体" w:hAnsi="Times New Roman"/>
                <w:color w:val="000000"/>
                <w:sz w:val="16"/>
                <w:szCs w:val="16"/>
              </w:rPr>
              <w:t>(6,048)</w:t>
            </w:r>
          </w:p>
        </w:tc>
        <w:tc>
          <w:tcPr>
            <w:tcW w:w="0" w:type="auto"/>
            <w:shd w:val="clear" w:color="auto" w:fill="CCEEFF"/>
            <w:tcMar>
              <w:top w:w="40" w:type="dxa"/>
              <w:left w:w="0" w:type="dxa"/>
              <w:bottom w:w="40" w:type="dxa"/>
              <w:right w:w="20" w:type="dxa"/>
            </w:tcMar>
            <w:vAlign w:val="center"/>
          </w:tcPr>
          <w:p w14:paraId="35D0A724" w14:textId="77777777" w:rsidR="00D42204" w:rsidRDefault="00D42204">
            <w:pPr>
              <w:jc w:val="right"/>
              <w:rPr>
                <w:rFonts w:ascii="宋体"/>
              </w:rPr>
            </w:pPr>
          </w:p>
        </w:tc>
        <w:tc>
          <w:tcPr>
            <w:tcW w:w="0" w:type="auto"/>
            <w:shd w:val="clear" w:color="auto" w:fill="auto"/>
            <w:vAlign w:val="bottom"/>
          </w:tcPr>
          <w:p w14:paraId="35D0A725" w14:textId="77777777" w:rsidR="00D42204" w:rsidRDefault="00D42204">
            <w:pPr>
              <w:rPr>
                <w:rFonts w:ascii="宋体"/>
                <w:vanish/>
              </w:rPr>
            </w:pPr>
          </w:p>
        </w:tc>
      </w:tr>
      <w:tr w:rsidR="00D42204" w14:paraId="35D0A740" w14:textId="77777777">
        <w:trPr>
          <w:jc w:val="center"/>
        </w:trPr>
        <w:tc>
          <w:tcPr>
            <w:tcW w:w="0" w:type="auto"/>
            <w:gridSpan w:val="3"/>
            <w:shd w:val="clear" w:color="auto" w:fill="FFFFFF"/>
            <w:tcMar>
              <w:top w:w="40" w:type="dxa"/>
              <w:left w:w="20" w:type="dxa"/>
              <w:bottom w:w="40" w:type="dxa"/>
              <w:right w:w="20" w:type="dxa"/>
            </w:tcMar>
            <w:vAlign w:val="center"/>
          </w:tcPr>
          <w:p w14:paraId="35D0A727" w14:textId="77777777" w:rsidR="00D42204" w:rsidRDefault="004E439D">
            <w:pPr>
              <w:textAlignment w:val="center"/>
            </w:pPr>
            <w:r>
              <w:rPr>
                <w:rFonts w:ascii="Times New Roman" w:eastAsia="宋体" w:hAnsi="Times New Roman"/>
                <w:color w:val="000000"/>
                <w:sz w:val="16"/>
                <w:szCs w:val="16"/>
              </w:rPr>
              <w:t>Purchase of Company stock</w:t>
            </w:r>
          </w:p>
        </w:tc>
        <w:tc>
          <w:tcPr>
            <w:tcW w:w="0" w:type="auto"/>
            <w:gridSpan w:val="2"/>
            <w:shd w:val="clear" w:color="auto" w:fill="FFFFFF"/>
            <w:tcMar>
              <w:top w:w="40" w:type="dxa"/>
              <w:left w:w="20" w:type="dxa"/>
              <w:bottom w:w="40" w:type="dxa"/>
              <w:right w:w="0" w:type="dxa"/>
            </w:tcMar>
            <w:vAlign w:val="center"/>
          </w:tcPr>
          <w:p w14:paraId="35D0A728" w14:textId="77777777" w:rsidR="00D42204" w:rsidRDefault="004E439D">
            <w:pPr>
              <w:jc w:val="right"/>
              <w:textAlignment w:val="center"/>
            </w:pPr>
            <w:r>
              <w:rPr>
                <w:rFonts w:ascii="Times New Roman" w:eastAsia="宋体" w:hAnsi="Times New Roman"/>
                <w:color w:val="000000"/>
                <w:sz w:val="16"/>
                <w:szCs w:val="16"/>
              </w:rPr>
              <w:t>(53)</w:t>
            </w:r>
          </w:p>
        </w:tc>
        <w:tc>
          <w:tcPr>
            <w:tcW w:w="0" w:type="auto"/>
            <w:shd w:val="clear" w:color="auto" w:fill="FFFFFF"/>
            <w:tcMar>
              <w:top w:w="40" w:type="dxa"/>
              <w:left w:w="0" w:type="dxa"/>
              <w:bottom w:w="40" w:type="dxa"/>
              <w:right w:w="20" w:type="dxa"/>
            </w:tcMar>
            <w:vAlign w:val="center"/>
          </w:tcPr>
          <w:p w14:paraId="35D0A72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2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2B" w14:textId="77777777" w:rsidR="00D42204" w:rsidRDefault="004E439D">
            <w:pPr>
              <w:jc w:val="right"/>
              <w:textAlignment w:val="center"/>
            </w:pPr>
            <w:r>
              <w:rPr>
                <w:rFonts w:ascii="Times New Roman" w:eastAsia="宋体" w:hAnsi="Times New Roman"/>
                <w:color w:val="000000"/>
                <w:sz w:val="16"/>
                <w:szCs w:val="16"/>
              </w:rPr>
              <w:t>(5)</w:t>
            </w:r>
          </w:p>
        </w:tc>
        <w:tc>
          <w:tcPr>
            <w:tcW w:w="0" w:type="auto"/>
            <w:shd w:val="clear" w:color="auto" w:fill="FFFFFF"/>
            <w:tcMar>
              <w:top w:w="40" w:type="dxa"/>
              <w:left w:w="0" w:type="dxa"/>
              <w:bottom w:w="40" w:type="dxa"/>
              <w:right w:w="20" w:type="dxa"/>
            </w:tcMar>
            <w:vAlign w:val="center"/>
          </w:tcPr>
          <w:p w14:paraId="35D0A72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2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2E" w14:textId="77777777" w:rsidR="00D42204" w:rsidRDefault="004E439D">
            <w:pPr>
              <w:jc w:val="right"/>
              <w:textAlignment w:val="center"/>
            </w:pPr>
            <w:r>
              <w:rPr>
                <w:rFonts w:ascii="Times New Roman" w:eastAsia="宋体" w:hAnsi="Times New Roman"/>
                <w:color w:val="000000"/>
                <w:sz w:val="16"/>
                <w:szCs w:val="16"/>
              </w:rPr>
              <w:t>(199)</w:t>
            </w:r>
          </w:p>
        </w:tc>
        <w:tc>
          <w:tcPr>
            <w:tcW w:w="0" w:type="auto"/>
            <w:shd w:val="clear" w:color="auto" w:fill="FFFFFF"/>
            <w:tcMar>
              <w:top w:w="40" w:type="dxa"/>
              <w:left w:w="0" w:type="dxa"/>
              <w:bottom w:w="40" w:type="dxa"/>
              <w:right w:w="20" w:type="dxa"/>
            </w:tcMar>
            <w:vAlign w:val="center"/>
          </w:tcPr>
          <w:p w14:paraId="35D0A72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3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31" w14:textId="77777777" w:rsidR="00D42204" w:rsidRDefault="004E439D">
            <w:pPr>
              <w:jc w:val="right"/>
              <w:textAlignment w:val="center"/>
            </w:pPr>
            <w:r>
              <w:rPr>
                <w:rFonts w:ascii="Times New Roman" w:eastAsia="宋体" w:hAnsi="Times New Roman"/>
                <w:color w:val="000000"/>
                <w:sz w:val="16"/>
                <w:szCs w:val="16"/>
              </w:rPr>
              <w:t>(5,435)</w:t>
            </w:r>
          </w:p>
        </w:tc>
        <w:tc>
          <w:tcPr>
            <w:tcW w:w="0" w:type="auto"/>
            <w:shd w:val="clear" w:color="auto" w:fill="FFFFFF"/>
            <w:tcMar>
              <w:top w:w="40" w:type="dxa"/>
              <w:left w:w="0" w:type="dxa"/>
              <w:bottom w:w="40" w:type="dxa"/>
              <w:right w:w="20" w:type="dxa"/>
            </w:tcMar>
            <w:vAlign w:val="center"/>
          </w:tcPr>
          <w:p w14:paraId="35D0A73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3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34"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73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3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37" w14:textId="77777777" w:rsidR="00D42204" w:rsidRDefault="004E439D">
            <w:pPr>
              <w:jc w:val="right"/>
              <w:textAlignment w:val="center"/>
            </w:pPr>
            <w:r>
              <w:rPr>
                <w:rFonts w:ascii="Times New Roman" w:eastAsia="宋体" w:hAnsi="Times New Roman"/>
                <w:color w:val="000000"/>
                <w:sz w:val="16"/>
                <w:szCs w:val="16"/>
              </w:rPr>
              <w:t>(5,639)</w:t>
            </w:r>
          </w:p>
        </w:tc>
        <w:tc>
          <w:tcPr>
            <w:tcW w:w="0" w:type="auto"/>
            <w:shd w:val="clear" w:color="auto" w:fill="FFFFFF"/>
            <w:tcMar>
              <w:top w:w="40" w:type="dxa"/>
              <w:left w:w="0" w:type="dxa"/>
              <w:bottom w:w="40" w:type="dxa"/>
              <w:right w:w="20" w:type="dxa"/>
            </w:tcMar>
            <w:vAlign w:val="center"/>
          </w:tcPr>
          <w:p w14:paraId="35D0A73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3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3A"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73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3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3D" w14:textId="77777777" w:rsidR="00D42204" w:rsidRDefault="004E439D">
            <w:pPr>
              <w:jc w:val="right"/>
              <w:textAlignment w:val="center"/>
            </w:pPr>
            <w:r>
              <w:rPr>
                <w:rFonts w:ascii="Times New Roman" w:eastAsia="宋体" w:hAnsi="Times New Roman"/>
                <w:color w:val="000000"/>
                <w:sz w:val="16"/>
                <w:szCs w:val="16"/>
              </w:rPr>
              <w:t>(5,639)</w:t>
            </w:r>
          </w:p>
        </w:tc>
        <w:tc>
          <w:tcPr>
            <w:tcW w:w="0" w:type="auto"/>
            <w:shd w:val="clear" w:color="auto" w:fill="FFFFFF"/>
            <w:tcMar>
              <w:top w:w="40" w:type="dxa"/>
              <w:left w:w="0" w:type="dxa"/>
              <w:bottom w:w="40" w:type="dxa"/>
              <w:right w:w="20" w:type="dxa"/>
            </w:tcMar>
            <w:vAlign w:val="center"/>
          </w:tcPr>
          <w:p w14:paraId="35D0A73E" w14:textId="77777777" w:rsidR="00D42204" w:rsidRDefault="00D42204">
            <w:pPr>
              <w:jc w:val="right"/>
              <w:rPr>
                <w:rFonts w:ascii="宋体"/>
              </w:rPr>
            </w:pPr>
          </w:p>
        </w:tc>
        <w:tc>
          <w:tcPr>
            <w:tcW w:w="0" w:type="auto"/>
            <w:shd w:val="clear" w:color="auto" w:fill="auto"/>
            <w:vAlign w:val="bottom"/>
          </w:tcPr>
          <w:p w14:paraId="35D0A73F" w14:textId="77777777" w:rsidR="00D42204" w:rsidRDefault="00D42204">
            <w:pPr>
              <w:rPr>
                <w:rFonts w:ascii="宋体"/>
                <w:vanish/>
              </w:rPr>
            </w:pPr>
          </w:p>
        </w:tc>
      </w:tr>
      <w:tr w:rsidR="00D42204" w14:paraId="35D0A75A" w14:textId="77777777">
        <w:trPr>
          <w:jc w:val="center"/>
        </w:trPr>
        <w:tc>
          <w:tcPr>
            <w:tcW w:w="0" w:type="auto"/>
            <w:gridSpan w:val="3"/>
            <w:shd w:val="clear" w:color="auto" w:fill="CCEEFF"/>
            <w:tcMar>
              <w:top w:w="40" w:type="dxa"/>
              <w:left w:w="20" w:type="dxa"/>
              <w:bottom w:w="40" w:type="dxa"/>
              <w:right w:w="20" w:type="dxa"/>
            </w:tcMar>
            <w:vAlign w:val="center"/>
          </w:tcPr>
          <w:p w14:paraId="35D0A741" w14:textId="77777777" w:rsidR="00D42204" w:rsidRDefault="004E439D">
            <w:pPr>
              <w:textAlignment w:val="center"/>
            </w:pPr>
            <w:r>
              <w:rPr>
                <w:rFonts w:ascii="Times New Roman" w:eastAsia="宋体" w:hAnsi="Times New Roman"/>
                <w:color w:val="000000"/>
                <w:sz w:val="16"/>
                <w:szCs w:val="16"/>
              </w:rPr>
              <w:t>Cash dividend declared to noncontrolling interest</w:t>
            </w:r>
          </w:p>
        </w:tc>
        <w:tc>
          <w:tcPr>
            <w:tcW w:w="0" w:type="auto"/>
            <w:gridSpan w:val="2"/>
            <w:shd w:val="clear" w:color="auto" w:fill="CCEEFF"/>
            <w:tcMar>
              <w:top w:w="40" w:type="dxa"/>
              <w:left w:w="20" w:type="dxa"/>
              <w:bottom w:w="40" w:type="dxa"/>
              <w:right w:w="0" w:type="dxa"/>
            </w:tcMar>
            <w:vAlign w:val="center"/>
          </w:tcPr>
          <w:p w14:paraId="35D0A742"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4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4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45"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4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4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48"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4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4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4B"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4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4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4E"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4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5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51"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5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5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54" w14:textId="77777777" w:rsidR="00D42204" w:rsidRDefault="004E439D">
            <w:pPr>
              <w:jc w:val="right"/>
              <w:textAlignment w:val="center"/>
            </w:pPr>
            <w:r>
              <w:rPr>
                <w:rFonts w:ascii="Times New Roman" w:eastAsia="宋体" w:hAnsi="Times New Roman"/>
                <w:color w:val="000000"/>
                <w:sz w:val="16"/>
                <w:szCs w:val="16"/>
              </w:rPr>
              <w:t>(475)</w:t>
            </w:r>
          </w:p>
        </w:tc>
        <w:tc>
          <w:tcPr>
            <w:tcW w:w="0" w:type="auto"/>
            <w:shd w:val="clear" w:color="auto" w:fill="CCEEFF"/>
            <w:tcMar>
              <w:top w:w="40" w:type="dxa"/>
              <w:left w:w="0" w:type="dxa"/>
              <w:bottom w:w="40" w:type="dxa"/>
              <w:right w:w="20" w:type="dxa"/>
            </w:tcMar>
            <w:vAlign w:val="center"/>
          </w:tcPr>
          <w:p w14:paraId="35D0A75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5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57" w14:textId="77777777" w:rsidR="00D42204" w:rsidRDefault="004E439D">
            <w:pPr>
              <w:jc w:val="right"/>
              <w:textAlignment w:val="center"/>
            </w:pPr>
            <w:r>
              <w:rPr>
                <w:rFonts w:ascii="Times New Roman" w:eastAsia="宋体" w:hAnsi="Times New Roman"/>
                <w:color w:val="000000"/>
                <w:sz w:val="16"/>
                <w:szCs w:val="16"/>
              </w:rPr>
              <w:t>(475)</w:t>
            </w:r>
          </w:p>
        </w:tc>
        <w:tc>
          <w:tcPr>
            <w:tcW w:w="0" w:type="auto"/>
            <w:shd w:val="clear" w:color="auto" w:fill="CCEEFF"/>
            <w:tcMar>
              <w:top w:w="40" w:type="dxa"/>
              <w:left w:w="0" w:type="dxa"/>
              <w:bottom w:w="40" w:type="dxa"/>
              <w:right w:w="20" w:type="dxa"/>
            </w:tcMar>
            <w:vAlign w:val="center"/>
          </w:tcPr>
          <w:p w14:paraId="35D0A758" w14:textId="77777777" w:rsidR="00D42204" w:rsidRDefault="00D42204">
            <w:pPr>
              <w:jc w:val="right"/>
              <w:rPr>
                <w:rFonts w:ascii="宋体"/>
              </w:rPr>
            </w:pPr>
          </w:p>
        </w:tc>
        <w:tc>
          <w:tcPr>
            <w:tcW w:w="0" w:type="auto"/>
            <w:shd w:val="clear" w:color="auto" w:fill="auto"/>
            <w:vAlign w:val="bottom"/>
          </w:tcPr>
          <w:p w14:paraId="35D0A759" w14:textId="77777777" w:rsidR="00D42204" w:rsidRDefault="00D42204">
            <w:pPr>
              <w:rPr>
                <w:rFonts w:ascii="宋体"/>
                <w:vanish/>
              </w:rPr>
            </w:pPr>
          </w:p>
        </w:tc>
      </w:tr>
      <w:tr w:rsidR="00D42204" w14:paraId="35D0A774" w14:textId="77777777">
        <w:trPr>
          <w:jc w:val="center"/>
        </w:trPr>
        <w:tc>
          <w:tcPr>
            <w:tcW w:w="0" w:type="auto"/>
            <w:gridSpan w:val="3"/>
            <w:shd w:val="clear" w:color="auto" w:fill="FFFFFF"/>
            <w:tcMar>
              <w:top w:w="40" w:type="dxa"/>
              <w:left w:w="20" w:type="dxa"/>
              <w:bottom w:w="40" w:type="dxa"/>
              <w:right w:w="20" w:type="dxa"/>
            </w:tcMar>
            <w:vAlign w:val="center"/>
          </w:tcPr>
          <w:p w14:paraId="35D0A75B" w14:textId="77777777" w:rsidR="00D42204" w:rsidRDefault="004E439D">
            <w:pPr>
              <w:textAlignment w:val="center"/>
            </w:pPr>
            <w:r>
              <w:rPr>
                <w:rFonts w:ascii="Times New Roman" w:eastAsia="宋体" w:hAnsi="Times New Roman"/>
                <w:color w:val="000000"/>
                <w:sz w:val="16"/>
                <w:szCs w:val="16"/>
              </w:rPr>
              <w:t>Sale of subsidiary stock</w:t>
            </w:r>
          </w:p>
        </w:tc>
        <w:tc>
          <w:tcPr>
            <w:tcW w:w="0" w:type="auto"/>
            <w:gridSpan w:val="2"/>
            <w:shd w:val="clear" w:color="auto" w:fill="FFFFFF"/>
            <w:tcMar>
              <w:top w:w="40" w:type="dxa"/>
              <w:left w:w="20" w:type="dxa"/>
              <w:bottom w:w="40" w:type="dxa"/>
              <w:right w:w="0" w:type="dxa"/>
            </w:tcMar>
            <w:vAlign w:val="center"/>
          </w:tcPr>
          <w:p w14:paraId="35D0A75C"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75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5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5F"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76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6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62" w14:textId="77777777" w:rsidR="00D42204" w:rsidRDefault="004E439D">
            <w:pPr>
              <w:jc w:val="right"/>
              <w:textAlignment w:val="center"/>
            </w:pPr>
            <w:r>
              <w:rPr>
                <w:rFonts w:ascii="Times New Roman" w:eastAsia="宋体" w:hAnsi="Times New Roman"/>
                <w:color w:val="000000"/>
                <w:sz w:val="16"/>
                <w:szCs w:val="16"/>
              </w:rPr>
              <w:t>37 </w:t>
            </w:r>
          </w:p>
        </w:tc>
        <w:tc>
          <w:tcPr>
            <w:tcW w:w="0" w:type="auto"/>
            <w:shd w:val="clear" w:color="auto" w:fill="FFFFFF"/>
            <w:tcMar>
              <w:top w:w="40" w:type="dxa"/>
              <w:left w:w="0" w:type="dxa"/>
              <w:bottom w:w="40" w:type="dxa"/>
              <w:right w:w="20" w:type="dxa"/>
            </w:tcMar>
            <w:vAlign w:val="center"/>
          </w:tcPr>
          <w:p w14:paraId="35D0A76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6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65"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76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6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68"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76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6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6B" w14:textId="77777777" w:rsidR="00D42204" w:rsidRDefault="004E439D">
            <w:pPr>
              <w:jc w:val="right"/>
              <w:textAlignment w:val="center"/>
            </w:pPr>
            <w:r>
              <w:rPr>
                <w:rFonts w:ascii="Times New Roman" w:eastAsia="宋体" w:hAnsi="Times New Roman"/>
                <w:color w:val="000000"/>
                <w:sz w:val="16"/>
                <w:szCs w:val="16"/>
              </w:rPr>
              <w:t>37 </w:t>
            </w:r>
          </w:p>
        </w:tc>
        <w:tc>
          <w:tcPr>
            <w:tcW w:w="0" w:type="auto"/>
            <w:shd w:val="clear" w:color="auto" w:fill="FFFFFF"/>
            <w:tcMar>
              <w:top w:w="40" w:type="dxa"/>
              <w:left w:w="0" w:type="dxa"/>
              <w:bottom w:w="40" w:type="dxa"/>
              <w:right w:w="20" w:type="dxa"/>
            </w:tcMar>
            <w:vAlign w:val="center"/>
          </w:tcPr>
          <w:p w14:paraId="35D0A76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6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6E" w14:textId="77777777" w:rsidR="00D42204" w:rsidRDefault="004E439D">
            <w:pPr>
              <w:jc w:val="right"/>
              <w:textAlignment w:val="center"/>
            </w:pPr>
            <w:r>
              <w:rPr>
                <w:rFonts w:ascii="Times New Roman" w:eastAsia="宋体" w:hAnsi="Times New Roman"/>
                <w:color w:val="000000"/>
                <w:sz w:val="16"/>
                <w:szCs w:val="16"/>
              </w:rPr>
              <w:t>15 </w:t>
            </w:r>
          </w:p>
        </w:tc>
        <w:tc>
          <w:tcPr>
            <w:tcW w:w="0" w:type="auto"/>
            <w:shd w:val="clear" w:color="auto" w:fill="FFFFFF"/>
            <w:tcMar>
              <w:top w:w="40" w:type="dxa"/>
              <w:left w:w="0" w:type="dxa"/>
              <w:bottom w:w="40" w:type="dxa"/>
              <w:right w:w="20" w:type="dxa"/>
            </w:tcMar>
            <w:vAlign w:val="center"/>
          </w:tcPr>
          <w:p w14:paraId="35D0A76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7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71" w14:textId="77777777" w:rsidR="00D42204" w:rsidRDefault="004E439D">
            <w:pPr>
              <w:jc w:val="right"/>
              <w:textAlignment w:val="center"/>
            </w:pPr>
            <w:r>
              <w:rPr>
                <w:rFonts w:ascii="Times New Roman" w:eastAsia="宋体" w:hAnsi="Times New Roman"/>
                <w:color w:val="000000"/>
                <w:sz w:val="16"/>
                <w:szCs w:val="16"/>
              </w:rPr>
              <w:t>52 </w:t>
            </w:r>
          </w:p>
        </w:tc>
        <w:tc>
          <w:tcPr>
            <w:tcW w:w="0" w:type="auto"/>
            <w:shd w:val="clear" w:color="auto" w:fill="FFFFFF"/>
            <w:tcMar>
              <w:top w:w="40" w:type="dxa"/>
              <w:left w:w="0" w:type="dxa"/>
              <w:bottom w:w="40" w:type="dxa"/>
              <w:right w:w="20" w:type="dxa"/>
            </w:tcMar>
            <w:vAlign w:val="center"/>
          </w:tcPr>
          <w:p w14:paraId="35D0A772" w14:textId="77777777" w:rsidR="00D42204" w:rsidRDefault="00D42204">
            <w:pPr>
              <w:jc w:val="right"/>
              <w:rPr>
                <w:rFonts w:ascii="宋体"/>
              </w:rPr>
            </w:pPr>
          </w:p>
        </w:tc>
        <w:tc>
          <w:tcPr>
            <w:tcW w:w="0" w:type="auto"/>
            <w:shd w:val="clear" w:color="auto" w:fill="auto"/>
            <w:vAlign w:val="bottom"/>
          </w:tcPr>
          <w:p w14:paraId="35D0A773" w14:textId="77777777" w:rsidR="00D42204" w:rsidRDefault="00D42204">
            <w:pPr>
              <w:rPr>
                <w:rFonts w:ascii="宋体"/>
                <w:vanish/>
              </w:rPr>
            </w:pPr>
          </w:p>
        </w:tc>
      </w:tr>
      <w:tr w:rsidR="00D42204" w14:paraId="35D0A78E" w14:textId="77777777">
        <w:trPr>
          <w:jc w:val="center"/>
        </w:trPr>
        <w:tc>
          <w:tcPr>
            <w:tcW w:w="0" w:type="auto"/>
            <w:gridSpan w:val="3"/>
            <w:shd w:val="clear" w:color="auto" w:fill="CCEEFF"/>
            <w:tcMar>
              <w:top w:w="40" w:type="dxa"/>
              <w:left w:w="20" w:type="dxa"/>
              <w:bottom w:w="40" w:type="dxa"/>
              <w:right w:w="20" w:type="dxa"/>
            </w:tcMar>
            <w:vAlign w:val="center"/>
          </w:tcPr>
          <w:p w14:paraId="35D0A775" w14:textId="77777777" w:rsidR="00D42204" w:rsidRDefault="004E439D">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35D0A776" w14:textId="77777777" w:rsidR="00D42204" w:rsidRDefault="004E439D">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35D0A77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7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79" w14:textId="77777777" w:rsidR="00D42204" w:rsidRDefault="004E439D">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35D0A77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7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7C" w14:textId="77777777" w:rsidR="00D42204" w:rsidRDefault="004E439D">
            <w:pPr>
              <w:jc w:val="right"/>
              <w:textAlignment w:val="center"/>
            </w:pPr>
            <w:r>
              <w:rPr>
                <w:rFonts w:ascii="Times New Roman" w:eastAsia="宋体" w:hAnsi="Times New Roman"/>
                <w:color w:val="000000"/>
                <w:sz w:val="16"/>
                <w:szCs w:val="16"/>
              </w:rPr>
              <w:t>444 </w:t>
            </w:r>
          </w:p>
        </w:tc>
        <w:tc>
          <w:tcPr>
            <w:tcW w:w="0" w:type="auto"/>
            <w:shd w:val="clear" w:color="auto" w:fill="CCEEFF"/>
            <w:tcMar>
              <w:top w:w="40" w:type="dxa"/>
              <w:left w:w="0" w:type="dxa"/>
              <w:bottom w:w="40" w:type="dxa"/>
              <w:right w:w="20" w:type="dxa"/>
            </w:tcMar>
            <w:vAlign w:val="center"/>
          </w:tcPr>
          <w:p w14:paraId="35D0A77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7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7F" w14:textId="77777777" w:rsidR="00D42204" w:rsidRDefault="004E439D">
            <w:pPr>
              <w:jc w:val="right"/>
              <w:textAlignment w:val="center"/>
            </w:pPr>
            <w:r>
              <w:rPr>
                <w:rFonts w:ascii="Times New Roman" w:eastAsia="宋体" w:hAnsi="Times New Roman"/>
                <w:color w:val="000000"/>
                <w:sz w:val="16"/>
                <w:szCs w:val="16"/>
              </w:rPr>
              <w:t>26 </w:t>
            </w:r>
          </w:p>
        </w:tc>
        <w:tc>
          <w:tcPr>
            <w:tcW w:w="0" w:type="auto"/>
            <w:shd w:val="clear" w:color="auto" w:fill="CCEEFF"/>
            <w:tcMar>
              <w:top w:w="40" w:type="dxa"/>
              <w:left w:w="0" w:type="dxa"/>
              <w:bottom w:w="40" w:type="dxa"/>
              <w:right w:w="20" w:type="dxa"/>
            </w:tcMar>
            <w:vAlign w:val="center"/>
          </w:tcPr>
          <w:p w14:paraId="35D0A78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8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82"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8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8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85" w14:textId="77777777" w:rsidR="00D42204" w:rsidRDefault="004E439D">
            <w:pPr>
              <w:jc w:val="right"/>
              <w:textAlignment w:val="center"/>
            </w:pPr>
            <w:r>
              <w:rPr>
                <w:rFonts w:ascii="Times New Roman" w:eastAsia="宋体" w:hAnsi="Times New Roman"/>
                <w:color w:val="000000"/>
                <w:sz w:val="16"/>
                <w:szCs w:val="16"/>
              </w:rPr>
              <w:t>471 </w:t>
            </w:r>
          </w:p>
        </w:tc>
        <w:tc>
          <w:tcPr>
            <w:tcW w:w="0" w:type="auto"/>
            <w:shd w:val="clear" w:color="auto" w:fill="CCEEFF"/>
            <w:tcMar>
              <w:top w:w="40" w:type="dxa"/>
              <w:left w:w="0" w:type="dxa"/>
              <w:bottom w:w="40" w:type="dxa"/>
              <w:right w:w="20" w:type="dxa"/>
            </w:tcMar>
            <w:vAlign w:val="center"/>
          </w:tcPr>
          <w:p w14:paraId="35D0A78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8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88" w14:textId="77777777" w:rsidR="00D42204" w:rsidRDefault="004E439D">
            <w:pPr>
              <w:jc w:val="right"/>
              <w:textAlignment w:val="center"/>
            </w:pPr>
            <w:r>
              <w:rPr>
                <w:rFonts w:ascii="Times New Roman" w:eastAsia="宋体" w:hAnsi="Times New Roman"/>
                <w:color w:val="000000"/>
                <w:sz w:val="16"/>
                <w:szCs w:val="16"/>
              </w:rPr>
              <w:t>(109)</w:t>
            </w:r>
          </w:p>
        </w:tc>
        <w:tc>
          <w:tcPr>
            <w:tcW w:w="0" w:type="auto"/>
            <w:shd w:val="clear" w:color="auto" w:fill="CCEEFF"/>
            <w:tcMar>
              <w:top w:w="40" w:type="dxa"/>
              <w:left w:w="0" w:type="dxa"/>
              <w:bottom w:w="40" w:type="dxa"/>
              <w:right w:w="20" w:type="dxa"/>
            </w:tcMar>
            <w:vAlign w:val="center"/>
          </w:tcPr>
          <w:p w14:paraId="35D0A78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8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8B" w14:textId="77777777" w:rsidR="00D42204" w:rsidRDefault="004E439D">
            <w:pPr>
              <w:jc w:val="right"/>
              <w:textAlignment w:val="center"/>
            </w:pPr>
            <w:r>
              <w:rPr>
                <w:rFonts w:ascii="Times New Roman" w:eastAsia="宋体" w:hAnsi="Times New Roman"/>
                <w:color w:val="000000"/>
                <w:sz w:val="16"/>
                <w:szCs w:val="16"/>
              </w:rPr>
              <w:t>362 </w:t>
            </w:r>
          </w:p>
        </w:tc>
        <w:tc>
          <w:tcPr>
            <w:tcW w:w="0" w:type="auto"/>
            <w:shd w:val="clear" w:color="auto" w:fill="CCEEFF"/>
            <w:tcMar>
              <w:top w:w="40" w:type="dxa"/>
              <w:left w:w="0" w:type="dxa"/>
              <w:bottom w:w="40" w:type="dxa"/>
              <w:right w:w="20" w:type="dxa"/>
            </w:tcMar>
            <w:vAlign w:val="center"/>
          </w:tcPr>
          <w:p w14:paraId="35D0A78C" w14:textId="77777777" w:rsidR="00D42204" w:rsidRDefault="00D42204">
            <w:pPr>
              <w:jc w:val="right"/>
              <w:rPr>
                <w:rFonts w:ascii="宋体"/>
              </w:rPr>
            </w:pPr>
          </w:p>
        </w:tc>
        <w:tc>
          <w:tcPr>
            <w:tcW w:w="0" w:type="auto"/>
            <w:shd w:val="clear" w:color="auto" w:fill="auto"/>
            <w:vAlign w:val="bottom"/>
          </w:tcPr>
          <w:p w14:paraId="35D0A78D" w14:textId="77777777" w:rsidR="00D42204" w:rsidRDefault="00D42204">
            <w:pPr>
              <w:rPr>
                <w:rFonts w:ascii="宋体"/>
                <w:vanish/>
              </w:rPr>
            </w:pPr>
          </w:p>
        </w:tc>
      </w:tr>
      <w:tr w:rsidR="00D42204" w14:paraId="35D0A7A8" w14:textId="77777777">
        <w:trPr>
          <w:jc w:val="center"/>
        </w:trPr>
        <w:tc>
          <w:tcPr>
            <w:tcW w:w="0" w:type="auto"/>
            <w:gridSpan w:val="3"/>
            <w:shd w:val="clear" w:color="auto" w:fill="FFFFFF"/>
            <w:tcMar>
              <w:top w:w="40" w:type="dxa"/>
              <w:left w:w="20" w:type="dxa"/>
              <w:bottom w:w="40" w:type="dxa"/>
              <w:right w:w="20" w:type="dxa"/>
            </w:tcMar>
            <w:vAlign w:val="center"/>
          </w:tcPr>
          <w:p w14:paraId="35D0A78F" w14:textId="77777777" w:rsidR="00D42204" w:rsidRDefault="004E439D">
            <w:pPr>
              <w:textAlignment w:val="center"/>
            </w:pPr>
            <w:r>
              <w:rPr>
                <w:rFonts w:ascii="Times New Roman" w:eastAsia="宋体" w:hAnsi="Times New Roman"/>
                <w:b/>
                <w:bCs/>
                <w:color w:val="000000"/>
                <w:sz w:val="16"/>
                <w:szCs w:val="16"/>
              </w:rPr>
              <w:t>Balances as of January 31, 2020</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790" w14:textId="77777777" w:rsidR="00D42204" w:rsidRDefault="004E439D">
            <w:pPr>
              <w:jc w:val="right"/>
              <w:textAlignment w:val="center"/>
            </w:pPr>
            <w:r>
              <w:rPr>
                <w:rFonts w:ascii="Times New Roman" w:eastAsia="宋体" w:hAnsi="Times New Roman"/>
                <w:color w:val="000000"/>
                <w:sz w:val="16"/>
                <w:szCs w:val="16"/>
              </w:rPr>
              <w:t>2,832 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79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92"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793" w14:textId="77777777" w:rsidR="00D42204" w:rsidRDefault="004E439D">
            <w:pPr>
              <w:jc w:val="right"/>
              <w:textAlignment w:val="center"/>
            </w:pPr>
            <w:r>
              <w:rPr>
                <w:rFonts w:ascii="Times New Roman" w:eastAsia="宋体" w:hAnsi="Times New Roman"/>
                <w:color w:val="000000"/>
                <w:sz w:val="16"/>
                <w:szCs w:val="16"/>
              </w:rPr>
              <w:t>284 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79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95"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796" w14:textId="77777777" w:rsidR="00D42204" w:rsidRDefault="004E439D">
            <w:pPr>
              <w:jc w:val="right"/>
              <w:textAlignment w:val="center"/>
            </w:pPr>
            <w:r>
              <w:rPr>
                <w:rFonts w:ascii="Times New Roman" w:eastAsia="宋体" w:hAnsi="Times New Roman"/>
                <w:color w:val="000000"/>
                <w:sz w:val="16"/>
                <w:szCs w:val="16"/>
              </w:rPr>
              <w:t>3,247 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79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98"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799" w14:textId="77777777" w:rsidR="00D42204" w:rsidRDefault="004E439D">
            <w:pPr>
              <w:jc w:val="right"/>
              <w:textAlignment w:val="center"/>
            </w:pPr>
            <w:r>
              <w:rPr>
                <w:rFonts w:ascii="Times New Roman" w:eastAsia="宋体" w:hAnsi="Times New Roman"/>
                <w:color w:val="000000"/>
                <w:sz w:val="16"/>
                <w:szCs w:val="16"/>
              </w:rPr>
              <w:t>83,943 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79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9B"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79C" w14:textId="77777777" w:rsidR="00D42204" w:rsidRDefault="004E439D">
            <w:pPr>
              <w:jc w:val="right"/>
              <w:textAlignment w:val="center"/>
            </w:pPr>
            <w:r>
              <w:rPr>
                <w:rFonts w:ascii="Times New Roman" w:eastAsia="宋体" w:hAnsi="Times New Roman"/>
                <w:color w:val="000000"/>
                <w:sz w:val="16"/>
                <w:szCs w:val="16"/>
              </w:rPr>
              <w:t>(12,805)</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79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9E"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79F" w14:textId="77777777" w:rsidR="00D42204" w:rsidRDefault="004E439D">
            <w:pPr>
              <w:jc w:val="right"/>
              <w:textAlignment w:val="center"/>
            </w:pPr>
            <w:r>
              <w:rPr>
                <w:rFonts w:ascii="Times New Roman" w:eastAsia="宋体" w:hAnsi="Times New Roman"/>
                <w:color w:val="000000"/>
                <w:sz w:val="16"/>
                <w:szCs w:val="16"/>
              </w:rPr>
              <w:t>74,669 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7A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A1"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7A2" w14:textId="77777777" w:rsidR="00D42204" w:rsidRDefault="004E439D">
            <w:pPr>
              <w:jc w:val="right"/>
              <w:textAlignment w:val="center"/>
            </w:pPr>
            <w:r>
              <w:rPr>
                <w:rFonts w:ascii="Times New Roman" w:eastAsia="宋体" w:hAnsi="Times New Roman"/>
                <w:color w:val="000000"/>
                <w:sz w:val="16"/>
                <w:szCs w:val="16"/>
              </w:rPr>
              <w:t>6,883 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7A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A4"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7A5" w14:textId="77777777" w:rsidR="00D42204" w:rsidRDefault="004E439D">
            <w:pPr>
              <w:jc w:val="right"/>
              <w:textAlignment w:val="center"/>
            </w:pPr>
            <w:r>
              <w:rPr>
                <w:rFonts w:ascii="Times New Roman" w:eastAsia="宋体" w:hAnsi="Times New Roman"/>
                <w:color w:val="000000"/>
                <w:sz w:val="16"/>
                <w:szCs w:val="16"/>
              </w:rPr>
              <w:t>81,552 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7A6" w14:textId="77777777" w:rsidR="00D42204" w:rsidRDefault="00D42204">
            <w:pPr>
              <w:jc w:val="right"/>
              <w:rPr>
                <w:rFonts w:ascii="宋体"/>
              </w:rPr>
            </w:pPr>
          </w:p>
        </w:tc>
        <w:tc>
          <w:tcPr>
            <w:tcW w:w="0" w:type="auto"/>
            <w:shd w:val="clear" w:color="auto" w:fill="auto"/>
            <w:vAlign w:val="bottom"/>
          </w:tcPr>
          <w:p w14:paraId="35D0A7A7" w14:textId="77777777" w:rsidR="00D42204" w:rsidRDefault="00D42204">
            <w:pPr>
              <w:rPr>
                <w:rFonts w:ascii="宋体"/>
                <w:vanish/>
              </w:rPr>
            </w:pPr>
          </w:p>
        </w:tc>
      </w:tr>
      <w:tr w:rsidR="00D42204" w14:paraId="35D0A7C2" w14:textId="77777777">
        <w:trPr>
          <w:jc w:val="center"/>
        </w:trPr>
        <w:tc>
          <w:tcPr>
            <w:tcW w:w="0" w:type="auto"/>
            <w:gridSpan w:val="3"/>
            <w:shd w:val="clear" w:color="auto" w:fill="CCEEFF"/>
            <w:tcMar>
              <w:top w:w="40" w:type="dxa"/>
              <w:left w:w="20" w:type="dxa"/>
              <w:bottom w:w="40" w:type="dxa"/>
              <w:right w:w="20" w:type="dxa"/>
            </w:tcMar>
            <w:vAlign w:val="center"/>
          </w:tcPr>
          <w:p w14:paraId="35D0A7A9" w14:textId="77777777" w:rsidR="00D42204" w:rsidRDefault="004E439D">
            <w:pPr>
              <w:textAlignment w:val="center"/>
            </w:pPr>
            <w:r>
              <w:rPr>
                <w:rFonts w:ascii="Times New Roman" w:eastAsia="宋体" w:hAnsi="Times New Roman"/>
                <w:color w:val="000000"/>
                <w:sz w:val="16"/>
                <w:szCs w:val="16"/>
              </w:rPr>
              <w:t>Consolidated net income</w:t>
            </w:r>
          </w:p>
        </w:tc>
        <w:tc>
          <w:tcPr>
            <w:tcW w:w="0" w:type="auto"/>
            <w:gridSpan w:val="2"/>
            <w:shd w:val="clear" w:color="auto" w:fill="CCEEFF"/>
            <w:tcMar>
              <w:top w:w="40" w:type="dxa"/>
              <w:left w:w="20" w:type="dxa"/>
              <w:bottom w:w="40" w:type="dxa"/>
              <w:right w:w="0" w:type="dxa"/>
            </w:tcMar>
            <w:vAlign w:val="center"/>
          </w:tcPr>
          <w:p w14:paraId="35D0A7AA"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A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A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AD"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A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A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B0"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B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B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B3" w14:textId="77777777" w:rsidR="00D42204" w:rsidRDefault="004E439D">
            <w:pPr>
              <w:jc w:val="right"/>
              <w:textAlignment w:val="center"/>
            </w:pPr>
            <w:r>
              <w:rPr>
                <w:rFonts w:ascii="Times New Roman" w:eastAsia="宋体" w:hAnsi="Times New Roman"/>
                <w:color w:val="000000"/>
                <w:sz w:val="16"/>
                <w:szCs w:val="16"/>
              </w:rPr>
              <w:t>13,510 </w:t>
            </w:r>
          </w:p>
        </w:tc>
        <w:tc>
          <w:tcPr>
            <w:tcW w:w="0" w:type="auto"/>
            <w:shd w:val="clear" w:color="auto" w:fill="CCEEFF"/>
            <w:tcMar>
              <w:top w:w="40" w:type="dxa"/>
              <w:left w:w="0" w:type="dxa"/>
              <w:bottom w:w="40" w:type="dxa"/>
              <w:right w:w="20" w:type="dxa"/>
            </w:tcMar>
            <w:vAlign w:val="center"/>
          </w:tcPr>
          <w:p w14:paraId="35D0A7B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B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B6"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B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B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B9" w14:textId="77777777" w:rsidR="00D42204" w:rsidRDefault="004E439D">
            <w:pPr>
              <w:jc w:val="right"/>
              <w:textAlignment w:val="center"/>
            </w:pPr>
            <w:r>
              <w:rPr>
                <w:rFonts w:ascii="Times New Roman" w:eastAsia="宋体" w:hAnsi="Times New Roman"/>
                <w:color w:val="000000"/>
                <w:sz w:val="16"/>
                <w:szCs w:val="16"/>
              </w:rPr>
              <w:t>13,510 </w:t>
            </w:r>
          </w:p>
        </w:tc>
        <w:tc>
          <w:tcPr>
            <w:tcW w:w="0" w:type="auto"/>
            <w:shd w:val="clear" w:color="auto" w:fill="CCEEFF"/>
            <w:tcMar>
              <w:top w:w="40" w:type="dxa"/>
              <w:left w:w="0" w:type="dxa"/>
              <w:bottom w:w="40" w:type="dxa"/>
              <w:right w:w="20" w:type="dxa"/>
            </w:tcMar>
            <w:vAlign w:val="center"/>
          </w:tcPr>
          <w:p w14:paraId="35D0A7B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B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BC" w14:textId="77777777" w:rsidR="00D42204" w:rsidRDefault="004E439D">
            <w:pPr>
              <w:jc w:val="right"/>
              <w:textAlignment w:val="center"/>
            </w:pPr>
            <w:r>
              <w:rPr>
                <w:rFonts w:ascii="Times New Roman" w:eastAsia="宋体" w:hAnsi="Times New Roman"/>
                <w:color w:val="000000"/>
                <w:sz w:val="16"/>
                <w:szCs w:val="16"/>
              </w:rPr>
              <w:t>196 </w:t>
            </w:r>
          </w:p>
        </w:tc>
        <w:tc>
          <w:tcPr>
            <w:tcW w:w="0" w:type="auto"/>
            <w:shd w:val="clear" w:color="auto" w:fill="CCEEFF"/>
            <w:tcMar>
              <w:top w:w="40" w:type="dxa"/>
              <w:left w:w="0" w:type="dxa"/>
              <w:bottom w:w="40" w:type="dxa"/>
              <w:right w:w="20" w:type="dxa"/>
            </w:tcMar>
            <w:vAlign w:val="center"/>
          </w:tcPr>
          <w:p w14:paraId="35D0A7B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B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BF" w14:textId="77777777" w:rsidR="00D42204" w:rsidRDefault="004E439D">
            <w:pPr>
              <w:jc w:val="right"/>
              <w:textAlignment w:val="center"/>
            </w:pPr>
            <w:r>
              <w:rPr>
                <w:rFonts w:ascii="Times New Roman" w:eastAsia="宋体" w:hAnsi="Times New Roman"/>
                <w:color w:val="000000"/>
                <w:sz w:val="16"/>
                <w:szCs w:val="16"/>
              </w:rPr>
              <w:t>13,706 </w:t>
            </w:r>
          </w:p>
        </w:tc>
        <w:tc>
          <w:tcPr>
            <w:tcW w:w="0" w:type="auto"/>
            <w:shd w:val="clear" w:color="auto" w:fill="CCEEFF"/>
            <w:tcMar>
              <w:top w:w="40" w:type="dxa"/>
              <w:left w:w="0" w:type="dxa"/>
              <w:bottom w:w="40" w:type="dxa"/>
              <w:right w:w="20" w:type="dxa"/>
            </w:tcMar>
            <w:vAlign w:val="center"/>
          </w:tcPr>
          <w:p w14:paraId="35D0A7C0" w14:textId="77777777" w:rsidR="00D42204" w:rsidRDefault="00D42204">
            <w:pPr>
              <w:jc w:val="right"/>
              <w:rPr>
                <w:rFonts w:ascii="宋体"/>
              </w:rPr>
            </w:pPr>
          </w:p>
        </w:tc>
        <w:tc>
          <w:tcPr>
            <w:tcW w:w="0" w:type="auto"/>
            <w:shd w:val="clear" w:color="auto" w:fill="auto"/>
            <w:vAlign w:val="bottom"/>
          </w:tcPr>
          <w:p w14:paraId="35D0A7C1" w14:textId="77777777" w:rsidR="00D42204" w:rsidRDefault="00D42204">
            <w:pPr>
              <w:rPr>
                <w:rFonts w:ascii="宋体"/>
                <w:vanish/>
              </w:rPr>
            </w:pPr>
          </w:p>
        </w:tc>
      </w:tr>
      <w:tr w:rsidR="00D42204" w14:paraId="35D0A7DC" w14:textId="77777777">
        <w:trPr>
          <w:jc w:val="center"/>
        </w:trPr>
        <w:tc>
          <w:tcPr>
            <w:tcW w:w="0" w:type="auto"/>
            <w:gridSpan w:val="3"/>
            <w:shd w:val="clear" w:color="auto" w:fill="FFFFFF"/>
            <w:tcMar>
              <w:top w:w="40" w:type="dxa"/>
              <w:left w:w="20" w:type="dxa"/>
              <w:bottom w:w="40" w:type="dxa"/>
              <w:right w:w="20" w:type="dxa"/>
            </w:tcMar>
            <w:vAlign w:val="center"/>
          </w:tcPr>
          <w:p w14:paraId="35D0A7C3" w14:textId="77777777" w:rsidR="00D42204" w:rsidRDefault="004E439D">
            <w:pPr>
              <w:textAlignment w:val="center"/>
            </w:pPr>
            <w:r>
              <w:rPr>
                <w:rFonts w:ascii="Times New Roman" w:eastAsia="宋体" w:hAnsi="Times New Roman"/>
                <w:color w:val="000000"/>
                <w:sz w:val="16"/>
                <w:szCs w:val="16"/>
              </w:rPr>
              <w:t>Other comprehensive income (loss), net of income taxes</w:t>
            </w:r>
          </w:p>
        </w:tc>
        <w:tc>
          <w:tcPr>
            <w:tcW w:w="0" w:type="auto"/>
            <w:gridSpan w:val="2"/>
            <w:shd w:val="clear" w:color="auto" w:fill="FFFFFF"/>
            <w:tcMar>
              <w:top w:w="40" w:type="dxa"/>
              <w:left w:w="20" w:type="dxa"/>
              <w:bottom w:w="40" w:type="dxa"/>
              <w:right w:w="0" w:type="dxa"/>
            </w:tcMar>
            <w:vAlign w:val="center"/>
          </w:tcPr>
          <w:p w14:paraId="35D0A7C4"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7C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C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C7"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7C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C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CA"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7C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C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CD"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7C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C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D0" w14:textId="77777777" w:rsidR="00D42204" w:rsidRDefault="004E439D">
            <w:pPr>
              <w:jc w:val="right"/>
              <w:textAlignment w:val="center"/>
            </w:pPr>
            <w:r>
              <w:rPr>
                <w:rFonts w:ascii="Times New Roman" w:eastAsia="宋体" w:hAnsi="Times New Roman"/>
                <w:color w:val="000000"/>
                <w:sz w:val="16"/>
                <w:szCs w:val="16"/>
              </w:rPr>
              <w:t>1,039 </w:t>
            </w:r>
          </w:p>
        </w:tc>
        <w:tc>
          <w:tcPr>
            <w:tcW w:w="0" w:type="auto"/>
            <w:shd w:val="clear" w:color="auto" w:fill="FFFFFF"/>
            <w:tcMar>
              <w:top w:w="40" w:type="dxa"/>
              <w:left w:w="0" w:type="dxa"/>
              <w:bottom w:w="40" w:type="dxa"/>
              <w:right w:w="20" w:type="dxa"/>
            </w:tcMar>
            <w:vAlign w:val="center"/>
          </w:tcPr>
          <w:p w14:paraId="35D0A7D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D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D3" w14:textId="77777777" w:rsidR="00D42204" w:rsidRDefault="004E439D">
            <w:pPr>
              <w:jc w:val="right"/>
              <w:textAlignment w:val="center"/>
            </w:pPr>
            <w:r>
              <w:rPr>
                <w:rFonts w:ascii="Times New Roman" w:eastAsia="宋体" w:hAnsi="Times New Roman"/>
                <w:color w:val="000000"/>
                <w:sz w:val="16"/>
                <w:szCs w:val="16"/>
              </w:rPr>
              <w:t>1,039 </w:t>
            </w:r>
          </w:p>
        </w:tc>
        <w:tc>
          <w:tcPr>
            <w:tcW w:w="0" w:type="auto"/>
            <w:shd w:val="clear" w:color="auto" w:fill="FFFFFF"/>
            <w:tcMar>
              <w:top w:w="40" w:type="dxa"/>
              <w:left w:w="0" w:type="dxa"/>
              <w:bottom w:w="40" w:type="dxa"/>
              <w:right w:w="20" w:type="dxa"/>
            </w:tcMar>
            <w:vAlign w:val="center"/>
          </w:tcPr>
          <w:p w14:paraId="35D0A7D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D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D6" w14:textId="77777777" w:rsidR="00D42204" w:rsidRDefault="004E439D">
            <w:pPr>
              <w:jc w:val="right"/>
              <w:textAlignment w:val="center"/>
            </w:pPr>
            <w:r>
              <w:rPr>
                <w:rFonts w:ascii="Times New Roman" w:eastAsia="宋体" w:hAnsi="Times New Roman"/>
                <w:color w:val="000000"/>
                <w:sz w:val="16"/>
                <w:szCs w:val="16"/>
              </w:rPr>
              <w:t>(213)</w:t>
            </w:r>
          </w:p>
        </w:tc>
        <w:tc>
          <w:tcPr>
            <w:tcW w:w="0" w:type="auto"/>
            <w:shd w:val="clear" w:color="auto" w:fill="FFFFFF"/>
            <w:tcMar>
              <w:top w:w="40" w:type="dxa"/>
              <w:left w:w="0" w:type="dxa"/>
              <w:bottom w:w="40" w:type="dxa"/>
              <w:right w:w="20" w:type="dxa"/>
            </w:tcMar>
            <w:vAlign w:val="center"/>
          </w:tcPr>
          <w:p w14:paraId="35D0A7D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D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D9" w14:textId="77777777" w:rsidR="00D42204" w:rsidRDefault="004E439D">
            <w:pPr>
              <w:jc w:val="right"/>
              <w:textAlignment w:val="center"/>
            </w:pPr>
            <w:r>
              <w:rPr>
                <w:rFonts w:ascii="Times New Roman" w:eastAsia="宋体" w:hAnsi="Times New Roman"/>
                <w:color w:val="000000"/>
                <w:sz w:val="16"/>
                <w:szCs w:val="16"/>
              </w:rPr>
              <w:t>826 </w:t>
            </w:r>
          </w:p>
        </w:tc>
        <w:tc>
          <w:tcPr>
            <w:tcW w:w="0" w:type="auto"/>
            <w:shd w:val="clear" w:color="auto" w:fill="FFFFFF"/>
            <w:tcMar>
              <w:top w:w="40" w:type="dxa"/>
              <w:left w:w="0" w:type="dxa"/>
              <w:bottom w:w="40" w:type="dxa"/>
              <w:right w:w="20" w:type="dxa"/>
            </w:tcMar>
            <w:vAlign w:val="center"/>
          </w:tcPr>
          <w:p w14:paraId="35D0A7DA" w14:textId="77777777" w:rsidR="00D42204" w:rsidRDefault="00D42204">
            <w:pPr>
              <w:jc w:val="right"/>
              <w:rPr>
                <w:rFonts w:ascii="宋体"/>
              </w:rPr>
            </w:pPr>
          </w:p>
        </w:tc>
        <w:tc>
          <w:tcPr>
            <w:tcW w:w="0" w:type="auto"/>
            <w:shd w:val="clear" w:color="auto" w:fill="auto"/>
            <w:vAlign w:val="bottom"/>
          </w:tcPr>
          <w:p w14:paraId="35D0A7DB" w14:textId="77777777" w:rsidR="00D42204" w:rsidRDefault="00D42204">
            <w:pPr>
              <w:rPr>
                <w:rFonts w:ascii="宋体"/>
                <w:vanish/>
              </w:rPr>
            </w:pPr>
          </w:p>
        </w:tc>
      </w:tr>
      <w:tr w:rsidR="00D42204" w14:paraId="35D0A7F6" w14:textId="77777777">
        <w:trPr>
          <w:jc w:val="center"/>
        </w:trPr>
        <w:tc>
          <w:tcPr>
            <w:tcW w:w="0" w:type="auto"/>
            <w:gridSpan w:val="3"/>
            <w:shd w:val="clear" w:color="auto" w:fill="CCEEFF"/>
            <w:tcMar>
              <w:top w:w="40" w:type="dxa"/>
              <w:left w:w="20" w:type="dxa"/>
              <w:bottom w:w="40" w:type="dxa"/>
              <w:right w:w="20" w:type="dxa"/>
            </w:tcMar>
            <w:vAlign w:val="center"/>
          </w:tcPr>
          <w:p w14:paraId="35D0A7DD" w14:textId="77777777" w:rsidR="00D42204" w:rsidRDefault="004E439D">
            <w:pPr>
              <w:textAlignment w:val="center"/>
            </w:pPr>
            <w:r>
              <w:rPr>
                <w:rFonts w:ascii="Times New Roman" w:eastAsia="宋体" w:hAnsi="Times New Roman"/>
                <w:color w:val="000000"/>
                <w:sz w:val="16"/>
                <w:szCs w:val="16"/>
              </w:rPr>
              <w:t>Cash dividends declared ($2.16 per share)</w:t>
            </w:r>
          </w:p>
        </w:tc>
        <w:tc>
          <w:tcPr>
            <w:tcW w:w="0" w:type="auto"/>
            <w:gridSpan w:val="2"/>
            <w:shd w:val="clear" w:color="auto" w:fill="CCEEFF"/>
            <w:tcMar>
              <w:top w:w="40" w:type="dxa"/>
              <w:left w:w="20" w:type="dxa"/>
              <w:bottom w:w="40" w:type="dxa"/>
              <w:right w:w="0" w:type="dxa"/>
            </w:tcMar>
            <w:vAlign w:val="center"/>
          </w:tcPr>
          <w:p w14:paraId="35D0A7DE"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D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E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E1"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E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E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E4"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E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E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E7" w14:textId="77777777" w:rsidR="00D42204" w:rsidRDefault="004E439D">
            <w:pPr>
              <w:jc w:val="right"/>
              <w:textAlignment w:val="center"/>
            </w:pPr>
            <w:r>
              <w:rPr>
                <w:rFonts w:ascii="Times New Roman" w:eastAsia="宋体" w:hAnsi="Times New Roman"/>
                <w:color w:val="000000"/>
                <w:sz w:val="16"/>
                <w:szCs w:val="16"/>
              </w:rPr>
              <w:t>(6,116)</w:t>
            </w:r>
          </w:p>
        </w:tc>
        <w:tc>
          <w:tcPr>
            <w:tcW w:w="0" w:type="auto"/>
            <w:shd w:val="clear" w:color="auto" w:fill="CCEEFF"/>
            <w:tcMar>
              <w:top w:w="40" w:type="dxa"/>
              <w:left w:w="0" w:type="dxa"/>
              <w:bottom w:w="40" w:type="dxa"/>
              <w:right w:w="20" w:type="dxa"/>
            </w:tcMar>
            <w:vAlign w:val="center"/>
          </w:tcPr>
          <w:p w14:paraId="35D0A7E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E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EA"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E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E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ED" w14:textId="77777777" w:rsidR="00D42204" w:rsidRDefault="004E439D">
            <w:pPr>
              <w:jc w:val="right"/>
              <w:textAlignment w:val="center"/>
            </w:pPr>
            <w:r>
              <w:rPr>
                <w:rFonts w:ascii="Times New Roman" w:eastAsia="宋体" w:hAnsi="Times New Roman"/>
                <w:color w:val="000000"/>
                <w:sz w:val="16"/>
                <w:szCs w:val="16"/>
              </w:rPr>
              <w:t>(6,116)</w:t>
            </w:r>
          </w:p>
        </w:tc>
        <w:tc>
          <w:tcPr>
            <w:tcW w:w="0" w:type="auto"/>
            <w:shd w:val="clear" w:color="auto" w:fill="CCEEFF"/>
            <w:tcMar>
              <w:top w:w="40" w:type="dxa"/>
              <w:left w:w="0" w:type="dxa"/>
              <w:bottom w:w="40" w:type="dxa"/>
              <w:right w:w="20" w:type="dxa"/>
            </w:tcMar>
            <w:vAlign w:val="center"/>
          </w:tcPr>
          <w:p w14:paraId="35D0A7E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E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F0"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7F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7F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7F3" w14:textId="77777777" w:rsidR="00D42204" w:rsidRDefault="004E439D">
            <w:pPr>
              <w:jc w:val="right"/>
              <w:textAlignment w:val="center"/>
            </w:pPr>
            <w:r>
              <w:rPr>
                <w:rFonts w:ascii="Times New Roman" w:eastAsia="宋体" w:hAnsi="Times New Roman"/>
                <w:color w:val="000000"/>
                <w:sz w:val="16"/>
                <w:szCs w:val="16"/>
              </w:rPr>
              <w:t>(6,116)</w:t>
            </w:r>
          </w:p>
        </w:tc>
        <w:tc>
          <w:tcPr>
            <w:tcW w:w="0" w:type="auto"/>
            <w:shd w:val="clear" w:color="auto" w:fill="CCEEFF"/>
            <w:tcMar>
              <w:top w:w="40" w:type="dxa"/>
              <w:left w:w="0" w:type="dxa"/>
              <w:bottom w:w="40" w:type="dxa"/>
              <w:right w:w="20" w:type="dxa"/>
            </w:tcMar>
            <w:vAlign w:val="center"/>
          </w:tcPr>
          <w:p w14:paraId="35D0A7F4" w14:textId="77777777" w:rsidR="00D42204" w:rsidRDefault="00D42204">
            <w:pPr>
              <w:jc w:val="right"/>
              <w:rPr>
                <w:rFonts w:ascii="宋体"/>
              </w:rPr>
            </w:pPr>
          </w:p>
        </w:tc>
        <w:tc>
          <w:tcPr>
            <w:tcW w:w="0" w:type="auto"/>
            <w:shd w:val="clear" w:color="auto" w:fill="auto"/>
            <w:vAlign w:val="bottom"/>
          </w:tcPr>
          <w:p w14:paraId="35D0A7F5" w14:textId="77777777" w:rsidR="00D42204" w:rsidRDefault="00D42204">
            <w:pPr>
              <w:rPr>
                <w:rFonts w:ascii="宋体"/>
                <w:vanish/>
              </w:rPr>
            </w:pPr>
          </w:p>
        </w:tc>
      </w:tr>
      <w:tr w:rsidR="00D42204" w14:paraId="35D0A810" w14:textId="77777777">
        <w:trPr>
          <w:jc w:val="center"/>
        </w:trPr>
        <w:tc>
          <w:tcPr>
            <w:tcW w:w="0" w:type="auto"/>
            <w:gridSpan w:val="3"/>
            <w:shd w:val="clear" w:color="auto" w:fill="FFFFFF"/>
            <w:tcMar>
              <w:top w:w="40" w:type="dxa"/>
              <w:left w:w="20" w:type="dxa"/>
              <w:bottom w:w="40" w:type="dxa"/>
              <w:right w:w="20" w:type="dxa"/>
            </w:tcMar>
            <w:vAlign w:val="center"/>
          </w:tcPr>
          <w:p w14:paraId="35D0A7F7" w14:textId="77777777" w:rsidR="00D42204" w:rsidRDefault="004E439D">
            <w:pPr>
              <w:textAlignment w:val="center"/>
            </w:pPr>
            <w:r>
              <w:rPr>
                <w:rFonts w:ascii="Times New Roman" w:eastAsia="宋体" w:hAnsi="Times New Roman"/>
                <w:color w:val="000000"/>
                <w:sz w:val="16"/>
                <w:szCs w:val="16"/>
              </w:rPr>
              <w:t>Purchase of Company stock</w:t>
            </w:r>
          </w:p>
        </w:tc>
        <w:tc>
          <w:tcPr>
            <w:tcW w:w="0" w:type="auto"/>
            <w:gridSpan w:val="2"/>
            <w:shd w:val="clear" w:color="auto" w:fill="FFFFFF"/>
            <w:tcMar>
              <w:top w:w="40" w:type="dxa"/>
              <w:left w:w="20" w:type="dxa"/>
              <w:bottom w:w="40" w:type="dxa"/>
              <w:right w:w="0" w:type="dxa"/>
            </w:tcMar>
            <w:vAlign w:val="center"/>
          </w:tcPr>
          <w:p w14:paraId="35D0A7F8" w14:textId="77777777" w:rsidR="00D42204" w:rsidRDefault="004E439D">
            <w:pPr>
              <w:jc w:val="right"/>
              <w:textAlignment w:val="center"/>
            </w:pPr>
            <w:r>
              <w:rPr>
                <w:rFonts w:ascii="Times New Roman" w:eastAsia="宋体" w:hAnsi="Times New Roman"/>
                <w:color w:val="000000"/>
                <w:sz w:val="16"/>
                <w:szCs w:val="16"/>
              </w:rPr>
              <w:t>(20)</w:t>
            </w:r>
          </w:p>
        </w:tc>
        <w:tc>
          <w:tcPr>
            <w:tcW w:w="0" w:type="auto"/>
            <w:shd w:val="clear" w:color="auto" w:fill="FFFFFF"/>
            <w:tcMar>
              <w:top w:w="40" w:type="dxa"/>
              <w:left w:w="0" w:type="dxa"/>
              <w:bottom w:w="40" w:type="dxa"/>
              <w:right w:w="20" w:type="dxa"/>
            </w:tcMar>
            <w:vAlign w:val="center"/>
          </w:tcPr>
          <w:p w14:paraId="35D0A7F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F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FB" w14:textId="77777777" w:rsidR="00D42204" w:rsidRDefault="004E439D">
            <w:pPr>
              <w:jc w:val="right"/>
              <w:textAlignment w:val="center"/>
            </w:pPr>
            <w:r>
              <w:rPr>
                <w:rFonts w:ascii="Times New Roman" w:eastAsia="宋体" w:hAnsi="Times New Roman"/>
                <w:color w:val="000000"/>
                <w:sz w:val="16"/>
                <w:szCs w:val="16"/>
              </w:rPr>
              <w:t>(2)</w:t>
            </w:r>
          </w:p>
        </w:tc>
        <w:tc>
          <w:tcPr>
            <w:tcW w:w="0" w:type="auto"/>
            <w:shd w:val="clear" w:color="auto" w:fill="FFFFFF"/>
            <w:tcMar>
              <w:top w:w="40" w:type="dxa"/>
              <w:left w:w="0" w:type="dxa"/>
              <w:bottom w:w="40" w:type="dxa"/>
              <w:right w:w="20" w:type="dxa"/>
            </w:tcMar>
            <w:vAlign w:val="center"/>
          </w:tcPr>
          <w:p w14:paraId="35D0A7F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7F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7FE" w14:textId="77777777" w:rsidR="00D42204" w:rsidRDefault="004E439D">
            <w:pPr>
              <w:jc w:val="right"/>
              <w:textAlignment w:val="center"/>
            </w:pPr>
            <w:r>
              <w:rPr>
                <w:rFonts w:ascii="Times New Roman" w:eastAsia="宋体" w:hAnsi="Times New Roman"/>
                <w:color w:val="000000"/>
                <w:sz w:val="16"/>
                <w:szCs w:val="16"/>
              </w:rPr>
              <w:t>(97)</w:t>
            </w:r>
          </w:p>
        </w:tc>
        <w:tc>
          <w:tcPr>
            <w:tcW w:w="0" w:type="auto"/>
            <w:shd w:val="clear" w:color="auto" w:fill="FFFFFF"/>
            <w:tcMar>
              <w:top w:w="40" w:type="dxa"/>
              <w:left w:w="0" w:type="dxa"/>
              <w:bottom w:w="40" w:type="dxa"/>
              <w:right w:w="20" w:type="dxa"/>
            </w:tcMar>
            <w:vAlign w:val="center"/>
          </w:tcPr>
          <w:p w14:paraId="35D0A7F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0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01" w14:textId="77777777" w:rsidR="00D42204" w:rsidRDefault="004E439D">
            <w:pPr>
              <w:jc w:val="right"/>
              <w:textAlignment w:val="center"/>
            </w:pPr>
            <w:r>
              <w:rPr>
                <w:rFonts w:ascii="Times New Roman" w:eastAsia="宋体" w:hAnsi="Times New Roman"/>
                <w:color w:val="000000"/>
                <w:sz w:val="16"/>
                <w:szCs w:val="16"/>
              </w:rPr>
              <w:t>(2,559)</w:t>
            </w:r>
          </w:p>
        </w:tc>
        <w:tc>
          <w:tcPr>
            <w:tcW w:w="0" w:type="auto"/>
            <w:shd w:val="clear" w:color="auto" w:fill="FFFFFF"/>
            <w:tcMar>
              <w:top w:w="40" w:type="dxa"/>
              <w:left w:w="0" w:type="dxa"/>
              <w:bottom w:w="40" w:type="dxa"/>
              <w:right w:w="20" w:type="dxa"/>
            </w:tcMar>
            <w:vAlign w:val="center"/>
          </w:tcPr>
          <w:p w14:paraId="35D0A80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0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04"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80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0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07" w14:textId="77777777" w:rsidR="00D42204" w:rsidRDefault="004E439D">
            <w:pPr>
              <w:jc w:val="right"/>
              <w:textAlignment w:val="center"/>
            </w:pPr>
            <w:r>
              <w:rPr>
                <w:rFonts w:ascii="Times New Roman" w:eastAsia="宋体" w:hAnsi="Times New Roman"/>
                <w:color w:val="000000"/>
                <w:sz w:val="16"/>
                <w:szCs w:val="16"/>
              </w:rPr>
              <w:t>(2,658)</w:t>
            </w:r>
          </w:p>
        </w:tc>
        <w:tc>
          <w:tcPr>
            <w:tcW w:w="0" w:type="auto"/>
            <w:shd w:val="clear" w:color="auto" w:fill="FFFFFF"/>
            <w:tcMar>
              <w:top w:w="40" w:type="dxa"/>
              <w:left w:w="0" w:type="dxa"/>
              <w:bottom w:w="40" w:type="dxa"/>
              <w:right w:w="20" w:type="dxa"/>
            </w:tcMar>
            <w:vAlign w:val="center"/>
          </w:tcPr>
          <w:p w14:paraId="35D0A80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0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0A"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80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0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0D" w14:textId="77777777" w:rsidR="00D42204" w:rsidRDefault="004E439D">
            <w:pPr>
              <w:jc w:val="right"/>
              <w:textAlignment w:val="center"/>
            </w:pPr>
            <w:r>
              <w:rPr>
                <w:rFonts w:ascii="Times New Roman" w:eastAsia="宋体" w:hAnsi="Times New Roman"/>
                <w:color w:val="000000"/>
                <w:sz w:val="16"/>
                <w:szCs w:val="16"/>
              </w:rPr>
              <w:t>(2,658)</w:t>
            </w:r>
          </w:p>
        </w:tc>
        <w:tc>
          <w:tcPr>
            <w:tcW w:w="0" w:type="auto"/>
            <w:shd w:val="clear" w:color="auto" w:fill="FFFFFF"/>
            <w:tcMar>
              <w:top w:w="40" w:type="dxa"/>
              <w:left w:w="0" w:type="dxa"/>
              <w:bottom w:w="40" w:type="dxa"/>
              <w:right w:w="20" w:type="dxa"/>
            </w:tcMar>
            <w:vAlign w:val="center"/>
          </w:tcPr>
          <w:p w14:paraId="35D0A80E" w14:textId="77777777" w:rsidR="00D42204" w:rsidRDefault="00D42204">
            <w:pPr>
              <w:jc w:val="right"/>
              <w:rPr>
                <w:rFonts w:ascii="宋体"/>
              </w:rPr>
            </w:pPr>
          </w:p>
        </w:tc>
        <w:tc>
          <w:tcPr>
            <w:tcW w:w="0" w:type="auto"/>
            <w:shd w:val="clear" w:color="auto" w:fill="auto"/>
            <w:vAlign w:val="bottom"/>
          </w:tcPr>
          <w:p w14:paraId="35D0A80F" w14:textId="77777777" w:rsidR="00D42204" w:rsidRDefault="00D42204">
            <w:pPr>
              <w:rPr>
                <w:rFonts w:ascii="宋体"/>
                <w:vanish/>
              </w:rPr>
            </w:pPr>
          </w:p>
        </w:tc>
      </w:tr>
      <w:tr w:rsidR="00D42204" w14:paraId="35D0A82A" w14:textId="77777777">
        <w:trPr>
          <w:jc w:val="center"/>
        </w:trPr>
        <w:tc>
          <w:tcPr>
            <w:tcW w:w="0" w:type="auto"/>
            <w:gridSpan w:val="3"/>
            <w:shd w:val="clear" w:color="auto" w:fill="CCEEFF"/>
            <w:tcMar>
              <w:top w:w="40" w:type="dxa"/>
              <w:left w:w="20" w:type="dxa"/>
              <w:bottom w:w="40" w:type="dxa"/>
              <w:right w:w="20" w:type="dxa"/>
            </w:tcMar>
            <w:vAlign w:val="center"/>
          </w:tcPr>
          <w:p w14:paraId="35D0A811" w14:textId="77777777" w:rsidR="00D42204" w:rsidRDefault="004E439D">
            <w:pPr>
              <w:textAlignment w:val="center"/>
            </w:pPr>
            <w:r>
              <w:rPr>
                <w:rFonts w:ascii="Times New Roman" w:eastAsia="宋体" w:hAnsi="Times New Roman"/>
                <w:color w:val="000000"/>
                <w:sz w:val="16"/>
                <w:szCs w:val="16"/>
              </w:rPr>
              <w:t>Cash dividend declared to noncontrolling interest</w:t>
            </w:r>
          </w:p>
        </w:tc>
        <w:tc>
          <w:tcPr>
            <w:tcW w:w="0" w:type="auto"/>
            <w:gridSpan w:val="2"/>
            <w:shd w:val="clear" w:color="auto" w:fill="CCEEFF"/>
            <w:tcMar>
              <w:top w:w="40" w:type="dxa"/>
              <w:left w:w="20" w:type="dxa"/>
              <w:bottom w:w="40" w:type="dxa"/>
              <w:right w:w="0" w:type="dxa"/>
            </w:tcMar>
            <w:vAlign w:val="center"/>
          </w:tcPr>
          <w:p w14:paraId="35D0A812"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1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1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15"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1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1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18"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1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1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1B"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1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1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1E"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1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2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21"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2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2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24" w14:textId="77777777" w:rsidR="00D42204" w:rsidRDefault="004E439D">
            <w:pPr>
              <w:jc w:val="right"/>
              <w:textAlignment w:val="center"/>
            </w:pPr>
            <w:r>
              <w:rPr>
                <w:rFonts w:ascii="Times New Roman" w:eastAsia="宋体" w:hAnsi="Times New Roman"/>
                <w:color w:val="000000"/>
                <w:sz w:val="16"/>
                <w:szCs w:val="16"/>
              </w:rPr>
              <w:t>(365)</w:t>
            </w:r>
          </w:p>
        </w:tc>
        <w:tc>
          <w:tcPr>
            <w:tcW w:w="0" w:type="auto"/>
            <w:shd w:val="clear" w:color="auto" w:fill="CCEEFF"/>
            <w:tcMar>
              <w:top w:w="40" w:type="dxa"/>
              <w:left w:w="0" w:type="dxa"/>
              <w:bottom w:w="40" w:type="dxa"/>
              <w:right w:w="20" w:type="dxa"/>
            </w:tcMar>
            <w:vAlign w:val="center"/>
          </w:tcPr>
          <w:p w14:paraId="35D0A82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2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27" w14:textId="77777777" w:rsidR="00D42204" w:rsidRDefault="004E439D">
            <w:pPr>
              <w:jc w:val="right"/>
              <w:textAlignment w:val="center"/>
            </w:pPr>
            <w:r>
              <w:rPr>
                <w:rFonts w:ascii="Times New Roman" w:eastAsia="宋体" w:hAnsi="Times New Roman"/>
                <w:color w:val="000000"/>
                <w:sz w:val="16"/>
                <w:szCs w:val="16"/>
              </w:rPr>
              <w:t>(365)</w:t>
            </w:r>
          </w:p>
        </w:tc>
        <w:tc>
          <w:tcPr>
            <w:tcW w:w="0" w:type="auto"/>
            <w:shd w:val="clear" w:color="auto" w:fill="CCEEFF"/>
            <w:tcMar>
              <w:top w:w="40" w:type="dxa"/>
              <w:left w:w="0" w:type="dxa"/>
              <w:bottom w:w="40" w:type="dxa"/>
              <w:right w:w="20" w:type="dxa"/>
            </w:tcMar>
            <w:vAlign w:val="center"/>
          </w:tcPr>
          <w:p w14:paraId="35D0A828" w14:textId="77777777" w:rsidR="00D42204" w:rsidRDefault="00D42204">
            <w:pPr>
              <w:jc w:val="right"/>
              <w:rPr>
                <w:rFonts w:ascii="宋体"/>
              </w:rPr>
            </w:pPr>
          </w:p>
        </w:tc>
        <w:tc>
          <w:tcPr>
            <w:tcW w:w="0" w:type="auto"/>
            <w:shd w:val="clear" w:color="auto" w:fill="auto"/>
            <w:vAlign w:val="bottom"/>
          </w:tcPr>
          <w:p w14:paraId="35D0A829" w14:textId="77777777" w:rsidR="00D42204" w:rsidRDefault="00D42204">
            <w:pPr>
              <w:rPr>
                <w:rFonts w:ascii="宋体"/>
                <w:vanish/>
              </w:rPr>
            </w:pPr>
          </w:p>
        </w:tc>
      </w:tr>
      <w:tr w:rsidR="00D42204" w14:paraId="35D0A844" w14:textId="77777777">
        <w:trPr>
          <w:jc w:val="center"/>
        </w:trPr>
        <w:tc>
          <w:tcPr>
            <w:tcW w:w="0" w:type="auto"/>
            <w:gridSpan w:val="3"/>
            <w:shd w:val="clear" w:color="auto" w:fill="FFFFFF"/>
            <w:tcMar>
              <w:top w:w="40" w:type="dxa"/>
              <w:left w:w="20" w:type="dxa"/>
              <w:bottom w:w="40" w:type="dxa"/>
              <w:right w:w="20" w:type="dxa"/>
            </w:tcMar>
            <w:vAlign w:val="center"/>
          </w:tcPr>
          <w:p w14:paraId="35D0A82B" w14:textId="77777777" w:rsidR="00D42204" w:rsidRDefault="004E439D">
            <w:pPr>
              <w:textAlignment w:val="center"/>
            </w:pPr>
            <w:r>
              <w:rPr>
                <w:rFonts w:ascii="Times New Roman" w:eastAsia="宋体" w:hAnsi="Times New Roman"/>
                <w:color w:val="000000"/>
                <w:sz w:val="16"/>
                <w:szCs w:val="16"/>
              </w:rPr>
              <w:t>Sale of subsidiary stock</w:t>
            </w:r>
          </w:p>
        </w:tc>
        <w:tc>
          <w:tcPr>
            <w:tcW w:w="0" w:type="auto"/>
            <w:gridSpan w:val="2"/>
            <w:shd w:val="clear" w:color="auto" w:fill="FFFFFF"/>
            <w:tcMar>
              <w:top w:w="40" w:type="dxa"/>
              <w:left w:w="20" w:type="dxa"/>
              <w:bottom w:w="40" w:type="dxa"/>
              <w:right w:w="0" w:type="dxa"/>
            </w:tcMar>
            <w:vAlign w:val="center"/>
          </w:tcPr>
          <w:p w14:paraId="35D0A82C"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82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2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2F"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83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3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32" w14:textId="77777777" w:rsidR="00D42204" w:rsidRDefault="004E439D">
            <w:pPr>
              <w:jc w:val="right"/>
              <w:textAlignment w:val="center"/>
            </w:pPr>
            <w:r>
              <w:rPr>
                <w:rFonts w:ascii="Times New Roman" w:eastAsia="宋体" w:hAnsi="Times New Roman"/>
                <w:color w:val="000000"/>
                <w:sz w:val="16"/>
                <w:szCs w:val="16"/>
              </w:rPr>
              <w:t>29 </w:t>
            </w:r>
          </w:p>
        </w:tc>
        <w:tc>
          <w:tcPr>
            <w:tcW w:w="0" w:type="auto"/>
            <w:shd w:val="clear" w:color="auto" w:fill="FFFFFF"/>
            <w:tcMar>
              <w:top w:w="40" w:type="dxa"/>
              <w:left w:w="0" w:type="dxa"/>
              <w:bottom w:w="40" w:type="dxa"/>
              <w:right w:w="20" w:type="dxa"/>
            </w:tcMar>
            <w:vAlign w:val="center"/>
          </w:tcPr>
          <w:p w14:paraId="35D0A83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3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35"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83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3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38"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83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3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3B" w14:textId="77777777" w:rsidR="00D42204" w:rsidRDefault="004E439D">
            <w:pPr>
              <w:jc w:val="right"/>
              <w:textAlignment w:val="center"/>
            </w:pPr>
            <w:r>
              <w:rPr>
                <w:rFonts w:ascii="Times New Roman" w:eastAsia="宋体" w:hAnsi="Times New Roman"/>
                <w:color w:val="000000"/>
                <w:sz w:val="16"/>
                <w:szCs w:val="16"/>
              </w:rPr>
              <w:t>29 </w:t>
            </w:r>
          </w:p>
        </w:tc>
        <w:tc>
          <w:tcPr>
            <w:tcW w:w="0" w:type="auto"/>
            <w:shd w:val="clear" w:color="auto" w:fill="FFFFFF"/>
            <w:tcMar>
              <w:top w:w="40" w:type="dxa"/>
              <w:left w:w="0" w:type="dxa"/>
              <w:bottom w:w="40" w:type="dxa"/>
              <w:right w:w="20" w:type="dxa"/>
            </w:tcMar>
            <w:vAlign w:val="center"/>
          </w:tcPr>
          <w:p w14:paraId="35D0A83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3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3E" w14:textId="77777777" w:rsidR="00D42204" w:rsidRDefault="004E439D">
            <w:pPr>
              <w:jc w:val="right"/>
              <w:textAlignment w:val="center"/>
            </w:pPr>
            <w:r>
              <w:rPr>
                <w:rFonts w:ascii="Times New Roman" w:eastAsia="宋体" w:hAnsi="Times New Roman"/>
                <w:color w:val="000000"/>
                <w:sz w:val="16"/>
                <w:szCs w:val="16"/>
              </w:rPr>
              <w:t>111 </w:t>
            </w:r>
          </w:p>
        </w:tc>
        <w:tc>
          <w:tcPr>
            <w:tcW w:w="0" w:type="auto"/>
            <w:shd w:val="clear" w:color="auto" w:fill="FFFFFF"/>
            <w:tcMar>
              <w:top w:w="40" w:type="dxa"/>
              <w:left w:w="0" w:type="dxa"/>
              <w:bottom w:w="40" w:type="dxa"/>
              <w:right w:w="20" w:type="dxa"/>
            </w:tcMar>
            <w:vAlign w:val="center"/>
          </w:tcPr>
          <w:p w14:paraId="35D0A83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4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41" w14:textId="77777777" w:rsidR="00D42204" w:rsidRDefault="004E439D">
            <w:pPr>
              <w:jc w:val="right"/>
              <w:textAlignment w:val="center"/>
            </w:pPr>
            <w:r>
              <w:rPr>
                <w:rFonts w:ascii="Times New Roman" w:eastAsia="宋体" w:hAnsi="Times New Roman"/>
                <w:color w:val="000000"/>
                <w:sz w:val="16"/>
                <w:szCs w:val="16"/>
              </w:rPr>
              <w:t>140 </w:t>
            </w:r>
          </w:p>
        </w:tc>
        <w:tc>
          <w:tcPr>
            <w:tcW w:w="0" w:type="auto"/>
            <w:shd w:val="clear" w:color="auto" w:fill="FFFFFF"/>
            <w:tcMar>
              <w:top w:w="40" w:type="dxa"/>
              <w:left w:w="0" w:type="dxa"/>
              <w:bottom w:w="40" w:type="dxa"/>
              <w:right w:w="20" w:type="dxa"/>
            </w:tcMar>
            <w:vAlign w:val="center"/>
          </w:tcPr>
          <w:p w14:paraId="35D0A842" w14:textId="77777777" w:rsidR="00D42204" w:rsidRDefault="00D42204">
            <w:pPr>
              <w:jc w:val="right"/>
              <w:rPr>
                <w:rFonts w:ascii="宋体"/>
              </w:rPr>
            </w:pPr>
          </w:p>
        </w:tc>
        <w:tc>
          <w:tcPr>
            <w:tcW w:w="0" w:type="auto"/>
            <w:shd w:val="clear" w:color="auto" w:fill="auto"/>
            <w:vAlign w:val="bottom"/>
          </w:tcPr>
          <w:p w14:paraId="35D0A843" w14:textId="77777777" w:rsidR="00D42204" w:rsidRDefault="00D42204">
            <w:pPr>
              <w:rPr>
                <w:rFonts w:ascii="宋体"/>
                <w:vanish/>
              </w:rPr>
            </w:pPr>
          </w:p>
        </w:tc>
      </w:tr>
      <w:tr w:rsidR="00D42204" w14:paraId="35D0A85E" w14:textId="77777777">
        <w:trPr>
          <w:jc w:val="center"/>
        </w:trPr>
        <w:tc>
          <w:tcPr>
            <w:tcW w:w="0" w:type="auto"/>
            <w:gridSpan w:val="3"/>
            <w:shd w:val="clear" w:color="auto" w:fill="CCEEFF"/>
            <w:tcMar>
              <w:top w:w="40" w:type="dxa"/>
              <w:left w:w="20" w:type="dxa"/>
              <w:bottom w:w="40" w:type="dxa"/>
              <w:right w:w="20" w:type="dxa"/>
            </w:tcMar>
            <w:vAlign w:val="center"/>
          </w:tcPr>
          <w:p w14:paraId="35D0A845" w14:textId="77777777" w:rsidR="00D42204" w:rsidRDefault="004E439D">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35D0A846" w14:textId="77777777" w:rsidR="00D42204" w:rsidRDefault="004E439D">
            <w:pPr>
              <w:jc w:val="right"/>
              <w:textAlignment w:val="center"/>
            </w:pPr>
            <w:r>
              <w:rPr>
                <w:rFonts w:ascii="Times New Roman" w:eastAsia="宋体" w:hAnsi="Times New Roman"/>
                <w:color w:val="000000"/>
                <w:sz w:val="16"/>
                <w:szCs w:val="16"/>
              </w:rPr>
              <w:t>9 </w:t>
            </w:r>
          </w:p>
        </w:tc>
        <w:tc>
          <w:tcPr>
            <w:tcW w:w="0" w:type="auto"/>
            <w:shd w:val="clear" w:color="auto" w:fill="CCEEFF"/>
            <w:tcMar>
              <w:top w:w="40" w:type="dxa"/>
              <w:left w:w="0" w:type="dxa"/>
              <w:bottom w:w="40" w:type="dxa"/>
              <w:right w:w="20" w:type="dxa"/>
            </w:tcMar>
            <w:vAlign w:val="center"/>
          </w:tcPr>
          <w:p w14:paraId="35D0A84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4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49"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4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4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4C" w14:textId="77777777" w:rsidR="00D42204" w:rsidRDefault="004E439D">
            <w:pPr>
              <w:jc w:val="right"/>
              <w:textAlignment w:val="center"/>
            </w:pPr>
            <w:r>
              <w:rPr>
                <w:rFonts w:ascii="Times New Roman" w:eastAsia="宋体" w:hAnsi="Times New Roman"/>
                <w:color w:val="000000"/>
                <w:sz w:val="16"/>
                <w:szCs w:val="16"/>
              </w:rPr>
              <w:t>467 </w:t>
            </w:r>
          </w:p>
        </w:tc>
        <w:tc>
          <w:tcPr>
            <w:tcW w:w="0" w:type="auto"/>
            <w:shd w:val="clear" w:color="auto" w:fill="CCEEFF"/>
            <w:tcMar>
              <w:top w:w="40" w:type="dxa"/>
              <w:left w:w="0" w:type="dxa"/>
              <w:bottom w:w="40" w:type="dxa"/>
              <w:right w:w="20" w:type="dxa"/>
            </w:tcMar>
            <w:vAlign w:val="center"/>
          </w:tcPr>
          <w:p w14:paraId="35D0A84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4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4F" w14:textId="77777777" w:rsidR="00D42204" w:rsidRDefault="004E439D">
            <w:pPr>
              <w:jc w:val="right"/>
              <w:textAlignment w:val="center"/>
            </w:pPr>
            <w:r>
              <w:rPr>
                <w:rFonts w:ascii="Times New Roman" w:eastAsia="宋体" w:hAnsi="Times New Roman"/>
                <w:color w:val="000000"/>
                <w:sz w:val="16"/>
                <w:szCs w:val="16"/>
              </w:rPr>
              <w:t>(15)</w:t>
            </w:r>
          </w:p>
        </w:tc>
        <w:tc>
          <w:tcPr>
            <w:tcW w:w="0" w:type="auto"/>
            <w:shd w:val="clear" w:color="auto" w:fill="CCEEFF"/>
            <w:tcMar>
              <w:top w:w="40" w:type="dxa"/>
              <w:left w:w="0" w:type="dxa"/>
              <w:bottom w:w="40" w:type="dxa"/>
              <w:right w:w="20" w:type="dxa"/>
            </w:tcMar>
            <w:vAlign w:val="center"/>
          </w:tcPr>
          <w:p w14:paraId="35D0A85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5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52"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5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5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55" w14:textId="77777777" w:rsidR="00D42204" w:rsidRDefault="004E439D">
            <w:pPr>
              <w:jc w:val="right"/>
              <w:textAlignment w:val="center"/>
            </w:pPr>
            <w:r>
              <w:rPr>
                <w:rFonts w:ascii="Times New Roman" w:eastAsia="宋体" w:hAnsi="Times New Roman"/>
                <w:color w:val="000000"/>
                <w:sz w:val="16"/>
                <w:szCs w:val="16"/>
              </w:rPr>
              <w:t>452 </w:t>
            </w:r>
          </w:p>
        </w:tc>
        <w:tc>
          <w:tcPr>
            <w:tcW w:w="0" w:type="auto"/>
            <w:shd w:val="clear" w:color="auto" w:fill="CCEEFF"/>
            <w:tcMar>
              <w:top w:w="40" w:type="dxa"/>
              <w:left w:w="0" w:type="dxa"/>
              <w:bottom w:w="40" w:type="dxa"/>
              <w:right w:w="20" w:type="dxa"/>
            </w:tcMar>
            <w:vAlign w:val="center"/>
          </w:tcPr>
          <w:p w14:paraId="35D0A85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5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58" w14:textId="77777777" w:rsidR="00D42204" w:rsidRDefault="004E439D">
            <w:pPr>
              <w:jc w:val="right"/>
              <w:textAlignment w:val="center"/>
            </w:pPr>
            <w:r>
              <w:rPr>
                <w:rFonts w:ascii="Times New Roman" w:eastAsia="宋体" w:hAnsi="Times New Roman"/>
                <w:color w:val="000000"/>
                <w:sz w:val="16"/>
                <w:szCs w:val="16"/>
              </w:rPr>
              <w:t>(6)</w:t>
            </w:r>
          </w:p>
        </w:tc>
        <w:tc>
          <w:tcPr>
            <w:tcW w:w="0" w:type="auto"/>
            <w:shd w:val="clear" w:color="auto" w:fill="CCEEFF"/>
            <w:tcMar>
              <w:top w:w="40" w:type="dxa"/>
              <w:left w:w="0" w:type="dxa"/>
              <w:bottom w:w="40" w:type="dxa"/>
              <w:right w:w="20" w:type="dxa"/>
            </w:tcMar>
            <w:vAlign w:val="center"/>
          </w:tcPr>
          <w:p w14:paraId="35D0A85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5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5B" w14:textId="77777777" w:rsidR="00D42204" w:rsidRDefault="004E439D">
            <w:pPr>
              <w:jc w:val="right"/>
              <w:textAlignment w:val="center"/>
            </w:pPr>
            <w:r>
              <w:rPr>
                <w:rFonts w:ascii="Times New Roman" w:eastAsia="宋体" w:hAnsi="Times New Roman"/>
                <w:color w:val="000000"/>
                <w:sz w:val="16"/>
                <w:szCs w:val="16"/>
              </w:rPr>
              <w:t>446 </w:t>
            </w:r>
          </w:p>
        </w:tc>
        <w:tc>
          <w:tcPr>
            <w:tcW w:w="0" w:type="auto"/>
            <w:shd w:val="clear" w:color="auto" w:fill="CCEEFF"/>
            <w:tcMar>
              <w:top w:w="40" w:type="dxa"/>
              <w:left w:w="0" w:type="dxa"/>
              <w:bottom w:w="40" w:type="dxa"/>
              <w:right w:w="20" w:type="dxa"/>
            </w:tcMar>
            <w:vAlign w:val="center"/>
          </w:tcPr>
          <w:p w14:paraId="35D0A85C" w14:textId="77777777" w:rsidR="00D42204" w:rsidRDefault="00D42204">
            <w:pPr>
              <w:jc w:val="right"/>
              <w:rPr>
                <w:rFonts w:ascii="宋体"/>
              </w:rPr>
            </w:pPr>
          </w:p>
        </w:tc>
        <w:tc>
          <w:tcPr>
            <w:tcW w:w="0" w:type="auto"/>
            <w:shd w:val="clear" w:color="auto" w:fill="auto"/>
            <w:vAlign w:val="bottom"/>
          </w:tcPr>
          <w:p w14:paraId="35D0A85D" w14:textId="77777777" w:rsidR="00D42204" w:rsidRDefault="00D42204">
            <w:pPr>
              <w:rPr>
                <w:rFonts w:ascii="宋体"/>
                <w:vanish/>
              </w:rPr>
            </w:pPr>
          </w:p>
        </w:tc>
      </w:tr>
      <w:tr w:rsidR="00D42204" w14:paraId="35D0A878" w14:textId="77777777">
        <w:trPr>
          <w:jc w:val="center"/>
        </w:trPr>
        <w:tc>
          <w:tcPr>
            <w:tcW w:w="0" w:type="auto"/>
            <w:gridSpan w:val="3"/>
            <w:shd w:val="clear" w:color="auto" w:fill="FFFFFF"/>
            <w:tcMar>
              <w:top w:w="40" w:type="dxa"/>
              <w:left w:w="20" w:type="dxa"/>
              <w:bottom w:w="40" w:type="dxa"/>
              <w:right w:w="20" w:type="dxa"/>
            </w:tcMar>
            <w:vAlign w:val="center"/>
          </w:tcPr>
          <w:p w14:paraId="35D0A85F" w14:textId="77777777" w:rsidR="00D42204" w:rsidRDefault="004E439D">
            <w:pPr>
              <w:textAlignment w:val="center"/>
            </w:pPr>
            <w:r>
              <w:rPr>
                <w:rFonts w:ascii="Times New Roman" w:eastAsia="宋体" w:hAnsi="Times New Roman"/>
                <w:b/>
                <w:bCs/>
                <w:color w:val="000000"/>
                <w:sz w:val="16"/>
                <w:szCs w:val="16"/>
              </w:rPr>
              <w:t>Balances as of January 31, 2021</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860" w14:textId="77777777" w:rsidR="00D42204" w:rsidRDefault="004E439D">
            <w:pPr>
              <w:jc w:val="right"/>
              <w:textAlignment w:val="center"/>
            </w:pPr>
            <w:r>
              <w:rPr>
                <w:rFonts w:ascii="Times New Roman" w:eastAsia="宋体" w:hAnsi="Times New Roman"/>
                <w:color w:val="000000"/>
                <w:sz w:val="16"/>
                <w:szCs w:val="16"/>
              </w:rPr>
              <w:t>2,821 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86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62"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863" w14:textId="77777777" w:rsidR="00D42204" w:rsidRDefault="004E439D">
            <w:pPr>
              <w:jc w:val="right"/>
              <w:textAlignment w:val="center"/>
            </w:pPr>
            <w:r>
              <w:rPr>
                <w:rFonts w:ascii="Times New Roman" w:eastAsia="宋体" w:hAnsi="Times New Roman"/>
                <w:color w:val="000000"/>
                <w:sz w:val="16"/>
                <w:szCs w:val="16"/>
              </w:rPr>
              <w:t>282 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86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65"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866" w14:textId="77777777" w:rsidR="00D42204" w:rsidRDefault="004E439D">
            <w:pPr>
              <w:jc w:val="right"/>
              <w:textAlignment w:val="center"/>
            </w:pPr>
            <w:r>
              <w:rPr>
                <w:rFonts w:ascii="Times New Roman" w:eastAsia="宋体" w:hAnsi="Times New Roman"/>
                <w:color w:val="000000"/>
                <w:sz w:val="16"/>
                <w:szCs w:val="16"/>
              </w:rPr>
              <w:t>3,646 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86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68"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869" w14:textId="77777777" w:rsidR="00D42204" w:rsidRDefault="004E439D">
            <w:pPr>
              <w:jc w:val="right"/>
              <w:textAlignment w:val="center"/>
            </w:pPr>
            <w:r>
              <w:rPr>
                <w:rFonts w:ascii="Times New Roman" w:eastAsia="宋体" w:hAnsi="Times New Roman"/>
                <w:color w:val="000000"/>
                <w:sz w:val="16"/>
                <w:szCs w:val="16"/>
              </w:rPr>
              <w:t>88,763 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86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6B"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86C" w14:textId="77777777" w:rsidR="00D42204" w:rsidRDefault="004E439D">
            <w:pPr>
              <w:jc w:val="right"/>
              <w:textAlignment w:val="center"/>
            </w:pPr>
            <w:r>
              <w:rPr>
                <w:rFonts w:ascii="Times New Roman" w:eastAsia="宋体" w:hAnsi="Times New Roman"/>
                <w:color w:val="000000"/>
                <w:sz w:val="16"/>
                <w:szCs w:val="16"/>
              </w:rPr>
              <w:t>(11,766)</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86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6E"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86F" w14:textId="77777777" w:rsidR="00D42204" w:rsidRDefault="004E439D">
            <w:pPr>
              <w:jc w:val="right"/>
              <w:textAlignment w:val="center"/>
            </w:pPr>
            <w:r>
              <w:rPr>
                <w:rFonts w:ascii="Times New Roman" w:eastAsia="宋体" w:hAnsi="Times New Roman"/>
                <w:color w:val="000000"/>
                <w:sz w:val="16"/>
                <w:szCs w:val="16"/>
              </w:rPr>
              <w:t>80,925 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87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71"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872" w14:textId="77777777" w:rsidR="00D42204" w:rsidRDefault="004E439D">
            <w:pPr>
              <w:jc w:val="right"/>
              <w:textAlignment w:val="center"/>
            </w:pPr>
            <w:r>
              <w:rPr>
                <w:rFonts w:ascii="Times New Roman" w:eastAsia="宋体" w:hAnsi="Times New Roman"/>
                <w:color w:val="000000"/>
                <w:sz w:val="16"/>
                <w:szCs w:val="16"/>
              </w:rPr>
              <w:t>6,606 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87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74"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875" w14:textId="77777777" w:rsidR="00D42204" w:rsidRDefault="004E439D">
            <w:pPr>
              <w:jc w:val="right"/>
              <w:textAlignment w:val="center"/>
            </w:pPr>
            <w:r>
              <w:rPr>
                <w:rFonts w:ascii="Times New Roman" w:eastAsia="宋体" w:hAnsi="Times New Roman"/>
                <w:color w:val="000000"/>
                <w:sz w:val="16"/>
                <w:szCs w:val="16"/>
              </w:rPr>
              <w:t>87,531 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876" w14:textId="77777777" w:rsidR="00D42204" w:rsidRDefault="00D42204">
            <w:pPr>
              <w:jc w:val="right"/>
              <w:rPr>
                <w:rFonts w:ascii="宋体"/>
              </w:rPr>
            </w:pPr>
          </w:p>
        </w:tc>
        <w:tc>
          <w:tcPr>
            <w:tcW w:w="0" w:type="auto"/>
            <w:shd w:val="clear" w:color="auto" w:fill="auto"/>
            <w:vAlign w:val="bottom"/>
          </w:tcPr>
          <w:p w14:paraId="35D0A877" w14:textId="77777777" w:rsidR="00D42204" w:rsidRDefault="00D42204">
            <w:pPr>
              <w:rPr>
                <w:rFonts w:ascii="宋体"/>
                <w:vanish/>
              </w:rPr>
            </w:pPr>
          </w:p>
        </w:tc>
      </w:tr>
      <w:tr w:rsidR="00D42204" w14:paraId="35D0A891" w14:textId="77777777">
        <w:trPr>
          <w:jc w:val="center"/>
        </w:trPr>
        <w:tc>
          <w:tcPr>
            <w:tcW w:w="0" w:type="auto"/>
            <w:gridSpan w:val="3"/>
            <w:shd w:val="clear" w:color="auto" w:fill="CCEEFF"/>
            <w:tcMar>
              <w:top w:w="40" w:type="dxa"/>
              <w:left w:w="20" w:type="dxa"/>
              <w:bottom w:w="40" w:type="dxa"/>
              <w:right w:w="20" w:type="dxa"/>
            </w:tcMar>
            <w:vAlign w:val="center"/>
          </w:tcPr>
          <w:p w14:paraId="35D0A879" w14:textId="77777777" w:rsidR="00D42204" w:rsidRDefault="004E439D">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35D0A87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87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7C"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7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7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7F"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8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8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82" w14:textId="77777777" w:rsidR="00D42204" w:rsidRDefault="004E439D">
            <w:pPr>
              <w:jc w:val="right"/>
              <w:textAlignment w:val="center"/>
            </w:pPr>
            <w:r>
              <w:rPr>
                <w:rFonts w:ascii="Times New Roman" w:eastAsia="宋体" w:hAnsi="Times New Roman"/>
                <w:color w:val="000000"/>
                <w:sz w:val="16"/>
                <w:szCs w:val="16"/>
              </w:rPr>
              <w:t>13,673 </w:t>
            </w:r>
          </w:p>
        </w:tc>
        <w:tc>
          <w:tcPr>
            <w:tcW w:w="0" w:type="auto"/>
            <w:shd w:val="clear" w:color="auto" w:fill="CCEEFF"/>
            <w:tcMar>
              <w:top w:w="40" w:type="dxa"/>
              <w:left w:w="0" w:type="dxa"/>
              <w:bottom w:w="40" w:type="dxa"/>
              <w:right w:w="20" w:type="dxa"/>
            </w:tcMar>
            <w:vAlign w:val="center"/>
          </w:tcPr>
          <w:p w14:paraId="35D0A88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8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85"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8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8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88" w14:textId="77777777" w:rsidR="00D42204" w:rsidRDefault="004E439D">
            <w:pPr>
              <w:jc w:val="right"/>
              <w:textAlignment w:val="center"/>
            </w:pPr>
            <w:r>
              <w:rPr>
                <w:rFonts w:ascii="Times New Roman" w:eastAsia="宋体" w:hAnsi="Times New Roman"/>
                <w:color w:val="000000"/>
                <w:sz w:val="16"/>
                <w:szCs w:val="16"/>
              </w:rPr>
              <w:t>13,673 </w:t>
            </w:r>
          </w:p>
        </w:tc>
        <w:tc>
          <w:tcPr>
            <w:tcW w:w="0" w:type="auto"/>
            <w:shd w:val="clear" w:color="auto" w:fill="CCEEFF"/>
            <w:tcMar>
              <w:top w:w="40" w:type="dxa"/>
              <w:left w:w="0" w:type="dxa"/>
              <w:bottom w:w="40" w:type="dxa"/>
              <w:right w:w="20" w:type="dxa"/>
            </w:tcMar>
            <w:vAlign w:val="center"/>
          </w:tcPr>
          <w:p w14:paraId="35D0A88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8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8B" w14:textId="77777777" w:rsidR="00D42204" w:rsidRDefault="004E439D">
            <w:pPr>
              <w:jc w:val="right"/>
              <w:textAlignment w:val="center"/>
            </w:pPr>
            <w:r>
              <w:rPr>
                <w:rFonts w:ascii="Times New Roman" w:eastAsia="宋体" w:hAnsi="Times New Roman"/>
                <w:color w:val="000000"/>
                <w:sz w:val="16"/>
                <w:szCs w:val="16"/>
              </w:rPr>
              <w:t>267 </w:t>
            </w:r>
          </w:p>
        </w:tc>
        <w:tc>
          <w:tcPr>
            <w:tcW w:w="0" w:type="auto"/>
            <w:shd w:val="clear" w:color="auto" w:fill="CCEEFF"/>
            <w:tcMar>
              <w:top w:w="40" w:type="dxa"/>
              <w:left w:w="0" w:type="dxa"/>
              <w:bottom w:w="40" w:type="dxa"/>
              <w:right w:w="20" w:type="dxa"/>
            </w:tcMar>
            <w:vAlign w:val="center"/>
          </w:tcPr>
          <w:p w14:paraId="35D0A88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8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8E" w14:textId="77777777" w:rsidR="00D42204" w:rsidRDefault="004E439D">
            <w:pPr>
              <w:jc w:val="right"/>
              <w:textAlignment w:val="center"/>
            </w:pPr>
            <w:r>
              <w:rPr>
                <w:rFonts w:ascii="Times New Roman" w:eastAsia="宋体" w:hAnsi="Times New Roman"/>
                <w:color w:val="000000"/>
                <w:sz w:val="16"/>
                <w:szCs w:val="16"/>
              </w:rPr>
              <w:t>13,940 </w:t>
            </w:r>
          </w:p>
        </w:tc>
        <w:tc>
          <w:tcPr>
            <w:tcW w:w="0" w:type="auto"/>
            <w:shd w:val="clear" w:color="auto" w:fill="CCEEFF"/>
            <w:tcMar>
              <w:top w:w="40" w:type="dxa"/>
              <w:left w:w="0" w:type="dxa"/>
              <w:bottom w:w="40" w:type="dxa"/>
              <w:right w:w="20" w:type="dxa"/>
            </w:tcMar>
            <w:vAlign w:val="center"/>
          </w:tcPr>
          <w:p w14:paraId="35D0A88F" w14:textId="77777777" w:rsidR="00D42204" w:rsidRDefault="00D42204">
            <w:pPr>
              <w:jc w:val="right"/>
              <w:rPr>
                <w:rFonts w:ascii="宋体"/>
              </w:rPr>
            </w:pPr>
          </w:p>
        </w:tc>
        <w:tc>
          <w:tcPr>
            <w:tcW w:w="0" w:type="auto"/>
            <w:shd w:val="clear" w:color="auto" w:fill="auto"/>
            <w:vAlign w:val="bottom"/>
          </w:tcPr>
          <w:p w14:paraId="35D0A890" w14:textId="77777777" w:rsidR="00D42204" w:rsidRDefault="00D42204">
            <w:pPr>
              <w:rPr>
                <w:rFonts w:ascii="宋体"/>
                <w:vanish/>
              </w:rPr>
            </w:pPr>
          </w:p>
        </w:tc>
      </w:tr>
      <w:tr w:rsidR="00D42204" w14:paraId="35D0A8AB" w14:textId="77777777">
        <w:trPr>
          <w:jc w:val="center"/>
        </w:trPr>
        <w:tc>
          <w:tcPr>
            <w:tcW w:w="0" w:type="auto"/>
            <w:gridSpan w:val="3"/>
            <w:shd w:val="clear" w:color="auto" w:fill="FFFFFF"/>
            <w:tcMar>
              <w:top w:w="40" w:type="dxa"/>
              <w:left w:w="20" w:type="dxa"/>
              <w:bottom w:w="40" w:type="dxa"/>
              <w:right w:w="20" w:type="dxa"/>
            </w:tcMar>
            <w:vAlign w:val="center"/>
          </w:tcPr>
          <w:p w14:paraId="35D0A892" w14:textId="77777777" w:rsidR="00D42204" w:rsidRDefault="004E439D">
            <w:pPr>
              <w:textAlignment w:val="center"/>
            </w:pPr>
            <w:r>
              <w:rPr>
                <w:rFonts w:ascii="Times New Roman" w:eastAsia="宋体" w:hAnsi="Times New Roman"/>
                <w:color w:val="000000"/>
                <w:sz w:val="16"/>
                <w:szCs w:val="16"/>
              </w:rPr>
              <w:t>Other comprehensive income (loss), net of income taxes</w:t>
            </w:r>
          </w:p>
        </w:tc>
        <w:tc>
          <w:tcPr>
            <w:tcW w:w="0" w:type="auto"/>
            <w:gridSpan w:val="2"/>
            <w:shd w:val="clear" w:color="auto" w:fill="FFFFFF"/>
            <w:tcMar>
              <w:top w:w="40" w:type="dxa"/>
              <w:left w:w="20" w:type="dxa"/>
              <w:bottom w:w="40" w:type="dxa"/>
              <w:right w:w="0" w:type="dxa"/>
            </w:tcMar>
            <w:vAlign w:val="center"/>
          </w:tcPr>
          <w:p w14:paraId="35D0A893"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89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9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96"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89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9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99"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89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9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9C"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89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9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9F" w14:textId="77777777" w:rsidR="00D42204" w:rsidRDefault="004E439D">
            <w:pPr>
              <w:jc w:val="right"/>
              <w:textAlignment w:val="center"/>
            </w:pPr>
            <w:r>
              <w:rPr>
                <w:rFonts w:ascii="Times New Roman" w:eastAsia="宋体" w:hAnsi="Times New Roman"/>
                <w:color w:val="000000"/>
                <w:sz w:val="16"/>
                <w:szCs w:val="16"/>
              </w:rPr>
              <w:t>3,000 </w:t>
            </w:r>
          </w:p>
        </w:tc>
        <w:tc>
          <w:tcPr>
            <w:tcW w:w="0" w:type="auto"/>
            <w:shd w:val="clear" w:color="auto" w:fill="FFFFFF"/>
            <w:tcMar>
              <w:top w:w="40" w:type="dxa"/>
              <w:left w:w="0" w:type="dxa"/>
              <w:bottom w:w="40" w:type="dxa"/>
              <w:right w:w="20" w:type="dxa"/>
            </w:tcMar>
            <w:vAlign w:val="center"/>
          </w:tcPr>
          <w:p w14:paraId="35D0A8A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A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A2" w14:textId="77777777" w:rsidR="00D42204" w:rsidRDefault="004E439D">
            <w:pPr>
              <w:jc w:val="right"/>
              <w:textAlignment w:val="center"/>
            </w:pPr>
            <w:r>
              <w:rPr>
                <w:rFonts w:ascii="Times New Roman" w:eastAsia="宋体" w:hAnsi="Times New Roman"/>
                <w:color w:val="000000"/>
                <w:sz w:val="16"/>
                <w:szCs w:val="16"/>
              </w:rPr>
              <w:t>3,000 </w:t>
            </w:r>
          </w:p>
        </w:tc>
        <w:tc>
          <w:tcPr>
            <w:tcW w:w="0" w:type="auto"/>
            <w:shd w:val="clear" w:color="auto" w:fill="FFFFFF"/>
            <w:tcMar>
              <w:top w:w="40" w:type="dxa"/>
              <w:left w:w="0" w:type="dxa"/>
              <w:bottom w:w="40" w:type="dxa"/>
              <w:right w:w="20" w:type="dxa"/>
            </w:tcMar>
            <w:vAlign w:val="center"/>
          </w:tcPr>
          <w:p w14:paraId="35D0A8A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A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A5" w14:textId="77777777" w:rsidR="00D42204" w:rsidRDefault="004E439D">
            <w:pPr>
              <w:jc w:val="right"/>
              <w:textAlignment w:val="center"/>
            </w:pPr>
            <w:r>
              <w:rPr>
                <w:rFonts w:ascii="Times New Roman" w:eastAsia="宋体" w:hAnsi="Times New Roman"/>
                <w:color w:val="000000"/>
                <w:sz w:val="16"/>
                <w:szCs w:val="16"/>
              </w:rPr>
              <w:t>(230)</w:t>
            </w:r>
          </w:p>
        </w:tc>
        <w:tc>
          <w:tcPr>
            <w:tcW w:w="0" w:type="auto"/>
            <w:shd w:val="clear" w:color="auto" w:fill="FFFFFF"/>
            <w:tcMar>
              <w:top w:w="40" w:type="dxa"/>
              <w:left w:w="0" w:type="dxa"/>
              <w:bottom w:w="40" w:type="dxa"/>
              <w:right w:w="20" w:type="dxa"/>
            </w:tcMar>
            <w:vAlign w:val="center"/>
          </w:tcPr>
          <w:p w14:paraId="35D0A8A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A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A8" w14:textId="77777777" w:rsidR="00D42204" w:rsidRDefault="004E439D">
            <w:pPr>
              <w:jc w:val="right"/>
              <w:textAlignment w:val="center"/>
            </w:pPr>
            <w:r>
              <w:rPr>
                <w:rFonts w:ascii="Times New Roman" w:eastAsia="宋体" w:hAnsi="Times New Roman"/>
                <w:color w:val="000000"/>
                <w:sz w:val="16"/>
                <w:szCs w:val="16"/>
              </w:rPr>
              <w:t>2,770 </w:t>
            </w:r>
          </w:p>
        </w:tc>
        <w:tc>
          <w:tcPr>
            <w:tcW w:w="0" w:type="auto"/>
            <w:shd w:val="clear" w:color="auto" w:fill="FFFFFF"/>
            <w:tcMar>
              <w:top w:w="40" w:type="dxa"/>
              <w:left w:w="0" w:type="dxa"/>
              <w:bottom w:w="40" w:type="dxa"/>
              <w:right w:w="20" w:type="dxa"/>
            </w:tcMar>
            <w:vAlign w:val="center"/>
          </w:tcPr>
          <w:p w14:paraId="35D0A8A9" w14:textId="77777777" w:rsidR="00D42204" w:rsidRDefault="00D42204">
            <w:pPr>
              <w:jc w:val="right"/>
              <w:rPr>
                <w:rFonts w:ascii="宋体"/>
              </w:rPr>
            </w:pPr>
          </w:p>
        </w:tc>
        <w:tc>
          <w:tcPr>
            <w:tcW w:w="0" w:type="auto"/>
            <w:shd w:val="clear" w:color="auto" w:fill="auto"/>
            <w:vAlign w:val="bottom"/>
          </w:tcPr>
          <w:p w14:paraId="35D0A8AA" w14:textId="77777777" w:rsidR="00D42204" w:rsidRDefault="00D42204">
            <w:pPr>
              <w:rPr>
                <w:rFonts w:ascii="宋体"/>
                <w:vanish/>
              </w:rPr>
            </w:pPr>
          </w:p>
        </w:tc>
      </w:tr>
      <w:tr w:rsidR="00D42204" w14:paraId="35D0A8C5" w14:textId="77777777">
        <w:trPr>
          <w:jc w:val="center"/>
        </w:trPr>
        <w:tc>
          <w:tcPr>
            <w:tcW w:w="0" w:type="auto"/>
            <w:gridSpan w:val="3"/>
            <w:shd w:val="clear" w:color="auto" w:fill="CCEEFF"/>
            <w:tcMar>
              <w:top w:w="40" w:type="dxa"/>
              <w:left w:w="20" w:type="dxa"/>
              <w:bottom w:w="40" w:type="dxa"/>
              <w:right w:w="20" w:type="dxa"/>
            </w:tcMar>
            <w:vAlign w:val="center"/>
          </w:tcPr>
          <w:p w14:paraId="35D0A8AC" w14:textId="77777777" w:rsidR="00D42204" w:rsidRDefault="004E439D">
            <w:pPr>
              <w:textAlignment w:val="center"/>
            </w:pPr>
            <w:r>
              <w:rPr>
                <w:rFonts w:ascii="Times New Roman" w:eastAsia="宋体" w:hAnsi="Times New Roman"/>
                <w:color w:val="000000"/>
                <w:sz w:val="16"/>
                <w:szCs w:val="16"/>
              </w:rPr>
              <w:t>Cash dividends declared ($2.20 per share)</w:t>
            </w:r>
          </w:p>
        </w:tc>
        <w:tc>
          <w:tcPr>
            <w:tcW w:w="0" w:type="auto"/>
            <w:gridSpan w:val="2"/>
            <w:shd w:val="clear" w:color="auto" w:fill="CCEEFF"/>
            <w:tcMar>
              <w:top w:w="40" w:type="dxa"/>
              <w:left w:w="20" w:type="dxa"/>
              <w:bottom w:w="40" w:type="dxa"/>
              <w:right w:w="0" w:type="dxa"/>
            </w:tcMar>
            <w:vAlign w:val="center"/>
          </w:tcPr>
          <w:p w14:paraId="35D0A8AD"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A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A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B0"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B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B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B3"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B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B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B6" w14:textId="77777777" w:rsidR="00D42204" w:rsidRDefault="004E439D">
            <w:pPr>
              <w:jc w:val="right"/>
              <w:textAlignment w:val="center"/>
            </w:pPr>
            <w:r>
              <w:rPr>
                <w:rFonts w:ascii="Times New Roman" w:eastAsia="宋体" w:hAnsi="Times New Roman"/>
                <w:color w:val="000000"/>
                <w:sz w:val="16"/>
                <w:szCs w:val="16"/>
              </w:rPr>
              <w:t>(6,152)</w:t>
            </w:r>
          </w:p>
        </w:tc>
        <w:tc>
          <w:tcPr>
            <w:tcW w:w="0" w:type="auto"/>
            <w:shd w:val="clear" w:color="auto" w:fill="CCEEFF"/>
            <w:tcMar>
              <w:top w:w="40" w:type="dxa"/>
              <w:left w:w="0" w:type="dxa"/>
              <w:bottom w:w="40" w:type="dxa"/>
              <w:right w:w="20" w:type="dxa"/>
            </w:tcMar>
            <w:vAlign w:val="center"/>
          </w:tcPr>
          <w:p w14:paraId="35D0A8B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B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B9"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B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B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BC" w14:textId="77777777" w:rsidR="00D42204" w:rsidRDefault="004E439D">
            <w:pPr>
              <w:jc w:val="right"/>
              <w:textAlignment w:val="center"/>
            </w:pPr>
            <w:r>
              <w:rPr>
                <w:rFonts w:ascii="Times New Roman" w:eastAsia="宋体" w:hAnsi="Times New Roman"/>
                <w:color w:val="000000"/>
                <w:sz w:val="16"/>
                <w:szCs w:val="16"/>
              </w:rPr>
              <w:t>(6,152)</w:t>
            </w:r>
          </w:p>
        </w:tc>
        <w:tc>
          <w:tcPr>
            <w:tcW w:w="0" w:type="auto"/>
            <w:shd w:val="clear" w:color="auto" w:fill="CCEEFF"/>
            <w:tcMar>
              <w:top w:w="40" w:type="dxa"/>
              <w:left w:w="0" w:type="dxa"/>
              <w:bottom w:w="40" w:type="dxa"/>
              <w:right w:w="20" w:type="dxa"/>
            </w:tcMar>
            <w:vAlign w:val="center"/>
          </w:tcPr>
          <w:p w14:paraId="35D0A8B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B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BF"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C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C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C2" w14:textId="77777777" w:rsidR="00D42204" w:rsidRDefault="004E439D">
            <w:pPr>
              <w:jc w:val="right"/>
              <w:textAlignment w:val="center"/>
            </w:pPr>
            <w:r>
              <w:rPr>
                <w:rFonts w:ascii="Times New Roman" w:eastAsia="宋体" w:hAnsi="Times New Roman"/>
                <w:color w:val="000000"/>
                <w:sz w:val="16"/>
                <w:szCs w:val="16"/>
              </w:rPr>
              <w:t>(6,152)</w:t>
            </w:r>
          </w:p>
        </w:tc>
        <w:tc>
          <w:tcPr>
            <w:tcW w:w="0" w:type="auto"/>
            <w:shd w:val="clear" w:color="auto" w:fill="CCEEFF"/>
            <w:tcMar>
              <w:top w:w="40" w:type="dxa"/>
              <w:left w:w="0" w:type="dxa"/>
              <w:bottom w:w="40" w:type="dxa"/>
              <w:right w:w="20" w:type="dxa"/>
            </w:tcMar>
            <w:vAlign w:val="center"/>
          </w:tcPr>
          <w:p w14:paraId="35D0A8C3" w14:textId="77777777" w:rsidR="00D42204" w:rsidRDefault="00D42204">
            <w:pPr>
              <w:jc w:val="right"/>
              <w:rPr>
                <w:rFonts w:ascii="宋体"/>
              </w:rPr>
            </w:pPr>
          </w:p>
        </w:tc>
        <w:tc>
          <w:tcPr>
            <w:tcW w:w="0" w:type="auto"/>
            <w:shd w:val="clear" w:color="auto" w:fill="auto"/>
            <w:vAlign w:val="bottom"/>
          </w:tcPr>
          <w:p w14:paraId="35D0A8C4" w14:textId="77777777" w:rsidR="00D42204" w:rsidRDefault="00D42204">
            <w:pPr>
              <w:rPr>
                <w:rFonts w:ascii="宋体"/>
                <w:vanish/>
              </w:rPr>
            </w:pPr>
          </w:p>
        </w:tc>
      </w:tr>
      <w:tr w:rsidR="00D42204" w14:paraId="35D0A8DF" w14:textId="77777777">
        <w:trPr>
          <w:jc w:val="center"/>
        </w:trPr>
        <w:tc>
          <w:tcPr>
            <w:tcW w:w="0" w:type="auto"/>
            <w:gridSpan w:val="3"/>
            <w:shd w:val="clear" w:color="auto" w:fill="FFFFFF"/>
            <w:tcMar>
              <w:top w:w="40" w:type="dxa"/>
              <w:left w:w="20" w:type="dxa"/>
              <w:bottom w:w="40" w:type="dxa"/>
              <w:right w:w="20" w:type="dxa"/>
            </w:tcMar>
            <w:vAlign w:val="center"/>
          </w:tcPr>
          <w:p w14:paraId="35D0A8C6" w14:textId="77777777" w:rsidR="00D42204" w:rsidRDefault="004E439D">
            <w:pPr>
              <w:textAlignment w:val="center"/>
            </w:pPr>
            <w:r>
              <w:rPr>
                <w:rFonts w:ascii="Times New Roman" w:eastAsia="宋体" w:hAnsi="Times New Roman"/>
                <w:color w:val="000000"/>
                <w:sz w:val="16"/>
                <w:szCs w:val="16"/>
              </w:rPr>
              <w:t>Purchase of Company stock</w:t>
            </w:r>
          </w:p>
        </w:tc>
        <w:tc>
          <w:tcPr>
            <w:tcW w:w="0" w:type="auto"/>
            <w:gridSpan w:val="2"/>
            <w:shd w:val="clear" w:color="auto" w:fill="FFFFFF"/>
            <w:tcMar>
              <w:top w:w="40" w:type="dxa"/>
              <w:left w:w="20" w:type="dxa"/>
              <w:bottom w:w="40" w:type="dxa"/>
              <w:right w:w="0" w:type="dxa"/>
            </w:tcMar>
            <w:vAlign w:val="center"/>
          </w:tcPr>
          <w:p w14:paraId="35D0A8C7" w14:textId="77777777" w:rsidR="00D42204" w:rsidRDefault="004E439D">
            <w:pPr>
              <w:jc w:val="right"/>
              <w:textAlignment w:val="center"/>
            </w:pPr>
            <w:r>
              <w:rPr>
                <w:rFonts w:ascii="Times New Roman" w:eastAsia="宋体" w:hAnsi="Times New Roman"/>
                <w:color w:val="000000"/>
                <w:sz w:val="16"/>
                <w:szCs w:val="16"/>
              </w:rPr>
              <w:t>(70)</w:t>
            </w:r>
          </w:p>
        </w:tc>
        <w:tc>
          <w:tcPr>
            <w:tcW w:w="0" w:type="auto"/>
            <w:shd w:val="clear" w:color="auto" w:fill="FFFFFF"/>
            <w:tcMar>
              <w:top w:w="40" w:type="dxa"/>
              <w:left w:w="0" w:type="dxa"/>
              <w:bottom w:w="40" w:type="dxa"/>
              <w:right w:w="20" w:type="dxa"/>
            </w:tcMar>
            <w:vAlign w:val="center"/>
          </w:tcPr>
          <w:p w14:paraId="35D0A8C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C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CA" w14:textId="77777777" w:rsidR="00D42204" w:rsidRDefault="004E439D">
            <w:pPr>
              <w:jc w:val="right"/>
              <w:textAlignment w:val="center"/>
            </w:pPr>
            <w:r>
              <w:rPr>
                <w:rFonts w:ascii="Times New Roman" w:eastAsia="宋体" w:hAnsi="Times New Roman"/>
                <w:color w:val="000000"/>
                <w:sz w:val="16"/>
                <w:szCs w:val="16"/>
              </w:rPr>
              <w:t>(7)</w:t>
            </w:r>
          </w:p>
        </w:tc>
        <w:tc>
          <w:tcPr>
            <w:tcW w:w="0" w:type="auto"/>
            <w:shd w:val="clear" w:color="auto" w:fill="FFFFFF"/>
            <w:tcMar>
              <w:top w:w="40" w:type="dxa"/>
              <w:left w:w="0" w:type="dxa"/>
              <w:bottom w:w="40" w:type="dxa"/>
              <w:right w:w="20" w:type="dxa"/>
            </w:tcMar>
            <w:vAlign w:val="center"/>
          </w:tcPr>
          <w:p w14:paraId="35D0A8C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C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CD" w14:textId="77777777" w:rsidR="00D42204" w:rsidRDefault="004E439D">
            <w:pPr>
              <w:jc w:val="right"/>
              <w:textAlignment w:val="center"/>
            </w:pPr>
            <w:r>
              <w:rPr>
                <w:rFonts w:ascii="Times New Roman" w:eastAsia="宋体" w:hAnsi="Times New Roman"/>
                <w:color w:val="000000"/>
                <w:sz w:val="16"/>
                <w:szCs w:val="16"/>
              </w:rPr>
              <w:t>(426)</w:t>
            </w:r>
          </w:p>
        </w:tc>
        <w:tc>
          <w:tcPr>
            <w:tcW w:w="0" w:type="auto"/>
            <w:shd w:val="clear" w:color="auto" w:fill="FFFFFF"/>
            <w:tcMar>
              <w:top w:w="40" w:type="dxa"/>
              <w:left w:w="0" w:type="dxa"/>
              <w:bottom w:w="40" w:type="dxa"/>
              <w:right w:w="20" w:type="dxa"/>
            </w:tcMar>
            <w:vAlign w:val="center"/>
          </w:tcPr>
          <w:p w14:paraId="35D0A8C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C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D0" w14:textId="77777777" w:rsidR="00D42204" w:rsidRDefault="004E439D">
            <w:pPr>
              <w:jc w:val="right"/>
              <w:textAlignment w:val="center"/>
            </w:pPr>
            <w:r>
              <w:rPr>
                <w:rFonts w:ascii="Times New Roman" w:eastAsia="宋体" w:hAnsi="Times New Roman"/>
                <w:color w:val="000000"/>
                <w:sz w:val="16"/>
                <w:szCs w:val="16"/>
              </w:rPr>
              <w:t>(9,375)</w:t>
            </w:r>
          </w:p>
        </w:tc>
        <w:tc>
          <w:tcPr>
            <w:tcW w:w="0" w:type="auto"/>
            <w:shd w:val="clear" w:color="auto" w:fill="FFFFFF"/>
            <w:tcMar>
              <w:top w:w="40" w:type="dxa"/>
              <w:left w:w="0" w:type="dxa"/>
              <w:bottom w:w="40" w:type="dxa"/>
              <w:right w:w="20" w:type="dxa"/>
            </w:tcMar>
            <w:vAlign w:val="center"/>
          </w:tcPr>
          <w:p w14:paraId="35D0A8D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D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D3"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8D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D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D6" w14:textId="77777777" w:rsidR="00D42204" w:rsidRDefault="004E439D">
            <w:pPr>
              <w:jc w:val="right"/>
              <w:textAlignment w:val="center"/>
            </w:pPr>
            <w:r>
              <w:rPr>
                <w:rFonts w:ascii="Times New Roman" w:eastAsia="宋体" w:hAnsi="Times New Roman"/>
                <w:color w:val="000000"/>
                <w:sz w:val="16"/>
                <w:szCs w:val="16"/>
              </w:rPr>
              <w:t>(9,808)</w:t>
            </w:r>
          </w:p>
        </w:tc>
        <w:tc>
          <w:tcPr>
            <w:tcW w:w="0" w:type="auto"/>
            <w:shd w:val="clear" w:color="auto" w:fill="FFFFFF"/>
            <w:tcMar>
              <w:top w:w="40" w:type="dxa"/>
              <w:left w:w="0" w:type="dxa"/>
              <w:bottom w:w="40" w:type="dxa"/>
              <w:right w:w="20" w:type="dxa"/>
            </w:tcMar>
            <w:vAlign w:val="center"/>
          </w:tcPr>
          <w:p w14:paraId="35D0A8D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D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D9"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8D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D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DC" w14:textId="77777777" w:rsidR="00D42204" w:rsidRDefault="004E439D">
            <w:pPr>
              <w:jc w:val="right"/>
              <w:textAlignment w:val="center"/>
            </w:pPr>
            <w:r>
              <w:rPr>
                <w:rFonts w:ascii="Times New Roman" w:eastAsia="宋体" w:hAnsi="Times New Roman"/>
                <w:color w:val="000000"/>
                <w:sz w:val="16"/>
                <w:szCs w:val="16"/>
              </w:rPr>
              <w:t>(9,808)</w:t>
            </w:r>
          </w:p>
        </w:tc>
        <w:tc>
          <w:tcPr>
            <w:tcW w:w="0" w:type="auto"/>
            <w:shd w:val="clear" w:color="auto" w:fill="FFFFFF"/>
            <w:tcMar>
              <w:top w:w="40" w:type="dxa"/>
              <w:left w:w="0" w:type="dxa"/>
              <w:bottom w:w="40" w:type="dxa"/>
              <w:right w:w="20" w:type="dxa"/>
            </w:tcMar>
            <w:vAlign w:val="center"/>
          </w:tcPr>
          <w:p w14:paraId="35D0A8DD" w14:textId="77777777" w:rsidR="00D42204" w:rsidRDefault="00D42204">
            <w:pPr>
              <w:jc w:val="right"/>
              <w:rPr>
                <w:rFonts w:ascii="宋体"/>
              </w:rPr>
            </w:pPr>
          </w:p>
        </w:tc>
        <w:tc>
          <w:tcPr>
            <w:tcW w:w="0" w:type="auto"/>
            <w:shd w:val="clear" w:color="auto" w:fill="auto"/>
            <w:vAlign w:val="bottom"/>
          </w:tcPr>
          <w:p w14:paraId="35D0A8DE" w14:textId="77777777" w:rsidR="00D42204" w:rsidRDefault="00D42204">
            <w:pPr>
              <w:rPr>
                <w:rFonts w:ascii="宋体"/>
                <w:vanish/>
              </w:rPr>
            </w:pPr>
          </w:p>
        </w:tc>
      </w:tr>
      <w:tr w:rsidR="00D42204" w14:paraId="35D0A8F9" w14:textId="77777777">
        <w:trPr>
          <w:jc w:val="center"/>
        </w:trPr>
        <w:tc>
          <w:tcPr>
            <w:tcW w:w="0" w:type="auto"/>
            <w:gridSpan w:val="3"/>
            <w:shd w:val="clear" w:color="auto" w:fill="CCEEFF"/>
            <w:tcMar>
              <w:top w:w="40" w:type="dxa"/>
              <w:left w:w="20" w:type="dxa"/>
              <w:bottom w:w="40" w:type="dxa"/>
              <w:right w:w="20" w:type="dxa"/>
            </w:tcMar>
            <w:vAlign w:val="center"/>
          </w:tcPr>
          <w:p w14:paraId="35D0A8E0" w14:textId="77777777" w:rsidR="00D42204" w:rsidRDefault="004E439D">
            <w:pPr>
              <w:textAlignment w:val="center"/>
            </w:pPr>
            <w:r>
              <w:rPr>
                <w:rFonts w:ascii="Times New Roman" w:eastAsia="宋体" w:hAnsi="Times New Roman"/>
                <w:color w:val="000000"/>
                <w:sz w:val="16"/>
                <w:szCs w:val="16"/>
              </w:rPr>
              <w:t>Cash dividend declared to noncontrolling interest</w:t>
            </w:r>
          </w:p>
        </w:tc>
        <w:tc>
          <w:tcPr>
            <w:tcW w:w="0" w:type="auto"/>
            <w:gridSpan w:val="2"/>
            <w:shd w:val="clear" w:color="auto" w:fill="CCEEFF"/>
            <w:tcMar>
              <w:top w:w="40" w:type="dxa"/>
              <w:left w:w="20" w:type="dxa"/>
              <w:bottom w:w="40" w:type="dxa"/>
              <w:right w:w="0" w:type="dxa"/>
            </w:tcMar>
            <w:vAlign w:val="center"/>
          </w:tcPr>
          <w:p w14:paraId="35D0A8E1"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E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E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E4"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E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E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E7"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E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E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EA"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E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E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ED"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E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E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F0"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8F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F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F3" w14:textId="77777777" w:rsidR="00D42204" w:rsidRDefault="004E439D">
            <w:pPr>
              <w:jc w:val="right"/>
              <w:textAlignment w:val="center"/>
            </w:pPr>
            <w:r>
              <w:rPr>
                <w:rFonts w:ascii="Times New Roman" w:eastAsia="宋体" w:hAnsi="Times New Roman"/>
                <w:color w:val="000000"/>
                <w:sz w:val="16"/>
                <w:szCs w:val="16"/>
              </w:rPr>
              <w:t>(416)</w:t>
            </w:r>
          </w:p>
        </w:tc>
        <w:tc>
          <w:tcPr>
            <w:tcW w:w="0" w:type="auto"/>
            <w:shd w:val="clear" w:color="auto" w:fill="CCEEFF"/>
            <w:tcMar>
              <w:top w:w="40" w:type="dxa"/>
              <w:left w:w="0" w:type="dxa"/>
              <w:bottom w:w="40" w:type="dxa"/>
              <w:right w:w="20" w:type="dxa"/>
            </w:tcMar>
            <w:vAlign w:val="center"/>
          </w:tcPr>
          <w:p w14:paraId="35D0A8F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8F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8F6" w14:textId="77777777" w:rsidR="00D42204" w:rsidRDefault="004E439D">
            <w:pPr>
              <w:jc w:val="right"/>
              <w:textAlignment w:val="center"/>
            </w:pPr>
            <w:r>
              <w:rPr>
                <w:rFonts w:ascii="Times New Roman" w:eastAsia="宋体" w:hAnsi="Times New Roman"/>
                <w:color w:val="000000"/>
                <w:sz w:val="16"/>
                <w:szCs w:val="16"/>
              </w:rPr>
              <w:t>(416)</w:t>
            </w:r>
          </w:p>
        </w:tc>
        <w:tc>
          <w:tcPr>
            <w:tcW w:w="0" w:type="auto"/>
            <w:shd w:val="clear" w:color="auto" w:fill="CCEEFF"/>
            <w:tcMar>
              <w:top w:w="40" w:type="dxa"/>
              <w:left w:w="0" w:type="dxa"/>
              <w:bottom w:w="40" w:type="dxa"/>
              <w:right w:w="20" w:type="dxa"/>
            </w:tcMar>
            <w:vAlign w:val="center"/>
          </w:tcPr>
          <w:p w14:paraId="35D0A8F7" w14:textId="77777777" w:rsidR="00D42204" w:rsidRDefault="00D42204">
            <w:pPr>
              <w:jc w:val="right"/>
              <w:rPr>
                <w:rFonts w:ascii="宋体"/>
              </w:rPr>
            </w:pPr>
          </w:p>
        </w:tc>
        <w:tc>
          <w:tcPr>
            <w:tcW w:w="0" w:type="auto"/>
            <w:shd w:val="clear" w:color="auto" w:fill="auto"/>
            <w:vAlign w:val="bottom"/>
          </w:tcPr>
          <w:p w14:paraId="35D0A8F8" w14:textId="77777777" w:rsidR="00D42204" w:rsidRDefault="00D42204">
            <w:pPr>
              <w:rPr>
                <w:rFonts w:ascii="宋体"/>
                <w:vanish/>
              </w:rPr>
            </w:pPr>
          </w:p>
        </w:tc>
      </w:tr>
      <w:tr w:rsidR="00D42204" w14:paraId="35D0A913" w14:textId="77777777">
        <w:trPr>
          <w:jc w:val="center"/>
        </w:trPr>
        <w:tc>
          <w:tcPr>
            <w:tcW w:w="0" w:type="auto"/>
            <w:gridSpan w:val="3"/>
            <w:shd w:val="clear" w:color="auto" w:fill="FFFFFF"/>
            <w:tcMar>
              <w:top w:w="40" w:type="dxa"/>
              <w:left w:w="20" w:type="dxa"/>
              <w:bottom w:w="40" w:type="dxa"/>
              <w:right w:w="20" w:type="dxa"/>
            </w:tcMar>
            <w:vAlign w:val="center"/>
          </w:tcPr>
          <w:p w14:paraId="35D0A8FA" w14:textId="77777777" w:rsidR="00D42204" w:rsidRDefault="004E439D">
            <w:pPr>
              <w:textAlignment w:val="center"/>
            </w:pPr>
            <w:r>
              <w:rPr>
                <w:rFonts w:ascii="Times New Roman" w:eastAsia="宋体" w:hAnsi="Times New Roman"/>
                <w:color w:val="000000"/>
                <w:sz w:val="16"/>
                <w:szCs w:val="16"/>
              </w:rPr>
              <w:t>Sale of subsidiary stock</w:t>
            </w:r>
          </w:p>
        </w:tc>
        <w:tc>
          <w:tcPr>
            <w:tcW w:w="0" w:type="auto"/>
            <w:gridSpan w:val="2"/>
            <w:shd w:val="clear" w:color="auto" w:fill="FFFFFF"/>
            <w:tcMar>
              <w:top w:w="40" w:type="dxa"/>
              <w:left w:w="20" w:type="dxa"/>
              <w:bottom w:w="40" w:type="dxa"/>
              <w:right w:w="0" w:type="dxa"/>
            </w:tcMar>
            <w:vAlign w:val="center"/>
          </w:tcPr>
          <w:p w14:paraId="35D0A8FB"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8F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8F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8FE"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8F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0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901" w14:textId="77777777" w:rsidR="00D42204" w:rsidRDefault="004E439D">
            <w:pPr>
              <w:jc w:val="right"/>
              <w:textAlignment w:val="center"/>
            </w:pPr>
            <w:r>
              <w:rPr>
                <w:rFonts w:ascii="Times New Roman" w:eastAsia="宋体" w:hAnsi="Times New Roman"/>
                <w:color w:val="000000"/>
                <w:sz w:val="16"/>
                <w:szCs w:val="16"/>
              </w:rPr>
              <w:t>952 </w:t>
            </w:r>
          </w:p>
        </w:tc>
        <w:tc>
          <w:tcPr>
            <w:tcW w:w="0" w:type="auto"/>
            <w:shd w:val="clear" w:color="auto" w:fill="FFFFFF"/>
            <w:tcMar>
              <w:top w:w="40" w:type="dxa"/>
              <w:left w:w="0" w:type="dxa"/>
              <w:bottom w:w="40" w:type="dxa"/>
              <w:right w:w="20" w:type="dxa"/>
            </w:tcMar>
            <w:vAlign w:val="center"/>
          </w:tcPr>
          <w:p w14:paraId="35D0A90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0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904"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90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0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907"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90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0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90A" w14:textId="77777777" w:rsidR="00D42204" w:rsidRDefault="004E439D">
            <w:pPr>
              <w:jc w:val="right"/>
              <w:textAlignment w:val="center"/>
            </w:pPr>
            <w:r>
              <w:rPr>
                <w:rFonts w:ascii="Times New Roman" w:eastAsia="宋体" w:hAnsi="Times New Roman"/>
                <w:color w:val="000000"/>
                <w:sz w:val="16"/>
                <w:szCs w:val="16"/>
              </w:rPr>
              <w:t>952 </w:t>
            </w:r>
          </w:p>
        </w:tc>
        <w:tc>
          <w:tcPr>
            <w:tcW w:w="0" w:type="auto"/>
            <w:shd w:val="clear" w:color="auto" w:fill="FFFFFF"/>
            <w:tcMar>
              <w:top w:w="40" w:type="dxa"/>
              <w:left w:w="0" w:type="dxa"/>
              <w:bottom w:w="40" w:type="dxa"/>
              <w:right w:w="20" w:type="dxa"/>
            </w:tcMar>
            <w:vAlign w:val="center"/>
          </w:tcPr>
          <w:p w14:paraId="35D0A90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0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90D" w14:textId="77777777" w:rsidR="00D42204" w:rsidRDefault="004E439D">
            <w:pPr>
              <w:jc w:val="right"/>
              <w:textAlignment w:val="center"/>
            </w:pPr>
            <w:r>
              <w:rPr>
                <w:rFonts w:ascii="Times New Roman" w:eastAsia="宋体" w:hAnsi="Times New Roman"/>
                <w:color w:val="000000"/>
                <w:sz w:val="16"/>
                <w:szCs w:val="16"/>
              </w:rPr>
              <w:t>2,287 </w:t>
            </w:r>
          </w:p>
        </w:tc>
        <w:tc>
          <w:tcPr>
            <w:tcW w:w="0" w:type="auto"/>
            <w:shd w:val="clear" w:color="auto" w:fill="FFFFFF"/>
            <w:tcMar>
              <w:top w:w="40" w:type="dxa"/>
              <w:left w:w="0" w:type="dxa"/>
              <w:bottom w:w="40" w:type="dxa"/>
              <w:right w:w="20" w:type="dxa"/>
            </w:tcMar>
            <w:vAlign w:val="center"/>
          </w:tcPr>
          <w:p w14:paraId="35D0A90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0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910" w14:textId="77777777" w:rsidR="00D42204" w:rsidRDefault="004E439D">
            <w:pPr>
              <w:jc w:val="right"/>
              <w:textAlignment w:val="center"/>
            </w:pPr>
            <w:r>
              <w:rPr>
                <w:rFonts w:ascii="Times New Roman" w:eastAsia="宋体" w:hAnsi="Times New Roman"/>
                <w:color w:val="000000"/>
                <w:sz w:val="16"/>
                <w:szCs w:val="16"/>
              </w:rPr>
              <w:t>3,239 </w:t>
            </w:r>
          </w:p>
        </w:tc>
        <w:tc>
          <w:tcPr>
            <w:tcW w:w="0" w:type="auto"/>
            <w:shd w:val="clear" w:color="auto" w:fill="FFFFFF"/>
            <w:tcMar>
              <w:top w:w="40" w:type="dxa"/>
              <w:left w:w="0" w:type="dxa"/>
              <w:bottom w:w="40" w:type="dxa"/>
              <w:right w:w="20" w:type="dxa"/>
            </w:tcMar>
            <w:vAlign w:val="center"/>
          </w:tcPr>
          <w:p w14:paraId="35D0A911" w14:textId="77777777" w:rsidR="00D42204" w:rsidRDefault="00D42204">
            <w:pPr>
              <w:jc w:val="right"/>
              <w:rPr>
                <w:rFonts w:ascii="宋体"/>
              </w:rPr>
            </w:pPr>
          </w:p>
        </w:tc>
        <w:tc>
          <w:tcPr>
            <w:tcW w:w="0" w:type="auto"/>
            <w:shd w:val="clear" w:color="auto" w:fill="auto"/>
            <w:vAlign w:val="bottom"/>
          </w:tcPr>
          <w:p w14:paraId="35D0A912" w14:textId="77777777" w:rsidR="00D42204" w:rsidRDefault="00D42204">
            <w:pPr>
              <w:rPr>
                <w:rFonts w:ascii="宋体"/>
                <w:vanish/>
              </w:rPr>
            </w:pPr>
          </w:p>
        </w:tc>
      </w:tr>
      <w:tr w:rsidR="00D42204" w14:paraId="35D0A92D" w14:textId="77777777">
        <w:trPr>
          <w:jc w:val="center"/>
        </w:trPr>
        <w:tc>
          <w:tcPr>
            <w:tcW w:w="0" w:type="auto"/>
            <w:gridSpan w:val="3"/>
            <w:shd w:val="clear" w:color="auto" w:fill="CCEEFF"/>
            <w:tcMar>
              <w:top w:w="40" w:type="dxa"/>
              <w:left w:w="20" w:type="dxa"/>
              <w:bottom w:w="40" w:type="dxa"/>
              <w:right w:w="20" w:type="dxa"/>
            </w:tcMar>
            <w:vAlign w:val="center"/>
          </w:tcPr>
          <w:p w14:paraId="35D0A914" w14:textId="77777777" w:rsidR="00D42204" w:rsidRDefault="004E439D">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35D0A915" w14:textId="77777777" w:rsidR="00D42204" w:rsidRDefault="004E439D">
            <w:pPr>
              <w:jc w:val="right"/>
              <w:textAlignment w:val="center"/>
            </w:pPr>
            <w:r>
              <w:rPr>
                <w:rFonts w:ascii="Times New Roman" w:eastAsia="宋体" w:hAnsi="Times New Roman"/>
                <w:color w:val="000000"/>
                <w:sz w:val="16"/>
                <w:szCs w:val="16"/>
              </w:rPr>
              <w:t>10 </w:t>
            </w:r>
          </w:p>
        </w:tc>
        <w:tc>
          <w:tcPr>
            <w:tcW w:w="0" w:type="auto"/>
            <w:shd w:val="clear" w:color="auto" w:fill="CCEEFF"/>
            <w:tcMar>
              <w:top w:w="40" w:type="dxa"/>
              <w:left w:w="0" w:type="dxa"/>
              <w:bottom w:w="40" w:type="dxa"/>
              <w:right w:w="20" w:type="dxa"/>
            </w:tcMar>
            <w:vAlign w:val="center"/>
          </w:tcPr>
          <w:p w14:paraId="35D0A91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91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18" w14:textId="77777777" w:rsidR="00D42204" w:rsidRDefault="004E439D">
            <w:pPr>
              <w:jc w:val="right"/>
              <w:textAlignment w:val="center"/>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center"/>
          </w:tcPr>
          <w:p w14:paraId="35D0A91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91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1B" w14:textId="77777777" w:rsidR="00D42204" w:rsidRDefault="004E439D">
            <w:pPr>
              <w:jc w:val="right"/>
              <w:textAlignment w:val="center"/>
            </w:pPr>
            <w:r>
              <w:rPr>
                <w:rFonts w:ascii="Times New Roman" w:eastAsia="宋体" w:hAnsi="Times New Roman"/>
                <w:color w:val="000000"/>
                <w:sz w:val="16"/>
                <w:szCs w:val="16"/>
              </w:rPr>
              <w:t>667 </w:t>
            </w:r>
          </w:p>
        </w:tc>
        <w:tc>
          <w:tcPr>
            <w:tcW w:w="0" w:type="auto"/>
            <w:shd w:val="clear" w:color="auto" w:fill="CCEEFF"/>
            <w:tcMar>
              <w:top w:w="40" w:type="dxa"/>
              <w:left w:w="0" w:type="dxa"/>
              <w:bottom w:w="40" w:type="dxa"/>
              <w:right w:w="20" w:type="dxa"/>
            </w:tcMar>
            <w:vAlign w:val="center"/>
          </w:tcPr>
          <w:p w14:paraId="35D0A91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91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1E" w14:textId="77777777" w:rsidR="00D42204" w:rsidRDefault="004E439D">
            <w:pPr>
              <w:jc w:val="right"/>
              <w:textAlignment w:val="center"/>
            </w:pPr>
            <w:r>
              <w:rPr>
                <w:rFonts w:ascii="Times New Roman" w:eastAsia="宋体" w:hAnsi="Times New Roman"/>
                <w:color w:val="000000"/>
                <w:sz w:val="16"/>
                <w:szCs w:val="16"/>
              </w:rPr>
              <w:t>(5)</w:t>
            </w:r>
          </w:p>
        </w:tc>
        <w:tc>
          <w:tcPr>
            <w:tcW w:w="0" w:type="auto"/>
            <w:shd w:val="clear" w:color="auto" w:fill="CCEEFF"/>
            <w:tcMar>
              <w:top w:w="40" w:type="dxa"/>
              <w:left w:w="0" w:type="dxa"/>
              <w:bottom w:w="40" w:type="dxa"/>
              <w:right w:w="20" w:type="dxa"/>
            </w:tcMar>
            <w:vAlign w:val="center"/>
          </w:tcPr>
          <w:p w14:paraId="35D0A91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92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21"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92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92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24" w14:textId="77777777" w:rsidR="00D42204" w:rsidRDefault="004E439D">
            <w:pPr>
              <w:jc w:val="right"/>
              <w:textAlignment w:val="center"/>
            </w:pPr>
            <w:r>
              <w:rPr>
                <w:rFonts w:ascii="Times New Roman" w:eastAsia="宋体" w:hAnsi="Times New Roman"/>
                <w:color w:val="000000"/>
                <w:sz w:val="16"/>
                <w:szCs w:val="16"/>
              </w:rPr>
              <w:t>663 </w:t>
            </w:r>
          </w:p>
        </w:tc>
        <w:tc>
          <w:tcPr>
            <w:tcW w:w="0" w:type="auto"/>
            <w:shd w:val="clear" w:color="auto" w:fill="CCEEFF"/>
            <w:tcMar>
              <w:top w:w="40" w:type="dxa"/>
              <w:left w:w="0" w:type="dxa"/>
              <w:bottom w:w="40" w:type="dxa"/>
              <w:right w:w="20" w:type="dxa"/>
            </w:tcMar>
            <w:vAlign w:val="center"/>
          </w:tcPr>
          <w:p w14:paraId="35D0A92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92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27" w14:textId="77777777" w:rsidR="00D42204" w:rsidRDefault="004E439D">
            <w:pPr>
              <w:jc w:val="right"/>
              <w:textAlignment w:val="center"/>
            </w:pPr>
            <w:r>
              <w:rPr>
                <w:rFonts w:ascii="Times New Roman" w:eastAsia="宋体" w:hAnsi="Times New Roman"/>
                <w:color w:val="000000"/>
                <w:sz w:val="16"/>
                <w:szCs w:val="16"/>
              </w:rPr>
              <w:t>124 </w:t>
            </w:r>
          </w:p>
        </w:tc>
        <w:tc>
          <w:tcPr>
            <w:tcW w:w="0" w:type="auto"/>
            <w:shd w:val="clear" w:color="auto" w:fill="CCEEFF"/>
            <w:tcMar>
              <w:top w:w="40" w:type="dxa"/>
              <w:left w:w="0" w:type="dxa"/>
              <w:bottom w:w="40" w:type="dxa"/>
              <w:right w:w="20" w:type="dxa"/>
            </w:tcMar>
            <w:vAlign w:val="center"/>
          </w:tcPr>
          <w:p w14:paraId="35D0A92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92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2A" w14:textId="77777777" w:rsidR="00D42204" w:rsidRDefault="004E439D">
            <w:pPr>
              <w:jc w:val="right"/>
              <w:textAlignment w:val="center"/>
            </w:pPr>
            <w:r>
              <w:rPr>
                <w:rFonts w:ascii="Times New Roman" w:eastAsia="宋体" w:hAnsi="Times New Roman"/>
                <w:color w:val="000000"/>
                <w:sz w:val="16"/>
                <w:szCs w:val="16"/>
              </w:rPr>
              <w:t>787 </w:t>
            </w:r>
          </w:p>
        </w:tc>
        <w:tc>
          <w:tcPr>
            <w:tcW w:w="0" w:type="auto"/>
            <w:shd w:val="clear" w:color="auto" w:fill="CCEEFF"/>
            <w:tcMar>
              <w:top w:w="40" w:type="dxa"/>
              <w:left w:w="0" w:type="dxa"/>
              <w:bottom w:w="40" w:type="dxa"/>
              <w:right w:w="20" w:type="dxa"/>
            </w:tcMar>
            <w:vAlign w:val="center"/>
          </w:tcPr>
          <w:p w14:paraId="35D0A92B" w14:textId="77777777" w:rsidR="00D42204" w:rsidRDefault="00D42204">
            <w:pPr>
              <w:jc w:val="right"/>
              <w:rPr>
                <w:rFonts w:ascii="宋体"/>
              </w:rPr>
            </w:pPr>
          </w:p>
        </w:tc>
        <w:tc>
          <w:tcPr>
            <w:tcW w:w="0" w:type="auto"/>
            <w:shd w:val="clear" w:color="auto" w:fill="auto"/>
            <w:vAlign w:val="bottom"/>
          </w:tcPr>
          <w:p w14:paraId="35D0A92C" w14:textId="77777777" w:rsidR="00D42204" w:rsidRDefault="00D42204">
            <w:pPr>
              <w:rPr>
                <w:rFonts w:ascii="宋体"/>
                <w:vanish/>
              </w:rPr>
            </w:pPr>
          </w:p>
        </w:tc>
      </w:tr>
      <w:tr w:rsidR="004E439D" w14:paraId="35D0A94E" w14:textId="77777777">
        <w:trPr>
          <w:jc w:val="center"/>
        </w:trPr>
        <w:tc>
          <w:tcPr>
            <w:tcW w:w="0" w:type="auto"/>
            <w:gridSpan w:val="3"/>
            <w:shd w:val="clear" w:color="auto" w:fill="FFFFFF"/>
            <w:tcMar>
              <w:top w:w="40" w:type="dxa"/>
              <w:left w:w="20" w:type="dxa"/>
              <w:bottom w:w="40" w:type="dxa"/>
              <w:right w:w="20" w:type="dxa"/>
            </w:tcMar>
            <w:vAlign w:val="center"/>
          </w:tcPr>
          <w:p w14:paraId="35D0A92E" w14:textId="77777777" w:rsidR="00D42204" w:rsidRDefault="004E439D">
            <w:pPr>
              <w:textAlignment w:val="center"/>
            </w:pPr>
            <w:r>
              <w:rPr>
                <w:rFonts w:ascii="Times New Roman" w:eastAsia="宋体" w:hAnsi="Times New Roman"/>
                <w:b/>
                <w:bCs/>
                <w:color w:val="000000"/>
                <w:sz w:val="16"/>
                <w:szCs w:val="16"/>
              </w:rPr>
              <w:t>Balances as of January 31, 2022</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92F" w14:textId="77777777" w:rsidR="00D42204" w:rsidRDefault="004E439D">
            <w:pPr>
              <w:jc w:val="right"/>
              <w:textAlignment w:val="center"/>
            </w:pPr>
            <w:r>
              <w:rPr>
                <w:rFonts w:ascii="Times New Roman" w:eastAsia="宋体" w:hAnsi="Times New Roman"/>
                <w:color w:val="000000"/>
                <w:sz w:val="16"/>
                <w:szCs w:val="16"/>
              </w:rPr>
              <w:t>2,761 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93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31"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932"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933" w14:textId="77777777" w:rsidR="00D42204" w:rsidRDefault="004E439D">
            <w:pPr>
              <w:jc w:val="right"/>
              <w:textAlignment w:val="center"/>
            </w:pPr>
            <w:r>
              <w:rPr>
                <w:rFonts w:ascii="Times New Roman" w:eastAsia="宋体" w:hAnsi="Times New Roman"/>
                <w:color w:val="000000"/>
                <w:sz w:val="16"/>
                <w:szCs w:val="16"/>
              </w:rPr>
              <w:t>276 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93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35"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936"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937" w14:textId="77777777" w:rsidR="00D42204" w:rsidRDefault="004E439D">
            <w:pPr>
              <w:jc w:val="right"/>
              <w:textAlignment w:val="center"/>
            </w:pPr>
            <w:r>
              <w:rPr>
                <w:rFonts w:ascii="Times New Roman" w:eastAsia="宋体" w:hAnsi="Times New Roman"/>
                <w:color w:val="000000"/>
                <w:sz w:val="16"/>
                <w:szCs w:val="16"/>
              </w:rPr>
              <w:t>4,839 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93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39"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93A"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93B" w14:textId="77777777" w:rsidR="00D42204" w:rsidRDefault="004E439D">
            <w:pPr>
              <w:jc w:val="right"/>
              <w:textAlignment w:val="center"/>
            </w:pPr>
            <w:r>
              <w:rPr>
                <w:rFonts w:ascii="Times New Roman" w:eastAsia="宋体" w:hAnsi="Times New Roman"/>
                <w:color w:val="000000"/>
                <w:sz w:val="16"/>
                <w:szCs w:val="16"/>
              </w:rPr>
              <w:t>86,904 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93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3D"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93E"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93F" w14:textId="77777777" w:rsidR="00D42204" w:rsidRDefault="004E439D">
            <w:pPr>
              <w:jc w:val="right"/>
              <w:textAlignment w:val="center"/>
            </w:pPr>
            <w:r>
              <w:rPr>
                <w:rFonts w:ascii="Times New Roman" w:eastAsia="宋体" w:hAnsi="Times New Roman"/>
                <w:color w:val="000000"/>
                <w:sz w:val="16"/>
                <w:szCs w:val="16"/>
              </w:rPr>
              <w:t>(8,766)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94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41"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942"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943" w14:textId="77777777" w:rsidR="00D42204" w:rsidRDefault="004E439D">
            <w:pPr>
              <w:jc w:val="right"/>
              <w:textAlignment w:val="center"/>
            </w:pPr>
            <w:r>
              <w:rPr>
                <w:rFonts w:ascii="Times New Roman" w:eastAsia="宋体" w:hAnsi="Times New Roman"/>
                <w:color w:val="000000"/>
                <w:sz w:val="16"/>
                <w:szCs w:val="16"/>
              </w:rPr>
              <w:t>83,253 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94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45"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946"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947" w14:textId="77777777" w:rsidR="00D42204" w:rsidRDefault="004E439D">
            <w:pPr>
              <w:jc w:val="right"/>
              <w:textAlignment w:val="center"/>
            </w:pPr>
            <w:r>
              <w:rPr>
                <w:rFonts w:ascii="Times New Roman" w:eastAsia="宋体" w:hAnsi="Times New Roman"/>
                <w:color w:val="000000"/>
                <w:sz w:val="16"/>
                <w:szCs w:val="16"/>
              </w:rPr>
              <w:t>8,638 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94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49"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94A"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94B" w14:textId="77777777" w:rsidR="00D42204" w:rsidRDefault="004E439D">
            <w:pPr>
              <w:jc w:val="right"/>
              <w:textAlignment w:val="center"/>
            </w:pPr>
            <w:r>
              <w:rPr>
                <w:rFonts w:ascii="Times New Roman" w:eastAsia="宋体" w:hAnsi="Times New Roman"/>
                <w:color w:val="000000"/>
                <w:sz w:val="16"/>
                <w:szCs w:val="16"/>
              </w:rPr>
              <w:t>91,891 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94C" w14:textId="77777777" w:rsidR="00D42204" w:rsidRDefault="00D42204">
            <w:pPr>
              <w:jc w:val="right"/>
              <w:rPr>
                <w:rFonts w:ascii="宋体"/>
              </w:rPr>
            </w:pPr>
          </w:p>
        </w:tc>
        <w:tc>
          <w:tcPr>
            <w:tcW w:w="0" w:type="auto"/>
            <w:shd w:val="clear" w:color="auto" w:fill="auto"/>
            <w:vAlign w:val="bottom"/>
          </w:tcPr>
          <w:p w14:paraId="35D0A94D" w14:textId="77777777" w:rsidR="00D42204" w:rsidRDefault="00D42204">
            <w:pPr>
              <w:rPr>
                <w:rFonts w:ascii="宋体"/>
                <w:vanish/>
              </w:rPr>
            </w:pPr>
          </w:p>
        </w:tc>
      </w:tr>
    </w:tbl>
    <w:p w14:paraId="35D0A94F" w14:textId="77777777" w:rsidR="00D42204" w:rsidRDefault="004E439D">
      <w:pPr>
        <w:spacing w:before="80"/>
      </w:pPr>
      <w:r>
        <w:rPr>
          <w:rFonts w:ascii="Times New Roman" w:eastAsia="宋体" w:hAnsi="Times New Roman"/>
          <w:i/>
          <w:iCs/>
          <w:color w:val="000000"/>
          <w:sz w:val="16"/>
          <w:szCs w:val="16"/>
        </w:rPr>
        <w:t>See accompanying notes.</w:t>
      </w:r>
    </w:p>
    <w:p w14:paraId="35D0A950" w14:textId="77777777" w:rsidR="00D42204" w:rsidRDefault="004E439D">
      <w:pPr>
        <w:jc w:val="center"/>
      </w:pPr>
      <w:r>
        <w:rPr>
          <w:rFonts w:ascii="Times New Roman" w:eastAsia="宋体" w:hAnsi="Times New Roman"/>
          <w:color w:val="000000"/>
          <w:sz w:val="20"/>
          <w:szCs w:val="20"/>
        </w:rPr>
        <w:t>56</w:t>
      </w:r>
    </w:p>
    <w:p w14:paraId="35D0A951" w14:textId="77777777" w:rsidR="00D42204" w:rsidRDefault="004E439D">
      <w:r>
        <w:pict w14:anchorId="35D0C393">
          <v:rect id="_x0000_i1080" style="width:415.3pt;height:1.5pt" o:hralign="center" o:hrstd="t" o:hr="t" fillcolor="#a0a0a0" stroked="f"/>
        </w:pict>
      </w:r>
    </w:p>
    <w:p w14:paraId="35D0A952" w14:textId="77777777" w:rsidR="00D42204" w:rsidRDefault="00D42204"/>
    <w:p w14:paraId="35D0A953" w14:textId="77777777" w:rsidR="00D42204" w:rsidRDefault="004E439D">
      <w:pPr>
        <w:jc w:val="center"/>
      </w:pPr>
      <w:r>
        <w:rPr>
          <w:rFonts w:ascii="Times New Roman" w:eastAsia="宋体" w:hAnsi="Times New Roman"/>
          <w:b/>
          <w:bCs/>
          <w:color w:val="000000"/>
          <w:sz w:val="20"/>
          <w:szCs w:val="20"/>
        </w:rPr>
        <w:t>Walmart Inc.</w:t>
      </w:r>
    </w:p>
    <w:p w14:paraId="35D0A954" w14:textId="77777777" w:rsidR="00D42204" w:rsidRDefault="004E439D">
      <w:pPr>
        <w:spacing w:before="60"/>
        <w:jc w:val="center"/>
      </w:pPr>
      <w:r>
        <w:rPr>
          <w:rFonts w:ascii="Times New Roman" w:eastAsia="宋体" w:hAnsi="Times New Roman"/>
          <w:b/>
          <w:bCs/>
          <w:color w:val="000000"/>
          <w:sz w:val="20"/>
          <w:szCs w:val="20"/>
        </w:rPr>
        <w:t>Consolidated Statements of Cash Flows</w:t>
      </w:r>
    </w:p>
    <w:p w14:paraId="35D0A955" w14:textId="77777777" w:rsidR="00D42204" w:rsidRDefault="00D42204">
      <w:pPr>
        <w:spacing w:before="6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281"/>
        <w:gridCol w:w="40"/>
        <w:gridCol w:w="36"/>
        <w:gridCol w:w="36"/>
        <w:gridCol w:w="36"/>
        <w:gridCol w:w="100"/>
        <w:gridCol w:w="747"/>
        <w:gridCol w:w="36"/>
        <w:gridCol w:w="36"/>
        <w:gridCol w:w="36"/>
        <w:gridCol w:w="36"/>
        <w:gridCol w:w="100"/>
        <w:gridCol w:w="747"/>
        <w:gridCol w:w="36"/>
        <w:gridCol w:w="36"/>
        <w:gridCol w:w="36"/>
        <w:gridCol w:w="36"/>
        <w:gridCol w:w="100"/>
        <w:gridCol w:w="747"/>
        <w:gridCol w:w="36"/>
      </w:tblGrid>
      <w:tr w:rsidR="00D42204" w14:paraId="35D0A96B" w14:textId="77777777">
        <w:trPr>
          <w:jc w:val="center"/>
        </w:trPr>
        <w:tc>
          <w:tcPr>
            <w:tcW w:w="50" w:type="pct"/>
            <w:shd w:val="clear" w:color="auto" w:fill="auto"/>
            <w:vAlign w:val="bottom"/>
          </w:tcPr>
          <w:p w14:paraId="35D0A956" w14:textId="77777777" w:rsidR="00D42204" w:rsidRDefault="00D42204">
            <w:pPr>
              <w:rPr>
                <w:rFonts w:ascii="宋体"/>
              </w:rPr>
            </w:pPr>
          </w:p>
        </w:tc>
        <w:tc>
          <w:tcPr>
            <w:tcW w:w="3190" w:type="pct"/>
            <w:shd w:val="clear" w:color="auto" w:fill="auto"/>
            <w:vAlign w:val="bottom"/>
          </w:tcPr>
          <w:p w14:paraId="35D0A957" w14:textId="77777777" w:rsidR="00D42204" w:rsidRDefault="00D42204">
            <w:pPr>
              <w:rPr>
                <w:rFonts w:ascii="宋体"/>
              </w:rPr>
            </w:pPr>
          </w:p>
        </w:tc>
        <w:tc>
          <w:tcPr>
            <w:tcW w:w="5" w:type="pct"/>
            <w:shd w:val="clear" w:color="auto" w:fill="auto"/>
            <w:vAlign w:val="bottom"/>
          </w:tcPr>
          <w:p w14:paraId="35D0A958" w14:textId="77777777" w:rsidR="00D42204" w:rsidRDefault="00D42204">
            <w:pPr>
              <w:rPr>
                <w:rFonts w:ascii="宋体"/>
              </w:rPr>
            </w:pPr>
          </w:p>
        </w:tc>
        <w:tc>
          <w:tcPr>
            <w:tcW w:w="5" w:type="pct"/>
            <w:shd w:val="clear" w:color="auto" w:fill="auto"/>
            <w:vAlign w:val="bottom"/>
          </w:tcPr>
          <w:p w14:paraId="35D0A959" w14:textId="77777777" w:rsidR="00D42204" w:rsidRDefault="00D42204">
            <w:pPr>
              <w:rPr>
                <w:rFonts w:ascii="宋体"/>
              </w:rPr>
            </w:pPr>
          </w:p>
        </w:tc>
        <w:tc>
          <w:tcPr>
            <w:tcW w:w="41" w:type="pct"/>
            <w:shd w:val="clear" w:color="auto" w:fill="auto"/>
            <w:vAlign w:val="bottom"/>
          </w:tcPr>
          <w:p w14:paraId="35D0A95A" w14:textId="77777777" w:rsidR="00D42204" w:rsidRDefault="00D42204">
            <w:pPr>
              <w:rPr>
                <w:rFonts w:ascii="宋体"/>
              </w:rPr>
            </w:pPr>
          </w:p>
        </w:tc>
        <w:tc>
          <w:tcPr>
            <w:tcW w:w="5" w:type="pct"/>
            <w:shd w:val="clear" w:color="auto" w:fill="auto"/>
            <w:vAlign w:val="bottom"/>
          </w:tcPr>
          <w:p w14:paraId="35D0A95B" w14:textId="77777777" w:rsidR="00D42204" w:rsidRDefault="00D42204">
            <w:pPr>
              <w:rPr>
                <w:rFonts w:ascii="宋体"/>
              </w:rPr>
            </w:pPr>
          </w:p>
        </w:tc>
        <w:tc>
          <w:tcPr>
            <w:tcW w:w="50" w:type="pct"/>
            <w:shd w:val="clear" w:color="auto" w:fill="auto"/>
            <w:vAlign w:val="bottom"/>
          </w:tcPr>
          <w:p w14:paraId="35D0A95C" w14:textId="77777777" w:rsidR="00D42204" w:rsidRDefault="00D42204">
            <w:pPr>
              <w:rPr>
                <w:rFonts w:ascii="宋体"/>
              </w:rPr>
            </w:pPr>
          </w:p>
        </w:tc>
        <w:tc>
          <w:tcPr>
            <w:tcW w:w="478" w:type="pct"/>
            <w:shd w:val="clear" w:color="auto" w:fill="auto"/>
            <w:vAlign w:val="bottom"/>
          </w:tcPr>
          <w:p w14:paraId="35D0A95D" w14:textId="77777777" w:rsidR="00D42204" w:rsidRDefault="00D42204">
            <w:pPr>
              <w:rPr>
                <w:rFonts w:ascii="宋体"/>
              </w:rPr>
            </w:pPr>
          </w:p>
        </w:tc>
        <w:tc>
          <w:tcPr>
            <w:tcW w:w="5" w:type="pct"/>
            <w:shd w:val="clear" w:color="auto" w:fill="auto"/>
            <w:vAlign w:val="bottom"/>
          </w:tcPr>
          <w:p w14:paraId="35D0A95E" w14:textId="77777777" w:rsidR="00D42204" w:rsidRDefault="00D42204">
            <w:pPr>
              <w:rPr>
                <w:rFonts w:ascii="宋体"/>
              </w:rPr>
            </w:pPr>
          </w:p>
        </w:tc>
        <w:tc>
          <w:tcPr>
            <w:tcW w:w="5" w:type="pct"/>
            <w:shd w:val="clear" w:color="auto" w:fill="auto"/>
            <w:vAlign w:val="bottom"/>
          </w:tcPr>
          <w:p w14:paraId="35D0A95F" w14:textId="77777777" w:rsidR="00D42204" w:rsidRDefault="00D42204">
            <w:pPr>
              <w:rPr>
                <w:rFonts w:ascii="宋体"/>
              </w:rPr>
            </w:pPr>
          </w:p>
        </w:tc>
        <w:tc>
          <w:tcPr>
            <w:tcW w:w="41" w:type="pct"/>
            <w:shd w:val="clear" w:color="auto" w:fill="auto"/>
            <w:vAlign w:val="bottom"/>
          </w:tcPr>
          <w:p w14:paraId="35D0A960" w14:textId="77777777" w:rsidR="00D42204" w:rsidRDefault="00D42204">
            <w:pPr>
              <w:rPr>
                <w:rFonts w:ascii="宋体"/>
              </w:rPr>
            </w:pPr>
          </w:p>
        </w:tc>
        <w:tc>
          <w:tcPr>
            <w:tcW w:w="5" w:type="pct"/>
            <w:shd w:val="clear" w:color="auto" w:fill="auto"/>
            <w:vAlign w:val="bottom"/>
          </w:tcPr>
          <w:p w14:paraId="35D0A961" w14:textId="77777777" w:rsidR="00D42204" w:rsidRDefault="00D42204">
            <w:pPr>
              <w:rPr>
                <w:rFonts w:ascii="宋体"/>
              </w:rPr>
            </w:pPr>
          </w:p>
        </w:tc>
        <w:tc>
          <w:tcPr>
            <w:tcW w:w="50" w:type="pct"/>
            <w:shd w:val="clear" w:color="auto" w:fill="auto"/>
            <w:vAlign w:val="bottom"/>
          </w:tcPr>
          <w:p w14:paraId="35D0A962" w14:textId="77777777" w:rsidR="00D42204" w:rsidRDefault="00D42204">
            <w:pPr>
              <w:rPr>
                <w:rFonts w:ascii="宋体"/>
              </w:rPr>
            </w:pPr>
          </w:p>
        </w:tc>
        <w:tc>
          <w:tcPr>
            <w:tcW w:w="478" w:type="pct"/>
            <w:shd w:val="clear" w:color="auto" w:fill="auto"/>
            <w:vAlign w:val="bottom"/>
          </w:tcPr>
          <w:p w14:paraId="35D0A963" w14:textId="77777777" w:rsidR="00D42204" w:rsidRDefault="00D42204">
            <w:pPr>
              <w:rPr>
                <w:rFonts w:ascii="宋体"/>
              </w:rPr>
            </w:pPr>
          </w:p>
        </w:tc>
        <w:tc>
          <w:tcPr>
            <w:tcW w:w="5" w:type="pct"/>
            <w:shd w:val="clear" w:color="auto" w:fill="auto"/>
            <w:vAlign w:val="bottom"/>
          </w:tcPr>
          <w:p w14:paraId="35D0A964" w14:textId="77777777" w:rsidR="00D42204" w:rsidRDefault="00D42204">
            <w:pPr>
              <w:rPr>
                <w:rFonts w:ascii="宋体"/>
              </w:rPr>
            </w:pPr>
          </w:p>
        </w:tc>
        <w:tc>
          <w:tcPr>
            <w:tcW w:w="5" w:type="pct"/>
            <w:shd w:val="clear" w:color="auto" w:fill="auto"/>
            <w:vAlign w:val="bottom"/>
          </w:tcPr>
          <w:p w14:paraId="35D0A965" w14:textId="77777777" w:rsidR="00D42204" w:rsidRDefault="00D42204">
            <w:pPr>
              <w:rPr>
                <w:rFonts w:ascii="宋体"/>
              </w:rPr>
            </w:pPr>
          </w:p>
        </w:tc>
        <w:tc>
          <w:tcPr>
            <w:tcW w:w="41" w:type="pct"/>
            <w:shd w:val="clear" w:color="auto" w:fill="auto"/>
            <w:vAlign w:val="bottom"/>
          </w:tcPr>
          <w:p w14:paraId="35D0A966" w14:textId="77777777" w:rsidR="00D42204" w:rsidRDefault="00D42204">
            <w:pPr>
              <w:rPr>
                <w:rFonts w:ascii="宋体"/>
              </w:rPr>
            </w:pPr>
          </w:p>
        </w:tc>
        <w:tc>
          <w:tcPr>
            <w:tcW w:w="5" w:type="pct"/>
            <w:shd w:val="clear" w:color="auto" w:fill="auto"/>
            <w:vAlign w:val="bottom"/>
          </w:tcPr>
          <w:p w14:paraId="35D0A967" w14:textId="77777777" w:rsidR="00D42204" w:rsidRDefault="00D42204">
            <w:pPr>
              <w:rPr>
                <w:rFonts w:ascii="宋体"/>
              </w:rPr>
            </w:pPr>
          </w:p>
        </w:tc>
        <w:tc>
          <w:tcPr>
            <w:tcW w:w="50" w:type="pct"/>
            <w:shd w:val="clear" w:color="auto" w:fill="auto"/>
            <w:vAlign w:val="bottom"/>
          </w:tcPr>
          <w:p w14:paraId="35D0A968" w14:textId="77777777" w:rsidR="00D42204" w:rsidRDefault="00D42204">
            <w:pPr>
              <w:rPr>
                <w:rFonts w:ascii="宋体"/>
              </w:rPr>
            </w:pPr>
          </w:p>
        </w:tc>
        <w:tc>
          <w:tcPr>
            <w:tcW w:w="478" w:type="pct"/>
            <w:shd w:val="clear" w:color="auto" w:fill="auto"/>
            <w:vAlign w:val="bottom"/>
          </w:tcPr>
          <w:p w14:paraId="35D0A969" w14:textId="77777777" w:rsidR="00D42204" w:rsidRDefault="00D42204">
            <w:pPr>
              <w:rPr>
                <w:rFonts w:ascii="宋体"/>
              </w:rPr>
            </w:pPr>
          </w:p>
        </w:tc>
        <w:tc>
          <w:tcPr>
            <w:tcW w:w="5" w:type="pct"/>
            <w:shd w:val="clear" w:color="auto" w:fill="auto"/>
            <w:vAlign w:val="bottom"/>
          </w:tcPr>
          <w:p w14:paraId="35D0A96A" w14:textId="77777777" w:rsidR="00D42204" w:rsidRDefault="00D42204">
            <w:pPr>
              <w:rPr>
                <w:rFonts w:ascii="宋体"/>
              </w:rPr>
            </w:pPr>
          </w:p>
        </w:tc>
      </w:tr>
      <w:tr w:rsidR="00D42204" w14:paraId="35D0A96F" w14:textId="77777777">
        <w:trPr>
          <w:jc w:val="center"/>
        </w:trPr>
        <w:tc>
          <w:tcPr>
            <w:tcW w:w="0" w:type="auto"/>
            <w:gridSpan w:val="3"/>
            <w:shd w:val="clear" w:color="auto" w:fill="auto"/>
            <w:tcMar>
              <w:top w:w="0" w:type="dxa"/>
              <w:left w:w="20" w:type="dxa"/>
              <w:bottom w:w="0" w:type="dxa"/>
              <w:right w:w="20" w:type="dxa"/>
            </w:tcMar>
            <w:vAlign w:val="bottom"/>
          </w:tcPr>
          <w:p w14:paraId="35D0A96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96D"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A96E" w14:textId="77777777" w:rsidR="00D42204" w:rsidRDefault="004E439D">
            <w:pPr>
              <w:jc w:val="center"/>
              <w:textAlignment w:val="bottom"/>
            </w:pPr>
            <w:r>
              <w:rPr>
                <w:rFonts w:ascii="Times New Roman" w:eastAsia="宋体" w:hAnsi="Times New Roman"/>
                <w:b/>
                <w:bCs/>
                <w:color w:val="000000"/>
                <w:sz w:val="16"/>
                <w:szCs w:val="16"/>
              </w:rPr>
              <w:t>Fis</w:t>
            </w:r>
            <w:r>
              <w:rPr>
                <w:rFonts w:ascii="Times New Roman" w:eastAsia="宋体" w:hAnsi="Times New Roman"/>
                <w:b/>
                <w:bCs/>
                <w:color w:val="000000"/>
                <w:sz w:val="16"/>
                <w:szCs w:val="16"/>
              </w:rPr>
              <w:t>cal Years Ended January 31,</w:t>
            </w:r>
          </w:p>
        </w:tc>
      </w:tr>
      <w:tr w:rsidR="00D42204" w14:paraId="35D0A977" w14:textId="77777777">
        <w:trPr>
          <w:jc w:val="center"/>
        </w:trPr>
        <w:tc>
          <w:tcPr>
            <w:tcW w:w="0" w:type="auto"/>
            <w:gridSpan w:val="3"/>
            <w:shd w:val="clear" w:color="auto" w:fill="auto"/>
            <w:tcMar>
              <w:top w:w="40" w:type="dxa"/>
              <w:left w:w="20" w:type="dxa"/>
              <w:bottom w:w="40" w:type="dxa"/>
              <w:right w:w="20" w:type="dxa"/>
            </w:tcMar>
            <w:vAlign w:val="bottom"/>
          </w:tcPr>
          <w:p w14:paraId="35D0A970"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A971"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972"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973"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974"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975"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976"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A97F" w14:textId="77777777">
        <w:trPr>
          <w:jc w:val="center"/>
        </w:trPr>
        <w:tc>
          <w:tcPr>
            <w:tcW w:w="0" w:type="auto"/>
            <w:gridSpan w:val="3"/>
            <w:shd w:val="clear" w:color="auto" w:fill="auto"/>
            <w:tcMar>
              <w:top w:w="40" w:type="dxa"/>
              <w:left w:w="20" w:type="dxa"/>
              <w:bottom w:w="40" w:type="dxa"/>
              <w:right w:w="20" w:type="dxa"/>
            </w:tcMar>
            <w:vAlign w:val="center"/>
          </w:tcPr>
          <w:p w14:paraId="35D0A978" w14:textId="77777777" w:rsidR="00D42204" w:rsidRDefault="004E439D">
            <w:pPr>
              <w:textAlignment w:val="center"/>
            </w:pPr>
            <w:r>
              <w:rPr>
                <w:rFonts w:ascii="Times New Roman" w:eastAsia="宋体" w:hAnsi="Times New Roman"/>
                <w:b/>
                <w:bCs/>
                <w:color w:val="000000"/>
                <w:sz w:val="16"/>
                <w:szCs w:val="16"/>
              </w:rPr>
              <w:t>Cash flows from operating activities:</w:t>
            </w:r>
          </w:p>
        </w:tc>
        <w:tc>
          <w:tcPr>
            <w:tcW w:w="0" w:type="auto"/>
            <w:gridSpan w:val="3"/>
            <w:shd w:val="clear" w:color="auto" w:fill="auto"/>
            <w:tcMar>
              <w:top w:w="0" w:type="dxa"/>
              <w:left w:w="20" w:type="dxa"/>
              <w:bottom w:w="0" w:type="dxa"/>
              <w:right w:w="20" w:type="dxa"/>
            </w:tcMar>
            <w:vAlign w:val="bottom"/>
          </w:tcPr>
          <w:p w14:paraId="35D0A979" w14:textId="77777777" w:rsidR="00D42204" w:rsidRDefault="00D4220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97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97B" w14:textId="77777777" w:rsidR="00D42204" w:rsidRDefault="00D4220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97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97D" w14:textId="77777777" w:rsidR="00D42204" w:rsidRDefault="00D4220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97E" w14:textId="77777777" w:rsidR="00D42204" w:rsidRDefault="00D42204">
            <w:pPr>
              <w:rPr>
                <w:rFonts w:ascii="宋体"/>
              </w:rPr>
            </w:pPr>
          </w:p>
        </w:tc>
      </w:tr>
      <w:tr w:rsidR="00D42204" w14:paraId="35D0A98D" w14:textId="77777777">
        <w:trPr>
          <w:jc w:val="center"/>
        </w:trPr>
        <w:tc>
          <w:tcPr>
            <w:tcW w:w="0" w:type="auto"/>
            <w:gridSpan w:val="3"/>
            <w:shd w:val="clear" w:color="auto" w:fill="CCEEFF"/>
            <w:tcMar>
              <w:top w:w="40" w:type="dxa"/>
              <w:left w:w="380" w:type="dxa"/>
              <w:bottom w:w="40" w:type="dxa"/>
              <w:right w:w="20" w:type="dxa"/>
            </w:tcMar>
            <w:vAlign w:val="center"/>
          </w:tcPr>
          <w:p w14:paraId="35D0A980" w14:textId="77777777" w:rsidR="00D42204" w:rsidRDefault="004E439D">
            <w:pPr>
              <w:textAlignment w:val="center"/>
            </w:pPr>
            <w:r>
              <w:rPr>
                <w:rFonts w:ascii="Times New Roman" w:eastAsia="宋体" w:hAnsi="Times New Roman"/>
                <w:color w:val="000000"/>
                <w:sz w:val="16"/>
                <w:szCs w:val="16"/>
              </w:rPr>
              <w:t>Consolidated net income</w:t>
            </w:r>
          </w:p>
        </w:tc>
        <w:tc>
          <w:tcPr>
            <w:tcW w:w="0" w:type="auto"/>
            <w:gridSpan w:val="3"/>
            <w:shd w:val="clear" w:color="auto" w:fill="CCEEFF"/>
            <w:tcMar>
              <w:top w:w="0" w:type="dxa"/>
              <w:left w:w="20" w:type="dxa"/>
              <w:bottom w:w="0" w:type="dxa"/>
              <w:right w:w="20" w:type="dxa"/>
            </w:tcMar>
            <w:vAlign w:val="bottom"/>
          </w:tcPr>
          <w:p w14:paraId="35D0A981"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A982"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A983" w14:textId="77777777" w:rsidR="00D42204" w:rsidRDefault="004E439D">
            <w:pPr>
              <w:jc w:val="right"/>
              <w:textAlignment w:val="center"/>
            </w:pPr>
            <w:r>
              <w:rPr>
                <w:rFonts w:ascii="Times New Roman" w:eastAsia="宋体" w:hAnsi="Times New Roman"/>
                <w:color w:val="000000"/>
                <w:sz w:val="16"/>
                <w:szCs w:val="16"/>
              </w:rPr>
              <w:t>13,940 </w:t>
            </w:r>
          </w:p>
        </w:tc>
        <w:tc>
          <w:tcPr>
            <w:tcW w:w="0" w:type="auto"/>
            <w:shd w:val="clear" w:color="auto" w:fill="CCEEFF"/>
            <w:tcMar>
              <w:top w:w="40" w:type="dxa"/>
              <w:left w:w="0" w:type="dxa"/>
              <w:bottom w:w="40" w:type="dxa"/>
              <w:right w:w="20" w:type="dxa"/>
            </w:tcMar>
            <w:vAlign w:val="center"/>
          </w:tcPr>
          <w:p w14:paraId="35D0A98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985"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A986"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A987" w14:textId="77777777" w:rsidR="00D42204" w:rsidRDefault="004E439D">
            <w:pPr>
              <w:jc w:val="right"/>
              <w:textAlignment w:val="center"/>
            </w:pPr>
            <w:r>
              <w:rPr>
                <w:rFonts w:ascii="Times New Roman" w:eastAsia="宋体" w:hAnsi="Times New Roman"/>
                <w:color w:val="000000"/>
                <w:sz w:val="16"/>
                <w:szCs w:val="16"/>
              </w:rPr>
              <w:t>13,706 </w:t>
            </w:r>
          </w:p>
        </w:tc>
        <w:tc>
          <w:tcPr>
            <w:tcW w:w="0" w:type="auto"/>
            <w:shd w:val="clear" w:color="auto" w:fill="CCEEFF"/>
            <w:tcMar>
              <w:top w:w="40" w:type="dxa"/>
              <w:left w:w="0" w:type="dxa"/>
              <w:bottom w:w="40" w:type="dxa"/>
              <w:right w:w="20" w:type="dxa"/>
            </w:tcMar>
            <w:vAlign w:val="center"/>
          </w:tcPr>
          <w:p w14:paraId="35D0A98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989"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A98A"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A98B" w14:textId="77777777" w:rsidR="00D42204" w:rsidRDefault="004E439D">
            <w:pPr>
              <w:jc w:val="right"/>
              <w:textAlignment w:val="center"/>
            </w:pPr>
            <w:r>
              <w:rPr>
                <w:rFonts w:ascii="Times New Roman" w:eastAsia="宋体" w:hAnsi="Times New Roman"/>
                <w:color w:val="000000"/>
                <w:sz w:val="16"/>
                <w:szCs w:val="16"/>
              </w:rPr>
              <w:t>15,201 </w:t>
            </w:r>
          </w:p>
        </w:tc>
        <w:tc>
          <w:tcPr>
            <w:tcW w:w="0" w:type="auto"/>
            <w:shd w:val="clear" w:color="auto" w:fill="CCEEFF"/>
            <w:tcMar>
              <w:top w:w="40" w:type="dxa"/>
              <w:left w:w="0" w:type="dxa"/>
              <w:bottom w:w="40" w:type="dxa"/>
              <w:right w:w="20" w:type="dxa"/>
            </w:tcMar>
            <w:vAlign w:val="center"/>
          </w:tcPr>
          <w:p w14:paraId="35D0A98C" w14:textId="77777777" w:rsidR="00D42204" w:rsidRDefault="00D42204">
            <w:pPr>
              <w:jc w:val="right"/>
              <w:rPr>
                <w:rFonts w:ascii="宋体"/>
              </w:rPr>
            </w:pPr>
          </w:p>
        </w:tc>
      </w:tr>
      <w:tr w:rsidR="00D42204" w14:paraId="35D0A995" w14:textId="77777777">
        <w:trPr>
          <w:jc w:val="center"/>
        </w:trPr>
        <w:tc>
          <w:tcPr>
            <w:tcW w:w="0" w:type="auto"/>
            <w:gridSpan w:val="3"/>
            <w:shd w:val="clear" w:color="auto" w:fill="FFFFFF"/>
            <w:tcMar>
              <w:top w:w="40" w:type="dxa"/>
              <w:left w:w="380" w:type="dxa"/>
              <w:bottom w:w="40" w:type="dxa"/>
              <w:right w:w="20" w:type="dxa"/>
            </w:tcMar>
            <w:vAlign w:val="center"/>
          </w:tcPr>
          <w:p w14:paraId="35D0A98E" w14:textId="77777777" w:rsidR="00D42204" w:rsidRDefault="004E439D">
            <w:pPr>
              <w:textAlignment w:val="center"/>
            </w:pPr>
            <w:r>
              <w:rPr>
                <w:rFonts w:ascii="Times New Roman" w:eastAsia="宋体" w:hAnsi="Times New Roman"/>
                <w:color w:val="000000"/>
                <w:sz w:val="16"/>
                <w:szCs w:val="16"/>
              </w:rPr>
              <w:t>Adjustments to reconcile consolidated net income to net cash provided by operating activities:</w:t>
            </w:r>
          </w:p>
        </w:tc>
        <w:tc>
          <w:tcPr>
            <w:tcW w:w="0" w:type="auto"/>
            <w:gridSpan w:val="3"/>
            <w:shd w:val="clear" w:color="auto" w:fill="FFFFFF"/>
            <w:tcMar>
              <w:top w:w="0" w:type="dxa"/>
              <w:left w:w="20" w:type="dxa"/>
              <w:bottom w:w="0" w:type="dxa"/>
              <w:right w:w="20" w:type="dxa"/>
            </w:tcMar>
            <w:vAlign w:val="bottom"/>
          </w:tcPr>
          <w:p w14:paraId="35D0A98F"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990"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991"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992"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993"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994" w14:textId="77777777" w:rsidR="00D42204" w:rsidRDefault="00D42204">
            <w:pPr>
              <w:rPr>
                <w:rFonts w:ascii="宋体"/>
              </w:rPr>
            </w:pPr>
          </w:p>
        </w:tc>
      </w:tr>
      <w:tr w:rsidR="00D42204" w14:paraId="35D0A9A0" w14:textId="77777777">
        <w:trPr>
          <w:jc w:val="center"/>
        </w:trPr>
        <w:tc>
          <w:tcPr>
            <w:tcW w:w="0" w:type="auto"/>
            <w:gridSpan w:val="3"/>
            <w:shd w:val="clear" w:color="auto" w:fill="CCEEFF"/>
            <w:tcMar>
              <w:top w:w="40" w:type="dxa"/>
              <w:left w:w="740" w:type="dxa"/>
              <w:bottom w:w="40" w:type="dxa"/>
              <w:right w:w="20" w:type="dxa"/>
            </w:tcMar>
            <w:vAlign w:val="center"/>
          </w:tcPr>
          <w:p w14:paraId="35D0A996" w14:textId="77777777" w:rsidR="00D42204" w:rsidRDefault="004E439D">
            <w:pPr>
              <w:textAlignment w:val="center"/>
            </w:pPr>
            <w:r>
              <w:rPr>
                <w:rFonts w:ascii="Times New Roman" w:eastAsia="宋体" w:hAnsi="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bottom"/>
          </w:tcPr>
          <w:p w14:paraId="35D0A99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98" w14:textId="77777777" w:rsidR="00D42204" w:rsidRDefault="004E439D">
            <w:pPr>
              <w:jc w:val="right"/>
              <w:textAlignment w:val="center"/>
            </w:pPr>
            <w:r>
              <w:rPr>
                <w:rFonts w:ascii="Times New Roman" w:eastAsia="宋体" w:hAnsi="Times New Roman"/>
                <w:color w:val="000000"/>
                <w:sz w:val="16"/>
                <w:szCs w:val="16"/>
              </w:rPr>
              <w:t>10,658 </w:t>
            </w:r>
          </w:p>
        </w:tc>
        <w:tc>
          <w:tcPr>
            <w:tcW w:w="0" w:type="auto"/>
            <w:shd w:val="clear" w:color="auto" w:fill="CCEEFF"/>
            <w:tcMar>
              <w:top w:w="40" w:type="dxa"/>
              <w:left w:w="0" w:type="dxa"/>
              <w:bottom w:w="40" w:type="dxa"/>
              <w:right w:w="20" w:type="dxa"/>
            </w:tcMar>
            <w:vAlign w:val="center"/>
          </w:tcPr>
          <w:p w14:paraId="35D0A99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99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9B" w14:textId="77777777" w:rsidR="00D42204" w:rsidRDefault="004E439D">
            <w:pPr>
              <w:jc w:val="right"/>
              <w:textAlignment w:val="center"/>
            </w:pPr>
            <w:r>
              <w:rPr>
                <w:rFonts w:ascii="Times New Roman" w:eastAsia="宋体" w:hAnsi="Times New Roman"/>
                <w:color w:val="000000"/>
                <w:sz w:val="16"/>
                <w:szCs w:val="16"/>
              </w:rPr>
              <w:t>11,152 </w:t>
            </w:r>
          </w:p>
        </w:tc>
        <w:tc>
          <w:tcPr>
            <w:tcW w:w="0" w:type="auto"/>
            <w:shd w:val="clear" w:color="auto" w:fill="CCEEFF"/>
            <w:tcMar>
              <w:top w:w="40" w:type="dxa"/>
              <w:left w:w="0" w:type="dxa"/>
              <w:bottom w:w="40" w:type="dxa"/>
              <w:right w:w="20" w:type="dxa"/>
            </w:tcMar>
            <w:vAlign w:val="center"/>
          </w:tcPr>
          <w:p w14:paraId="35D0A99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99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9E" w14:textId="77777777" w:rsidR="00D42204" w:rsidRDefault="004E439D">
            <w:pPr>
              <w:jc w:val="right"/>
              <w:textAlignment w:val="center"/>
            </w:pPr>
            <w:r>
              <w:rPr>
                <w:rFonts w:ascii="Times New Roman" w:eastAsia="宋体" w:hAnsi="Times New Roman"/>
                <w:color w:val="000000"/>
                <w:sz w:val="16"/>
                <w:szCs w:val="16"/>
              </w:rPr>
              <w:t>10,987 </w:t>
            </w:r>
          </w:p>
        </w:tc>
        <w:tc>
          <w:tcPr>
            <w:tcW w:w="0" w:type="auto"/>
            <w:shd w:val="clear" w:color="auto" w:fill="CCEEFF"/>
            <w:tcMar>
              <w:top w:w="40" w:type="dxa"/>
              <w:left w:w="0" w:type="dxa"/>
              <w:bottom w:w="40" w:type="dxa"/>
              <w:right w:w="20" w:type="dxa"/>
            </w:tcMar>
            <w:vAlign w:val="center"/>
          </w:tcPr>
          <w:p w14:paraId="35D0A99F" w14:textId="77777777" w:rsidR="00D42204" w:rsidRDefault="00D42204">
            <w:pPr>
              <w:jc w:val="right"/>
              <w:rPr>
                <w:rFonts w:ascii="宋体"/>
              </w:rPr>
            </w:pPr>
          </w:p>
        </w:tc>
      </w:tr>
      <w:tr w:rsidR="00D42204" w14:paraId="35D0A9AB" w14:textId="77777777">
        <w:trPr>
          <w:jc w:val="center"/>
        </w:trPr>
        <w:tc>
          <w:tcPr>
            <w:tcW w:w="0" w:type="auto"/>
            <w:gridSpan w:val="3"/>
            <w:shd w:val="clear" w:color="auto" w:fill="FFFFFF"/>
            <w:tcMar>
              <w:top w:w="40" w:type="dxa"/>
              <w:left w:w="740" w:type="dxa"/>
              <w:bottom w:w="40" w:type="dxa"/>
              <w:right w:w="20" w:type="dxa"/>
            </w:tcMar>
            <w:vAlign w:val="center"/>
          </w:tcPr>
          <w:p w14:paraId="35D0A9A1" w14:textId="77777777" w:rsidR="00D42204" w:rsidRDefault="004E439D">
            <w:pPr>
              <w:textAlignment w:val="center"/>
            </w:pPr>
            <w:r>
              <w:rPr>
                <w:rFonts w:ascii="Times New Roman" w:eastAsia="宋体" w:hAnsi="Times New Roman"/>
                <w:color w:val="000000"/>
                <w:sz w:val="16"/>
                <w:szCs w:val="16"/>
              </w:rPr>
              <w:t>Net unrealized and realized (gains) and losses</w:t>
            </w:r>
          </w:p>
        </w:tc>
        <w:tc>
          <w:tcPr>
            <w:tcW w:w="0" w:type="auto"/>
            <w:gridSpan w:val="3"/>
            <w:shd w:val="clear" w:color="auto" w:fill="FFFFFF"/>
            <w:tcMar>
              <w:top w:w="0" w:type="dxa"/>
              <w:left w:w="20" w:type="dxa"/>
              <w:bottom w:w="0" w:type="dxa"/>
              <w:right w:w="20" w:type="dxa"/>
            </w:tcMar>
            <w:vAlign w:val="bottom"/>
          </w:tcPr>
          <w:p w14:paraId="35D0A9A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9A3" w14:textId="77777777" w:rsidR="00D42204" w:rsidRDefault="004E439D">
            <w:pPr>
              <w:jc w:val="right"/>
              <w:textAlignment w:val="center"/>
            </w:pPr>
            <w:r>
              <w:rPr>
                <w:rFonts w:ascii="Times New Roman" w:eastAsia="宋体" w:hAnsi="Times New Roman"/>
                <w:color w:val="000000"/>
                <w:sz w:val="16"/>
                <w:szCs w:val="16"/>
              </w:rPr>
              <w:t>2,440 </w:t>
            </w:r>
          </w:p>
        </w:tc>
        <w:tc>
          <w:tcPr>
            <w:tcW w:w="0" w:type="auto"/>
            <w:shd w:val="clear" w:color="auto" w:fill="FFFFFF"/>
            <w:tcMar>
              <w:top w:w="40" w:type="dxa"/>
              <w:left w:w="0" w:type="dxa"/>
              <w:bottom w:w="40" w:type="dxa"/>
              <w:right w:w="20" w:type="dxa"/>
            </w:tcMar>
            <w:vAlign w:val="center"/>
          </w:tcPr>
          <w:p w14:paraId="35D0A9A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A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9A6" w14:textId="77777777" w:rsidR="00D42204" w:rsidRDefault="004E439D">
            <w:pPr>
              <w:jc w:val="right"/>
              <w:textAlignment w:val="center"/>
            </w:pPr>
            <w:r>
              <w:rPr>
                <w:rFonts w:ascii="Times New Roman" w:eastAsia="宋体" w:hAnsi="Times New Roman"/>
                <w:color w:val="000000"/>
                <w:sz w:val="16"/>
                <w:szCs w:val="16"/>
              </w:rPr>
              <w:t>(8,589)</w:t>
            </w:r>
          </w:p>
        </w:tc>
        <w:tc>
          <w:tcPr>
            <w:tcW w:w="0" w:type="auto"/>
            <w:shd w:val="clear" w:color="auto" w:fill="FFFFFF"/>
            <w:tcMar>
              <w:top w:w="40" w:type="dxa"/>
              <w:left w:w="0" w:type="dxa"/>
              <w:bottom w:w="40" w:type="dxa"/>
              <w:right w:w="20" w:type="dxa"/>
            </w:tcMar>
            <w:vAlign w:val="center"/>
          </w:tcPr>
          <w:p w14:paraId="35D0A9A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A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9A9" w14:textId="77777777" w:rsidR="00D42204" w:rsidRDefault="004E439D">
            <w:pPr>
              <w:jc w:val="right"/>
              <w:textAlignment w:val="center"/>
            </w:pPr>
            <w:r>
              <w:rPr>
                <w:rFonts w:ascii="Times New Roman" w:eastAsia="宋体" w:hAnsi="Times New Roman"/>
                <w:color w:val="000000"/>
                <w:sz w:val="16"/>
                <w:szCs w:val="16"/>
              </w:rPr>
              <w:t>(1,886)</w:t>
            </w:r>
          </w:p>
        </w:tc>
        <w:tc>
          <w:tcPr>
            <w:tcW w:w="0" w:type="auto"/>
            <w:shd w:val="clear" w:color="auto" w:fill="FFFFFF"/>
            <w:tcMar>
              <w:top w:w="40" w:type="dxa"/>
              <w:left w:w="0" w:type="dxa"/>
              <w:bottom w:w="40" w:type="dxa"/>
              <w:right w:w="20" w:type="dxa"/>
            </w:tcMar>
            <w:vAlign w:val="center"/>
          </w:tcPr>
          <w:p w14:paraId="35D0A9AA" w14:textId="77777777" w:rsidR="00D42204" w:rsidRDefault="00D42204">
            <w:pPr>
              <w:jc w:val="right"/>
              <w:rPr>
                <w:rFonts w:ascii="宋体"/>
              </w:rPr>
            </w:pPr>
          </w:p>
        </w:tc>
      </w:tr>
      <w:tr w:rsidR="00D42204" w14:paraId="35D0A9B6" w14:textId="77777777">
        <w:trPr>
          <w:jc w:val="center"/>
        </w:trPr>
        <w:tc>
          <w:tcPr>
            <w:tcW w:w="0" w:type="auto"/>
            <w:gridSpan w:val="3"/>
            <w:shd w:val="clear" w:color="auto" w:fill="CCEEFF"/>
            <w:tcMar>
              <w:top w:w="40" w:type="dxa"/>
              <w:left w:w="740" w:type="dxa"/>
              <w:bottom w:w="40" w:type="dxa"/>
              <w:right w:w="20" w:type="dxa"/>
            </w:tcMar>
            <w:vAlign w:val="center"/>
          </w:tcPr>
          <w:p w14:paraId="35D0A9AC" w14:textId="77777777" w:rsidR="00D42204" w:rsidRDefault="004E439D">
            <w:pPr>
              <w:textAlignment w:val="center"/>
            </w:pPr>
            <w:r>
              <w:rPr>
                <w:rFonts w:ascii="Times New Roman" w:eastAsia="宋体" w:hAnsi="Times New Roman"/>
                <w:color w:val="000000"/>
                <w:sz w:val="16"/>
                <w:szCs w:val="16"/>
              </w:rPr>
              <w:t>Losses on disposal of business operations</w:t>
            </w:r>
          </w:p>
        </w:tc>
        <w:tc>
          <w:tcPr>
            <w:tcW w:w="0" w:type="auto"/>
            <w:gridSpan w:val="3"/>
            <w:shd w:val="clear" w:color="auto" w:fill="CCEEFF"/>
            <w:tcMar>
              <w:top w:w="0" w:type="dxa"/>
              <w:left w:w="20" w:type="dxa"/>
              <w:bottom w:w="0" w:type="dxa"/>
              <w:right w:w="20" w:type="dxa"/>
            </w:tcMar>
            <w:vAlign w:val="bottom"/>
          </w:tcPr>
          <w:p w14:paraId="35D0A9A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AE" w14:textId="77777777" w:rsidR="00D42204" w:rsidRDefault="004E439D">
            <w:pPr>
              <w:jc w:val="right"/>
              <w:textAlignment w:val="center"/>
            </w:pPr>
            <w:r>
              <w:rPr>
                <w:rFonts w:ascii="Times New Roman" w:eastAsia="宋体" w:hAnsi="Times New Roman"/>
                <w:color w:val="000000"/>
                <w:sz w:val="16"/>
                <w:szCs w:val="16"/>
              </w:rPr>
              <w:t>433 </w:t>
            </w:r>
          </w:p>
        </w:tc>
        <w:tc>
          <w:tcPr>
            <w:tcW w:w="0" w:type="auto"/>
            <w:shd w:val="clear" w:color="auto" w:fill="CCEEFF"/>
            <w:tcMar>
              <w:top w:w="40" w:type="dxa"/>
              <w:left w:w="0" w:type="dxa"/>
              <w:bottom w:w="40" w:type="dxa"/>
              <w:right w:w="20" w:type="dxa"/>
            </w:tcMar>
            <w:vAlign w:val="center"/>
          </w:tcPr>
          <w:p w14:paraId="35D0A9A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9B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B1" w14:textId="77777777" w:rsidR="00D42204" w:rsidRDefault="004E439D">
            <w:pPr>
              <w:jc w:val="right"/>
              <w:textAlignment w:val="center"/>
            </w:pPr>
            <w:r>
              <w:rPr>
                <w:rFonts w:ascii="Times New Roman" w:eastAsia="宋体" w:hAnsi="Times New Roman"/>
                <w:color w:val="000000"/>
                <w:sz w:val="16"/>
                <w:szCs w:val="16"/>
              </w:rPr>
              <w:t>8,401 </w:t>
            </w:r>
          </w:p>
        </w:tc>
        <w:tc>
          <w:tcPr>
            <w:tcW w:w="0" w:type="auto"/>
            <w:shd w:val="clear" w:color="auto" w:fill="CCEEFF"/>
            <w:tcMar>
              <w:top w:w="40" w:type="dxa"/>
              <w:left w:w="0" w:type="dxa"/>
              <w:bottom w:w="40" w:type="dxa"/>
              <w:right w:w="20" w:type="dxa"/>
            </w:tcMar>
            <w:vAlign w:val="center"/>
          </w:tcPr>
          <w:p w14:paraId="35D0A9B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9B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B4" w14:textId="77777777" w:rsidR="00D42204" w:rsidRDefault="004E439D">
            <w:pPr>
              <w:jc w:val="right"/>
              <w:textAlignment w:val="center"/>
            </w:pPr>
            <w:r>
              <w:rPr>
                <w:rFonts w:ascii="Times New Roman" w:eastAsia="宋体" w:hAnsi="Times New Roman"/>
                <w:color w:val="000000"/>
                <w:sz w:val="16"/>
                <w:szCs w:val="16"/>
              </w:rPr>
              <w:t>15 </w:t>
            </w:r>
          </w:p>
        </w:tc>
        <w:tc>
          <w:tcPr>
            <w:tcW w:w="0" w:type="auto"/>
            <w:shd w:val="clear" w:color="auto" w:fill="CCEEFF"/>
            <w:tcMar>
              <w:top w:w="40" w:type="dxa"/>
              <w:left w:w="0" w:type="dxa"/>
              <w:bottom w:w="40" w:type="dxa"/>
              <w:right w:w="20" w:type="dxa"/>
            </w:tcMar>
            <w:vAlign w:val="center"/>
          </w:tcPr>
          <w:p w14:paraId="35D0A9B5" w14:textId="77777777" w:rsidR="00D42204" w:rsidRDefault="00D42204">
            <w:pPr>
              <w:jc w:val="right"/>
              <w:rPr>
                <w:rFonts w:ascii="宋体"/>
              </w:rPr>
            </w:pPr>
          </w:p>
        </w:tc>
      </w:tr>
      <w:tr w:rsidR="00D42204" w14:paraId="35D0A9C1" w14:textId="77777777">
        <w:trPr>
          <w:jc w:val="center"/>
        </w:trPr>
        <w:tc>
          <w:tcPr>
            <w:tcW w:w="0" w:type="auto"/>
            <w:gridSpan w:val="3"/>
            <w:shd w:val="clear" w:color="auto" w:fill="FFFFFF"/>
            <w:tcMar>
              <w:top w:w="40" w:type="dxa"/>
              <w:left w:w="740" w:type="dxa"/>
              <w:bottom w:w="40" w:type="dxa"/>
              <w:right w:w="20" w:type="dxa"/>
            </w:tcMar>
            <w:vAlign w:val="center"/>
          </w:tcPr>
          <w:p w14:paraId="35D0A9B7" w14:textId="77777777" w:rsidR="00D42204" w:rsidRDefault="004E439D">
            <w:pPr>
              <w:textAlignment w:val="center"/>
            </w:pPr>
            <w:r>
              <w:rPr>
                <w:rFonts w:ascii="Times New Roman" w:eastAsia="宋体" w:hAnsi="Times New Roman"/>
                <w:color w:val="000000"/>
                <w:sz w:val="16"/>
                <w:szCs w:val="16"/>
              </w:rPr>
              <w:t>Asda pension contribution</w:t>
            </w:r>
          </w:p>
        </w:tc>
        <w:tc>
          <w:tcPr>
            <w:tcW w:w="0" w:type="auto"/>
            <w:gridSpan w:val="3"/>
            <w:shd w:val="clear" w:color="auto" w:fill="FFFFFF"/>
            <w:tcMar>
              <w:top w:w="0" w:type="dxa"/>
              <w:left w:w="20" w:type="dxa"/>
              <w:bottom w:w="0" w:type="dxa"/>
              <w:right w:w="20" w:type="dxa"/>
            </w:tcMar>
            <w:vAlign w:val="bottom"/>
          </w:tcPr>
          <w:p w14:paraId="35D0A9B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9B9"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9B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B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9BC"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9B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B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9BF" w14:textId="77777777" w:rsidR="00D42204" w:rsidRDefault="004E439D">
            <w:pPr>
              <w:jc w:val="right"/>
              <w:textAlignment w:val="center"/>
            </w:pPr>
            <w:r>
              <w:rPr>
                <w:rFonts w:ascii="Times New Roman" w:eastAsia="宋体" w:hAnsi="Times New Roman"/>
                <w:color w:val="000000"/>
                <w:sz w:val="16"/>
                <w:szCs w:val="16"/>
              </w:rPr>
              <w:t>(1,036)</w:t>
            </w:r>
          </w:p>
        </w:tc>
        <w:tc>
          <w:tcPr>
            <w:tcW w:w="0" w:type="auto"/>
            <w:shd w:val="clear" w:color="auto" w:fill="FFFFFF"/>
            <w:tcMar>
              <w:top w:w="40" w:type="dxa"/>
              <w:left w:w="0" w:type="dxa"/>
              <w:bottom w:w="40" w:type="dxa"/>
              <w:right w:w="20" w:type="dxa"/>
            </w:tcMar>
            <w:vAlign w:val="center"/>
          </w:tcPr>
          <w:p w14:paraId="35D0A9C0" w14:textId="77777777" w:rsidR="00D42204" w:rsidRDefault="00D42204">
            <w:pPr>
              <w:jc w:val="right"/>
              <w:rPr>
                <w:rFonts w:ascii="宋体"/>
              </w:rPr>
            </w:pPr>
          </w:p>
        </w:tc>
      </w:tr>
      <w:tr w:rsidR="00D42204" w14:paraId="35D0A9CC" w14:textId="77777777">
        <w:trPr>
          <w:jc w:val="center"/>
        </w:trPr>
        <w:tc>
          <w:tcPr>
            <w:tcW w:w="0" w:type="auto"/>
            <w:gridSpan w:val="3"/>
            <w:shd w:val="clear" w:color="auto" w:fill="CCEEFF"/>
            <w:tcMar>
              <w:top w:w="40" w:type="dxa"/>
              <w:left w:w="740" w:type="dxa"/>
              <w:bottom w:w="40" w:type="dxa"/>
              <w:right w:w="20" w:type="dxa"/>
            </w:tcMar>
            <w:vAlign w:val="center"/>
          </w:tcPr>
          <w:p w14:paraId="35D0A9C2" w14:textId="77777777" w:rsidR="00D42204" w:rsidRDefault="004E439D">
            <w:pPr>
              <w:textAlignment w:val="center"/>
            </w:pPr>
            <w:r>
              <w:rPr>
                <w:rFonts w:ascii="Times New Roman" w:eastAsia="宋体" w:hAnsi="Times New Roman"/>
                <w:color w:val="000000"/>
                <w:sz w:val="16"/>
                <w:szCs w:val="16"/>
              </w:rPr>
              <w:t>Deferred income taxes</w:t>
            </w:r>
          </w:p>
        </w:tc>
        <w:tc>
          <w:tcPr>
            <w:tcW w:w="0" w:type="auto"/>
            <w:gridSpan w:val="3"/>
            <w:shd w:val="clear" w:color="auto" w:fill="CCEEFF"/>
            <w:tcMar>
              <w:top w:w="0" w:type="dxa"/>
              <w:left w:w="20" w:type="dxa"/>
              <w:bottom w:w="0" w:type="dxa"/>
              <w:right w:w="20" w:type="dxa"/>
            </w:tcMar>
            <w:vAlign w:val="bottom"/>
          </w:tcPr>
          <w:p w14:paraId="35D0A9C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C4" w14:textId="77777777" w:rsidR="00D42204" w:rsidRDefault="004E439D">
            <w:pPr>
              <w:jc w:val="right"/>
              <w:textAlignment w:val="center"/>
            </w:pPr>
            <w:r>
              <w:rPr>
                <w:rFonts w:ascii="Times New Roman" w:eastAsia="宋体" w:hAnsi="Times New Roman"/>
                <w:color w:val="000000"/>
                <w:sz w:val="16"/>
                <w:szCs w:val="16"/>
              </w:rPr>
              <w:t>(755)</w:t>
            </w:r>
          </w:p>
        </w:tc>
        <w:tc>
          <w:tcPr>
            <w:tcW w:w="0" w:type="auto"/>
            <w:shd w:val="clear" w:color="auto" w:fill="CCEEFF"/>
            <w:tcMar>
              <w:top w:w="40" w:type="dxa"/>
              <w:left w:w="0" w:type="dxa"/>
              <w:bottom w:w="40" w:type="dxa"/>
              <w:right w:w="20" w:type="dxa"/>
            </w:tcMar>
            <w:vAlign w:val="center"/>
          </w:tcPr>
          <w:p w14:paraId="35D0A9C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9C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C7" w14:textId="77777777" w:rsidR="00D42204" w:rsidRDefault="004E439D">
            <w:pPr>
              <w:jc w:val="right"/>
              <w:textAlignment w:val="center"/>
            </w:pPr>
            <w:r>
              <w:rPr>
                <w:rFonts w:ascii="Times New Roman" w:eastAsia="宋体" w:hAnsi="Times New Roman"/>
                <w:color w:val="000000"/>
                <w:sz w:val="16"/>
                <w:szCs w:val="16"/>
              </w:rPr>
              <w:t>1,911 </w:t>
            </w:r>
          </w:p>
        </w:tc>
        <w:tc>
          <w:tcPr>
            <w:tcW w:w="0" w:type="auto"/>
            <w:shd w:val="clear" w:color="auto" w:fill="CCEEFF"/>
            <w:tcMar>
              <w:top w:w="40" w:type="dxa"/>
              <w:left w:w="0" w:type="dxa"/>
              <w:bottom w:w="40" w:type="dxa"/>
              <w:right w:w="20" w:type="dxa"/>
            </w:tcMar>
            <w:vAlign w:val="center"/>
          </w:tcPr>
          <w:p w14:paraId="35D0A9C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9C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CA" w14:textId="77777777" w:rsidR="00D42204" w:rsidRDefault="004E439D">
            <w:pPr>
              <w:jc w:val="right"/>
              <w:textAlignment w:val="center"/>
            </w:pPr>
            <w:r>
              <w:rPr>
                <w:rFonts w:ascii="Times New Roman" w:eastAsia="宋体" w:hAnsi="Times New Roman"/>
                <w:color w:val="000000"/>
                <w:sz w:val="16"/>
                <w:szCs w:val="16"/>
              </w:rPr>
              <w:t>320 </w:t>
            </w:r>
          </w:p>
        </w:tc>
        <w:tc>
          <w:tcPr>
            <w:tcW w:w="0" w:type="auto"/>
            <w:shd w:val="clear" w:color="auto" w:fill="CCEEFF"/>
            <w:tcMar>
              <w:top w:w="40" w:type="dxa"/>
              <w:left w:w="0" w:type="dxa"/>
              <w:bottom w:w="40" w:type="dxa"/>
              <w:right w:w="20" w:type="dxa"/>
            </w:tcMar>
            <w:vAlign w:val="center"/>
          </w:tcPr>
          <w:p w14:paraId="35D0A9CB" w14:textId="77777777" w:rsidR="00D42204" w:rsidRDefault="00D42204">
            <w:pPr>
              <w:jc w:val="right"/>
              <w:rPr>
                <w:rFonts w:ascii="宋体"/>
              </w:rPr>
            </w:pPr>
          </w:p>
        </w:tc>
      </w:tr>
      <w:tr w:rsidR="00D42204" w14:paraId="35D0A9D7" w14:textId="77777777">
        <w:trPr>
          <w:jc w:val="center"/>
        </w:trPr>
        <w:tc>
          <w:tcPr>
            <w:tcW w:w="0" w:type="auto"/>
            <w:gridSpan w:val="3"/>
            <w:shd w:val="clear" w:color="auto" w:fill="FFFFFF"/>
            <w:tcMar>
              <w:top w:w="40" w:type="dxa"/>
              <w:left w:w="740" w:type="dxa"/>
              <w:bottom w:w="40" w:type="dxa"/>
              <w:right w:w="20" w:type="dxa"/>
            </w:tcMar>
            <w:vAlign w:val="center"/>
          </w:tcPr>
          <w:p w14:paraId="35D0A9CD" w14:textId="77777777" w:rsidR="00D42204" w:rsidRDefault="004E439D">
            <w:pPr>
              <w:textAlignment w:val="center"/>
            </w:pPr>
            <w:r>
              <w:rPr>
                <w:rFonts w:ascii="Times New Roman" w:eastAsia="宋体" w:hAnsi="Times New Roman"/>
                <w:color w:val="000000"/>
                <w:sz w:val="16"/>
                <w:szCs w:val="16"/>
              </w:rPr>
              <w:t>Loss on extinguishment of debt</w:t>
            </w:r>
          </w:p>
        </w:tc>
        <w:tc>
          <w:tcPr>
            <w:tcW w:w="0" w:type="auto"/>
            <w:gridSpan w:val="3"/>
            <w:shd w:val="clear" w:color="auto" w:fill="FFFFFF"/>
            <w:tcMar>
              <w:top w:w="0" w:type="dxa"/>
              <w:left w:w="20" w:type="dxa"/>
              <w:bottom w:w="0" w:type="dxa"/>
              <w:right w:w="20" w:type="dxa"/>
            </w:tcMar>
            <w:vAlign w:val="bottom"/>
          </w:tcPr>
          <w:p w14:paraId="35D0A9C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9CF" w14:textId="77777777" w:rsidR="00D42204" w:rsidRDefault="004E439D">
            <w:pPr>
              <w:jc w:val="right"/>
              <w:textAlignment w:val="center"/>
            </w:pPr>
            <w:r>
              <w:rPr>
                <w:rFonts w:ascii="Times New Roman" w:eastAsia="宋体" w:hAnsi="Times New Roman"/>
                <w:color w:val="000000"/>
                <w:sz w:val="16"/>
                <w:szCs w:val="16"/>
              </w:rPr>
              <w:t>2,410 </w:t>
            </w:r>
          </w:p>
        </w:tc>
        <w:tc>
          <w:tcPr>
            <w:tcW w:w="0" w:type="auto"/>
            <w:shd w:val="clear" w:color="auto" w:fill="FFFFFF"/>
            <w:tcMar>
              <w:top w:w="40" w:type="dxa"/>
              <w:left w:w="0" w:type="dxa"/>
              <w:bottom w:w="40" w:type="dxa"/>
              <w:right w:w="20" w:type="dxa"/>
            </w:tcMar>
            <w:vAlign w:val="center"/>
          </w:tcPr>
          <w:p w14:paraId="35D0A9D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D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9D2"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9D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D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9D5"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9D6" w14:textId="77777777" w:rsidR="00D42204" w:rsidRDefault="00D42204">
            <w:pPr>
              <w:jc w:val="right"/>
              <w:rPr>
                <w:rFonts w:ascii="宋体"/>
              </w:rPr>
            </w:pPr>
          </w:p>
        </w:tc>
      </w:tr>
      <w:tr w:rsidR="00D42204" w14:paraId="35D0A9E2" w14:textId="77777777">
        <w:trPr>
          <w:jc w:val="center"/>
        </w:trPr>
        <w:tc>
          <w:tcPr>
            <w:tcW w:w="0" w:type="auto"/>
            <w:gridSpan w:val="3"/>
            <w:shd w:val="clear" w:color="auto" w:fill="CCEEFF"/>
            <w:tcMar>
              <w:top w:w="40" w:type="dxa"/>
              <w:left w:w="740" w:type="dxa"/>
              <w:bottom w:w="40" w:type="dxa"/>
              <w:right w:w="20" w:type="dxa"/>
            </w:tcMar>
            <w:vAlign w:val="center"/>
          </w:tcPr>
          <w:p w14:paraId="35D0A9D8" w14:textId="77777777" w:rsidR="00D42204" w:rsidRDefault="004E439D">
            <w:pPr>
              <w:textAlignment w:val="center"/>
            </w:pPr>
            <w:r>
              <w:rPr>
                <w:rFonts w:ascii="Times New Roman" w:eastAsia="宋体" w:hAnsi="Times New Roman"/>
                <w:color w:val="000000"/>
                <w:sz w:val="16"/>
                <w:szCs w:val="16"/>
              </w:rPr>
              <w:t>Other operating activities</w:t>
            </w:r>
          </w:p>
        </w:tc>
        <w:tc>
          <w:tcPr>
            <w:tcW w:w="0" w:type="auto"/>
            <w:gridSpan w:val="3"/>
            <w:shd w:val="clear" w:color="auto" w:fill="CCEEFF"/>
            <w:tcMar>
              <w:top w:w="0" w:type="dxa"/>
              <w:left w:w="20" w:type="dxa"/>
              <w:bottom w:w="0" w:type="dxa"/>
              <w:right w:w="20" w:type="dxa"/>
            </w:tcMar>
            <w:vAlign w:val="bottom"/>
          </w:tcPr>
          <w:p w14:paraId="35D0A9D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DA" w14:textId="77777777" w:rsidR="00D42204" w:rsidRDefault="004E439D">
            <w:pPr>
              <w:jc w:val="right"/>
              <w:textAlignment w:val="center"/>
            </w:pPr>
            <w:r>
              <w:rPr>
                <w:rFonts w:ascii="Times New Roman" w:eastAsia="宋体" w:hAnsi="Times New Roman"/>
                <w:color w:val="000000"/>
                <w:sz w:val="16"/>
                <w:szCs w:val="16"/>
              </w:rPr>
              <w:t>1,652 </w:t>
            </w:r>
          </w:p>
        </w:tc>
        <w:tc>
          <w:tcPr>
            <w:tcW w:w="0" w:type="auto"/>
            <w:shd w:val="clear" w:color="auto" w:fill="CCEEFF"/>
            <w:tcMar>
              <w:top w:w="40" w:type="dxa"/>
              <w:left w:w="0" w:type="dxa"/>
              <w:bottom w:w="40" w:type="dxa"/>
              <w:right w:w="20" w:type="dxa"/>
            </w:tcMar>
            <w:vAlign w:val="center"/>
          </w:tcPr>
          <w:p w14:paraId="35D0A9D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9D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DD" w14:textId="77777777" w:rsidR="00D42204" w:rsidRDefault="004E439D">
            <w:pPr>
              <w:jc w:val="right"/>
              <w:textAlignment w:val="center"/>
            </w:pPr>
            <w:r>
              <w:rPr>
                <w:rFonts w:ascii="Times New Roman" w:eastAsia="宋体" w:hAnsi="Times New Roman"/>
                <w:color w:val="000000"/>
                <w:sz w:val="16"/>
                <w:szCs w:val="16"/>
              </w:rPr>
              <w:t>1,521 </w:t>
            </w:r>
          </w:p>
        </w:tc>
        <w:tc>
          <w:tcPr>
            <w:tcW w:w="0" w:type="auto"/>
            <w:shd w:val="clear" w:color="auto" w:fill="CCEEFF"/>
            <w:tcMar>
              <w:top w:w="40" w:type="dxa"/>
              <w:left w:w="0" w:type="dxa"/>
              <w:bottom w:w="40" w:type="dxa"/>
              <w:right w:w="20" w:type="dxa"/>
            </w:tcMar>
            <w:vAlign w:val="center"/>
          </w:tcPr>
          <w:p w14:paraId="35D0A9D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9D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E0" w14:textId="77777777" w:rsidR="00D42204" w:rsidRDefault="004E439D">
            <w:pPr>
              <w:jc w:val="right"/>
              <w:textAlignment w:val="center"/>
            </w:pPr>
            <w:r>
              <w:rPr>
                <w:rFonts w:ascii="Times New Roman" w:eastAsia="宋体" w:hAnsi="Times New Roman"/>
                <w:color w:val="000000"/>
                <w:sz w:val="16"/>
                <w:szCs w:val="16"/>
              </w:rPr>
              <w:t>1,981 </w:t>
            </w:r>
          </w:p>
        </w:tc>
        <w:tc>
          <w:tcPr>
            <w:tcW w:w="0" w:type="auto"/>
            <w:shd w:val="clear" w:color="auto" w:fill="CCEEFF"/>
            <w:tcMar>
              <w:top w:w="40" w:type="dxa"/>
              <w:left w:w="0" w:type="dxa"/>
              <w:bottom w:w="40" w:type="dxa"/>
              <w:right w:w="20" w:type="dxa"/>
            </w:tcMar>
            <w:vAlign w:val="center"/>
          </w:tcPr>
          <w:p w14:paraId="35D0A9E1" w14:textId="77777777" w:rsidR="00D42204" w:rsidRDefault="00D42204">
            <w:pPr>
              <w:jc w:val="right"/>
              <w:rPr>
                <w:rFonts w:ascii="宋体"/>
              </w:rPr>
            </w:pPr>
          </w:p>
        </w:tc>
      </w:tr>
      <w:tr w:rsidR="00D42204" w14:paraId="35D0A9EA" w14:textId="77777777">
        <w:trPr>
          <w:jc w:val="center"/>
        </w:trPr>
        <w:tc>
          <w:tcPr>
            <w:tcW w:w="0" w:type="auto"/>
            <w:gridSpan w:val="3"/>
            <w:shd w:val="clear" w:color="auto" w:fill="FFFFFF"/>
            <w:tcMar>
              <w:top w:w="40" w:type="dxa"/>
              <w:left w:w="740" w:type="dxa"/>
              <w:bottom w:w="40" w:type="dxa"/>
              <w:right w:w="20" w:type="dxa"/>
            </w:tcMar>
            <w:vAlign w:val="center"/>
          </w:tcPr>
          <w:p w14:paraId="35D0A9E3" w14:textId="77777777" w:rsidR="00D42204" w:rsidRDefault="004E439D">
            <w:pPr>
              <w:textAlignment w:val="center"/>
            </w:pPr>
            <w:r>
              <w:rPr>
                <w:rFonts w:ascii="Times New Roman" w:eastAsia="宋体" w:hAnsi="Times New Roman"/>
                <w:color w:val="000000"/>
                <w:sz w:val="16"/>
                <w:szCs w:val="16"/>
              </w:rPr>
              <w:t>Changes in certain assets and liabilities, net of effects of acquisitions and dispositions:</w:t>
            </w:r>
          </w:p>
        </w:tc>
        <w:tc>
          <w:tcPr>
            <w:tcW w:w="0" w:type="auto"/>
            <w:gridSpan w:val="3"/>
            <w:shd w:val="clear" w:color="auto" w:fill="FFFFFF"/>
            <w:tcMar>
              <w:top w:w="0" w:type="dxa"/>
              <w:left w:w="20" w:type="dxa"/>
              <w:bottom w:w="0" w:type="dxa"/>
              <w:right w:w="20" w:type="dxa"/>
            </w:tcMar>
            <w:vAlign w:val="bottom"/>
          </w:tcPr>
          <w:p w14:paraId="35D0A9E4"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9E5"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9E6"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9E7"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9E8"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9E9" w14:textId="77777777" w:rsidR="00D42204" w:rsidRDefault="00D42204">
            <w:pPr>
              <w:rPr>
                <w:rFonts w:ascii="宋体"/>
              </w:rPr>
            </w:pPr>
          </w:p>
        </w:tc>
      </w:tr>
      <w:tr w:rsidR="00D42204" w14:paraId="35D0A9F5" w14:textId="77777777">
        <w:trPr>
          <w:jc w:val="center"/>
        </w:trPr>
        <w:tc>
          <w:tcPr>
            <w:tcW w:w="0" w:type="auto"/>
            <w:gridSpan w:val="3"/>
            <w:shd w:val="clear" w:color="auto" w:fill="CCEEFF"/>
            <w:tcMar>
              <w:top w:w="40" w:type="dxa"/>
              <w:left w:w="1235" w:type="dxa"/>
              <w:bottom w:w="40" w:type="dxa"/>
              <w:right w:w="20" w:type="dxa"/>
            </w:tcMar>
            <w:vAlign w:val="center"/>
          </w:tcPr>
          <w:p w14:paraId="35D0A9EB" w14:textId="77777777" w:rsidR="00D42204" w:rsidRDefault="004E439D">
            <w:pPr>
              <w:textAlignment w:val="center"/>
            </w:pPr>
            <w:r>
              <w:rPr>
                <w:rFonts w:ascii="Times New Roman" w:eastAsia="宋体" w:hAnsi="Times New Roman"/>
                <w:color w:val="000000"/>
                <w:sz w:val="16"/>
                <w:szCs w:val="16"/>
              </w:rPr>
              <w:t>Receivables, net</w:t>
            </w:r>
          </w:p>
        </w:tc>
        <w:tc>
          <w:tcPr>
            <w:tcW w:w="0" w:type="auto"/>
            <w:gridSpan w:val="3"/>
            <w:shd w:val="clear" w:color="auto" w:fill="CCEEFF"/>
            <w:tcMar>
              <w:top w:w="0" w:type="dxa"/>
              <w:left w:w="20" w:type="dxa"/>
              <w:bottom w:w="0" w:type="dxa"/>
              <w:right w:w="20" w:type="dxa"/>
            </w:tcMar>
            <w:vAlign w:val="bottom"/>
          </w:tcPr>
          <w:p w14:paraId="35D0A9E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ED" w14:textId="77777777" w:rsidR="00D42204" w:rsidRDefault="004E439D">
            <w:pPr>
              <w:jc w:val="right"/>
              <w:textAlignment w:val="center"/>
            </w:pPr>
            <w:r>
              <w:rPr>
                <w:rFonts w:ascii="Times New Roman" w:eastAsia="宋体" w:hAnsi="Times New Roman"/>
                <w:color w:val="000000"/>
                <w:sz w:val="16"/>
                <w:szCs w:val="16"/>
              </w:rPr>
              <w:t>(1,796)</w:t>
            </w:r>
          </w:p>
        </w:tc>
        <w:tc>
          <w:tcPr>
            <w:tcW w:w="0" w:type="auto"/>
            <w:shd w:val="clear" w:color="auto" w:fill="CCEEFF"/>
            <w:tcMar>
              <w:top w:w="40" w:type="dxa"/>
              <w:left w:w="0" w:type="dxa"/>
              <w:bottom w:w="40" w:type="dxa"/>
              <w:right w:w="20" w:type="dxa"/>
            </w:tcMar>
            <w:vAlign w:val="center"/>
          </w:tcPr>
          <w:p w14:paraId="35D0A9E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9E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F0" w14:textId="77777777" w:rsidR="00D42204" w:rsidRDefault="004E439D">
            <w:pPr>
              <w:jc w:val="right"/>
              <w:textAlignment w:val="center"/>
            </w:pPr>
            <w:r>
              <w:rPr>
                <w:rFonts w:ascii="Times New Roman" w:eastAsia="宋体" w:hAnsi="Times New Roman"/>
                <w:color w:val="000000"/>
                <w:sz w:val="16"/>
                <w:szCs w:val="16"/>
              </w:rPr>
              <w:t>(1,086)</w:t>
            </w:r>
          </w:p>
        </w:tc>
        <w:tc>
          <w:tcPr>
            <w:tcW w:w="0" w:type="auto"/>
            <w:shd w:val="clear" w:color="auto" w:fill="CCEEFF"/>
            <w:tcMar>
              <w:top w:w="40" w:type="dxa"/>
              <w:left w:w="0" w:type="dxa"/>
              <w:bottom w:w="40" w:type="dxa"/>
              <w:right w:w="20" w:type="dxa"/>
            </w:tcMar>
            <w:vAlign w:val="center"/>
          </w:tcPr>
          <w:p w14:paraId="35D0A9F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9F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9F3" w14:textId="77777777" w:rsidR="00D42204" w:rsidRDefault="004E439D">
            <w:pPr>
              <w:jc w:val="right"/>
              <w:textAlignment w:val="center"/>
            </w:pPr>
            <w:r>
              <w:rPr>
                <w:rFonts w:ascii="Times New Roman" w:eastAsia="宋体" w:hAnsi="Times New Roman"/>
                <w:color w:val="000000"/>
                <w:sz w:val="16"/>
                <w:szCs w:val="16"/>
              </w:rPr>
              <w:t>154 </w:t>
            </w:r>
          </w:p>
        </w:tc>
        <w:tc>
          <w:tcPr>
            <w:tcW w:w="0" w:type="auto"/>
            <w:shd w:val="clear" w:color="auto" w:fill="CCEEFF"/>
            <w:tcMar>
              <w:top w:w="40" w:type="dxa"/>
              <w:left w:w="0" w:type="dxa"/>
              <w:bottom w:w="40" w:type="dxa"/>
              <w:right w:w="20" w:type="dxa"/>
            </w:tcMar>
            <w:vAlign w:val="center"/>
          </w:tcPr>
          <w:p w14:paraId="35D0A9F4" w14:textId="77777777" w:rsidR="00D42204" w:rsidRDefault="00D42204">
            <w:pPr>
              <w:jc w:val="right"/>
              <w:rPr>
                <w:rFonts w:ascii="宋体"/>
              </w:rPr>
            </w:pPr>
          </w:p>
        </w:tc>
      </w:tr>
      <w:tr w:rsidR="00D42204" w14:paraId="35D0AA00" w14:textId="77777777">
        <w:trPr>
          <w:jc w:val="center"/>
        </w:trPr>
        <w:tc>
          <w:tcPr>
            <w:tcW w:w="0" w:type="auto"/>
            <w:gridSpan w:val="3"/>
            <w:shd w:val="clear" w:color="auto" w:fill="FFFFFF"/>
            <w:tcMar>
              <w:top w:w="40" w:type="dxa"/>
              <w:left w:w="1235" w:type="dxa"/>
              <w:bottom w:w="40" w:type="dxa"/>
              <w:right w:w="20" w:type="dxa"/>
            </w:tcMar>
            <w:vAlign w:val="center"/>
          </w:tcPr>
          <w:p w14:paraId="35D0A9F6" w14:textId="77777777" w:rsidR="00D42204" w:rsidRDefault="004E439D">
            <w:pPr>
              <w:textAlignment w:val="center"/>
            </w:pPr>
            <w:r>
              <w:rPr>
                <w:rFonts w:ascii="Times New Roman" w:eastAsia="宋体" w:hAnsi="Times New Roman"/>
                <w:color w:val="000000"/>
                <w:sz w:val="16"/>
                <w:szCs w:val="16"/>
              </w:rPr>
              <w:t>Inventories</w:t>
            </w:r>
          </w:p>
        </w:tc>
        <w:tc>
          <w:tcPr>
            <w:tcW w:w="0" w:type="auto"/>
            <w:gridSpan w:val="3"/>
            <w:shd w:val="clear" w:color="auto" w:fill="FFFFFF"/>
            <w:tcMar>
              <w:top w:w="0" w:type="dxa"/>
              <w:left w:w="20" w:type="dxa"/>
              <w:bottom w:w="0" w:type="dxa"/>
              <w:right w:w="20" w:type="dxa"/>
            </w:tcMar>
            <w:vAlign w:val="bottom"/>
          </w:tcPr>
          <w:p w14:paraId="35D0A9F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9F8" w14:textId="77777777" w:rsidR="00D42204" w:rsidRDefault="004E439D">
            <w:pPr>
              <w:jc w:val="right"/>
              <w:textAlignment w:val="center"/>
            </w:pPr>
            <w:r>
              <w:rPr>
                <w:rFonts w:ascii="Times New Roman" w:eastAsia="宋体" w:hAnsi="Times New Roman"/>
                <w:color w:val="000000"/>
                <w:sz w:val="16"/>
                <w:szCs w:val="16"/>
              </w:rPr>
              <w:t>(11,764)</w:t>
            </w:r>
          </w:p>
        </w:tc>
        <w:tc>
          <w:tcPr>
            <w:tcW w:w="0" w:type="auto"/>
            <w:shd w:val="clear" w:color="auto" w:fill="FFFFFF"/>
            <w:tcMar>
              <w:top w:w="40" w:type="dxa"/>
              <w:left w:w="0" w:type="dxa"/>
              <w:bottom w:w="40" w:type="dxa"/>
              <w:right w:w="20" w:type="dxa"/>
            </w:tcMar>
            <w:vAlign w:val="center"/>
          </w:tcPr>
          <w:p w14:paraId="35D0A9F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F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9FB" w14:textId="77777777" w:rsidR="00D42204" w:rsidRDefault="004E439D">
            <w:pPr>
              <w:jc w:val="right"/>
              <w:textAlignment w:val="center"/>
            </w:pPr>
            <w:r>
              <w:rPr>
                <w:rFonts w:ascii="Times New Roman" w:eastAsia="宋体" w:hAnsi="Times New Roman"/>
                <w:color w:val="000000"/>
                <w:sz w:val="16"/>
                <w:szCs w:val="16"/>
              </w:rPr>
              <w:t>(2,395)</w:t>
            </w:r>
          </w:p>
        </w:tc>
        <w:tc>
          <w:tcPr>
            <w:tcW w:w="0" w:type="auto"/>
            <w:shd w:val="clear" w:color="auto" w:fill="FFFFFF"/>
            <w:tcMar>
              <w:top w:w="40" w:type="dxa"/>
              <w:left w:w="0" w:type="dxa"/>
              <w:bottom w:w="40" w:type="dxa"/>
              <w:right w:w="20" w:type="dxa"/>
            </w:tcMar>
            <w:vAlign w:val="center"/>
          </w:tcPr>
          <w:p w14:paraId="35D0A9F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9F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9FE" w14:textId="77777777" w:rsidR="00D42204" w:rsidRDefault="004E439D">
            <w:pPr>
              <w:jc w:val="right"/>
              <w:textAlignment w:val="center"/>
            </w:pPr>
            <w:r>
              <w:rPr>
                <w:rFonts w:ascii="Times New Roman" w:eastAsia="宋体" w:hAnsi="Times New Roman"/>
                <w:color w:val="000000"/>
                <w:sz w:val="16"/>
                <w:szCs w:val="16"/>
              </w:rPr>
              <w:t>(300)</w:t>
            </w:r>
          </w:p>
        </w:tc>
        <w:tc>
          <w:tcPr>
            <w:tcW w:w="0" w:type="auto"/>
            <w:shd w:val="clear" w:color="auto" w:fill="FFFFFF"/>
            <w:tcMar>
              <w:top w:w="40" w:type="dxa"/>
              <w:left w:w="0" w:type="dxa"/>
              <w:bottom w:w="40" w:type="dxa"/>
              <w:right w:w="20" w:type="dxa"/>
            </w:tcMar>
            <w:vAlign w:val="center"/>
          </w:tcPr>
          <w:p w14:paraId="35D0A9FF" w14:textId="77777777" w:rsidR="00D42204" w:rsidRDefault="00D42204">
            <w:pPr>
              <w:jc w:val="right"/>
              <w:rPr>
                <w:rFonts w:ascii="宋体"/>
              </w:rPr>
            </w:pPr>
          </w:p>
        </w:tc>
      </w:tr>
      <w:tr w:rsidR="00D42204" w14:paraId="35D0AA0B" w14:textId="77777777">
        <w:trPr>
          <w:jc w:val="center"/>
        </w:trPr>
        <w:tc>
          <w:tcPr>
            <w:tcW w:w="0" w:type="auto"/>
            <w:gridSpan w:val="3"/>
            <w:shd w:val="clear" w:color="auto" w:fill="CCEEFF"/>
            <w:tcMar>
              <w:top w:w="40" w:type="dxa"/>
              <w:left w:w="1235" w:type="dxa"/>
              <w:bottom w:w="40" w:type="dxa"/>
              <w:right w:w="20" w:type="dxa"/>
            </w:tcMar>
            <w:vAlign w:val="center"/>
          </w:tcPr>
          <w:p w14:paraId="35D0AA01" w14:textId="77777777" w:rsidR="00D42204" w:rsidRDefault="004E439D">
            <w:pPr>
              <w:textAlignment w:val="center"/>
            </w:pPr>
            <w:r>
              <w:rPr>
                <w:rFonts w:ascii="Times New Roman" w:eastAsia="宋体" w:hAnsi="Times New Roman"/>
                <w:color w:val="000000"/>
                <w:sz w:val="16"/>
                <w:szCs w:val="16"/>
              </w:rPr>
              <w:t>Accounts payable</w:t>
            </w:r>
          </w:p>
        </w:tc>
        <w:tc>
          <w:tcPr>
            <w:tcW w:w="0" w:type="auto"/>
            <w:gridSpan w:val="3"/>
            <w:shd w:val="clear" w:color="auto" w:fill="CCEEFF"/>
            <w:tcMar>
              <w:top w:w="0" w:type="dxa"/>
              <w:left w:w="20" w:type="dxa"/>
              <w:bottom w:w="0" w:type="dxa"/>
              <w:right w:w="20" w:type="dxa"/>
            </w:tcMar>
            <w:vAlign w:val="bottom"/>
          </w:tcPr>
          <w:p w14:paraId="35D0AA0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03" w14:textId="77777777" w:rsidR="00D42204" w:rsidRDefault="004E439D">
            <w:pPr>
              <w:jc w:val="right"/>
              <w:textAlignment w:val="center"/>
            </w:pPr>
            <w:r>
              <w:rPr>
                <w:rFonts w:ascii="Times New Roman" w:eastAsia="宋体" w:hAnsi="Times New Roman"/>
                <w:color w:val="000000"/>
                <w:sz w:val="16"/>
                <w:szCs w:val="16"/>
              </w:rPr>
              <w:t>5,520 </w:t>
            </w:r>
          </w:p>
        </w:tc>
        <w:tc>
          <w:tcPr>
            <w:tcW w:w="0" w:type="auto"/>
            <w:shd w:val="clear" w:color="auto" w:fill="CCEEFF"/>
            <w:tcMar>
              <w:top w:w="40" w:type="dxa"/>
              <w:left w:w="0" w:type="dxa"/>
              <w:bottom w:w="40" w:type="dxa"/>
              <w:right w:w="20" w:type="dxa"/>
            </w:tcMar>
            <w:vAlign w:val="center"/>
          </w:tcPr>
          <w:p w14:paraId="35D0AA0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0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06" w14:textId="77777777" w:rsidR="00D42204" w:rsidRDefault="004E439D">
            <w:pPr>
              <w:jc w:val="right"/>
              <w:textAlignment w:val="center"/>
            </w:pPr>
            <w:r>
              <w:rPr>
                <w:rFonts w:ascii="Times New Roman" w:eastAsia="宋体" w:hAnsi="Times New Roman"/>
                <w:color w:val="000000"/>
                <w:sz w:val="16"/>
                <w:szCs w:val="16"/>
              </w:rPr>
              <w:t>6,966 </w:t>
            </w:r>
          </w:p>
        </w:tc>
        <w:tc>
          <w:tcPr>
            <w:tcW w:w="0" w:type="auto"/>
            <w:shd w:val="clear" w:color="auto" w:fill="CCEEFF"/>
            <w:tcMar>
              <w:top w:w="40" w:type="dxa"/>
              <w:left w:w="0" w:type="dxa"/>
              <w:bottom w:w="40" w:type="dxa"/>
              <w:right w:w="20" w:type="dxa"/>
            </w:tcMar>
            <w:vAlign w:val="center"/>
          </w:tcPr>
          <w:p w14:paraId="35D0AA0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0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09" w14:textId="77777777" w:rsidR="00D42204" w:rsidRDefault="004E439D">
            <w:pPr>
              <w:jc w:val="right"/>
              <w:textAlignment w:val="center"/>
            </w:pPr>
            <w:r>
              <w:rPr>
                <w:rFonts w:ascii="Times New Roman" w:eastAsia="宋体" w:hAnsi="Times New Roman"/>
                <w:color w:val="000000"/>
                <w:sz w:val="16"/>
                <w:szCs w:val="16"/>
              </w:rPr>
              <w:t>(274)</w:t>
            </w:r>
          </w:p>
        </w:tc>
        <w:tc>
          <w:tcPr>
            <w:tcW w:w="0" w:type="auto"/>
            <w:shd w:val="clear" w:color="auto" w:fill="CCEEFF"/>
            <w:tcMar>
              <w:top w:w="40" w:type="dxa"/>
              <w:left w:w="0" w:type="dxa"/>
              <w:bottom w:w="40" w:type="dxa"/>
              <w:right w:w="20" w:type="dxa"/>
            </w:tcMar>
            <w:vAlign w:val="center"/>
          </w:tcPr>
          <w:p w14:paraId="35D0AA0A" w14:textId="77777777" w:rsidR="00D42204" w:rsidRDefault="00D42204">
            <w:pPr>
              <w:jc w:val="right"/>
              <w:rPr>
                <w:rFonts w:ascii="宋体"/>
              </w:rPr>
            </w:pPr>
          </w:p>
        </w:tc>
      </w:tr>
      <w:tr w:rsidR="00D42204" w14:paraId="35D0AA16" w14:textId="77777777">
        <w:trPr>
          <w:jc w:val="center"/>
        </w:trPr>
        <w:tc>
          <w:tcPr>
            <w:tcW w:w="0" w:type="auto"/>
            <w:gridSpan w:val="3"/>
            <w:shd w:val="clear" w:color="auto" w:fill="FFFFFF"/>
            <w:tcMar>
              <w:top w:w="40" w:type="dxa"/>
              <w:left w:w="1235" w:type="dxa"/>
              <w:bottom w:w="40" w:type="dxa"/>
              <w:right w:w="20" w:type="dxa"/>
            </w:tcMar>
            <w:vAlign w:val="center"/>
          </w:tcPr>
          <w:p w14:paraId="35D0AA0C" w14:textId="77777777" w:rsidR="00D42204" w:rsidRDefault="004E439D">
            <w:pPr>
              <w:textAlignment w:val="center"/>
            </w:pPr>
            <w:r>
              <w:rPr>
                <w:rFonts w:ascii="Times New Roman" w:eastAsia="宋体" w:hAnsi="Times New Roman"/>
                <w:color w:val="000000"/>
                <w:sz w:val="16"/>
                <w:szCs w:val="16"/>
              </w:rPr>
              <w:t>Accrued liabilities</w:t>
            </w:r>
          </w:p>
        </w:tc>
        <w:tc>
          <w:tcPr>
            <w:tcW w:w="0" w:type="auto"/>
            <w:gridSpan w:val="3"/>
            <w:shd w:val="clear" w:color="auto" w:fill="FFFFFF"/>
            <w:tcMar>
              <w:top w:w="0" w:type="dxa"/>
              <w:left w:w="20" w:type="dxa"/>
              <w:bottom w:w="0" w:type="dxa"/>
              <w:right w:w="20" w:type="dxa"/>
            </w:tcMar>
            <w:vAlign w:val="bottom"/>
          </w:tcPr>
          <w:p w14:paraId="35D0AA0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0E" w14:textId="77777777" w:rsidR="00D42204" w:rsidRDefault="004E439D">
            <w:pPr>
              <w:jc w:val="right"/>
              <w:textAlignment w:val="center"/>
            </w:pPr>
            <w:r>
              <w:rPr>
                <w:rFonts w:ascii="Times New Roman" w:eastAsia="宋体" w:hAnsi="Times New Roman"/>
                <w:color w:val="000000"/>
                <w:sz w:val="16"/>
                <w:szCs w:val="16"/>
              </w:rPr>
              <w:t>1,404 </w:t>
            </w:r>
          </w:p>
        </w:tc>
        <w:tc>
          <w:tcPr>
            <w:tcW w:w="0" w:type="auto"/>
            <w:shd w:val="clear" w:color="auto" w:fill="FFFFFF"/>
            <w:tcMar>
              <w:top w:w="40" w:type="dxa"/>
              <w:left w:w="0" w:type="dxa"/>
              <w:bottom w:w="40" w:type="dxa"/>
              <w:right w:w="20" w:type="dxa"/>
            </w:tcMar>
            <w:vAlign w:val="center"/>
          </w:tcPr>
          <w:p w14:paraId="35D0AA0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A1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11" w14:textId="77777777" w:rsidR="00D42204" w:rsidRDefault="004E439D">
            <w:pPr>
              <w:jc w:val="right"/>
              <w:textAlignment w:val="center"/>
            </w:pPr>
            <w:r>
              <w:rPr>
                <w:rFonts w:ascii="Times New Roman" w:eastAsia="宋体" w:hAnsi="Times New Roman"/>
                <w:color w:val="000000"/>
                <w:sz w:val="16"/>
                <w:szCs w:val="16"/>
              </w:rPr>
              <w:t>4,623 </w:t>
            </w:r>
          </w:p>
        </w:tc>
        <w:tc>
          <w:tcPr>
            <w:tcW w:w="0" w:type="auto"/>
            <w:shd w:val="clear" w:color="auto" w:fill="FFFFFF"/>
            <w:tcMar>
              <w:top w:w="40" w:type="dxa"/>
              <w:left w:w="0" w:type="dxa"/>
              <w:bottom w:w="40" w:type="dxa"/>
              <w:right w:w="20" w:type="dxa"/>
            </w:tcMar>
            <w:vAlign w:val="center"/>
          </w:tcPr>
          <w:p w14:paraId="35D0AA1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A1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14" w14:textId="77777777" w:rsidR="00D42204" w:rsidRDefault="004E439D">
            <w:pPr>
              <w:jc w:val="right"/>
              <w:textAlignment w:val="center"/>
            </w:pPr>
            <w:r>
              <w:rPr>
                <w:rFonts w:ascii="Times New Roman" w:eastAsia="宋体" w:hAnsi="Times New Roman"/>
                <w:color w:val="000000"/>
                <w:sz w:val="16"/>
                <w:szCs w:val="16"/>
              </w:rPr>
              <w:t>186 </w:t>
            </w:r>
          </w:p>
        </w:tc>
        <w:tc>
          <w:tcPr>
            <w:tcW w:w="0" w:type="auto"/>
            <w:shd w:val="clear" w:color="auto" w:fill="FFFFFF"/>
            <w:tcMar>
              <w:top w:w="40" w:type="dxa"/>
              <w:left w:w="0" w:type="dxa"/>
              <w:bottom w:w="40" w:type="dxa"/>
              <w:right w:w="20" w:type="dxa"/>
            </w:tcMar>
            <w:vAlign w:val="center"/>
          </w:tcPr>
          <w:p w14:paraId="35D0AA15" w14:textId="77777777" w:rsidR="00D42204" w:rsidRDefault="00D42204">
            <w:pPr>
              <w:jc w:val="right"/>
              <w:rPr>
                <w:rFonts w:ascii="宋体"/>
              </w:rPr>
            </w:pPr>
          </w:p>
        </w:tc>
      </w:tr>
      <w:tr w:rsidR="00D42204" w14:paraId="35D0AA21" w14:textId="77777777">
        <w:trPr>
          <w:jc w:val="center"/>
        </w:trPr>
        <w:tc>
          <w:tcPr>
            <w:tcW w:w="0" w:type="auto"/>
            <w:gridSpan w:val="3"/>
            <w:shd w:val="clear" w:color="auto" w:fill="CCEEFF"/>
            <w:tcMar>
              <w:top w:w="40" w:type="dxa"/>
              <w:left w:w="1235" w:type="dxa"/>
              <w:bottom w:w="40" w:type="dxa"/>
              <w:right w:w="20" w:type="dxa"/>
            </w:tcMar>
            <w:vAlign w:val="center"/>
          </w:tcPr>
          <w:p w14:paraId="35D0AA17" w14:textId="77777777" w:rsidR="00D42204" w:rsidRDefault="004E439D">
            <w:pPr>
              <w:textAlignment w:val="center"/>
            </w:pPr>
            <w:r>
              <w:rPr>
                <w:rFonts w:ascii="Times New Roman" w:eastAsia="宋体" w:hAnsi="Times New Roman"/>
                <w:color w:val="000000"/>
                <w:sz w:val="16"/>
                <w:szCs w:val="16"/>
              </w:rPr>
              <w:t>Accrued income taxes</w:t>
            </w:r>
          </w:p>
        </w:tc>
        <w:tc>
          <w:tcPr>
            <w:tcW w:w="0" w:type="auto"/>
            <w:gridSpan w:val="3"/>
            <w:shd w:val="clear" w:color="auto" w:fill="CCEEFF"/>
            <w:tcMar>
              <w:top w:w="0" w:type="dxa"/>
              <w:left w:w="20" w:type="dxa"/>
              <w:bottom w:w="0" w:type="dxa"/>
              <w:right w:w="20" w:type="dxa"/>
            </w:tcMar>
            <w:vAlign w:val="bottom"/>
          </w:tcPr>
          <w:p w14:paraId="35D0AA1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19" w14:textId="77777777" w:rsidR="00D42204" w:rsidRDefault="004E439D">
            <w:pPr>
              <w:jc w:val="right"/>
              <w:textAlignment w:val="center"/>
            </w:pPr>
            <w:r>
              <w:rPr>
                <w:rFonts w:ascii="Times New Roman" w:eastAsia="宋体" w:hAnsi="Times New Roman"/>
                <w:color w:val="000000"/>
                <w:sz w:val="16"/>
                <w:szCs w:val="16"/>
              </w:rPr>
              <w:t>39 </w:t>
            </w:r>
          </w:p>
        </w:tc>
        <w:tc>
          <w:tcPr>
            <w:tcW w:w="0" w:type="auto"/>
            <w:shd w:val="clear" w:color="auto" w:fill="CCEEFF"/>
            <w:tcMar>
              <w:top w:w="40" w:type="dxa"/>
              <w:left w:w="0" w:type="dxa"/>
              <w:bottom w:w="40" w:type="dxa"/>
              <w:right w:w="20" w:type="dxa"/>
            </w:tcMar>
            <w:vAlign w:val="center"/>
          </w:tcPr>
          <w:p w14:paraId="35D0AA1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1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1C" w14:textId="77777777" w:rsidR="00D42204" w:rsidRDefault="004E439D">
            <w:pPr>
              <w:jc w:val="right"/>
              <w:textAlignment w:val="center"/>
            </w:pPr>
            <w:r>
              <w:rPr>
                <w:rFonts w:ascii="Times New Roman" w:eastAsia="宋体" w:hAnsi="Times New Roman"/>
                <w:color w:val="000000"/>
                <w:sz w:val="16"/>
                <w:szCs w:val="16"/>
              </w:rPr>
              <w:t>(136)</w:t>
            </w:r>
          </w:p>
        </w:tc>
        <w:tc>
          <w:tcPr>
            <w:tcW w:w="0" w:type="auto"/>
            <w:shd w:val="clear" w:color="auto" w:fill="CCEEFF"/>
            <w:tcMar>
              <w:top w:w="40" w:type="dxa"/>
              <w:left w:w="0" w:type="dxa"/>
              <w:bottom w:w="40" w:type="dxa"/>
              <w:right w:w="20" w:type="dxa"/>
            </w:tcMar>
            <w:vAlign w:val="center"/>
          </w:tcPr>
          <w:p w14:paraId="35D0AA1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1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1F" w14:textId="77777777" w:rsidR="00D42204" w:rsidRDefault="004E439D">
            <w:pPr>
              <w:jc w:val="right"/>
              <w:textAlignment w:val="center"/>
            </w:pPr>
            <w:r>
              <w:rPr>
                <w:rFonts w:ascii="Times New Roman" w:eastAsia="宋体" w:hAnsi="Times New Roman"/>
                <w:color w:val="000000"/>
                <w:sz w:val="16"/>
                <w:szCs w:val="16"/>
              </w:rPr>
              <w:t>(93)</w:t>
            </w:r>
          </w:p>
        </w:tc>
        <w:tc>
          <w:tcPr>
            <w:tcW w:w="0" w:type="auto"/>
            <w:shd w:val="clear" w:color="auto" w:fill="CCEEFF"/>
            <w:tcMar>
              <w:top w:w="40" w:type="dxa"/>
              <w:left w:w="0" w:type="dxa"/>
              <w:bottom w:w="40" w:type="dxa"/>
              <w:right w:w="20" w:type="dxa"/>
            </w:tcMar>
            <w:vAlign w:val="center"/>
          </w:tcPr>
          <w:p w14:paraId="35D0AA20" w14:textId="77777777" w:rsidR="00D42204" w:rsidRDefault="00D42204">
            <w:pPr>
              <w:jc w:val="right"/>
              <w:rPr>
                <w:rFonts w:ascii="宋体"/>
              </w:rPr>
            </w:pPr>
          </w:p>
        </w:tc>
      </w:tr>
      <w:tr w:rsidR="00D42204" w14:paraId="35D0AA2C" w14:textId="77777777">
        <w:trPr>
          <w:jc w:val="center"/>
        </w:trPr>
        <w:tc>
          <w:tcPr>
            <w:tcW w:w="0" w:type="auto"/>
            <w:gridSpan w:val="3"/>
            <w:shd w:val="clear" w:color="auto" w:fill="FFFFFF"/>
            <w:tcMar>
              <w:top w:w="40" w:type="dxa"/>
              <w:left w:w="20" w:type="dxa"/>
              <w:bottom w:w="40" w:type="dxa"/>
              <w:right w:w="20" w:type="dxa"/>
            </w:tcMar>
            <w:vAlign w:val="center"/>
          </w:tcPr>
          <w:p w14:paraId="35D0AA22" w14:textId="77777777" w:rsidR="00D42204" w:rsidRDefault="004E439D">
            <w:pPr>
              <w:textAlignment w:val="center"/>
            </w:pPr>
            <w:r>
              <w:rPr>
                <w:rFonts w:ascii="Times New Roman" w:eastAsia="宋体" w:hAnsi="Times New Roman"/>
                <w:color w:val="000000"/>
                <w:sz w:val="16"/>
                <w:szCs w:val="16"/>
              </w:rPr>
              <w:t>Net cash provided by operating activities</w:t>
            </w:r>
          </w:p>
        </w:tc>
        <w:tc>
          <w:tcPr>
            <w:tcW w:w="0" w:type="auto"/>
            <w:gridSpan w:val="3"/>
            <w:shd w:val="clear" w:color="auto" w:fill="FFFFFF"/>
            <w:tcMar>
              <w:top w:w="0" w:type="dxa"/>
              <w:left w:w="20" w:type="dxa"/>
              <w:bottom w:w="0" w:type="dxa"/>
              <w:right w:w="20" w:type="dxa"/>
            </w:tcMar>
            <w:vAlign w:val="bottom"/>
          </w:tcPr>
          <w:p w14:paraId="35D0AA23"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A24" w14:textId="77777777" w:rsidR="00D42204" w:rsidRDefault="004E439D">
            <w:pPr>
              <w:jc w:val="right"/>
              <w:textAlignment w:val="center"/>
            </w:pPr>
            <w:r>
              <w:rPr>
                <w:rFonts w:ascii="Times New Roman" w:eastAsia="宋体" w:hAnsi="Times New Roman"/>
                <w:color w:val="000000"/>
                <w:sz w:val="16"/>
                <w:szCs w:val="16"/>
              </w:rPr>
              <w:t>24,181 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A2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A26"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A27" w14:textId="77777777" w:rsidR="00D42204" w:rsidRDefault="004E439D">
            <w:pPr>
              <w:jc w:val="right"/>
              <w:textAlignment w:val="center"/>
            </w:pPr>
            <w:r>
              <w:rPr>
                <w:rFonts w:ascii="Times New Roman" w:eastAsia="宋体" w:hAnsi="Times New Roman"/>
                <w:color w:val="000000"/>
                <w:sz w:val="16"/>
                <w:szCs w:val="16"/>
              </w:rPr>
              <w:t>36,074 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A2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A29"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A2A" w14:textId="77777777" w:rsidR="00D42204" w:rsidRDefault="004E439D">
            <w:pPr>
              <w:jc w:val="right"/>
              <w:textAlignment w:val="center"/>
            </w:pPr>
            <w:r>
              <w:rPr>
                <w:rFonts w:ascii="Times New Roman" w:eastAsia="宋体" w:hAnsi="Times New Roman"/>
                <w:color w:val="000000"/>
                <w:sz w:val="16"/>
                <w:szCs w:val="16"/>
              </w:rPr>
              <w:t>25,255 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A2B" w14:textId="77777777" w:rsidR="00D42204" w:rsidRDefault="00D42204">
            <w:pPr>
              <w:jc w:val="right"/>
              <w:rPr>
                <w:rFonts w:ascii="宋体"/>
              </w:rPr>
            </w:pPr>
          </w:p>
        </w:tc>
      </w:tr>
      <w:tr w:rsidR="00D42204" w14:paraId="35D0AA34" w14:textId="77777777">
        <w:trPr>
          <w:trHeight w:val="220"/>
          <w:jc w:val="center"/>
        </w:trPr>
        <w:tc>
          <w:tcPr>
            <w:tcW w:w="0" w:type="auto"/>
            <w:gridSpan w:val="3"/>
            <w:shd w:val="clear" w:color="auto" w:fill="CCEEFF"/>
            <w:tcMar>
              <w:top w:w="0" w:type="dxa"/>
              <w:left w:w="20" w:type="dxa"/>
              <w:bottom w:w="0" w:type="dxa"/>
              <w:right w:w="20" w:type="dxa"/>
            </w:tcMar>
            <w:vAlign w:val="bottom"/>
          </w:tcPr>
          <w:p w14:paraId="35D0AA2D"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A2E"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A2F"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A30"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A31"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A3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A33" w14:textId="77777777" w:rsidR="00D42204" w:rsidRDefault="00D42204">
            <w:pPr>
              <w:rPr>
                <w:rFonts w:ascii="宋体"/>
              </w:rPr>
            </w:pPr>
          </w:p>
        </w:tc>
      </w:tr>
      <w:tr w:rsidR="00D42204" w14:paraId="35D0AA3C" w14:textId="77777777">
        <w:trPr>
          <w:jc w:val="center"/>
        </w:trPr>
        <w:tc>
          <w:tcPr>
            <w:tcW w:w="0" w:type="auto"/>
            <w:gridSpan w:val="3"/>
            <w:shd w:val="clear" w:color="auto" w:fill="FFFFFF"/>
            <w:tcMar>
              <w:top w:w="40" w:type="dxa"/>
              <w:left w:w="20" w:type="dxa"/>
              <w:bottom w:w="40" w:type="dxa"/>
              <w:right w:w="20" w:type="dxa"/>
            </w:tcMar>
            <w:vAlign w:val="center"/>
          </w:tcPr>
          <w:p w14:paraId="35D0AA35" w14:textId="77777777" w:rsidR="00D42204" w:rsidRDefault="004E439D">
            <w:pPr>
              <w:textAlignment w:val="center"/>
            </w:pPr>
            <w:r>
              <w:rPr>
                <w:rFonts w:ascii="Times New Roman" w:eastAsia="宋体" w:hAnsi="Times New Roman"/>
                <w:b/>
                <w:bCs/>
                <w:color w:val="000000"/>
                <w:sz w:val="16"/>
                <w:szCs w:val="16"/>
              </w:rPr>
              <w:t>Cash flows from investing activities:</w:t>
            </w:r>
          </w:p>
        </w:tc>
        <w:tc>
          <w:tcPr>
            <w:tcW w:w="0" w:type="auto"/>
            <w:gridSpan w:val="3"/>
            <w:shd w:val="clear" w:color="auto" w:fill="FFFFFF"/>
            <w:tcMar>
              <w:top w:w="0" w:type="dxa"/>
              <w:left w:w="20" w:type="dxa"/>
              <w:bottom w:w="0" w:type="dxa"/>
              <w:right w:w="20" w:type="dxa"/>
            </w:tcMar>
            <w:vAlign w:val="bottom"/>
          </w:tcPr>
          <w:p w14:paraId="35D0AA36"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A37"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A38"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A39"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A3A"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A3B" w14:textId="77777777" w:rsidR="00D42204" w:rsidRDefault="00D42204">
            <w:pPr>
              <w:rPr>
                <w:rFonts w:ascii="宋体"/>
              </w:rPr>
            </w:pPr>
          </w:p>
        </w:tc>
      </w:tr>
      <w:tr w:rsidR="00D42204" w14:paraId="35D0AA47" w14:textId="77777777">
        <w:trPr>
          <w:jc w:val="center"/>
        </w:trPr>
        <w:tc>
          <w:tcPr>
            <w:tcW w:w="0" w:type="auto"/>
            <w:gridSpan w:val="3"/>
            <w:shd w:val="clear" w:color="auto" w:fill="CCEEFF"/>
            <w:tcMar>
              <w:top w:w="40" w:type="dxa"/>
              <w:left w:w="380" w:type="dxa"/>
              <w:bottom w:w="40" w:type="dxa"/>
              <w:right w:w="20" w:type="dxa"/>
            </w:tcMar>
            <w:vAlign w:val="center"/>
          </w:tcPr>
          <w:p w14:paraId="35D0AA3D" w14:textId="77777777" w:rsidR="00D42204" w:rsidRDefault="004E439D">
            <w:pPr>
              <w:textAlignment w:val="center"/>
            </w:pPr>
            <w:r>
              <w:rPr>
                <w:rFonts w:ascii="Times New Roman" w:eastAsia="宋体" w:hAnsi="Times New Roman"/>
                <w:color w:val="000000"/>
                <w:sz w:val="16"/>
                <w:szCs w:val="16"/>
              </w:rPr>
              <w:t>Payments for property and equipment</w:t>
            </w:r>
          </w:p>
        </w:tc>
        <w:tc>
          <w:tcPr>
            <w:tcW w:w="0" w:type="auto"/>
            <w:gridSpan w:val="3"/>
            <w:shd w:val="clear" w:color="auto" w:fill="CCEEFF"/>
            <w:tcMar>
              <w:top w:w="0" w:type="dxa"/>
              <w:left w:w="20" w:type="dxa"/>
              <w:bottom w:w="0" w:type="dxa"/>
              <w:right w:w="20" w:type="dxa"/>
            </w:tcMar>
            <w:vAlign w:val="bottom"/>
          </w:tcPr>
          <w:p w14:paraId="35D0AA3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3F" w14:textId="77777777" w:rsidR="00D42204" w:rsidRDefault="004E439D">
            <w:pPr>
              <w:jc w:val="right"/>
              <w:textAlignment w:val="center"/>
            </w:pPr>
            <w:r>
              <w:rPr>
                <w:rFonts w:ascii="Times New Roman" w:eastAsia="宋体" w:hAnsi="Times New Roman"/>
                <w:color w:val="000000"/>
                <w:sz w:val="16"/>
                <w:szCs w:val="16"/>
              </w:rPr>
              <w:t>(13,106)</w:t>
            </w:r>
          </w:p>
        </w:tc>
        <w:tc>
          <w:tcPr>
            <w:tcW w:w="0" w:type="auto"/>
            <w:shd w:val="clear" w:color="auto" w:fill="CCEEFF"/>
            <w:tcMar>
              <w:top w:w="40" w:type="dxa"/>
              <w:left w:w="0" w:type="dxa"/>
              <w:bottom w:w="40" w:type="dxa"/>
              <w:right w:w="20" w:type="dxa"/>
            </w:tcMar>
            <w:vAlign w:val="center"/>
          </w:tcPr>
          <w:p w14:paraId="35D0AA4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4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42" w14:textId="77777777" w:rsidR="00D42204" w:rsidRDefault="004E439D">
            <w:pPr>
              <w:jc w:val="right"/>
              <w:textAlignment w:val="center"/>
            </w:pPr>
            <w:r>
              <w:rPr>
                <w:rFonts w:ascii="Times New Roman" w:eastAsia="宋体" w:hAnsi="Times New Roman"/>
                <w:color w:val="000000"/>
                <w:sz w:val="16"/>
                <w:szCs w:val="16"/>
              </w:rPr>
              <w:t>(10,264)</w:t>
            </w:r>
          </w:p>
        </w:tc>
        <w:tc>
          <w:tcPr>
            <w:tcW w:w="0" w:type="auto"/>
            <w:shd w:val="clear" w:color="auto" w:fill="CCEEFF"/>
            <w:tcMar>
              <w:top w:w="40" w:type="dxa"/>
              <w:left w:w="0" w:type="dxa"/>
              <w:bottom w:w="40" w:type="dxa"/>
              <w:right w:w="20" w:type="dxa"/>
            </w:tcMar>
            <w:vAlign w:val="center"/>
          </w:tcPr>
          <w:p w14:paraId="35D0AA4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4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45" w14:textId="77777777" w:rsidR="00D42204" w:rsidRDefault="004E439D">
            <w:pPr>
              <w:jc w:val="right"/>
              <w:textAlignment w:val="center"/>
            </w:pPr>
            <w:r>
              <w:rPr>
                <w:rFonts w:ascii="Times New Roman" w:eastAsia="宋体" w:hAnsi="Times New Roman"/>
                <w:color w:val="000000"/>
                <w:sz w:val="16"/>
                <w:szCs w:val="16"/>
              </w:rPr>
              <w:t>(10,705)</w:t>
            </w:r>
          </w:p>
        </w:tc>
        <w:tc>
          <w:tcPr>
            <w:tcW w:w="0" w:type="auto"/>
            <w:shd w:val="clear" w:color="auto" w:fill="CCEEFF"/>
            <w:tcMar>
              <w:top w:w="40" w:type="dxa"/>
              <w:left w:w="0" w:type="dxa"/>
              <w:bottom w:w="40" w:type="dxa"/>
              <w:right w:w="20" w:type="dxa"/>
            </w:tcMar>
            <w:vAlign w:val="center"/>
          </w:tcPr>
          <w:p w14:paraId="35D0AA46" w14:textId="77777777" w:rsidR="00D42204" w:rsidRDefault="00D42204">
            <w:pPr>
              <w:jc w:val="right"/>
              <w:rPr>
                <w:rFonts w:ascii="宋体"/>
              </w:rPr>
            </w:pPr>
          </w:p>
        </w:tc>
      </w:tr>
      <w:tr w:rsidR="00D42204" w14:paraId="35D0AA52" w14:textId="77777777">
        <w:trPr>
          <w:jc w:val="center"/>
        </w:trPr>
        <w:tc>
          <w:tcPr>
            <w:tcW w:w="0" w:type="auto"/>
            <w:gridSpan w:val="3"/>
            <w:shd w:val="clear" w:color="auto" w:fill="FFFFFF"/>
            <w:tcMar>
              <w:top w:w="40" w:type="dxa"/>
              <w:left w:w="380" w:type="dxa"/>
              <w:bottom w:w="40" w:type="dxa"/>
              <w:right w:w="20" w:type="dxa"/>
            </w:tcMar>
            <w:vAlign w:val="center"/>
          </w:tcPr>
          <w:p w14:paraId="35D0AA48" w14:textId="77777777" w:rsidR="00D42204" w:rsidRDefault="004E439D">
            <w:pPr>
              <w:textAlignment w:val="center"/>
            </w:pPr>
            <w:r>
              <w:rPr>
                <w:rFonts w:ascii="Times New Roman" w:eastAsia="宋体" w:hAnsi="Times New Roman"/>
                <w:color w:val="000000"/>
                <w:sz w:val="16"/>
                <w:szCs w:val="16"/>
              </w:rPr>
              <w:t>Proceeds from the disposal of property and equipment</w:t>
            </w:r>
          </w:p>
        </w:tc>
        <w:tc>
          <w:tcPr>
            <w:tcW w:w="0" w:type="auto"/>
            <w:gridSpan w:val="3"/>
            <w:shd w:val="clear" w:color="auto" w:fill="FFFFFF"/>
            <w:tcMar>
              <w:top w:w="0" w:type="dxa"/>
              <w:left w:w="20" w:type="dxa"/>
              <w:bottom w:w="0" w:type="dxa"/>
              <w:right w:w="20" w:type="dxa"/>
            </w:tcMar>
            <w:vAlign w:val="bottom"/>
          </w:tcPr>
          <w:p w14:paraId="35D0AA4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4A" w14:textId="77777777" w:rsidR="00D42204" w:rsidRDefault="004E439D">
            <w:pPr>
              <w:jc w:val="right"/>
              <w:textAlignment w:val="center"/>
            </w:pPr>
            <w:r>
              <w:rPr>
                <w:rFonts w:ascii="Times New Roman" w:eastAsia="宋体" w:hAnsi="Times New Roman"/>
                <w:color w:val="000000"/>
                <w:sz w:val="16"/>
                <w:szCs w:val="16"/>
              </w:rPr>
              <w:t>394 </w:t>
            </w:r>
          </w:p>
        </w:tc>
        <w:tc>
          <w:tcPr>
            <w:tcW w:w="0" w:type="auto"/>
            <w:shd w:val="clear" w:color="auto" w:fill="FFFFFF"/>
            <w:tcMar>
              <w:top w:w="40" w:type="dxa"/>
              <w:left w:w="0" w:type="dxa"/>
              <w:bottom w:w="40" w:type="dxa"/>
              <w:right w:w="20" w:type="dxa"/>
            </w:tcMar>
            <w:vAlign w:val="center"/>
          </w:tcPr>
          <w:p w14:paraId="35D0AA4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A4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4D" w14:textId="77777777" w:rsidR="00D42204" w:rsidRDefault="004E439D">
            <w:pPr>
              <w:jc w:val="right"/>
              <w:textAlignment w:val="center"/>
            </w:pPr>
            <w:r>
              <w:rPr>
                <w:rFonts w:ascii="Times New Roman" w:eastAsia="宋体" w:hAnsi="Times New Roman"/>
                <w:color w:val="000000"/>
                <w:sz w:val="16"/>
                <w:szCs w:val="16"/>
              </w:rPr>
              <w:t>215 </w:t>
            </w:r>
          </w:p>
        </w:tc>
        <w:tc>
          <w:tcPr>
            <w:tcW w:w="0" w:type="auto"/>
            <w:shd w:val="clear" w:color="auto" w:fill="FFFFFF"/>
            <w:tcMar>
              <w:top w:w="40" w:type="dxa"/>
              <w:left w:w="0" w:type="dxa"/>
              <w:bottom w:w="40" w:type="dxa"/>
              <w:right w:w="20" w:type="dxa"/>
            </w:tcMar>
            <w:vAlign w:val="center"/>
          </w:tcPr>
          <w:p w14:paraId="35D0AA4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A4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50" w14:textId="77777777" w:rsidR="00D42204" w:rsidRDefault="004E439D">
            <w:pPr>
              <w:jc w:val="right"/>
              <w:textAlignment w:val="center"/>
            </w:pPr>
            <w:r>
              <w:rPr>
                <w:rFonts w:ascii="Times New Roman" w:eastAsia="宋体" w:hAnsi="Times New Roman"/>
                <w:color w:val="000000"/>
                <w:sz w:val="16"/>
                <w:szCs w:val="16"/>
              </w:rPr>
              <w:t>321 </w:t>
            </w:r>
          </w:p>
        </w:tc>
        <w:tc>
          <w:tcPr>
            <w:tcW w:w="0" w:type="auto"/>
            <w:shd w:val="clear" w:color="auto" w:fill="FFFFFF"/>
            <w:tcMar>
              <w:top w:w="40" w:type="dxa"/>
              <w:left w:w="0" w:type="dxa"/>
              <w:bottom w:w="40" w:type="dxa"/>
              <w:right w:w="20" w:type="dxa"/>
            </w:tcMar>
            <w:vAlign w:val="center"/>
          </w:tcPr>
          <w:p w14:paraId="35D0AA51" w14:textId="77777777" w:rsidR="00D42204" w:rsidRDefault="00D42204">
            <w:pPr>
              <w:jc w:val="right"/>
              <w:rPr>
                <w:rFonts w:ascii="宋体"/>
              </w:rPr>
            </w:pPr>
          </w:p>
        </w:tc>
      </w:tr>
      <w:tr w:rsidR="00D42204" w14:paraId="35D0AA5D" w14:textId="77777777">
        <w:trPr>
          <w:jc w:val="center"/>
        </w:trPr>
        <w:tc>
          <w:tcPr>
            <w:tcW w:w="0" w:type="auto"/>
            <w:gridSpan w:val="3"/>
            <w:shd w:val="clear" w:color="auto" w:fill="CCEEFF"/>
            <w:tcMar>
              <w:top w:w="40" w:type="dxa"/>
              <w:left w:w="380" w:type="dxa"/>
              <w:bottom w:w="40" w:type="dxa"/>
              <w:right w:w="20" w:type="dxa"/>
            </w:tcMar>
            <w:vAlign w:val="center"/>
          </w:tcPr>
          <w:p w14:paraId="35D0AA53" w14:textId="77777777" w:rsidR="00D42204" w:rsidRDefault="004E439D">
            <w:pPr>
              <w:textAlignment w:val="center"/>
            </w:pPr>
            <w:r>
              <w:rPr>
                <w:rFonts w:ascii="Times New Roman" w:eastAsia="宋体" w:hAnsi="Times New Roman"/>
                <w:color w:val="000000"/>
                <w:sz w:val="16"/>
                <w:szCs w:val="16"/>
              </w:rPr>
              <w:t>Proceeds from disposal of certain operations, net of divested cash</w:t>
            </w:r>
          </w:p>
        </w:tc>
        <w:tc>
          <w:tcPr>
            <w:tcW w:w="0" w:type="auto"/>
            <w:gridSpan w:val="3"/>
            <w:shd w:val="clear" w:color="auto" w:fill="CCEEFF"/>
            <w:tcMar>
              <w:top w:w="0" w:type="dxa"/>
              <w:left w:w="20" w:type="dxa"/>
              <w:bottom w:w="0" w:type="dxa"/>
              <w:right w:w="20" w:type="dxa"/>
            </w:tcMar>
            <w:vAlign w:val="bottom"/>
          </w:tcPr>
          <w:p w14:paraId="35D0AA5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55" w14:textId="77777777" w:rsidR="00D42204" w:rsidRDefault="004E439D">
            <w:pPr>
              <w:jc w:val="right"/>
              <w:textAlignment w:val="center"/>
            </w:pPr>
            <w:r>
              <w:rPr>
                <w:rFonts w:ascii="Times New Roman" w:eastAsia="宋体" w:hAnsi="Times New Roman"/>
                <w:color w:val="000000"/>
                <w:sz w:val="16"/>
                <w:szCs w:val="16"/>
              </w:rPr>
              <w:t>7,935 </w:t>
            </w:r>
          </w:p>
        </w:tc>
        <w:tc>
          <w:tcPr>
            <w:tcW w:w="0" w:type="auto"/>
            <w:shd w:val="clear" w:color="auto" w:fill="CCEEFF"/>
            <w:tcMar>
              <w:top w:w="40" w:type="dxa"/>
              <w:left w:w="0" w:type="dxa"/>
              <w:bottom w:w="40" w:type="dxa"/>
              <w:right w:w="20" w:type="dxa"/>
            </w:tcMar>
            <w:vAlign w:val="center"/>
          </w:tcPr>
          <w:p w14:paraId="35D0AA5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5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58" w14:textId="77777777" w:rsidR="00D42204" w:rsidRDefault="004E439D">
            <w:pPr>
              <w:jc w:val="right"/>
              <w:textAlignment w:val="center"/>
            </w:pPr>
            <w:r>
              <w:rPr>
                <w:rFonts w:ascii="Times New Roman" w:eastAsia="宋体" w:hAnsi="Times New Roman"/>
                <w:color w:val="000000"/>
                <w:sz w:val="16"/>
                <w:szCs w:val="16"/>
              </w:rPr>
              <w:t>56 </w:t>
            </w:r>
          </w:p>
        </w:tc>
        <w:tc>
          <w:tcPr>
            <w:tcW w:w="0" w:type="auto"/>
            <w:shd w:val="clear" w:color="auto" w:fill="CCEEFF"/>
            <w:tcMar>
              <w:top w:w="40" w:type="dxa"/>
              <w:left w:w="0" w:type="dxa"/>
              <w:bottom w:w="40" w:type="dxa"/>
              <w:right w:w="20" w:type="dxa"/>
            </w:tcMar>
            <w:vAlign w:val="center"/>
          </w:tcPr>
          <w:p w14:paraId="35D0AA5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5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5B" w14:textId="77777777" w:rsidR="00D42204" w:rsidRDefault="004E439D">
            <w:pPr>
              <w:jc w:val="right"/>
              <w:textAlignment w:val="center"/>
            </w:pPr>
            <w:r>
              <w:rPr>
                <w:rFonts w:ascii="Times New Roman" w:eastAsia="宋体" w:hAnsi="Times New Roman"/>
                <w:color w:val="000000"/>
                <w:sz w:val="16"/>
                <w:szCs w:val="16"/>
              </w:rPr>
              <w:t>833 </w:t>
            </w:r>
          </w:p>
        </w:tc>
        <w:tc>
          <w:tcPr>
            <w:tcW w:w="0" w:type="auto"/>
            <w:shd w:val="clear" w:color="auto" w:fill="CCEEFF"/>
            <w:tcMar>
              <w:top w:w="40" w:type="dxa"/>
              <w:left w:w="0" w:type="dxa"/>
              <w:bottom w:w="40" w:type="dxa"/>
              <w:right w:w="20" w:type="dxa"/>
            </w:tcMar>
            <w:vAlign w:val="center"/>
          </w:tcPr>
          <w:p w14:paraId="35D0AA5C" w14:textId="77777777" w:rsidR="00D42204" w:rsidRDefault="00D42204">
            <w:pPr>
              <w:jc w:val="right"/>
              <w:rPr>
                <w:rFonts w:ascii="宋体"/>
              </w:rPr>
            </w:pPr>
          </w:p>
        </w:tc>
      </w:tr>
      <w:tr w:rsidR="00D42204" w14:paraId="35D0AA65" w14:textId="77777777">
        <w:trPr>
          <w:jc w:val="center"/>
          <w:hidden/>
        </w:trPr>
        <w:tc>
          <w:tcPr>
            <w:tcW w:w="0" w:type="auto"/>
            <w:gridSpan w:val="3"/>
            <w:shd w:val="clear" w:color="auto" w:fill="auto"/>
            <w:vAlign w:val="bottom"/>
          </w:tcPr>
          <w:p w14:paraId="35D0AA5E" w14:textId="77777777" w:rsidR="00D42204" w:rsidRDefault="00D42204">
            <w:pPr>
              <w:rPr>
                <w:rFonts w:ascii="宋体"/>
                <w:vanish/>
              </w:rPr>
            </w:pPr>
          </w:p>
        </w:tc>
        <w:tc>
          <w:tcPr>
            <w:tcW w:w="0" w:type="auto"/>
            <w:gridSpan w:val="3"/>
            <w:shd w:val="clear" w:color="auto" w:fill="auto"/>
            <w:vAlign w:val="bottom"/>
          </w:tcPr>
          <w:p w14:paraId="35D0AA5F" w14:textId="77777777" w:rsidR="00D42204" w:rsidRDefault="00D42204">
            <w:pPr>
              <w:rPr>
                <w:rFonts w:ascii="宋体"/>
                <w:vanish/>
              </w:rPr>
            </w:pPr>
          </w:p>
        </w:tc>
        <w:tc>
          <w:tcPr>
            <w:tcW w:w="0" w:type="auto"/>
            <w:gridSpan w:val="3"/>
            <w:shd w:val="clear" w:color="auto" w:fill="auto"/>
            <w:vAlign w:val="bottom"/>
          </w:tcPr>
          <w:p w14:paraId="35D0AA60" w14:textId="77777777" w:rsidR="00D42204" w:rsidRDefault="00D42204">
            <w:pPr>
              <w:rPr>
                <w:rFonts w:ascii="宋体"/>
                <w:vanish/>
              </w:rPr>
            </w:pPr>
          </w:p>
        </w:tc>
        <w:tc>
          <w:tcPr>
            <w:tcW w:w="0" w:type="auto"/>
            <w:gridSpan w:val="3"/>
            <w:shd w:val="clear" w:color="auto" w:fill="auto"/>
            <w:vAlign w:val="bottom"/>
          </w:tcPr>
          <w:p w14:paraId="35D0AA61" w14:textId="77777777" w:rsidR="00D42204" w:rsidRDefault="00D42204">
            <w:pPr>
              <w:rPr>
                <w:rFonts w:ascii="宋体"/>
                <w:vanish/>
              </w:rPr>
            </w:pPr>
          </w:p>
        </w:tc>
        <w:tc>
          <w:tcPr>
            <w:tcW w:w="0" w:type="auto"/>
            <w:gridSpan w:val="3"/>
            <w:shd w:val="clear" w:color="auto" w:fill="auto"/>
            <w:vAlign w:val="bottom"/>
          </w:tcPr>
          <w:p w14:paraId="35D0AA62" w14:textId="77777777" w:rsidR="00D42204" w:rsidRDefault="00D42204">
            <w:pPr>
              <w:rPr>
                <w:rFonts w:ascii="宋体"/>
                <w:vanish/>
              </w:rPr>
            </w:pPr>
          </w:p>
        </w:tc>
        <w:tc>
          <w:tcPr>
            <w:tcW w:w="0" w:type="auto"/>
            <w:gridSpan w:val="3"/>
            <w:shd w:val="clear" w:color="auto" w:fill="auto"/>
            <w:vAlign w:val="bottom"/>
          </w:tcPr>
          <w:p w14:paraId="35D0AA63" w14:textId="77777777" w:rsidR="00D42204" w:rsidRDefault="00D42204">
            <w:pPr>
              <w:rPr>
                <w:rFonts w:ascii="宋体"/>
                <w:vanish/>
              </w:rPr>
            </w:pPr>
          </w:p>
        </w:tc>
        <w:tc>
          <w:tcPr>
            <w:tcW w:w="0" w:type="auto"/>
            <w:gridSpan w:val="3"/>
            <w:shd w:val="clear" w:color="auto" w:fill="auto"/>
            <w:vAlign w:val="bottom"/>
          </w:tcPr>
          <w:p w14:paraId="35D0AA64" w14:textId="77777777" w:rsidR="00D42204" w:rsidRDefault="00D42204">
            <w:pPr>
              <w:rPr>
                <w:rFonts w:ascii="宋体"/>
                <w:vanish/>
              </w:rPr>
            </w:pPr>
          </w:p>
        </w:tc>
      </w:tr>
      <w:tr w:rsidR="00D42204" w14:paraId="35D0AA70" w14:textId="77777777">
        <w:trPr>
          <w:jc w:val="center"/>
        </w:trPr>
        <w:tc>
          <w:tcPr>
            <w:tcW w:w="0" w:type="auto"/>
            <w:gridSpan w:val="3"/>
            <w:shd w:val="clear" w:color="auto" w:fill="FFFFFF"/>
            <w:tcMar>
              <w:top w:w="40" w:type="dxa"/>
              <w:left w:w="380" w:type="dxa"/>
              <w:bottom w:w="40" w:type="dxa"/>
              <w:right w:w="20" w:type="dxa"/>
            </w:tcMar>
            <w:vAlign w:val="center"/>
          </w:tcPr>
          <w:p w14:paraId="35D0AA66" w14:textId="77777777" w:rsidR="00D42204" w:rsidRDefault="004E439D">
            <w:pPr>
              <w:textAlignment w:val="center"/>
            </w:pPr>
            <w:r>
              <w:rPr>
                <w:rFonts w:ascii="Times New Roman" w:eastAsia="宋体" w:hAnsi="Times New Roman"/>
                <w:color w:val="000000"/>
                <w:sz w:val="16"/>
                <w:szCs w:val="16"/>
              </w:rPr>
              <w:t>Payments for business acquisitions, net of cash acquired</w:t>
            </w:r>
          </w:p>
        </w:tc>
        <w:tc>
          <w:tcPr>
            <w:tcW w:w="0" w:type="auto"/>
            <w:gridSpan w:val="3"/>
            <w:shd w:val="clear" w:color="auto" w:fill="FFFFFF"/>
            <w:tcMar>
              <w:top w:w="0" w:type="dxa"/>
              <w:left w:w="20" w:type="dxa"/>
              <w:bottom w:w="0" w:type="dxa"/>
              <w:right w:w="20" w:type="dxa"/>
            </w:tcMar>
            <w:vAlign w:val="bottom"/>
          </w:tcPr>
          <w:p w14:paraId="35D0AA6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68" w14:textId="77777777" w:rsidR="00D42204" w:rsidRDefault="004E439D">
            <w:pPr>
              <w:jc w:val="right"/>
              <w:textAlignment w:val="center"/>
            </w:pPr>
            <w:r>
              <w:rPr>
                <w:rFonts w:ascii="Times New Roman" w:eastAsia="宋体" w:hAnsi="Times New Roman"/>
                <w:color w:val="000000"/>
                <w:sz w:val="16"/>
                <w:szCs w:val="16"/>
              </w:rPr>
              <w:t>(359)</w:t>
            </w:r>
          </w:p>
        </w:tc>
        <w:tc>
          <w:tcPr>
            <w:tcW w:w="0" w:type="auto"/>
            <w:shd w:val="clear" w:color="auto" w:fill="FFFFFF"/>
            <w:tcMar>
              <w:top w:w="40" w:type="dxa"/>
              <w:left w:w="0" w:type="dxa"/>
              <w:bottom w:w="40" w:type="dxa"/>
              <w:right w:w="20" w:type="dxa"/>
            </w:tcMar>
            <w:vAlign w:val="center"/>
          </w:tcPr>
          <w:p w14:paraId="35D0AA6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A6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6B" w14:textId="77777777" w:rsidR="00D42204" w:rsidRDefault="004E439D">
            <w:pPr>
              <w:jc w:val="right"/>
              <w:textAlignment w:val="center"/>
            </w:pPr>
            <w:r>
              <w:rPr>
                <w:rFonts w:ascii="Times New Roman" w:eastAsia="宋体" w:hAnsi="Times New Roman"/>
                <w:color w:val="000000"/>
                <w:sz w:val="16"/>
                <w:szCs w:val="16"/>
              </w:rPr>
              <w:t>(180)</w:t>
            </w:r>
          </w:p>
        </w:tc>
        <w:tc>
          <w:tcPr>
            <w:tcW w:w="0" w:type="auto"/>
            <w:shd w:val="clear" w:color="auto" w:fill="FFFFFF"/>
            <w:tcMar>
              <w:top w:w="40" w:type="dxa"/>
              <w:left w:w="0" w:type="dxa"/>
              <w:bottom w:w="40" w:type="dxa"/>
              <w:right w:w="20" w:type="dxa"/>
            </w:tcMar>
            <w:vAlign w:val="center"/>
          </w:tcPr>
          <w:p w14:paraId="35D0AA6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A6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6E" w14:textId="77777777" w:rsidR="00D42204" w:rsidRDefault="004E439D">
            <w:pPr>
              <w:jc w:val="right"/>
              <w:textAlignment w:val="center"/>
            </w:pPr>
            <w:r>
              <w:rPr>
                <w:rFonts w:ascii="Times New Roman" w:eastAsia="宋体" w:hAnsi="Times New Roman"/>
                <w:color w:val="000000"/>
                <w:sz w:val="16"/>
                <w:szCs w:val="16"/>
              </w:rPr>
              <w:t>(56)</w:t>
            </w:r>
          </w:p>
        </w:tc>
        <w:tc>
          <w:tcPr>
            <w:tcW w:w="0" w:type="auto"/>
            <w:shd w:val="clear" w:color="auto" w:fill="FFFFFF"/>
            <w:tcMar>
              <w:top w:w="40" w:type="dxa"/>
              <w:left w:w="0" w:type="dxa"/>
              <w:bottom w:w="40" w:type="dxa"/>
              <w:right w:w="20" w:type="dxa"/>
            </w:tcMar>
            <w:vAlign w:val="center"/>
          </w:tcPr>
          <w:p w14:paraId="35D0AA6F" w14:textId="77777777" w:rsidR="00D42204" w:rsidRDefault="00D42204">
            <w:pPr>
              <w:jc w:val="right"/>
              <w:rPr>
                <w:rFonts w:ascii="宋体"/>
              </w:rPr>
            </w:pPr>
          </w:p>
        </w:tc>
      </w:tr>
      <w:tr w:rsidR="00D42204" w14:paraId="35D0AA7B" w14:textId="77777777">
        <w:trPr>
          <w:jc w:val="center"/>
        </w:trPr>
        <w:tc>
          <w:tcPr>
            <w:tcW w:w="0" w:type="auto"/>
            <w:gridSpan w:val="3"/>
            <w:shd w:val="clear" w:color="auto" w:fill="CCEEFF"/>
            <w:tcMar>
              <w:top w:w="40" w:type="dxa"/>
              <w:left w:w="380" w:type="dxa"/>
              <w:bottom w:w="40" w:type="dxa"/>
              <w:right w:w="20" w:type="dxa"/>
            </w:tcMar>
            <w:vAlign w:val="center"/>
          </w:tcPr>
          <w:p w14:paraId="35D0AA71" w14:textId="77777777" w:rsidR="00D42204" w:rsidRDefault="004E439D">
            <w:pPr>
              <w:textAlignment w:val="center"/>
            </w:pPr>
            <w:r>
              <w:rPr>
                <w:rFonts w:ascii="Times New Roman" w:eastAsia="宋体" w:hAnsi="Times New Roman"/>
                <w:color w:val="000000"/>
                <w:sz w:val="16"/>
                <w:szCs w:val="16"/>
              </w:rPr>
              <w:t>Other investing activities</w:t>
            </w:r>
          </w:p>
        </w:tc>
        <w:tc>
          <w:tcPr>
            <w:tcW w:w="0" w:type="auto"/>
            <w:gridSpan w:val="3"/>
            <w:shd w:val="clear" w:color="auto" w:fill="CCEEFF"/>
            <w:tcMar>
              <w:top w:w="0" w:type="dxa"/>
              <w:left w:w="20" w:type="dxa"/>
              <w:bottom w:w="0" w:type="dxa"/>
              <w:right w:w="20" w:type="dxa"/>
            </w:tcMar>
            <w:vAlign w:val="bottom"/>
          </w:tcPr>
          <w:p w14:paraId="35D0AA7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73" w14:textId="77777777" w:rsidR="00D42204" w:rsidRDefault="004E439D">
            <w:pPr>
              <w:jc w:val="right"/>
              <w:textAlignment w:val="center"/>
            </w:pPr>
            <w:r>
              <w:rPr>
                <w:rFonts w:ascii="Times New Roman" w:eastAsia="宋体" w:hAnsi="Times New Roman"/>
                <w:color w:val="000000"/>
                <w:sz w:val="16"/>
                <w:szCs w:val="16"/>
              </w:rPr>
              <w:t>(879)</w:t>
            </w:r>
          </w:p>
        </w:tc>
        <w:tc>
          <w:tcPr>
            <w:tcW w:w="0" w:type="auto"/>
            <w:shd w:val="clear" w:color="auto" w:fill="CCEEFF"/>
            <w:tcMar>
              <w:top w:w="40" w:type="dxa"/>
              <w:left w:w="0" w:type="dxa"/>
              <w:bottom w:w="40" w:type="dxa"/>
              <w:right w:w="20" w:type="dxa"/>
            </w:tcMar>
            <w:vAlign w:val="center"/>
          </w:tcPr>
          <w:p w14:paraId="35D0AA7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7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76" w14:textId="77777777" w:rsidR="00D42204" w:rsidRDefault="004E439D">
            <w:pPr>
              <w:jc w:val="right"/>
              <w:textAlignment w:val="center"/>
            </w:pPr>
            <w:r>
              <w:rPr>
                <w:rFonts w:ascii="Times New Roman" w:eastAsia="宋体" w:hAnsi="Times New Roman"/>
                <w:color w:val="000000"/>
                <w:sz w:val="16"/>
                <w:szCs w:val="16"/>
              </w:rPr>
              <w:t>102 </w:t>
            </w:r>
          </w:p>
        </w:tc>
        <w:tc>
          <w:tcPr>
            <w:tcW w:w="0" w:type="auto"/>
            <w:shd w:val="clear" w:color="auto" w:fill="CCEEFF"/>
            <w:tcMar>
              <w:top w:w="40" w:type="dxa"/>
              <w:left w:w="0" w:type="dxa"/>
              <w:bottom w:w="40" w:type="dxa"/>
              <w:right w:w="20" w:type="dxa"/>
            </w:tcMar>
            <w:vAlign w:val="center"/>
          </w:tcPr>
          <w:p w14:paraId="35D0AA7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7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79" w14:textId="77777777" w:rsidR="00D42204" w:rsidRDefault="004E439D">
            <w:pPr>
              <w:jc w:val="right"/>
              <w:textAlignment w:val="center"/>
            </w:pPr>
            <w:r>
              <w:rPr>
                <w:rFonts w:ascii="Times New Roman" w:eastAsia="宋体" w:hAnsi="Times New Roman"/>
                <w:color w:val="000000"/>
                <w:sz w:val="16"/>
                <w:szCs w:val="16"/>
              </w:rPr>
              <w:t>479 </w:t>
            </w:r>
          </w:p>
        </w:tc>
        <w:tc>
          <w:tcPr>
            <w:tcW w:w="0" w:type="auto"/>
            <w:shd w:val="clear" w:color="auto" w:fill="CCEEFF"/>
            <w:tcMar>
              <w:top w:w="40" w:type="dxa"/>
              <w:left w:w="0" w:type="dxa"/>
              <w:bottom w:w="40" w:type="dxa"/>
              <w:right w:w="20" w:type="dxa"/>
            </w:tcMar>
            <w:vAlign w:val="center"/>
          </w:tcPr>
          <w:p w14:paraId="35D0AA7A" w14:textId="77777777" w:rsidR="00D42204" w:rsidRDefault="00D42204">
            <w:pPr>
              <w:jc w:val="right"/>
              <w:rPr>
                <w:rFonts w:ascii="宋体"/>
              </w:rPr>
            </w:pPr>
          </w:p>
        </w:tc>
      </w:tr>
      <w:tr w:rsidR="00D42204" w14:paraId="35D0AA86" w14:textId="77777777">
        <w:trPr>
          <w:jc w:val="center"/>
        </w:trPr>
        <w:tc>
          <w:tcPr>
            <w:tcW w:w="0" w:type="auto"/>
            <w:gridSpan w:val="3"/>
            <w:shd w:val="clear" w:color="auto" w:fill="FFFFFF"/>
            <w:tcMar>
              <w:top w:w="40" w:type="dxa"/>
              <w:left w:w="20" w:type="dxa"/>
              <w:bottom w:w="40" w:type="dxa"/>
              <w:right w:w="20" w:type="dxa"/>
            </w:tcMar>
            <w:vAlign w:val="center"/>
          </w:tcPr>
          <w:p w14:paraId="35D0AA7C" w14:textId="77777777" w:rsidR="00D42204" w:rsidRDefault="004E439D">
            <w:pPr>
              <w:textAlignment w:val="center"/>
            </w:pPr>
            <w:r>
              <w:rPr>
                <w:rFonts w:ascii="Times New Roman" w:eastAsia="宋体" w:hAnsi="Times New Roman"/>
                <w:color w:val="000000"/>
                <w:sz w:val="16"/>
                <w:szCs w:val="16"/>
              </w:rPr>
              <w:t>Net cash used in investing activities</w:t>
            </w:r>
          </w:p>
        </w:tc>
        <w:tc>
          <w:tcPr>
            <w:tcW w:w="0" w:type="auto"/>
            <w:gridSpan w:val="3"/>
            <w:shd w:val="clear" w:color="auto" w:fill="FFFFFF"/>
            <w:tcMar>
              <w:top w:w="0" w:type="dxa"/>
              <w:left w:w="20" w:type="dxa"/>
              <w:bottom w:w="0" w:type="dxa"/>
              <w:right w:w="20" w:type="dxa"/>
            </w:tcMar>
            <w:vAlign w:val="bottom"/>
          </w:tcPr>
          <w:p w14:paraId="35D0AA7D"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A7E" w14:textId="77777777" w:rsidR="00D42204" w:rsidRDefault="004E439D">
            <w:pPr>
              <w:jc w:val="right"/>
              <w:textAlignment w:val="center"/>
            </w:pPr>
            <w:r>
              <w:rPr>
                <w:rFonts w:ascii="Times New Roman" w:eastAsia="宋体" w:hAnsi="Times New Roman"/>
                <w:color w:val="000000"/>
                <w:sz w:val="16"/>
                <w:szCs w:val="16"/>
              </w:rPr>
              <w:t>(6,015)</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A7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A80"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A81" w14:textId="77777777" w:rsidR="00D42204" w:rsidRDefault="004E439D">
            <w:pPr>
              <w:jc w:val="right"/>
              <w:textAlignment w:val="center"/>
            </w:pPr>
            <w:r>
              <w:rPr>
                <w:rFonts w:ascii="Times New Roman" w:eastAsia="宋体" w:hAnsi="Times New Roman"/>
                <w:color w:val="000000"/>
                <w:sz w:val="16"/>
                <w:szCs w:val="16"/>
              </w:rPr>
              <w:t>(10,071)</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A8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A83"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A84" w14:textId="77777777" w:rsidR="00D42204" w:rsidRDefault="004E439D">
            <w:pPr>
              <w:jc w:val="right"/>
              <w:textAlignment w:val="center"/>
            </w:pPr>
            <w:r>
              <w:rPr>
                <w:rFonts w:ascii="Times New Roman" w:eastAsia="宋体" w:hAnsi="Times New Roman"/>
                <w:color w:val="000000"/>
                <w:sz w:val="16"/>
                <w:szCs w:val="16"/>
              </w:rPr>
              <w:t>(9,128)</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A85" w14:textId="77777777" w:rsidR="00D42204" w:rsidRDefault="00D42204">
            <w:pPr>
              <w:jc w:val="right"/>
              <w:rPr>
                <w:rFonts w:ascii="宋体"/>
              </w:rPr>
            </w:pPr>
          </w:p>
        </w:tc>
      </w:tr>
      <w:tr w:rsidR="00D42204" w14:paraId="35D0AA8E" w14:textId="77777777">
        <w:trPr>
          <w:trHeight w:val="220"/>
          <w:jc w:val="center"/>
        </w:trPr>
        <w:tc>
          <w:tcPr>
            <w:tcW w:w="0" w:type="auto"/>
            <w:gridSpan w:val="3"/>
            <w:shd w:val="clear" w:color="auto" w:fill="CCEEFF"/>
            <w:tcMar>
              <w:top w:w="0" w:type="dxa"/>
              <w:left w:w="20" w:type="dxa"/>
              <w:bottom w:w="0" w:type="dxa"/>
              <w:right w:w="20" w:type="dxa"/>
            </w:tcMar>
            <w:vAlign w:val="bottom"/>
          </w:tcPr>
          <w:p w14:paraId="35D0AA87"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A8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A89"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A8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A8B"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A8C"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A8D" w14:textId="77777777" w:rsidR="00D42204" w:rsidRDefault="00D42204">
            <w:pPr>
              <w:rPr>
                <w:rFonts w:ascii="宋体"/>
              </w:rPr>
            </w:pPr>
          </w:p>
        </w:tc>
      </w:tr>
      <w:tr w:rsidR="00D42204" w14:paraId="35D0AA96" w14:textId="77777777">
        <w:trPr>
          <w:jc w:val="center"/>
        </w:trPr>
        <w:tc>
          <w:tcPr>
            <w:tcW w:w="0" w:type="auto"/>
            <w:gridSpan w:val="3"/>
            <w:shd w:val="clear" w:color="auto" w:fill="FFFFFF"/>
            <w:tcMar>
              <w:top w:w="40" w:type="dxa"/>
              <w:left w:w="20" w:type="dxa"/>
              <w:bottom w:w="40" w:type="dxa"/>
              <w:right w:w="20" w:type="dxa"/>
            </w:tcMar>
            <w:vAlign w:val="center"/>
          </w:tcPr>
          <w:p w14:paraId="35D0AA8F" w14:textId="77777777" w:rsidR="00D42204" w:rsidRDefault="004E439D">
            <w:pPr>
              <w:textAlignment w:val="center"/>
            </w:pPr>
            <w:r>
              <w:rPr>
                <w:rFonts w:ascii="Times New Roman" w:eastAsia="宋体" w:hAnsi="Times New Roman"/>
                <w:b/>
                <w:bCs/>
                <w:color w:val="000000"/>
                <w:sz w:val="16"/>
                <w:szCs w:val="16"/>
              </w:rPr>
              <w:t>Cash flows from financing activities:</w:t>
            </w:r>
          </w:p>
        </w:tc>
        <w:tc>
          <w:tcPr>
            <w:tcW w:w="0" w:type="auto"/>
            <w:gridSpan w:val="3"/>
            <w:shd w:val="clear" w:color="auto" w:fill="FFFFFF"/>
            <w:tcMar>
              <w:top w:w="0" w:type="dxa"/>
              <w:left w:w="20" w:type="dxa"/>
              <w:bottom w:w="0" w:type="dxa"/>
              <w:right w:w="20" w:type="dxa"/>
            </w:tcMar>
            <w:vAlign w:val="bottom"/>
          </w:tcPr>
          <w:p w14:paraId="35D0AA90"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A91"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A92"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A93"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A94"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A95" w14:textId="77777777" w:rsidR="00D42204" w:rsidRDefault="00D42204">
            <w:pPr>
              <w:rPr>
                <w:rFonts w:ascii="宋体"/>
              </w:rPr>
            </w:pPr>
          </w:p>
        </w:tc>
      </w:tr>
      <w:tr w:rsidR="00D42204" w14:paraId="35D0AAA1" w14:textId="77777777">
        <w:trPr>
          <w:jc w:val="center"/>
        </w:trPr>
        <w:tc>
          <w:tcPr>
            <w:tcW w:w="0" w:type="auto"/>
            <w:gridSpan w:val="3"/>
            <w:shd w:val="clear" w:color="auto" w:fill="CCEEFF"/>
            <w:tcMar>
              <w:top w:w="40" w:type="dxa"/>
              <w:left w:w="380" w:type="dxa"/>
              <w:bottom w:w="40" w:type="dxa"/>
              <w:right w:w="20" w:type="dxa"/>
            </w:tcMar>
            <w:vAlign w:val="center"/>
          </w:tcPr>
          <w:p w14:paraId="35D0AA97" w14:textId="77777777" w:rsidR="00D42204" w:rsidRDefault="004E439D">
            <w:pPr>
              <w:textAlignment w:val="center"/>
            </w:pPr>
            <w:r>
              <w:rPr>
                <w:rFonts w:ascii="Times New Roman" w:eastAsia="宋体" w:hAnsi="Times New Roman"/>
                <w:color w:val="000000"/>
                <w:sz w:val="16"/>
                <w:szCs w:val="16"/>
              </w:rPr>
              <w:t>Net change in short-term borrowings</w:t>
            </w:r>
          </w:p>
        </w:tc>
        <w:tc>
          <w:tcPr>
            <w:tcW w:w="0" w:type="auto"/>
            <w:gridSpan w:val="3"/>
            <w:shd w:val="clear" w:color="auto" w:fill="CCEEFF"/>
            <w:tcMar>
              <w:top w:w="0" w:type="dxa"/>
              <w:left w:w="20" w:type="dxa"/>
              <w:bottom w:w="0" w:type="dxa"/>
              <w:right w:w="20" w:type="dxa"/>
            </w:tcMar>
            <w:vAlign w:val="bottom"/>
          </w:tcPr>
          <w:p w14:paraId="35D0AA9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99" w14:textId="77777777" w:rsidR="00D42204" w:rsidRDefault="004E439D">
            <w:pPr>
              <w:jc w:val="right"/>
              <w:textAlignment w:val="center"/>
            </w:pPr>
            <w:r>
              <w:rPr>
                <w:rFonts w:ascii="Times New Roman" w:eastAsia="宋体" w:hAnsi="Times New Roman"/>
                <w:color w:val="000000"/>
                <w:sz w:val="16"/>
                <w:szCs w:val="16"/>
              </w:rPr>
              <w:t>193 </w:t>
            </w:r>
          </w:p>
        </w:tc>
        <w:tc>
          <w:tcPr>
            <w:tcW w:w="0" w:type="auto"/>
            <w:shd w:val="clear" w:color="auto" w:fill="CCEEFF"/>
            <w:tcMar>
              <w:top w:w="40" w:type="dxa"/>
              <w:left w:w="0" w:type="dxa"/>
              <w:bottom w:w="40" w:type="dxa"/>
              <w:right w:w="20" w:type="dxa"/>
            </w:tcMar>
            <w:vAlign w:val="center"/>
          </w:tcPr>
          <w:p w14:paraId="35D0AA9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9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9C" w14:textId="77777777" w:rsidR="00D42204" w:rsidRDefault="004E439D">
            <w:pPr>
              <w:jc w:val="right"/>
              <w:textAlignment w:val="center"/>
            </w:pPr>
            <w:r>
              <w:rPr>
                <w:rFonts w:ascii="Times New Roman" w:eastAsia="宋体" w:hAnsi="Times New Roman"/>
                <w:color w:val="000000"/>
                <w:sz w:val="16"/>
                <w:szCs w:val="16"/>
              </w:rPr>
              <w:t>(324)</w:t>
            </w:r>
          </w:p>
        </w:tc>
        <w:tc>
          <w:tcPr>
            <w:tcW w:w="0" w:type="auto"/>
            <w:shd w:val="clear" w:color="auto" w:fill="CCEEFF"/>
            <w:tcMar>
              <w:top w:w="40" w:type="dxa"/>
              <w:left w:w="0" w:type="dxa"/>
              <w:bottom w:w="40" w:type="dxa"/>
              <w:right w:w="20" w:type="dxa"/>
            </w:tcMar>
            <w:vAlign w:val="center"/>
          </w:tcPr>
          <w:p w14:paraId="35D0AA9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9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9F" w14:textId="77777777" w:rsidR="00D42204" w:rsidRDefault="004E439D">
            <w:pPr>
              <w:jc w:val="right"/>
              <w:textAlignment w:val="center"/>
            </w:pPr>
            <w:r>
              <w:rPr>
                <w:rFonts w:ascii="Times New Roman" w:eastAsia="宋体" w:hAnsi="Times New Roman"/>
                <w:color w:val="000000"/>
                <w:sz w:val="16"/>
                <w:szCs w:val="16"/>
              </w:rPr>
              <w:t>(4,656)</w:t>
            </w:r>
          </w:p>
        </w:tc>
        <w:tc>
          <w:tcPr>
            <w:tcW w:w="0" w:type="auto"/>
            <w:shd w:val="clear" w:color="auto" w:fill="CCEEFF"/>
            <w:tcMar>
              <w:top w:w="40" w:type="dxa"/>
              <w:left w:w="0" w:type="dxa"/>
              <w:bottom w:w="40" w:type="dxa"/>
              <w:right w:w="20" w:type="dxa"/>
            </w:tcMar>
            <w:vAlign w:val="center"/>
          </w:tcPr>
          <w:p w14:paraId="35D0AAA0" w14:textId="77777777" w:rsidR="00D42204" w:rsidRDefault="00D42204">
            <w:pPr>
              <w:jc w:val="right"/>
              <w:rPr>
                <w:rFonts w:ascii="宋体"/>
              </w:rPr>
            </w:pPr>
          </w:p>
        </w:tc>
      </w:tr>
      <w:tr w:rsidR="00D42204" w14:paraId="35D0AAAC" w14:textId="77777777">
        <w:trPr>
          <w:jc w:val="center"/>
        </w:trPr>
        <w:tc>
          <w:tcPr>
            <w:tcW w:w="0" w:type="auto"/>
            <w:gridSpan w:val="3"/>
            <w:shd w:val="clear" w:color="auto" w:fill="FFFFFF"/>
            <w:tcMar>
              <w:top w:w="40" w:type="dxa"/>
              <w:left w:w="380" w:type="dxa"/>
              <w:bottom w:w="40" w:type="dxa"/>
              <w:right w:w="20" w:type="dxa"/>
            </w:tcMar>
            <w:vAlign w:val="center"/>
          </w:tcPr>
          <w:p w14:paraId="35D0AAA2" w14:textId="77777777" w:rsidR="00D42204" w:rsidRDefault="004E439D">
            <w:pPr>
              <w:textAlignment w:val="center"/>
            </w:pPr>
            <w:r>
              <w:rPr>
                <w:rFonts w:ascii="Times New Roman" w:eastAsia="宋体" w:hAnsi="Times New Roman"/>
                <w:color w:val="000000"/>
                <w:sz w:val="16"/>
                <w:szCs w:val="16"/>
              </w:rPr>
              <w:t>Proceeds from issuance of long-term debt</w:t>
            </w:r>
          </w:p>
        </w:tc>
        <w:tc>
          <w:tcPr>
            <w:tcW w:w="0" w:type="auto"/>
            <w:gridSpan w:val="3"/>
            <w:shd w:val="clear" w:color="auto" w:fill="FFFFFF"/>
            <w:tcMar>
              <w:top w:w="0" w:type="dxa"/>
              <w:left w:w="20" w:type="dxa"/>
              <w:bottom w:w="0" w:type="dxa"/>
              <w:right w:w="20" w:type="dxa"/>
            </w:tcMar>
            <w:vAlign w:val="bottom"/>
          </w:tcPr>
          <w:p w14:paraId="35D0AAA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A4" w14:textId="77777777" w:rsidR="00D42204" w:rsidRDefault="004E439D">
            <w:pPr>
              <w:jc w:val="right"/>
              <w:textAlignment w:val="center"/>
            </w:pPr>
            <w:r>
              <w:rPr>
                <w:rFonts w:ascii="Times New Roman" w:eastAsia="宋体" w:hAnsi="Times New Roman"/>
                <w:color w:val="000000"/>
                <w:sz w:val="16"/>
                <w:szCs w:val="16"/>
              </w:rPr>
              <w:t>6,945 </w:t>
            </w:r>
          </w:p>
        </w:tc>
        <w:tc>
          <w:tcPr>
            <w:tcW w:w="0" w:type="auto"/>
            <w:shd w:val="clear" w:color="auto" w:fill="FFFFFF"/>
            <w:tcMar>
              <w:top w:w="40" w:type="dxa"/>
              <w:left w:w="0" w:type="dxa"/>
              <w:bottom w:w="40" w:type="dxa"/>
              <w:right w:w="20" w:type="dxa"/>
            </w:tcMar>
            <w:vAlign w:val="center"/>
          </w:tcPr>
          <w:p w14:paraId="35D0AAA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AA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A7"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AA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AA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AA" w14:textId="77777777" w:rsidR="00D42204" w:rsidRDefault="004E439D">
            <w:pPr>
              <w:jc w:val="right"/>
              <w:textAlignment w:val="center"/>
            </w:pPr>
            <w:r>
              <w:rPr>
                <w:rFonts w:ascii="Times New Roman" w:eastAsia="宋体" w:hAnsi="Times New Roman"/>
                <w:color w:val="000000"/>
                <w:sz w:val="16"/>
                <w:szCs w:val="16"/>
              </w:rPr>
              <w:t>5,492 </w:t>
            </w:r>
          </w:p>
        </w:tc>
        <w:tc>
          <w:tcPr>
            <w:tcW w:w="0" w:type="auto"/>
            <w:shd w:val="clear" w:color="auto" w:fill="FFFFFF"/>
            <w:tcMar>
              <w:top w:w="40" w:type="dxa"/>
              <w:left w:w="0" w:type="dxa"/>
              <w:bottom w:w="40" w:type="dxa"/>
              <w:right w:w="20" w:type="dxa"/>
            </w:tcMar>
            <w:vAlign w:val="center"/>
          </w:tcPr>
          <w:p w14:paraId="35D0AAAB" w14:textId="77777777" w:rsidR="00D42204" w:rsidRDefault="00D42204">
            <w:pPr>
              <w:jc w:val="right"/>
              <w:rPr>
                <w:rFonts w:ascii="宋体"/>
              </w:rPr>
            </w:pPr>
          </w:p>
        </w:tc>
      </w:tr>
      <w:tr w:rsidR="00D42204" w14:paraId="35D0AAB7" w14:textId="77777777">
        <w:trPr>
          <w:jc w:val="center"/>
        </w:trPr>
        <w:tc>
          <w:tcPr>
            <w:tcW w:w="0" w:type="auto"/>
            <w:gridSpan w:val="3"/>
            <w:shd w:val="clear" w:color="auto" w:fill="CCEEFF"/>
            <w:tcMar>
              <w:top w:w="40" w:type="dxa"/>
              <w:left w:w="380" w:type="dxa"/>
              <w:bottom w:w="40" w:type="dxa"/>
              <w:right w:w="20" w:type="dxa"/>
            </w:tcMar>
            <w:vAlign w:val="center"/>
          </w:tcPr>
          <w:p w14:paraId="35D0AAAD" w14:textId="77777777" w:rsidR="00D42204" w:rsidRDefault="004E439D">
            <w:pPr>
              <w:textAlignment w:val="center"/>
            </w:pPr>
            <w:r>
              <w:rPr>
                <w:rFonts w:ascii="Times New Roman" w:eastAsia="宋体" w:hAnsi="Times New Roman"/>
                <w:color w:val="000000"/>
                <w:sz w:val="16"/>
                <w:szCs w:val="16"/>
              </w:rPr>
              <w:t>Repayments of long-term debt</w:t>
            </w:r>
          </w:p>
        </w:tc>
        <w:tc>
          <w:tcPr>
            <w:tcW w:w="0" w:type="auto"/>
            <w:gridSpan w:val="3"/>
            <w:shd w:val="clear" w:color="auto" w:fill="CCEEFF"/>
            <w:tcMar>
              <w:top w:w="0" w:type="dxa"/>
              <w:left w:w="20" w:type="dxa"/>
              <w:bottom w:w="0" w:type="dxa"/>
              <w:right w:w="20" w:type="dxa"/>
            </w:tcMar>
            <w:vAlign w:val="bottom"/>
          </w:tcPr>
          <w:p w14:paraId="35D0AAA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AF" w14:textId="77777777" w:rsidR="00D42204" w:rsidRDefault="004E439D">
            <w:pPr>
              <w:jc w:val="right"/>
              <w:textAlignment w:val="center"/>
            </w:pPr>
            <w:r>
              <w:rPr>
                <w:rFonts w:ascii="Times New Roman" w:eastAsia="宋体" w:hAnsi="Times New Roman"/>
                <w:color w:val="000000"/>
                <w:sz w:val="16"/>
                <w:szCs w:val="16"/>
              </w:rPr>
              <w:t>(13,010)</w:t>
            </w:r>
          </w:p>
        </w:tc>
        <w:tc>
          <w:tcPr>
            <w:tcW w:w="0" w:type="auto"/>
            <w:shd w:val="clear" w:color="auto" w:fill="CCEEFF"/>
            <w:tcMar>
              <w:top w:w="40" w:type="dxa"/>
              <w:left w:w="0" w:type="dxa"/>
              <w:bottom w:w="40" w:type="dxa"/>
              <w:right w:w="20" w:type="dxa"/>
            </w:tcMar>
            <w:vAlign w:val="center"/>
          </w:tcPr>
          <w:p w14:paraId="35D0AAB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B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B2" w14:textId="77777777" w:rsidR="00D42204" w:rsidRDefault="004E439D">
            <w:pPr>
              <w:jc w:val="right"/>
              <w:textAlignment w:val="center"/>
            </w:pPr>
            <w:r>
              <w:rPr>
                <w:rFonts w:ascii="Times New Roman" w:eastAsia="宋体" w:hAnsi="Times New Roman"/>
                <w:color w:val="000000"/>
                <w:sz w:val="16"/>
                <w:szCs w:val="16"/>
              </w:rPr>
              <w:t>(5,382)</w:t>
            </w:r>
          </w:p>
        </w:tc>
        <w:tc>
          <w:tcPr>
            <w:tcW w:w="0" w:type="auto"/>
            <w:shd w:val="clear" w:color="auto" w:fill="CCEEFF"/>
            <w:tcMar>
              <w:top w:w="40" w:type="dxa"/>
              <w:left w:w="0" w:type="dxa"/>
              <w:bottom w:w="40" w:type="dxa"/>
              <w:right w:w="20" w:type="dxa"/>
            </w:tcMar>
            <w:vAlign w:val="center"/>
          </w:tcPr>
          <w:p w14:paraId="35D0AAB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B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B5" w14:textId="77777777" w:rsidR="00D42204" w:rsidRDefault="004E439D">
            <w:pPr>
              <w:jc w:val="right"/>
              <w:textAlignment w:val="center"/>
            </w:pPr>
            <w:r>
              <w:rPr>
                <w:rFonts w:ascii="Times New Roman" w:eastAsia="宋体" w:hAnsi="Times New Roman"/>
                <w:color w:val="000000"/>
                <w:sz w:val="16"/>
                <w:szCs w:val="16"/>
              </w:rPr>
              <w:t>(1,907)</w:t>
            </w:r>
          </w:p>
        </w:tc>
        <w:tc>
          <w:tcPr>
            <w:tcW w:w="0" w:type="auto"/>
            <w:shd w:val="clear" w:color="auto" w:fill="CCEEFF"/>
            <w:tcMar>
              <w:top w:w="40" w:type="dxa"/>
              <w:left w:w="0" w:type="dxa"/>
              <w:bottom w:w="40" w:type="dxa"/>
              <w:right w:w="20" w:type="dxa"/>
            </w:tcMar>
            <w:vAlign w:val="center"/>
          </w:tcPr>
          <w:p w14:paraId="35D0AAB6" w14:textId="77777777" w:rsidR="00D42204" w:rsidRDefault="00D42204">
            <w:pPr>
              <w:jc w:val="right"/>
              <w:rPr>
                <w:rFonts w:ascii="宋体"/>
              </w:rPr>
            </w:pPr>
          </w:p>
        </w:tc>
      </w:tr>
      <w:tr w:rsidR="00D42204" w14:paraId="35D0AAC2" w14:textId="77777777">
        <w:trPr>
          <w:jc w:val="center"/>
        </w:trPr>
        <w:tc>
          <w:tcPr>
            <w:tcW w:w="0" w:type="auto"/>
            <w:gridSpan w:val="3"/>
            <w:shd w:val="clear" w:color="auto" w:fill="FFFFFF"/>
            <w:tcMar>
              <w:top w:w="40" w:type="dxa"/>
              <w:left w:w="380" w:type="dxa"/>
              <w:bottom w:w="40" w:type="dxa"/>
              <w:right w:w="20" w:type="dxa"/>
            </w:tcMar>
            <w:vAlign w:val="center"/>
          </w:tcPr>
          <w:p w14:paraId="35D0AAB8" w14:textId="77777777" w:rsidR="00D42204" w:rsidRDefault="004E439D">
            <w:pPr>
              <w:textAlignment w:val="center"/>
            </w:pPr>
            <w:r>
              <w:rPr>
                <w:rFonts w:ascii="Times New Roman" w:eastAsia="宋体" w:hAnsi="Times New Roman"/>
                <w:color w:val="000000"/>
                <w:sz w:val="16"/>
                <w:szCs w:val="16"/>
              </w:rPr>
              <w:t>Premiums paid to extinguish debt</w:t>
            </w:r>
          </w:p>
        </w:tc>
        <w:tc>
          <w:tcPr>
            <w:tcW w:w="0" w:type="auto"/>
            <w:gridSpan w:val="3"/>
            <w:shd w:val="clear" w:color="auto" w:fill="FFFFFF"/>
            <w:tcMar>
              <w:top w:w="0" w:type="dxa"/>
              <w:left w:w="20" w:type="dxa"/>
              <w:bottom w:w="0" w:type="dxa"/>
              <w:right w:w="20" w:type="dxa"/>
            </w:tcMar>
            <w:vAlign w:val="bottom"/>
          </w:tcPr>
          <w:p w14:paraId="35D0AAB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BA" w14:textId="77777777" w:rsidR="00D42204" w:rsidRDefault="004E439D">
            <w:pPr>
              <w:jc w:val="right"/>
              <w:textAlignment w:val="center"/>
            </w:pPr>
            <w:r>
              <w:rPr>
                <w:rFonts w:ascii="Times New Roman" w:eastAsia="宋体" w:hAnsi="Times New Roman"/>
                <w:color w:val="000000"/>
                <w:sz w:val="16"/>
                <w:szCs w:val="16"/>
              </w:rPr>
              <w:t>(2,317)</w:t>
            </w:r>
          </w:p>
        </w:tc>
        <w:tc>
          <w:tcPr>
            <w:tcW w:w="0" w:type="auto"/>
            <w:shd w:val="clear" w:color="auto" w:fill="FFFFFF"/>
            <w:tcMar>
              <w:top w:w="40" w:type="dxa"/>
              <w:left w:w="0" w:type="dxa"/>
              <w:bottom w:w="40" w:type="dxa"/>
              <w:right w:w="20" w:type="dxa"/>
            </w:tcMar>
            <w:vAlign w:val="center"/>
          </w:tcPr>
          <w:p w14:paraId="35D0AAB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AB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BD"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AB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AB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C0"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AC1" w14:textId="77777777" w:rsidR="00D42204" w:rsidRDefault="00D42204">
            <w:pPr>
              <w:jc w:val="right"/>
              <w:rPr>
                <w:rFonts w:ascii="宋体"/>
              </w:rPr>
            </w:pPr>
          </w:p>
        </w:tc>
      </w:tr>
      <w:tr w:rsidR="00D42204" w14:paraId="35D0AACD" w14:textId="77777777">
        <w:trPr>
          <w:jc w:val="center"/>
        </w:trPr>
        <w:tc>
          <w:tcPr>
            <w:tcW w:w="0" w:type="auto"/>
            <w:gridSpan w:val="3"/>
            <w:shd w:val="clear" w:color="auto" w:fill="CCEEFF"/>
            <w:tcMar>
              <w:top w:w="40" w:type="dxa"/>
              <w:left w:w="380" w:type="dxa"/>
              <w:bottom w:w="40" w:type="dxa"/>
              <w:right w:w="20" w:type="dxa"/>
            </w:tcMar>
            <w:vAlign w:val="center"/>
          </w:tcPr>
          <w:p w14:paraId="35D0AAC3" w14:textId="77777777" w:rsidR="00D42204" w:rsidRDefault="004E439D">
            <w:pPr>
              <w:textAlignment w:val="center"/>
            </w:pPr>
            <w:r>
              <w:rPr>
                <w:rFonts w:ascii="Times New Roman" w:eastAsia="宋体" w:hAnsi="Times New Roman"/>
                <w:color w:val="000000"/>
                <w:sz w:val="16"/>
                <w:szCs w:val="16"/>
              </w:rPr>
              <w:t>Dividends paid</w:t>
            </w:r>
          </w:p>
        </w:tc>
        <w:tc>
          <w:tcPr>
            <w:tcW w:w="0" w:type="auto"/>
            <w:gridSpan w:val="3"/>
            <w:shd w:val="clear" w:color="auto" w:fill="CCEEFF"/>
            <w:tcMar>
              <w:top w:w="0" w:type="dxa"/>
              <w:left w:w="20" w:type="dxa"/>
              <w:bottom w:w="0" w:type="dxa"/>
              <w:right w:w="20" w:type="dxa"/>
            </w:tcMar>
            <w:vAlign w:val="bottom"/>
          </w:tcPr>
          <w:p w14:paraId="35D0AAC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C5" w14:textId="77777777" w:rsidR="00D42204" w:rsidRDefault="004E439D">
            <w:pPr>
              <w:jc w:val="right"/>
              <w:textAlignment w:val="center"/>
            </w:pPr>
            <w:r>
              <w:rPr>
                <w:rFonts w:ascii="Times New Roman" w:eastAsia="宋体" w:hAnsi="Times New Roman"/>
                <w:color w:val="000000"/>
                <w:sz w:val="16"/>
                <w:szCs w:val="16"/>
              </w:rPr>
              <w:t>(6,152)</w:t>
            </w:r>
          </w:p>
        </w:tc>
        <w:tc>
          <w:tcPr>
            <w:tcW w:w="0" w:type="auto"/>
            <w:shd w:val="clear" w:color="auto" w:fill="CCEEFF"/>
            <w:tcMar>
              <w:top w:w="40" w:type="dxa"/>
              <w:left w:w="0" w:type="dxa"/>
              <w:bottom w:w="40" w:type="dxa"/>
              <w:right w:w="20" w:type="dxa"/>
            </w:tcMar>
            <w:vAlign w:val="center"/>
          </w:tcPr>
          <w:p w14:paraId="35D0AAC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C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C8" w14:textId="77777777" w:rsidR="00D42204" w:rsidRDefault="004E439D">
            <w:pPr>
              <w:jc w:val="right"/>
              <w:textAlignment w:val="center"/>
            </w:pPr>
            <w:r>
              <w:rPr>
                <w:rFonts w:ascii="Times New Roman" w:eastAsia="宋体" w:hAnsi="Times New Roman"/>
                <w:color w:val="000000"/>
                <w:sz w:val="16"/>
                <w:szCs w:val="16"/>
              </w:rPr>
              <w:t>(6,116)</w:t>
            </w:r>
          </w:p>
        </w:tc>
        <w:tc>
          <w:tcPr>
            <w:tcW w:w="0" w:type="auto"/>
            <w:shd w:val="clear" w:color="auto" w:fill="CCEEFF"/>
            <w:tcMar>
              <w:top w:w="40" w:type="dxa"/>
              <w:left w:w="0" w:type="dxa"/>
              <w:bottom w:w="40" w:type="dxa"/>
              <w:right w:w="20" w:type="dxa"/>
            </w:tcMar>
            <w:vAlign w:val="center"/>
          </w:tcPr>
          <w:p w14:paraId="35D0AAC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C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CB" w14:textId="77777777" w:rsidR="00D42204" w:rsidRDefault="004E439D">
            <w:pPr>
              <w:jc w:val="right"/>
              <w:textAlignment w:val="center"/>
            </w:pPr>
            <w:r>
              <w:rPr>
                <w:rFonts w:ascii="Times New Roman" w:eastAsia="宋体" w:hAnsi="Times New Roman"/>
                <w:color w:val="000000"/>
                <w:sz w:val="16"/>
                <w:szCs w:val="16"/>
              </w:rPr>
              <w:t>(6,048)</w:t>
            </w:r>
          </w:p>
        </w:tc>
        <w:tc>
          <w:tcPr>
            <w:tcW w:w="0" w:type="auto"/>
            <w:shd w:val="clear" w:color="auto" w:fill="CCEEFF"/>
            <w:tcMar>
              <w:top w:w="40" w:type="dxa"/>
              <w:left w:w="0" w:type="dxa"/>
              <w:bottom w:w="40" w:type="dxa"/>
              <w:right w:w="20" w:type="dxa"/>
            </w:tcMar>
            <w:vAlign w:val="center"/>
          </w:tcPr>
          <w:p w14:paraId="35D0AACC" w14:textId="77777777" w:rsidR="00D42204" w:rsidRDefault="00D42204">
            <w:pPr>
              <w:jc w:val="right"/>
              <w:rPr>
                <w:rFonts w:ascii="宋体"/>
              </w:rPr>
            </w:pPr>
          </w:p>
        </w:tc>
      </w:tr>
      <w:tr w:rsidR="00D42204" w14:paraId="35D0AAD8" w14:textId="77777777">
        <w:trPr>
          <w:jc w:val="center"/>
        </w:trPr>
        <w:tc>
          <w:tcPr>
            <w:tcW w:w="0" w:type="auto"/>
            <w:gridSpan w:val="3"/>
            <w:shd w:val="clear" w:color="auto" w:fill="FFFFFF"/>
            <w:tcMar>
              <w:top w:w="40" w:type="dxa"/>
              <w:left w:w="380" w:type="dxa"/>
              <w:bottom w:w="40" w:type="dxa"/>
              <w:right w:w="20" w:type="dxa"/>
            </w:tcMar>
            <w:vAlign w:val="center"/>
          </w:tcPr>
          <w:p w14:paraId="35D0AACE" w14:textId="77777777" w:rsidR="00D42204" w:rsidRDefault="004E439D">
            <w:pPr>
              <w:textAlignment w:val="center"/>
            </w:pPr>
            <w:r>
              <w:rPr>
                <w:rFonts w:ascii="Times New Roman" w:eastAsia="宋体" w:hAnsi="Times New Roman"/>
                <w:color w:val="000000"/>
                <w:sz w:val="16"/>
                <w:szCs w:val="16"/>
              </w:rPr>
              <w:t>Purchase of Company stock</w:t>
            </w:r>
          </w:p>
        </w:tc>
        <w:tc>
          <w:tcPr>
            <w:tcW w:w="0" w:type="auto"/>
            <w:gridSpan w:val="3"/>
            <w:shd w:val="clear" w:color="auto" w:fill="FFFFFF"/>
            <w:tcMar>
              <w:top w:w="0" w:type="dxa"/>
              <w:left w:w="20" w:type="dxa"/>
              <w:bottom w:w="0" w:type="dxa"/>
              <w:right w:w="20" w:type="dxa"/>
            </w:tcMar>
            <w:vAlign w:val="bottom"/>
          </w:tcPr>
          <w:p w14:paraId="35D0AAC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D0" w14:textId="77777777" w:rsidR="00D42204" w:rsidRDefault="004E439D">
            <w:pPr>
              <w:jc w:val="right"/>
              <w:textAlignment w:val="center"/>
            </w:pPr>
            <w:r>
              <w:rPr>
                <w:rFonts w:ascii="Times New Roman" w:eastAsia="宋体" w:hAnsi="Times New Roman"/>
                <w:color w:val="000000"/>
                <w:sz w:val="16"/>
                <w:szCs w:val="16"/>
              </w:rPr>
              <w:t>(9,787)</w:t>
            </w:r>
          </w:p>
        </w:tc>
        <w:tc>
          <w:tcPr>
            <w:tcW w:w="0" w:type="auto"/>
            <w:shd w:val="clear" w:color="auto" w:fill="FFFFFF"/>
            <w:tcMar>
              <w:top w:w="40" w:type="dxa"/>
              <w:left w:w="0" w:type="dxa"/>
              <w:bottom w:w="40" w:type="dxa"/>
              <w:right w:w="20" w:type="dxa"/>
            </w:tcMar>
            <w:vAlign w:val="center"/>
          </w:tcPr>
          <w:p w14:paraId="35D0AAD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AD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D3" w14:textId="77777777" w:rsidR="00D42204" w:rsidRDefault="004E439D">
            <w:pPr>
              <w:jc w:val="right"/>
              <w:textAlignment w:val="center"/>
            </w:pPr>
            <w:r>
              <w:rPr>
                <w:rFonts w:ascii="Times New Roman" w:eastAsia="宋体" w:hAnsi="Times New Roman"/>
                <w:color w:val="000000"/>
                <w:sz w:val="16"/>
                <w:szCs w:val="16"/>
              </w:rPr>
              <w:t>(2,625)</w:t>
            </w:r>
          </w:p>
        </w:tc>
        <w:tc>
          <w:tcPr>
            <w:tcW w:w="0" w:type="auto"/>
            <w:shd w:val="clear" w:color="auto" w:fill="FFFFFF"/>
            <w:tcMar>
              <w:top w:w="40" w:type="dxa"/>
              <w:left w:w="0" w:type="dxa"/>
              <w:bottom w:w="40" w:type="dxa"/>
              <w:right w:w="20" w:type="dxa"/>
            </w:tcMar>
            <w:vAlign w:val="center"/>
          </w:tcPr>
          <w:p w14:paraId="35D0AAD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AD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D6" w14:textId="77777777" w:rsidR="00D42204" w:rsidRDefault="004E439D">
            <w:pPr>
              <w:jc w:val="right"/>
              <w:textAlignment w:val="center"/>
            </w:pPr>
            <w:r>
              <w:rPr>
                <w:rFonts w:ascii="Times New Roman" w:eastAsia="宋体" w:hAnsi="Times New Roman"/>
                <w:color w:val="000000"/>
                <w:sz w:val="16"/>
                <w:szCs w:val="16"/>
              </w:rPr>
              <w:t>(5,717)</w:t>
            </w:r>
          </w:p>
        </w:tc>
        <w:tc>
          <w:tcPr>
            <w:tcW w:w="0" w:type="auto"/>
            <w:shd w:val="clear" w:color="auto" w:fill="FFFFFF"/>
            <w:tcMar>
              <w:top w:w="40" w:type="dxa"/>
              <w:left w:w="0" w:type="dxa"/>
              <w:bottom w:w="40" w:type="dxa"/>
              <w:right w:w="20" w:type="dxa"/>
            </w:tcMar>
            <w:vAlign w:val="center"/>
          </w:tcPr>
          <w:p w14:paraId="35D0AAD7" w14:textId="77777777" w:rsidR="00D42204" w:rsidRDefault="00D42204">
            <w:pPr>
              <w:jc w:val="right"/>
              <w:rPr>
                <w:rFonts w:ascii="宋体"/>
              </w:rPr>
            </w:pPr>
          </w:p>
        </w:tc>
      </w:tr>
      <w:tr w:rsidR="00D42204" w14:paraId="35D0AAE3" w14:textId="77777777">
        <w:trPr>
          <w:jc w:val="center"/>
        </w:trPr>
        <w:tc>
          <w:tcPr>
            <w:tcW w:w="0" w:type="auto"/>
            <w:gridSpan w:val="3"/>
            <w:shd w:val="clear" w:color="auto" w:fill="CCEEFF"/>
            <w:tcMar>
              <w:top w:w="40" w:type="dxa"/>
              <w:left w:w="380" w:type="dxa"/>
              <w:bottom w:w="40" w:type="dxa"/>
              <w:right w:w="20" w:type="dxa"/>
            </w:tcMar>
            <w:vAlign w:val="center"/>
          </w:tcPr>
          <w:p w14:paraId="35D0AAD9" w14:textId="77777777" w:rsidR="00D42204" w:rsidRDefault="004E439D">
            <w:pPr>
              <w:textAlignment w:val="center"/>
            </w:pPr>
            <w:r>
              <w:rPr>
                <w:rFonts w:ascii="Times New Roman" w:eastAsia="宋体" w:hAnsi="Times New Roman"/>
                <w:color w:val="000000"/>
                <w:sz w:val="16"/>
                <w:szCs w:val="16"/>
              </w:rPr>
              <w:t>Dividends paid to noncontrolling interest</w:t>
            </w:r>
          </w:p>
        </w:tc>
        <w:tc>
          <w:tcPr>
            <w:tcW w:w="0" w:type="auto"/>
            <w:gridSpan w:val="3"/>
            <w:shd w:val="clear" w:color="auto" w:fill="CCEEFF"/>
            <w:tcMar>
              <w:top w:w="0" w:type="dxa"/>
              <w:left w:w="20" w:type="dxa"/>
              <w:bottom w:w="0" w:type="dxa"/>
              <w:right w:w="20" w:type="dxa"/>
            </w:tcMar>
            <w:vAlign w:val="bottom"/>
          </w:tcPr>
          <w:p w14:paraId="35D0AAD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DB" w14:textId="77777777" w:rsidR="00D42204" w:rsidRDefault="004E439D">
            <w:pPr>
              <w:jc w:val="right"/>
              <w:textAlignment w:val="center"/>
            </w:pPr>
            <w:r>
              <w:rPr>
                <w:rFonts w:ascii="Times New Roman" w:eastAsia="宋体" w:hAnsi="Times New Roman"/>
                <w:color w:val="000000"/>
                <w:sz w:val="16"/>
                <w:szCs w:val="16"/>
              </w:rPr>
              <w:t>(424)</w:t>
            </w:r>
          </w:p>
        </w:tc>
        <w:tc>
          <w:tcPr>
            <w:tcW w:w="0" w:type="auto"/>
            <w:shd w:val="clear" w:color="auto" w:fill="CCEEFF"/>
            <w:tcMar>
              <w:top w:w="40" w:type="dxa"/>
              <w:left w:w="0" w:type="dxa"/>
              <w:bottom w:w="40" w:type="dxa"/>
              <w:right w:w="20" w:type="dxa"/>
            </w:tcMar>
            <w:vAlign w:val="center"/>
          </w:tcPr>
          <w:p w14:paraId="35D0AAD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D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DE" w14:textId="77777777" w:rsidR="00D42204" w:rsidRDefault="004E439D">
            <w:pPr>
              <w:jc w:val="right"/>
              <w:textAlignment w:val="center"/>
            </w:pPr>
            <w:r>
              <w:rPr>
                <w:rFonts w:ascii="Times New Roman" w:eastAsia="宋体" w:hAnsi="Times New Roman"/>
                <w:color w:val="000000"/>
                <w:sz w:val="16"/>
                <w:szCs w:val="16"/>
              </w:rPr>
              <w:t>(434)</w:t>
            </w:r>
          </w:p>
        </w:tc>
        <w:tc>
          <w:tcPr>
            <w:tcW w:w="0" w:type="auto"/>
            <w:shd w:val="clear" w:color="auto" w:fill="CCEEFF"/>
            <w:tcMar>
              <w:top w:w="40" w:type="dxa"/>
              <w:left w:w="0" w:type="dxa"/>
              <w:bottom w:w="40" w:type="dxa"/>
              <w:right w:w="20" w:type="dxa"/>
            </w:tcMar>
            <w:vAlign w:val="center"/>
          </w:tcPr>
          <w:p w14:paraId="35D0AAD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E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E1" w14:textId="77777777" w:rsidR="00D42204" w:rsidRDefault="004E439D">
            <w:pPr>
              <w:jc w:val="right"/>
              <w:textAlignment w:val="center"/>
            </w:pPr>
            <w:r>
              <w:rPr>
                <w:rFonts w:ascii="Times New Roman" w:eastAsia="宋体" w:hAnsi="Times New Roman"/>
                <w:color w:val="000000"/>
                <w:sz w:val="16"/>
                <w:szCs w:val="16"/>
              </w:rPr>
              <w:t>(555)</w:t>
            </w:r>
          </w:p>
        </w:tc>
        <w:tc>
          <w:tcPr>
            <w:tcW w:w="0" w:type="auto"/>
            <w:shd w:val="clear" w:color="auto" w:fill="CCEEFF"/>
            <w:tcMar>
              <w:top w:w="40" w:type="dxa"/>
              <w:left w:w="0" w:type="dxa"/>
              <w:bottom w:w="40" w:type="dxa"/>
              <w:right w:w="20" w:type="dxa"/>
            </w:tcMar>
            <w:vAlign w:val="center"/>
          </w:tcPr>
          <w:p w14:paraId="35D0AAE2" w14:textId="77777777" w:rsidR="00D42204" w:rsidRDefault="00D42204">
            <w:pPr>
              <w:jc w:val="right"/>
              <w:rPr>
                <w:rFonts w:ascii="宋体"/>
              </w:rPr>
            </w:pPr>
          </w:p>
        </w:tc>
      </w:tr>
      <w:tr w:rsidR="00D42204" w14:paraId="35D0AAEB" w14:textId="77777777">
        <w:trPr>
          <w:jc w:val="center"/>
          <w:hidden/>
        </w:trPr>
        <w:tc>
          <w:tcPr>
            <w:tcW w:w="0" w:type="auto"/>
            <w:gridSpan w:val="3"/>
            <w:shd w:val="clear" w:color="auto" w:fill="auto"/>
            <w:vAlign w:val="bottom"/>
          </w:tcPr>
          <w:p w14:paraId="35D0AAE4" w14:textId="77777777" w:rsidR="00D42204" w:rsidRDefault="00D42204">
            <w:pPr>
              <w:rPr>
                <w:rFonts w:ascii="宋体"/>
                <w:vanish/>
              </w:rPr>
            </w:pPr>
          </w:p>
        </w:tc>
        <w:tc>
          <w:tcPr>
            <w:tcW w:w="0" w:type="auto"/>
            <w:gridSpan w:val="3"/>
            <w:shd w:val="clear" w:color="auto" w:fill="auto"/>
            <w:vAlign w:val="bottom"/>
          </w:tcPr>
          <w:p w14:paraId="35D0AAE5" w14:textId="77777777" w:rsidR="00D42204" w:rsidRDefault="00D42204">
            <w:pPr>
              <w:rPr>
                <w:rFonts w:ascii="宋体"/>
                <w:vanish/>
              </w:rPr>
            </w:pPr>
          </w:p>
        </w:tc>
        <w:tc>
          <w:tcPr>
            <w:tcW w:w="0" w:type="auto"/>
            <w:gridSpan w:val="3"/>
            <w:shd w:val="clear" w:color="auto" w:fill="auto"/>
            <w:vAlign w:val="bottom"/>
          </w:tcPr>
          <w:p w14:paraId="35D0AAE6" w14:textId="77777777" w:rsidR="00D42204" w:rsidRDefault="00D42204">
            <w:pPr>
              <w:rPr>
                <w:rFonts w:ascii="宋体"/>
                <w:vanish/>
              </w:rPr>
            </w:pPr>
          </w:p>
        </w:tc>
        <w:tc>
          <w:tcPr>
            <w:tcW w:w="0" w:type="auto"/>
            <w:gridSpan w:val="3"/>
            <w:shd w:val="clear" w:color="auto" w:fill="auto"/>
            <w:vAlign w:val="bottom"/>
          </w:tcPr>
          <w:p w14:paraId="35D0AAE7" w14:textId="77777777" w:rsidR="00D42204" w:rsidRDefault="00D42204">
            <w:pPr>
              <w:rPr>
                <w:rFonts w:ascii="宋体"/>
                <w:vanish/>
              </w:rPr>
            </w:pPr>
          </w:p>
        </w:tc>
        <w:tc>
          <w:tcPr>
            <w:tcW w:w="0" w:type="auto"/>
            <w:gridSpan w:val="3"/>
            <w:shd w:val="clear" w:color="auto" w:fill="auto"/>
            <w:vAlign w:val="bottom"/>
          </w:tcPr>
          <w:p w14:paraId="35D0AAE8" w14:textId="77777777" w:rsidR="00D42204" w:rsidRDefault="00D42204">
            <w:pPr>
              <w:rPr>
                <w:rFonts w:ascii="宋体"/>
                <w:vanish/>
              </w:rPr>
            </w:pPr>
          </w:p>
        </w:tc>
        <w:tc>
          <w:tcPr>
            <w:tcW w:w="0" w:type="auto"/>
            <w:gridSpan w:val="3"/>
            <w:shd w:val="clear" w:color="auto" w:fill="auto"/>
            <w:vAlign w:val="bottom"/>
          </w:tcPr>
          <w:p w14:paraId="35D0AAE9" w14:textId="77777777" w:rsidR="00D42204" w:rsidRDefault="00D42204">
            <w:pPr>
              <w:rPr>
                <w:rFonts w:ascii="宋体"/>
                <w:vanish/>
              </w:rPr>
            </w:pPr>
          </w:p>
        </w:tc>
        <w:tc>
          <w:tcPr>
            <w:tcW w:w="0" w:type="auto"/>
            <w:gridSpan w:val="3"/>
            <w:shd w:val="clear" w:color="auto" w:fill="auto"/>
            <w:vAlign w:val="bottom"/>
          </w:tcPr>
          <w:p w14:paraId="35D0AAEA" w14:textId="77777777" w:rsidR="00D42204" w:rsidRDefault="00D42204">
            <w:pPr>
              <w:rPr>
                <w:rFonts w:ascii="宋体"/>
                <w:vanish/>
              </w:rPr>
            </w:pPr>
          </w:p>
        </w:tc>
      </w:tr>
      <w:tr w:rsidR="00D42204" w14:paraId="35D0AAF6" w14:textId="77777777">
        <w:trPr>
          <w:jc w:val="center"/>
        </w:trPr>
        <w:tc>
          <w:tcPr>
            <w:tcW w:w="0" w:type="auto"/>
            <w:gridSpan w:val="3"/>
            <w:shd w:val="clear" w:color="auto" w:fill="FFFFFF"/>
            <w:tcMar>
              <w:top w:w="40" w:type="dxa"/>
              <w:left w:w="380" w:type="dxa"/>
              <w:bottom w:w="40" w:type="dxa"/>
              <w:right w:w="20" w:type="dxa"/>
            </w:tcMar>
            <w:vAlign w:val="center"/>
          </w:tcPr>
          <w:p w14:paraId="35D0AAEC" w14:textId="77777777" w:rsidR="00D42204" w:rsidRDefault="004E439D">
            <w:pPr>
              <w:textAlignment w:val="center"/>
            </w:pPr>
            <w:r>
              <w:rPr>
                <w:rFonts w:ascii="Times New Roman" w:eastAsia="宋体" w:hAnsi="Times New Roman"/>
                <w:color w:val="000000"/>
                <w:sz w:val="16"/>
                <w:szCs w:val="16"/>
              </w:rPr>
              <w:t>Sale of subsidiary stock</w:t>
            </w:r>
          </w:p>
        </w:tc>
        <w:tc>
          <w:tcPr>
            <w:tcW w:w="0" w:type="auto"/>
            <w:gridSpan w:val="3"/>
            <w:shd w:val="clear" w:color="auto" w:fill="FFFFFF"/>
            <w:tcMar>
              <w:top w:w="0" w:type="dxa"/>
              <w:left w:w="20" w:type="dxa"/>
              <w:bottom w:w="0" w:type="dxa"/>
              <w:right w:w="20" w:type="dxa"/>
            </w:tcMar>
            <w:vAlign w:val="bottom"/>
          </w:tcPr>
          <w:p w14:paraId="35D0AAE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EE" w14:textId="77777777" w:rsidR="00D42204" w:rsidRDefault="004E439D">
            <w:pPr>
              <w:jc w:val="right"/>
              <w:textAlignment w:val="center"/>
            </w:pPr>
            <w:r>
              <w:rPr>
                <w:rFonts w:ascii="Times New Roman" w:eastAsia="宋体" w:hAnsi="Times New Roman"/>
                <w:color w:val="000000"/>
                <w:sz w:val="16"/>
                <w:szCs w:val="16"/>
              </w:rPr>
              <w:t>3,239 </w:t>
            </w:r>
          </w:p>
        </w:tc>
        <w:tc>
          <w:tcPr>
            <w:tcW w:w="0" w:type="auto"/>
            <w:shd w:val="clear" w:color="auto" w:fill="FFFFFF"/>
            <w:tcMar>
              <w:top w:w="40" w:type="dxa"/>
              <w:left w:w="0" w:type="dxa"/>
              <w:bottom w:w="40" w:type="dxa"/>
              <w:right w:w="20" w:type="dxa"/>
            </w:tcMar>
            <w:vAlign w:val="center"/>
          </w:tcPr>
          <w:p w14:paraId="35D0AAE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AF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F1" w14:textId="77777777" w:rsidR="00D42204" w:rsidRDefault="004E439D">
            <w:pPr>
              <w:jc w:val="right"/>
              <w:textAlignment w:val="center"/>
            </w:pPr>
            <w:r>
              <w:rPr>
                <w:rFonts w:ascii="Times New Roman" w:eastAsia="宋体" w:hAnsi="Times New Roman"/>
                <w:color w:val="000000"/>
                <w:sz w:val="16"/>
                <w:szCs w:val="16"/>
              </w:rPr>
              <w:t>140 </w:t>
            </w:r>
          </w:p>
        </w:tc>
        <w:tc>
          <w:tcPr>
            <w:tcW w:w="0" w:type="auto"/>
            <w:shd w:val="clear" w:color="auto" w:fill="FFFFFF"/>
            <w:tcMar>
              <w:top w:w="40" w:type="dxa"/>
              <w:left w:w="0" w:type="dxa"/>
              <w:bottom w:w="40" w:type="dxa"/>
              <w:right w:w="20" w:type="dxa"/>
            </w:tcMar>
            <w:vAlign w:val="center"/>
          </w:tcPr>
          <w:p w14:paraId="35D0AAF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AF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AF4" w14:textId="77777777" w:rsidR="00D42204" w:rsidRDefault="004E439D">
            <w:pPr>
              <w:jc w:val="right"/>
              <w:textAlignment w:val="center"/>
            </w:pPr>
            <w:r>
              <w:rPr>
                <w:rFonts w:ascii="Times New Roman" w:eastAsia="宋体" w:hAnsi="Times New Roman"/>
                <w:color w:val="000000"/>
                <w:sz w:val="16"/>
                <w:szCs w:val="16"/>
              </w:rPr>
              <w:t>52 </w:t>
            </w:r>
          </w:p>
        </w:tc>
        <w:tc>
          <w:tcPr>
            <w:tcW w:w="0" w:type="auto"/>
            <w:shd w:val="clear" w:color="auto" w:fill="FFFFFF"/>
            <w:tcMar>
              <w:top w:w="40" w:type="dxa"/>
              <w:left w:w="0" w:type="dxa"/>
              <w:bottom w:w="40" w:type="dxa"/>
              <w:right w:w="20" w:type="dxa"/>
            </w:tcMar>
            <w:vAlign w:val="center"/>
          </w:tcPr>
          <w:p w14:paraId="35D0AAF5" w14:textId="77777777" w:rsidR="00D42204" w:rsidRDefault="00D42204">
            <w:pPr>
              <w:jc w:val="right"/>
              <w:rPr>
                <w:rFonts w:ascii="宋体"/>
              </w:rPr>
            </w:pPr>
          </w:p>
        </w:tc>
      </w:tr>
      <w:tr w:rsidR="00D42204" w14:paraId="35D0AB01" w14:textId="77777777">
        <w:trPr>
          <w:jc w:val="center"/>
        </w:trPr>
        <w:tc>
          <w:tcPr>
            <w:tcW w:w="0" w:type="auto"/>
            <w:gridSpan w:val="3"/>
            <w:shd w:val="clear" w:color="auto" w:fill="CCEEFF"/>
            <w:tcMar>
              <w:top w:w="40" w:type="dxa"/>
              <w:left w:w="380" w:type="dxa"/>
              <w:bottom w:w="40" w:type="dxa"/>
              <w:right w:w="20" w:type="dxa"/>
            </w:tcMar>
            <w:vAlign w:val="center"/>
          </w:tcPr>
          <w:p w14:paraId="35D0AAF7" w14:textId="77777777" w:rsidR="00D42204" w:rsidRDefault="004E439D">
            <w:pPr>
              <w:textAlignment w:val="center"/>
            </w:pPr>
            <w:r>
              <w:rPr>
                <w:rFonts w:ascii="Times New Roman" w:eastAsia="宋体" w:hAnsi="Times New Roman"/>
                <w:color w:val="000000"/>
                <w:sz w:val="16"/>
                <w:szCs w:val="16"/>
              </w:rPr>
              <w:t>Other financing activities</w:t>
            </w:r>
          </w:p>
        </w:tc>
        <w:tc>
          <w:tcPr>
            <w:tcW w:w="0" w:type="auto"/>
            <w:gridSpan w:val="3"/>
            <w:shd w:val="clear" w:color="auto" w:fill="CCEEFF"/>
            <w:tcMar>
              <w:top w:w="0" w:type="dxa"/>
              <w:left w:w="20" w:type="dxa"/>
              <w:bottom w:w="0" w:type="dxa"/>
              <w:right w:w="20" w:type="dxa"/>
            </w:tcMar>
            <w:vAlign w:val="bottom"/>
          </w:tcPr>
          <w:p w14:paraId="35D0AAF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F9" w14:textId="77777777" w:rsidR="00D42204" w:rsidRDefault="004E439D">
            <w:pPr>
              <w:jc w:val="right"/>
              <w:textAlignment w:val="center"/>
            </w:pPr>
            <w:r>
              <w:rPr>
                <w:rFonts w:ascii="Times New Roman" w:eastAsia="宋体" w:hAnsi="Times New Roman"/>
                <w:color w:val="000000"/>
                <w:sz w:val="16"/>
                <w:szCs w:val="16"/>
              </w:rPr>
              <w:t>(1,515)</w:t>
            </w:r>
          </w:p>
        </w:tc>
        <w:tc>
          <w:tcPr>
            <w:tcW w:w="0" w:type="auto"/>
            <w:shd w:val="clear" w:color="auto" w:fill="CCEEFF"/>
            <w:tcMar>
              <w:top w:w="40" w:type="dxa"/>
              <w:left w:w="0" w:type="dxa"/>
              <w:bottom w:w="40" w:type="dxa"/>
              <w:right w:w="20" w:type="dxa"/>
            </w:tcMar>
            <w:vAlign w:val="center"/>
          </w:tcPr>
          <w:p w14:paraId="35D0AAF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F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FC" w14:textId="77777777" w:rsidR="00D42204" w:rsidRDefault="004E439D">
            <w:pPr>
              <w:jc w:val="right"/>
              <w:textAlignment w:val="center"/>
            </w:pPr>
            <w:r>
              <w:rPr>
                <w:rFonts w:ascii="Times New Roman" w:eastAsia="宋体" w:hAnsi="Times New Roman"/>
                <w:color w:val="000000"/>
                <w:sz w:val="16"/>
                <w:szCs w:val="16"/>
              </w:rPr>
              <w:t>(1,376)</w:t>
            </w:r>
          </w:p>
        </w:tc>
        <w:tc>
          <w:tcPr>
            <w:tcW w:w="0" w:type="auto"/>
            <w:shd w:val="clear" w:color="auto" w:fill="CCEEFF"/>
            <w:tcMar>
              <w:top w:w="40" w:type="dxa"/>
              <w:left w:w="0" w:type="dxa"/>
              <w:bottom w:w="40" w:type="dxa"/>
              <w:right w:w="20" w:type="dxa"/>
            </w:tcMar>
            <w:vAlign w:val="center"/>
          </w:tcPr>
          <w:p w14:paraId="35D0AAF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AF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AFF" w14:textId="77777777" w:rsidR="00D42204" w:rsidRDefault="004E439D">
            <w:pPr>
              <w:jc w:val="right"/>
              <w:textAlignment w:val="center"/>
            </w:pPr>
            <w:r>
              <w:rPr>
                <w:rFonts w:ascii="Times New Roman" w:eastAsia="宋体" w:hAnsi="Times New Roman"/>
                <w:color w:val="000000"/>
                <w:sz w:val="16"/>
                <w:szCs w:val="16"/>
              </w:rPr>
              <w:t>(960)</w:t>
            </w:r>
          </w:p>
        </w:tc>
        <w:tc>
          <w:tcPr>
            <w:tcW w:w="0" w:type="auto"/>
            <w:shd w:val="clear" w:color="auto" w:fill="CCEEFF"/>
            <w:tcMar>
              <w:top w:w="40" w:type="dxa"/>
              <w:left w:w="0" w:type="dxa"/>
              <w:bottom w:w="40" w:type="dxa"/>
              <w:right w:w="20" w:type="dxa"/>
            </w:tcMar>
            <w:vAlign w:val="center"/>
          </w:tcPr>
          <w:p w14:paraId="35D0AB00" w14:textId="77777777" w:rsidR="00D42204" w:rsidRDefault="00D42204">
            <w:pPr>
              <w:jc w:val="right"/>
              <w:rPr>
                <w:rFonts w:ascii="宋体"/>
              </w:rPr>
            </w:pPr>
          </w:p>
        </w:tc>
      </w:tr>
      <w:tr w:rsidR="00D42204" w14:paraId="35D0AB0C" w14:textId="77777777">
        <w:trPr>
          <w:jc w:val="center"/>
        </w:trPr>
        <w:tc>
          <w:tcPr>
            <w:tcW w:w="0" w:type="auto"/>
            <w:gridSpan w:val="3"/>
            <w:shd w:val="clear" w:color="auto" w:fill="FFFFFF"/>
            <w:tcMar>
              <w:top w:w="40" w:type="dxa"/>
              <w:left w:w="20" w:type="dxa"/>
              <w:bottom w:w="40" w:type="dxa"/>
              <w:right w:w="20" w:type="dxa"/>
            </w:tcMar>
            <w:vAlign w:val="center"/>
          </w:tcPr>
          <w:p w14:paraId="35D0AB02" w14:textId="77777777" w:rsidR="00D42204" w:rsidRDefault="004E439D">
            <w:pPr>
              <w:textAlignment w:val="center"/>
            </w:pPr>
            <w:r>
              <w:rPr>
                <w:rFonts w:ascii="Times New Roman" w:eastAsia="宋体" w:hAnsi="Times New Roman"/>
                <w:color w:val="000000"/>
                <w:sz w:val="16"/>
                <w:szCs w:val="16"/>
              </w:rPr>
              <w:t>Net cash used in financing activities</w:t>
            </w:r>
          </w:p>
        </w:tc>
        <w:tc>
          <w:tcPr>
            <w:tcW w:w="0" w:type="auto"/>
            <w:gridSpan w:val="3"/>
            <w:shd w:val="clear" w:color="auto" w:fill="FFFFFF"/>
            <w:tcMar>
              <w:top w:w="0" w:type="dxa"/>
              <w:left w:w="20" w:type="dxa"/>
              <w:bottom w:w="0" w:type="dxa"/>
              <w:right w:w="20" w:type="dxa"/>
            </w:tcMar>
            <w:vAlign w:val="bottom"/>
          </w:tcPr>
          <w:p w14:paraId="35D0AB03"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B04" w14:textId="77777777" w:rsidR="00D42204" w:rsidRDefault="004E439D">
            <w:pPr>
              <w:jc w:val="right"/>
              <w:textAlignment w:val="center"/>
            </w:pPr>
            <w:r>
              <w:rPr>
                <w:rFonts w:ascii="Times New Roman" w:eastAsia="宋体" w:hAnsi="Times New Roman"/>
                <w:color w:val="000000"/>
                <w:sz w:val="16"/>
                <w:szCs w:val="16"/>
              </w:rPr>
              <w:t>(22,828)</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B0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B06"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B07" w14:textId="77777777" w:rsidR="00D42204" w:rsidRDefault="004E439D">
            <w:pPr>
              <w:jc w:val="right"/>
              <w:textAlignment w:val="center"/>
            </w:pPr>
            <w:r>
              <w:rPr>
                <w:rFonts w:ascii="Times New Roman" w:eastAsia="宋体" w:hAnsi="Times New Roman"/>
                <w:color w:val="000000"/>
                <w:sz w:val="16"/>
                <w:szCs w:val="16"/>
              </w:rPr>
              <w:t>(16,117)</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B0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B09"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B0A" w14:textId="77777777" w:rsidR="00D42204" w:rsidRDefault="004E439D">
            <w:pPr>
              <w:jc w:val="right"/>
              <w:textAlignment w:val="center"/>
            </w:pPr>
            <w:r>
              <w:rPr>
                <w:rFonts w:ascii="Times New Roman" w:eastAsia="宋体" w:hAnsi="Times New Roman"/>
                <w:color w:val="000000"/>
                <w:sz w:val="16"/>
                <w:szCs w:val="16"/>
              </w:rPr>
              <w:t>(14,299)</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B0B" w14:textId="77777777" w:rsidR="00D42204" w:rsidRDefault="00D42204">
            <w:pPr>
              <w:jc w:val="right"/>
              <w:rPr>
                <w:rFonts w:ascii="宋体"/>
              </w:rPr>
            </w:pPr>
          </w:p>
        </w:tc>
      </w:tr>
      <w:tr w:rsidR="00D42204" w14:paraId="35D0AB14" w14:textId="77777777">
        <w:trPr>
          <w:trHeight w:val="220"/>
          <w:jc w:val="center"/>
        </w:trPr>
        <w:tc>
          <w:tcPr>
            <w:tcW w:w="0" w:type="auto"/>
            <w:gridSpan w:val="3"/>
            <w:shd w:val="clear" w:color="auto" w:fill="CCEEFF"/>
            <w:tcMar>
              <w:top w:w="0" w:type="dxa"/>
              <w:left w:w="20" w:type="dxa"/>
              <w:bottom w:w="0" w:type="dxa"/>
              <w:right w:w="20" w:type="dxa"/>
            </w:tcMar>
            <w:vAlign w:val="bottom"/>
          </w:tcPr>
          <w:p w14:paraId="35D0AB0D"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B0E"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B0F"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B10"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B11"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B1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B13" w14:textId="77777777" w:rsidR="00D42204" w:rsidRDefault="00D42204">
            <w:pPr>
              <w:rPr>
                <w:rFonts w:ascii="宋体"/>
              </w:rPr>
            </w:pPr>
          </w:p>
        </w:tc>
      </w:tr>
      <w:tr w:rsidR="00D42204" w14:paraId="35D0AB1F" w14:textId="77777777">
        <w:trPr>
          <w:jc w:val="center"/>
        </w:trPr>
        <w:tc>
          <w:tcPr>
            <w:tcW w:w="0" w:type="auto"/>
            <w:gridSpan w:val="3"/>
            <w:shd w:val="clear" w:color="auto" w:fill="FFFFFF"/>
            <w:tcMar>
              <w:top w:w="40" w:type="dxa"/>
              <w:left w:w="20" w:type="dxa"/>
              <w:bottom w:w="40" w:type="dxa"/>
              <w:right w:w="20" w:type="dxa"/>
            </w:tcMar>
            <w:vAlign w:val="center"/>
          </w:tcPr>
          <w:p w14:paraId="35D0AB15" w14:textId="77777777" w:rsidR="00D42204" w:rsidRDefault="004E439D">
            <w:pPr>
              <w:textAlignment w:val="center"/>
            </w:pPr>
            <w:r>
              <w:rPr>
                <w:rFonts w:ascii="Times New Roman" w:eastAsia="宋体" w:hAnsi="Times New Roman"/>
                <w:color w:val="000000"/>
                <w:sz w:val="16"/>
                <w:szCs w:val="16"/>
              </w:rPr>
              <w:t>Effect of exchange rates on cash, cash equivalents and restricted cash</w:t>
            </w:r>
          </w:p>
        </w:tc>
        <w:tc>
          <w:tcPr>
            <w:tcW w:w="0" w:type="auto"/>
            <w:gridSpan w:val="3"/>
            <w:shd w:val="clear" w:color="auto" w:fill="FFFFFF"/>
            <w:tcMar>
              <w:top w:w="0" w:type="dxa"/>
              <w:left w:w="20" w:type="dxa"/>
              <w:bottom w:w="0" w:type="dxa"/>
              <w:right w:w="20" w:type="dxa"/>
            </w:tcMar>
            <w:vAlign w:val="bottom"/>
          </w:tcPr>
          <w:p w14:paraId="35D0AB1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B17" w14:textId="77777777" w:rsidR="00D42204" w:rsidRDefault="004E439D">
            <w:pPr>
              <w:jc w:val="right"/>
              <w:textAlignment w:val="center"/>
            </w:pPr>
            <w:r>
              <w:rPr>
                <w:rFonts w:ascii="Times New Roman" w:eastAsia="宋体" w:hAnsi="Times New Roman"/>
                <w:color w:val="000000"/>
                <w:sz w:val="16"/>
                <w:szCs w:val="16"/>
              </w:rPr>
              <w:t>(140)</w:t>
            </w:r>
          </w:p>
        </w:tc>
        <w:tc>
          <w:tcPr>
            <w:tcW w:w="0" w:type="auto"/>
            <w:shd w:val="clear" w:color="auto" w:fill="FFFFFF"/>
            <w:tcMar>
              <w:top w:w="40" w:type="dxa"/>
              <w:left w:w="0" w:type="dxa"/>
              <w:bottom w:w="40" w:type="dxa"/>
              <w:right w:w="20" w:type="dxa"/>
            </w:tcMar>
            <w:vAlign w:val="center"/>
          </w:tcPr>
          <w:p w14:paraId="35D0AB1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B1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B1A" w14:textId="77777777" w:rsidR="00D42204" w:rsidRDefault="004E439D">
            <w:pPr>
              <w:jc w:val="right"/>
              <w:textAlignment w:val="center"/>
            </w:pPr>
            <w:r>
              <w:rPr>
                <w:rFonts w:ascii="Times New Roman" w:eastAsia="宋体" w:hAnsi="Times New Roman"/>
                <w:color w:val="000000"/>
                <w:sz w:val="16"/>
                <w:szCs w:val="16"/>
              </w:rPr>
              <w:t>235 </w:t>
            </w:r>
          </w:p>
        </w:tc>
        <w:tc>
          <w:tcPr>
            <w:tcW w:w="0" w:type="auto"/>
            <w:shd w:val="clear" w:color="auto" w:fill="FFFFFF"/>
            <w:tcMar>
              <w:top w:w="40" w:type="dxa"/>
              <w:left w:w="0" w:type="dxa"/>
              <w:bottom w:w="40" w:type="dxa"/>
              <w:right w:w="20" w:type="dxa"/>
            </w:tcMar>
            <w:vAlign w:val="center"/>
          </w:tcPr>
          <w:p w14:paraId="35D0AB1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B1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B1D" w14:textId="77777777" w:rsidR="00D42204" w:rsidRDefault="004E439D">
            <w:pPr>
              <w:jc w:val="right"/>
              <w:textAlignment w:val="center"/>
            </w:pPr>
            <w:r>
              <w:rPr>
                <w:rFonts w:ascii="Times New Roman" w:eastAsia="宋体" w:hAnsi="Times New Roman"/>
                <w:color w:val="000000"/>
                <w:sz w:val="16"/>
                <w:szCs w:val="16"/>
              </w:rPr>
              <w:t>(69)</w:t>
            </w:r>
          </w:p>
        </w:tc>
        <w:tc>
          <w:tcPr>
            <w:tcW w:w="0" w:type="auto"/>
            <w:shd w:val="clear" w:color="auto" w:fill="FFFFFF"/>
            <w:tcMar>
              <w:top w:w="40" w:type="dxa"/>
              <w:left w:w="0" w:type="dxa"/>
              <w:bottom w:w="40" w:type="dxa"/>
              <w:right w:w="20" w:type="dxa"/>
            </w:tcMar>
            <w:vAlign w:val="center"/>
          </w:tcPr>
          <w:p w14:paraId="35D0AB1E" w14:textId="77777777" w:rsidR="00D42204" w:rsidRDefault="00D42204">
            <w:pPr>
              <w:jc w:val="right"/>
              <w:rPr>
                <w:rFonts w:ascii="宋体"/>
              </w:rPr>
            </w:pPr>
          </w:p>
        </w:tc>
      </w:tr>
      <w:tr w:rsidR="00D42204" w14:paraId="35D0AB27" w14:textId="77777777">
        <w:trPr>
          <w:trHeight w:val="220"/>
          <w:jc w:val="center"/>
        </w:trPr>
        <w:tc>
          <w:tcPr>
            <w:tcW w:w="0" w:type="auto"/>
            <w:gridSpan w:val="3"/>
            <w:shd w:val="clear" w:color="auto" w:fill="CCEEFF"/>
            <w:tcMar>
              <w:top w:w="0" w:type="dxa"/>
              <w:left w:w="20" w:type="dxa"/>
              <w:bottom w:w="0" w:type="dxa"/>
              <w:right w:w="20" w:type="dxa"/>
            </w:tcMar>
            <w:vAlign w:val="bottom"/>
          </w:tcPr>
          <w:p w14:paraId="35D0AB20"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B21"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B2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B23"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B24"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B25"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B26" w14:textId="77777777" w:rsidR="00D42204" w:rsidRDefault="00D42204">
            <w:pPr>
              <w:rPr>
                <w:rFonts w:ascii="宋体"/>
              </w:rPr>
            </w:pPr>
          </w:p>
        </w:tc>
      </w:tr>
      <w:tr w:rsidR="00D42204" w14:paraId="35D0AB32" w14:textId="77777777">
        <w:trPr>
          <w:jc w:val="center"/>
        </w:trPr>
        <w:tc>
          <w:tcPr>
            <w:tcW w:w="0" w:type="auto"/>
            <w:gridSpan w:val="3"/>
            <w:shd w:val="clear" w:color="auto" w:fill="FFFFFF"/>
            <w:tcMar>
              <w:top w:w="40" w:type="dxa"/>
              <w:left w:w="20" w:type="dxa"/>
              <w:bottom w:w="40" w:type="dxa"/>
              <w:right w:w="20" w:type="dxa"/>
            </w:tcMar>
            <w:vAlign w:val="center"/>
          </w:tcPr>
          <w:p w14:paraId="35D0AB28" w14:textId="77777777" w:rsidR="00D42204" w:rsidRDefault="004E439D">
            <w:pPr>
              <w:textAlignment w:val="center"/>
            </w:pPr>
            <w:r>
              <w:rPr>
                <w:rFonts w:ascii="Times New Roman" w:eastAsia="宋体" w:hAnsi="Times New Roman"/>
                <w:color w:val="000000"/>
                <w:sz w:val="16"/>
                <w:szCs w:val="16"/>
              </w:rPr>
              <w:t>Net increase (decrease) in cash, cash equivalents and restricted cash</w:t>
            </w:r>
          </w:p>
        </w:tc>
        <w:tc>
          <w:tcPr>
            <w:tcW w:w="0" w:type="auto"/>
            <w:gridSpan w:val="3"/>
            <w:shd w:val="clear" w:color="auto" w:fill="FFFFFF"/>
            <w:tcMar>
              <w:top w:w="0" w:type="dxa"/>
              <w:left w:w="20" w:type="dxa"/>
              <w:bottom w:w="0" w:type="dxa"/>
              <w:right w:w="20" w:type="dxa"/>
            </w:tcMar>
            <w:vAlign w:val="bottom"/>
          </w:tcPr>
          <w:p w14:paraId="35D0AB2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B2A" w14:textId="77777777" w:rsidR="00D42204" w:rsidRDefault="004E439D">
            <w:pPr>
              <w:jc w:val="right"/>
              <w:textAlignment w:val="center"/>
            </w:pPr>
            <w:r>
              <w:rPr>
                <w:rFonts w:ascii="Times New Roman" w:eastAsia="宋体" w:hAnsi="Times New Roman"/>
                <w:color w:val="000000"/>
                <w:sz w:val="16"/>
                <w:szCs w:val="16"/>
              </w:rPr>
              <w:t>(4,802)</w:t>
            </w:r>
          </w:p>
        </w:tc>
        <w:tc>
          <w:tcPr>
            <w:tcW w:w="0" w:type="auto"/>
            <w:shd w:val="clear" w:color="auto" w:fill="FFFFFF"/>
            <w:tcMar>
              <w:top w:w="40" w:type="dxa"/>
              <w:left w:w="0" w:type="dxa"/>
              <w:bottom w:w="40" w:type="dxa"/>
              <w:right w:w="20" w:type="dxa"/>
            </w:tcMar>
            <w:vAlign w:val="center"/>
          </w:tcPr>
          <w:p w14:paraId="35D0AB2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B2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B2D" w14:textId="77777777" w:rsidR="00D42204" w:rsidRDefault="004E439D">
            <w:pPr>
              <w:jc w:val="right"/>
              <w:textAlignment w:val="center"/>
            </w:pPr>
            <w:r>
              <w:rPr>
                <w:rFonts w:ascii="Times New Roman" w:eastAsia="宋体" w:hAnsi="Times New Roman"/>
                <w:color w:val="000000"/>
                <w:sz w:val="16"/>
                <w:szCs w:val="16"/>
              </w:rPr>
              <w:t>10,121 </w:t>
            </w:r>
          </w:p>
        </w:tc>
        <w:tc>
          <w:tcPr>
            <w:tcW w:w="0" w:type="auto"/>
            <w:shd w:val="clear" w:color="auto" w:fill="FFFFFF"/>
            <w:tcMar>
              <w:top w:w="40" w:type="dxa"/>
              <w:left w:w="0" w:type="dxa"/>
              <w:bottom w:w="40" w:type="dxa"/>
              <w:right w:w="20" w:type="dxa"/>
            </w:tcMar>
            <w:vAlign w:val="center"/>
          </w:tcPr>
          <w:p w14:paraId="35D0AB2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B2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B30" w14:textId="77777777" w:rsidR="00D42204" w:rsidRDefault="004E439D">
            <w:pPr>
              <w:jc w:val="right"/>
              <w:textAlignment w:val="center"/>
            </w:pPr>
            <w:r>
              <w:rPr>
                <w:rFonts w:ascii="Times New Roman" w:eastAsia="宋体" w:hAnsi="Times New Roman"/>
                <w:color w:val="000000"/>
                <w:sz w:val="16"/>
                <w:szCs w:val="16"/>
              </w:rPr>
              <w:t>1,759 </w:t>
            </w:r>
          </w:p>
        </w:tc>
        <w:tc>
          <w:tcPr>
            <w:tcW w:w="0" w:type="auto"/>
            <w:shd w:val="clear" w:color="auto" w:fill="FFFFFF"/>
            <w:tcMar>
              <w:top w:w="40" w:type="dxa"/>
              <w:left w:w="0" w:type="dxa"/>
              <w:bottom w:w="40" w:type="dxa"/>
              <w:right w:w="20" w:type="dxa"/>
            </w:tcMar>
            <w:vAlign w:val="center"/>
          </w:tcPr>
          <w:p w14:paraId="35D0AB31" w14:textId="77777777" w:rsidR="00D42204" w:rsidRDefault="00D42204">
            <w:pPr>
              <w:jc w:val="right"/>
              <w:rPr>
                <w:rFonts w:ascii="宋体"/>
              </w:rPr>
            </w:pPr>
          </w:p>
        </w:tc>
      </w:tr>
      <w:tr w:rsidR="00D42204" w14:paraId="35D0AB3D" w14:textId="77777777">
        <w:trPr>
          <w:jc w:val="center"/>
        </w:trPr>
        <w:tc>
          <w:tcPr>
            <w:tcW w:w="0" w:type="auto"/>
            <w:gridSpan w:val="3"/>
            <w:shd w:val="clear" w:color="auto" w:fill="CCEEFF"/>
            <w:tcMar>
              <w:top w:w="40" w:type="dxa"/>
              <w:left w:w="20" w:type="dxa"/>
              <w:bottom w:w="40" w:type="dxa"/>
              <w:right w:w="20" w:type="dxa"/>
            </w:tcMar>
            <w:vAlign w:val="center"/>
          </w:tcPr>
          <w:p w14:paraId="35D0AB33" w14:textId="77777777" w:rsidR="00D42204" w:rsidRDefault="004E439D">
            <w:pPr>
              <w:textAlignment w:val="center"/>
            </w:pPr>
            <w:r>
              <w:rPr>
                <w:rFonts w:ascii="Times New Roman" w:eastAsia="宋体" w:hAnsi="Times New Roman"/>
                <w:color w:val="000000"/>
                <w:sz w:val="16"/>
                <w:szCs w:val="16"/>
              </w:rPr>
              <w:t>Ch</w:t>
            </w:r>
            <w:r>
              <w:rPr>
                <w:rFonts w:ascii="Times New Roman" w:eastAsia="宋体" w:hAnsi="Times New Roman"/>
                <w:color w:val="000000"/>
                <w:sz w:val="16"/>
                <w:szCs w:val="16"/>
              </w:rPr>
              <w:t>ange in cash and cash equivalents reclassified from (to) assets held for sale</w:t>
            </w:r>
          </w:p>
        </w:tc>
        <w:tc>
          <w:tcPr>
            <w:tcW w:w="0" w:type="auto"/>
            <w:gridSpan w:val="3"/>
            <w:shd w:val="clear" w:color="auto" w:fill="CCEEFF"/>
            <w:tcMar>
              <w:top w:w="0" w:type="dxa"/>
              <w:left w:w="20" w:type="dxa"/>
              <w:bottom w:w="0" w:type="dxa"/>
              <w:right w:w="20" w:type="dxa"/>
            </w:tcMar>
            <w:vAlign w:val="bottom"/>
          </w:tcPr>
          <w:p w14:paraId="35D0AB3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B35" w14:textId="77777777" w:rsidR="00D42204" w:rsidRDefault="004E439D">
            <w:pPr>
              <w:jc w:val="right"/>
              <w:textAlignment w:val="center"/>
            </w:pPr>
            <w:r>
              <w:rPr>
                <w:rFonts w:ascii="Times New Roman" w:eastAsia="宋体" w:hAnsi="Times New Roman"/>
                <w:color w:val="000000"/>
                <w:sz w:val="16"/>
                <w:szCs w:val="16"/>
              </w:rPr>
              <w:t>1,848 </w:t>
            </w:r>
          </w:p>
        </w:tc>
        <w:tc>
          <w:tcPr>
            <w:tcW w:w="0" w:type="auto"/>
            <w:shd w:val="clear" w:color="auto" w:fill="CCEEFF"/>
            <w:tcMar>
              <w:top w:w="40" w:type="dxa"/>
              <w:left w:w="0" w:type="dxa"/>
              <w:bottom w:w="40" w:type="dxa"/>
              <w:right w:w="20" w:type="dxa"/>
            </w:tcMar>
            <w:vAlign w:val="center"/>
          </w:tcPr>
          <w:p w14:paraId="35D0AB3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B3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B38" w14:textId="77777777" w:rsidR="00D42204" w:rsidRDefault="004E439D">
            <w:pPr>
              <w:jc w:val="right"/>
              <w:textAlignment w:val="center"/>
            </w:pPr>
            <w:r>
              <w:rPr>
                <w:rFonts w:ascii="Times New Roman" w:eastAsia="宋体" w:hAnsi="Times New Roman"/>
                <w:color w:val="000000"/>
                <w:sz w:val="16"/>
                <w:szCs w:val="16"/>
              </w:rPr>
              <w:t>(1,848)</w:t>
            </w:r>
          </w:p>
        </w:tc>
        <w:tc>
          <w:tcPr>
            <w:tcW w:w="0" w:type="auto"/>
            <w:shd w:val="clear" w:color="auto" w:fill="CCEEFF"/>
            <w:tcMar>
              <w:top w:w="40" w:type="dxa"/>
              <w:left w:w="0" w:type="dxa"/>
              <w:bottom w:w="40" w:type="dxa"/>
              <w:right w:w="20" w:type="dxa"/>
            </w:tcMar>
            <w:vAlign w:val="center"/>
          </w:tcPr>
          <w:p w14:paraId="35D0AB3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B3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B3B"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B3C" w14:textId="77777777" w:rsidR="00D42204" w:rsidRDefault="00D42204">
            <w:pPr>
              <w:jc w:val="right"/>
              <w:rPr>
                <w:rFonts w:ascii="宋体"/>
              </w:rPr>
            </w:pPr>
          </w:p>
        </w:tc>
      </w:tr>
      <w:tr w:rsidR="00D42204" w14:paraId="35D0AB48" w14:textId="77777777">
        <w:trPr>
          <w:jc w:val="center"/>
        </w:trPr>
        <w:tc>
          <w:tcPr>
            <w:tcW w:w="0" w:type="auto"/>
            <w:gridSpan w:val="3"/>
            <w:shd w:val="clear" w:color="auto" w:fill="FFFFFF"/>
            <w:tcMar>
              <w:top w:w="40" w:type="dxa"/>
              <w:left w:w="20" w:type="dxa"/>
              <w:bottom w:w="40" w:type="dxa"/>
              <w:right w:w="20" w:type="dxa"/>
            </w:tcMar>
            <w:vAlign w:val="center"/>
          </w:tcPr>
          <w:p w14:paraId="35D0AB3E" w14:textId="77777777" w:rsidR="00D42204" w:rsidRDefault="004E439D">
            <w:pPr>
              <w:textAlignment w:val="center"/>
            </w:pPr>
            <w:r>
              <w:rPr>
                <w:rFonts w:ascii="Times New Roman" w:eastAsia="宋体" w:hAnsi="Times New Roman"/>
                <w:color w:val="000000"/>
                <w:sz w:val="16"/>
                <w:szCs w:val="16"/>
              </w:rPr>
              <w:t>Cash, cash equivalents and restricted cash at beginning of year</w:t>
            </w:r>
          </w:p>
        </w:tc>
        <w:tc>
          <w:tcPr>
            <w:tcW w:w="0" w:type="auto"/>
            <w:gridSpan w:val="3"/>
            <w:shd w:val="clear" w:color="auto" w:fill="FFFFFF"/>
            <w:tcMar>
              <w:top w:w="0" w:type="dxa"/>
              <w:left w:w="20" w:type="dxa"/>
              <w:bottom w:w="0" w:type="dxa"/>
              <w:right w:w="20" w:type="dxa"/>
            </w:tcMar>
            <w:vAlign w:val="bottom"/>
          </w:tcPr>
          <w:p w14:paraId="35D0AB3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B40" w14:textId="77777777" w:rsidR="00D42204" w:rsidRDefault="004E439D">
            <w:pPr>
              <w:jc w:val="right"/>
              <w:textAlignment w:val="center"/>
            </w:pPr>
            <w:r>
              <w:rPr>
                <w:rFonts w:ascii="Times New Roman" w:eastAsia="宋体" w:hAnsi="Times New Roman"/>
                <w:color w:val="000000"/>
                <w:sz w:val="16"/>
                <w:szCs w:val="16"/>
              </w:rPr>
              <w:t>17,788 </w:t>
            </w:r>
          </w:p>
        </w:tc>
        <w:tc>
          <w:tcPr>
            <w:tcW w:w="0" w:type="auto"/>
            <w:shd w:val="clear" w:color="auto" w:fill="FFFFFF"/>
            <w:tcMar>
              <w:top w:w="40" w:type="dxa"/>
              <w:left w:w="0" w:type="dxa"/>
              <w:bottom w:w="40" w:type="dxa"/>
              <w:right w:w="20" w:type="dxa"/>
            </w:tcMar>
            <w:vAlign w:val="center"/>
          </w:tcPr>
          <w:p w14:paraId="35D0AB4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B4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B43" w14:textId="77777777" w:rsidR="00D42204" w:rsidRDefault="004E439D">
            <w:pPr>
              <w:jc w:val="right"/>
              <w:textAlignment w:val="center"/>
            </w:pPr>
            <w:r>
              <w:rPr>
                <w:rFonts w:ascii="Times New Roman" w:eastAsia="宋体" w:hAnsi="Times New Roman"/>
                <w:color w:val="000000"/>
                <w:sz w:val="16"/>
                <w:szCs w:val="16"/>
              </w:rPr>
              <w:t>9,515 </w:t>
            </w:r>
          </w:p>
        </w:tc>
        <w:tc>
          <w:tcPr>
            <w:tcW w:w="0" w:type="auto"/>
            <w:shd w:val="clear" w:color="auto" w:fill="FFFFFF"/>
            <w:tcMar>
              <w:top w:w="40" w:type="dxa"/>
              <w:left w:w="0" w:type="dxa"/>
              <w:bottom w:w="40" w:type="dxa"/>
              <w:right w:w="20" w:type="dxa"/>
            </w:tcMar>
            <w:vAlign w:val="center"/>
          </w:tcPr>
          <w:p w14:paraId="35D0AB4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B4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B46" w14:textId="77777777" w:rsidR="00D42204" w:rsidRDefault="004E439D">
            <w:pPr>
              <w:jc w:val="right"/>
              <w:textAlignment w:val="center"/>
            </w:pPr>
            <w:r>
              <w:rPr>
                <w:rFonts w:ascii="Times New Roman" w:eastAsia="宋体" w:hAnsi="Times New Roman"/>
                <w:color w:val="000000"/>
                <w:sz w:val="16"/>
                <w:szCs w:val="16"/>
              </w:rPr>
              <w:t>7,756 </w:t>
            </w:r>
          </w:p>
        </w:tc>
        <w:tc>
          <w:tcPr>
            <w:tcW w:w="0" w:type="auto"/>
            <w:shd w:val="clear" w:color="auto" w:fill="FFFFFF"/>
            <w:tcMar>
              <w:top w:w="40" w:type="dxa"/>
              <w:left w:w="0" w:type="dxa"/>
              <w:bottom w:w="40" w:type="dxa"/>
              <w:right w:w="20" w:type="dxa"/>
            </w:tcMar>
            <w:vAlign w:val="center"/>
          </w:tcPr>
          <w:p w14:paraId="35D0AB47" w14:textId="77777777" w:rsidR="00D42204" w:rsidRDefault="00D42204">
            <w:pPr>
              <w:jc w:val="right"/>
              <w:rPr>
                <w:rFonts w:ascii="宋体"/>
              </w:rPr>
            </w:pPr>
          </w:p>
        </w:tc>
      </w:tr>
      <w:tr w:rsidR="00D42204" w14:paraId="35D0AB56" w14:textId="77777777">
        <w:trPr>
          <w:jc w:val="center"/>
        </w:trPr>
        <w:tc>
          <w:tcPr>
            <w:tcW w:w="0" w:type="auto"/>
            <w:gridSpan w:val="3"/>
            <w:shd w:val="clear" w:color="auto" w:fill="CCEEFF"/>
            <w:tcMar>
              <w:top w:w="40" w:type="dxa"/>
              <w:left w:w="20" w:type="dxa"/>
              <w:bottom w:w="40" w:type="dxa"/>
              <w:right w:w="20" w:type="dxa"/>
            </w:tcMar>
            <w:vAlign w:val="center"/>
          </w:tcPr>
          <w:p w14:paraId="35D0AB49" w14:textId="77777777" w:rsidR="00D42204" w:rsidRDefault="004E439D">
            <w:pPr>
              <w:textAlignment w:val="center"/>
            </w:pPr>
            <w:r>
              <w:rPr>
                <w:rFonts w:ascii="Times New Roman" w:eastAsia="宋体" w:hAnsi="Times New Roman"/>
                <w:color w:val="000000"/>
                <w:sz w:val="16"/>
                <w:szCs w:val="16"/>
              </w:rPr>
              <w:t>Ca</w:t>
            </w:r>
            <w:r>
              <w:rPr>
                <w:rFonts w:ascii="Times New Roman" w:eastAsia="宋体" w:hAnsi="Times New Roman"/>
                <w:color w:val="000000"/>
                <w:sz w:val="16"/>
                <w:szCs w:val="16"/>
              </w:rPr>
              <w:t>sh, cash equivalents and restricted cash at end of year</w:t>
            </w:r>
          </w:p>
        </w:tc>
        <w:tc>
          <w:tcPr>
            <w:tcW w:w="0" w:type="auto"/>
            <w:gridSpan w:val="3"/>
            <w:shd w:val="clear" w:color="auto" w:fill="CCEEFF"/>
            <w:tcMar>
              <w:top w:w="0" w:type="dxa"/>
              <w:left w:w="20" w:type="dxa"/>
              <w:bottom w:w="0" w:type="dxa"/>
              <w:right w:w="20" w:type="dxa"/>
            </w:tcMar>
            <w:vAlign w:val="bottom"/>
          </w:tcPr>
          <w:p w14:paraId="35D0AB4A"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B4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B4C" w14:textId="77777777" w:rsidR="00D42204" w:rsidRDefault="004E439D">
            <w:pPr>
              <w:jc w:val="right"/>
              <w:textAlignment w:val="center"/>
            </w:pPr>
            <w:r>
              <w:rPr>
                <w:rFonts w:ascii="Times New Roman" w:eastAsia="宋体" w:hAnsi="Times New Roman"/>
                <w:color w:val="000000"/>
                <w:sz w:val="16"/>
                <w:szCs w:val="16"/>
              </w:rPr>
              <w:t>14,834 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B4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B4E"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B4F"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B50" w14:textId="77777777" w:rsidR="00D42204" w:rsidRDefault="004E439D">
            <w:pPr>
              <w:jc w:val="right"/>
              <w:textAlignment w:val="center"/>
            </w:pPr>
            <w:r>
              <w:rPr>
                <w:rFonts w:ascii="Times New Roman" w:eastAsia="宋体" w:hAnsi="Times New Roman"/>
                <w:color w:val="000000"/>
                <w:sz w:val="16"/>
                <w:szCs w:val="16"/>
              </w:rPr>
              <w:t>17,788 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B5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B52"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B53"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B54" w14:textId="77777777" w:rsidR="00D42204" w:rsidRDefault="004E439D">
            <w:pPr>
              <w:jc w:val="right"/>
              <w:textAlignment w:val="center"/>
            </w:pPr>
            <w:r>
              <w:rPr>
                <w:rFonts w:ascii="Times New Roman" w:eastAsia="宋体" w:hAnsi="Times New Roman"/>
                <w:color w:val="000000"/>
                <w:sz w:val="16"/>
                <w:szCs w:val="16"/>
              </w:rPr>
              <w:t>9,515 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B55" w14:textId="77777777" w:rsidR="00D42204" w:rsidRDefault="00D42204">
            <w:pPr>
              <w:jc w:val="right"/>
              <w:rPr>
                <w:rFonts w:ascii="宋体"/>
              </w:rPr>
            </w:pPr>
          </w:p>
        </w:tc>
      </w:tr>
      <w:tr w:rsidR="00D42204" w14:paraId="35D0AB5E" w14:textId="77777777">
        <w:trPr>
          <w:trHeight w:val="220"/>
          <w:jc w:val="center"/>
        </w:trPr>
        <w:tc>
          <w:tcPr>
            <w:tcW w:w="0" w:type="auto"/>
            <w:gridSpan w:val="3"/>
            <w:shd w:val="clear" w:color="auto" w:fill="FFFFFF"/>
            <w:tcMar>
              <w:top w:w="0" w:type="dxa"/>
              <w:left w:w="20" w:type="dxa"/>
              <w:bottom w:w="0" w:type="dxa"/>
              <w:right w:w="20" w:type="dxa"/>
            </w:tcMar>
            <w:vAlign w:val="bottom"/>
          </w:tcPr>
          <w:p w14:paraId="35D0AB57"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B58" w14:textId="77777777" w:rsidR="00D42204" w:rsidRDefault="00D4220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D0AB59"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B5A" w14:textId="77777777" w:rsidR="00D42204" w:rsidRDefault="00D4220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D0AB5B"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B5C" w14:textId="77777777" w:rsidR="00D42204" w:rsidRDefault="00D4220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D0AB5D" w14:textId="77777777" w:rsidR="00D42204" w:rsidRDefault="00D42204">
            <w:pPr>
              <w:rPr>
                <w:rFonts w:ascii="宋体"/>
              </w:rPr>
            </w:pPr>
          </w:p>
        </w:tc>
      </w:tr>
      <w:tr w:rsidR="00D42204" w14:paraId="35D0AB66" w14:textId="77777777">
        <w:trPr>
          <w:jc w:val="center"/>
        </w:trPr>
        <w:tc>
          <w:tcPr>
            <w:tcW w:w="0" w:type="auto"/>
            <w:gridSpan w:val="3"/>
            <w:shd w:val="clear" w:color="auto" w:fill="CCEEFF"/>
            <w:tcMar>
              <w:top w:w="40" w:type="dxa"/>
              <w:left w:w="20" w:type="dxa"/>
              <w:bottom w:w="40" w:type="dxa"/>
              <w:right w:w="20" w:type="dxa"/>
            </w:tcMar>
            <w:vAlign w:val="center"/>
          </w:tcPr>
          <w:p w14:paraId="35D0AB5F" w14:textId="77777777" w:rsidR="00D42204" w:rsidRDefault="004E439D">
            <w:pPr>
              <w:textAlignment w:val="center"/>
            </w:pPr>
            <w:r>
              <w:rPr>
                <w:rFonts w:ascii="Times New Roman" w:eastAsia="宋体" w:hAnsi="Times New Roman"/>
                <w:b/>
                <w:bCs/>
                <w:color w:val="000000"/>
                <w:sz w:val="16"/>
                <w:szCs w:val="16"/>
              </w:rPr>
              <w:t>Supplemental disclosure of cash flow information:</w:t>
            </w:r>
          </w:p>
        </w:tc>
        <w:tc>
          <w:tcPr>
            <w:tcW w:w="0" w:type="auto"/>
            <w:gridSpan w:val="3"/>
            <w:shd w:val="clear" w:color="auto" w:fill="CCEEFF"/>
            <w:tcMar>
              <w:top w:w="0" w:type="dxa"/>
              <w:left w:w="20" w:type="dxa"/>
              <w:bottom w:w="0" w:type="dxa"/>
              <w:right w:w="20" w:type="dxa"/>
            </w:tcMar>
            <w:vAlign w:val="bottom"/>
          </w:tcPr>
          <w:p w14:paraId="35D0AB60"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B61"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B6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B63"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B64"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B65" w14:textId="77777777" w:rsidR="00D42204" w:rsidRDefault="00D42204">
            <w:pPr>
              <w:rPr>
                <w:rFonts w:ascii="宋体"/>
              </w:rPr>
            </w:pPr>
          </w:p>
        </w:tc>
      </w:tr>
      <w:tr w:rsidR="00D42204" w14:paraId="35D0AB74" w14:textId="77777777">
        <w:trPr>
          <w:jc w:val="center"/>
        </w:trPr>
        <w:tc>
          <w:tcPr>
            <w:tcW w:w="0" w:type="auto"/>
            <w:gridSpan w:val="3"/>
            <w:shd w:val="clear" w:color="auto" w:fill="FFFFFF"/>
            <w:tcMar>
              <w:top w:w="40" w:type="dxa"/>
              <w:left w:w="20" w:type="dxa"/>
              <w:bottom w:w="40" w:type="dxa"/>
              <w:right w:w="20" w:type="dxa"/>
            </w:tcMar>
            <w:vAlign w:val="center"/>
          </w:tcPr>
          <w:p w14:paraId="35D0AB67" w14:textId="77777777" w:rsidR="00D42204" w:rsidRDefault="004E439D">
            <w:pPr>
              <w:textAlignment w:val="center"/>
            </w:pPr>
            <w:r>
              <w:rPr>
                <w:rFonts w:ascii="Times New Roman" w:eastAsia="宋体" w:hAnsi="Times New Roman"/>
                <w:color w:val="000000"/>
                <w:sz w:val="16"/>
                <w:szCs w:val="16"/>
              </w:rPr>
              <w:t>Income taxes paid</w:t>
            </w:r>
          </w:p>
        </w:tc>
        <w:tc>
          <w:tcPr>
            <w:tcW w:w="0" w:type="auto"/>
            <w:gridSpan w:val="3"/>
            <w:shd w:val="clear" w:color="auto" w:fill="FFFFFF"/>
            <w:tcMar>
              <w:top w:w="0" w:type="dxa"/>
              <w:left w:w="20" w:type="dxa"/>
              <w:bottom w:w="0" w:type="dxa"/>
              <w:right w:w="20" w:type="dxa"/>
            </w:tcMar>
            <w:vAlign w:val="bottom"/>
          </w:tcPr>
          <w:p w14:paraId="35D0AB68"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B69"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B6A" w14:textId="77777777" w:rsidR="00D42204" w:rsidRDefault="004E439D">
            <w:pPr>
              <w:jc w:val="right"/>
              <w:textAlignment w:val="center"/>
            </w:pPr>
            <w:r>
              <w:rPr>
                <w:rFonts w:ascii="Times New Roman" w:eastAsia="宋体" w:hAnsi="Times New Roman"/>
                <w:color w:val="000000"/>
                <w:sz w:val="16"/>
                <w:szCs w:val="16"/>
              </w:rPr>
              <w:t>5,918 </w:t>
            </w:r>
          </w:p>
        </w:tc>
        <w:tc>
          <w:tcPr>
            <w:tcW w:w="0" w:type="auto"/>
            <w:shd w:val="clear" w:color="auto" w:fill="FFFFFF"/>
            <w:tcMar>
              <w:top w:w="40" w:type="dxa"/>
              <w:left w:w="0" w:type="dxa"/>
              <w:bottom w:w="40" w:type="dxa"/>
              <w:right w:w="20" w:type="dxa"/>
            </w:tcMar>
            <w:vAlign w:val="center"/>
          </w:tcPr>
          <w:p w14:paraId="35D0AB6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B6C"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B6D"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B6E" w14:textId="77777777" w:rsidR="00D42204" w:rsidRDefault="004E439D">
            <w:pPr>
              <w:jc w:val="right"/>
              <w:textAlignment w:val="center"/>
            </w:pPr>
            <w:r>
              <w:rPr>
                <w:rFonts w:ascii="Times New Roman" w:eastAsia="宋体" w:hAnsi="Times New Roman"/>
                <w:color w:val="000000"/>
                <w:sz w:val="16"/>
                <w:szCs w:val="16"/>
              </w:rPr>
              <w:t>5,271 </w:t>
            </w:r>
          </w:p>
        </w:tc>
        <w:tc>
          <w:tcPr>
            <w:tcW w:w="0" w:type="auto"/>
            <w:shd w:val="clear" w:color="auto" w:fill="FFFFFF"/>
            <w:tcMar>
              <w:top w:w="40" w:type="dxa"/>
              <w:left w:w="0" w:type="dxa"/>
              <w:bottom w:w="40" w:type="dxa"/>
              <w:right w:w="20" w:type="dxa"/>
            </w:tcMar>
            <w:vAlign w:val="center"/>
          </w:tcPr>
          <w:p w14:paraId="35D0AB6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B70"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AB71"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AB72" w14:textId="77777777" w:rsidR="00D42204" w:rsidRDefault="004E439D">
            <w:pPr>
              <w:jc w:val="right"/>
              <w:textAlignment w:val="center"/>
            </w:pPr>
            <w:r>
              <w:rPr>
                <w:rFonts w:ascii="Times New Roman" w:eastAsia="宋体" w:hAnsi="Times New Roman"/>
                <w:color w:val="000000"/>
                <w:sz w:val="16"/>
                <w:szCs w:val="16"/>
              </w:rPr>
              <w:t>3,616 </w:t>
            </w:r>
          </w:p>
        </w:tc>
        <w:tc>
          <w:tcPr>
            <w:tcW w:w="0" w:type="auto"/>
            <w:shd w:val="clear" w:color="auto" w:fill="FFFFFF"/>
            <w:tcMar>
              <w:top w:w="40" w:type="dxa"/>
              <w:left w:w="0" w:type="dxa"/>
              <w:bottom w:w="40" w:type="dxa"/>
              <w:right w:w="20" w:type="dxa"/>
            </w:tcMar>
            <w:vAlign w:val="center"/>
          </w:tcPr>
          <w:p w14:paraId="35D0AB73" w14:textId="77777777" w:rsidR="00D42204" w:rsidRDefault="00D42204">
            <w:pPr>
              <w:jc w:val="right"/>
              <w:rPr>
                <w:rFonts w:ascii="宋体"/>
              </w:rPr>
            </w:pPr>
          </w:p>
        </w:tc>
      </w:tr>
      <w:tr w:rsidR="00D42204" w14:paraId="35D0AB7F" w14:textId="77777777">
        <w:trPr>
          <w:jc w:val="center"/>
        </w:trPr>
        <w:tc>
          <w:tcPr>
            <w:tcW w:w="0" w:type="auto"/>
            <w:gridSpan w:val="3"/>
            <w:shd w:val="clear" w:color="auto" w:fill="CCEEFF"/>
            <w:tcMar>
              <w:top w:w="40" w:type="dxa"/>
              <w:left w:w="20" w:type="dxa"/>
              <w:bottom w:w="40" w:type="dxa"/>
              <w:right w:w="20" w:type="dxa"/>
            </w:tcMar>
            <w:vAlign w:val="center"/>
          </w:tcPr>
          <w:p w14:paraId="35D0AB75" w14:textId="77777777" w:rsidR="00D42204" w:rsidRDefault="004E439D">
            <w:pPr>
              <w:textAlignment w:val="center"/>
            </w:pPr>
            <w:r>
              <w:rPr>
                <w:rFonts w:ascii="Times New Roman" w:eastAsia="宋体" w:hAnsi="Times New Roman"/>
                <w:color w:val="000000"/>
                <w:sz w:val="16"/>
                <w:szCs w:val="16"/>
              </w:rPr>
              <w:t xml:space="preserve">Interest paid </w:t>
            </w:r>
          </w:p>
        </w:tc>
        <w:tc>
          <w:tcPr>
            <w:tcW w:w="0" w:type="auto"/>
            <w:gridSpan w:val="3"/>
            <w:shd w:val="clear" w:color="auto" w:fill="CCEEFF"/>
            <w:tcMar>
              <w:top w:w="0" w:type="dxa"/>
              <w:left w:w="20" w:type="dxa"/>
              <w:bottom w:w="0" w:type="dxa"/>
              <w:right w:w="20" w:type="dxa"/>
            </w:tcMar>
            <w:vAlign w:val="bottom"/>
          </w:tcPr>
          <w:p w14:paraId="35D0AB7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B77" w14:textId="77777777" w:rsidR="00D42204" w:rsidRDefault="004E439D">
            <w:pPr>
              <w:jc w:val="right"/>
              <w:textAlignment w:val="center"/>
            </w:pPr>
            <w:r>
              <w:rPr>
                <w:rFonts w:ascii="Times New Roman" w:eastAsia="宋体" w:hAnsi="Times New Roman"/>
                <w:color w:val="000000"/>
                <w:sz w:val="16"/>
                <w:szCs w:val="16"/>
              </w:rPr>
              <w:t>2,237 </w:t>
            </w:r>
          </w:p>
        </w:tc>
        <w:tc>
          <w:tcPr>
            <w:tcW w:w="0" w:type="auto"/>
            <w:shd w:val="clear" w:color="auto" w:fill="CCEEFF"/>
            <w:tcMar>
              <w:top w:w="40" w:type="dxa"/>
              <w:left w:w="0" w:type="dxa"/>
              <w:bottom w:w="40" w:type="dxa"/>
              <w:right w:w="20" w:type="dxa"/>
            </w:tcMar>
            <w:vAlign w:val="center"/>
          </w:tcPr>
          <w:p w14:paraId="35D0AB7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B7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B7A" w14:textId="77777777" w:rsidR="00D42204" w:rsidRDefault="004E439D">
            <w:pPr>
              <w:jc w:val="right"/>
              <w:textAlignment w:val="center"/>
            </w:pPr>
            <w:r>
              <w:rPr>
                <w:rFonts w:ascii="Times New Roman" w:eastAsia="宋体" w:hAnsi="Times New Roman"/>
                <w:color w:val="000000"/>
                <w:sz w:val="16"/>
                <w:szCs w:val="16"/>
              </w:rPr>
              <w:t>2,216 </w:t>
            </w:r>
          </w:p>
        </w:tc>
        <w:tc>
          <w:tcPr>
            <w:tcW w:w="0" w:type="auto"/>
            <w:shd w:val="clear" w:color="auto" w:fill="CCEEFF"/>
            <w:tcMar>
              <w:top w:w="40" w:type="dxa"/>
              <w:left w:w="0" w:type="dxa"/>
              <w:bottom w:w="40" w:type="dxa"/>
              <w:right w:w="20" w:type="dxa"/>
            </w:tcMar>
            <w:vAlign w:val="center"/>
          </w:tcPr>
          <w:p w14:paraId="35D0AB7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B7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B7D" w14:textId="77777777" w:rsidR="00D42204" w:rsidRDefault="004E439D">
            <w:pPr>
              <w:jc w:val="right"/>
              <w:textAlignment w:val="center"/>
            </w:pPr>
            <w:r>
              <w:rPr>
                <w:rFonts w:ascii="Times New Roman" w:eastAsia="宋体" w:hAnsi="Times New Roman"/>
                <w:color w:val="000000"/>
                <w:sz w:val="16"/>
                <w:szCs w:val="16"/>
              </w:rPr>
              <w:t>2,464 </w:t>
            </w:r>
          </w:p>
        </w:tc>
        <w:tc>
          <w:tcPr>
            <w:tcW w:w="0" w:type="auto"/>
            <w:shd w:val="clear" w:color="auto" w:fill="CCEEFF"/>
            <w:tcMar>
              <w:top w:w="40" w:type="dxa"/>
              <w:left w:w="0" w:type="dxa"/>
              <w:bottom w:w="40" w:type="dxa"/>
              <w:right w:w="20" w:type="dxa"/>
            </w:tcMar>
            <w:vAlign w:val="center"/>
          </w:tcPr>
          <w:p w14:paraId="35D0AB7E" w14:textId="77777777" w:rsidR="00D42204" w:rsidRDefault="00D42204">
            <w:pPr>
              <w:jc w:val="right"/>
              <w:rPr>
                <w:rFonts w:ascii="宋体"/>
              </w:rPr>
            </w:pPr>
          </w:p>
        </w:tc>
      </w:tr>
    </w:tbl>
    <w:p w14:paraId="35D0AB80" w14:textId="77777777" w:rsidR="00D42204" w:rsidRDefault="004E439D">
      <w:pPr>
        <w:spacing w:before="80"/>
      </w:pPr>
      <w:r>
        <w:rPr>
          <w:rFonts w:ascii="Times New Roman" w:eastAsia="宋体" w:hAnsi="Times New Roman"/>
          <w:i/>
          <w:iCs/>
          <w:color w:val="000000"/>
          <w:sz w:val="16"/>
          <w:szCs w:val="16"/>
        </w:rPr>
        <w:t xml:space="preserve">See accompanying notes. </w:t>
      </w:r>
    </w:p>
    <w:p w14:paraId="35D0AB81" w14:textId="77777777" w:rsidR="00D42204" w:rsidRDefault="004E439D">
      <w:pPr>
        <w:jc w:val="center"/>
      </w:pPr>
      <w:r>
        <w:rPr>
          <w:rFonts w:ascii="Times New Roman" w:eastAsia="宋体" w:hAnsi="Times New Roman"/>
          <w:color w:val="000000"/>
          <w:sz w:val="20"/>
          <w:szCs w:val="20"/>
        </w:rPr>
        <w:t>57</w:t>
      </w:r>
    </w:p>
    <w:p w14:paraId="35D0AB82" w14:textId="77777777" w:rsidR="00D42204" w:rsidRDefault="004E439D">
      <w:r>
        <w:pict w14:anchorId="35D0C394">
          <v:rect id="_x0000_i1081" style="width:415.3pt;height:1.5pt" o:hralign="center" o:hrstd="t" o:hr="t" fillcolor="#a0a0a0" stroked="f"/>
        </w:pict>
      </w:r>
    </w:p>
    <w:p w14:paraId="35D0AB83" w14:textId="77777777" w:rsidR="00D42204" w:rsidRDefault="00D42204"/>
    <w:p w14:paraId="35D0AB84" w14:textId="77777777" w:rsidR="00D42204" w:rsidRDefault="004E439D">
      <w:pPr>
        <w:jc w:val="center"/>
      </w:pPr>
      <w:r>
        <w:rPr>
          <w:rFonts w:ascii="Times New Roman" w:eastAsia="宋体" w:hAnsi="Times New Roman"/>
          <w:b/>
          <w:bCs/>
          <w:color w:val="000000"/>
          <w:sz w:val="20"/>
          <w:szCs w:val="20"/>
        </w:rPr>
        <w:t>Walmart Inc.</w:t>
      </w:r>
    </w:p>
    <w:p w14:paraId="35D0AB85" w14:textId="77777777" w:rsidR="00D42204" w:rsidRDefault="004E439D">
      <w:pPr>
        <w:spacing w:before="100"/>
        <w:jc w:val="center"/>
      </w:pPr>
      <w:r>
        <w:rPr>
          <w:rFonts w:ascii="Times New Roman" w:eastAsia="宋体" w:hAnsi="Times New Roman"/>
          <w:b/>
          <w:bCs/>
          <w:color w:val="000000"/>
          <w:sz w:val="20"/>
          <w:szCs w:val="20"/>
        </w:rPr>
        <w:t>Notes to Consolidated Financial Statements</w:t>
      </w:r>
    </w:p>
    <w:p w14:paraId="35D0AB86" w14:textId="77777777" w:rsidR="00D42204" w:rsidRDefault="004E439D">
      <w:pPr>
        <w:spacing w:before="180"/>
      </w:pPr>
      <w:r>
        <w:rPr>
          <w:rFonts w:ascii="Times New Roman" w:eastAsia="宋体" w:hAnsi="Times New Roman"/>
          <w:b/>
          <w:bCs/>
          <w:color w:val="000000"/>
          <w:sz w:val="20"/>
          <w:szCs w:val="20"/>
        </w:rPr>
        <w:t>Note 1. Summary of Significant Accounting Policies</w:t>
      </w:r>
    </w:p>
    <w:p w14:paraId="35D0AB87" w14:textId="77777777" w:rsidR="00D42204" w:rsidRDefault="004E439D">
      <w:pPr>
        <w:spacing w:before="100"/>
      </w:pPr>
      <w:r>
        <w:rPr>
          <w:rFonts w:ascii="Times New Roman" w:eastAsia="宋体" w:hAnsi="Times New Roman"/>
          <w:b/>
          <w:bCs/>
          <w:i/>
          <w:iCs/>
          <w:color w:val="000000"/>
          <w:sz w:val="20"/>
          <w:szCs w:val="20"/>
        </w:rPr>
        <w:t>General</w:t>
      </w:r>
    </w:p>
    <w:p w14:paraId="35D0AB88" w14:textId="77777777" w:rsidR="00D42204" w:rsidRDefault="004E439D">
      <w:pPr>
        <w:spacing w:before="100"/>
      </w:pPr>
      <w:r>
        <w:rPr>
          <w:rFonts w:ascii="Times New Roman" w:eastAsia="宋体" w:hAnsi="Times New Roman"/>
          <w:color w:val="000000"/>
          <w:sz w:val="20"/>
          <w:szCs w:val="20"/>
        </w:rPr>
        <w:t>Walmart Inc. ("Walmart" or the "Company") helps people around the world save money and live better – anytime and anywhere – by providing the opportunity to shop in both retail stores and through eCommerce. Through innovation, the Company is striving to con</w:t>
      </w:r>
      <w:r>
        <w:rPr>
          <w:rFonts w:ascii="Times New Roman" w:eastAsia="宋体" w:hAnsi="Times New Roman"/>
          <w:color w:val="000000"/>
          <w:sz w:val="20"/>
          <w:szCs w:val="20"/>
        </w:rPr>
        <w:t xml:space="preserve">tinuously improve a customer-centric experience that seamlessly integrates eCommerce and retail stores in an omni-channel offering that saves time for its customers. </w:t>
      </w:r>
    </w:p>
    <w:p w14:paraId="35D0AB89" w14:textId="77777777" w:rsidR="00D42204" w:rsidRDefault="004E439D">
      <w:pPr>
        <w:spacing w:before="100"/>
      </w:pPr>
      <w:r>
        <w:rPr>
          <w:rFonts w:ascii="Times New Roman" w:eastAsia="宋体" w:hAnsi="Times New Roman"/>
          <w:color w:val="000000"/>
          <w:sz w:val="20"/>
          <w:szCs w:val="20"/>
        </w:rPr>
        <w:t>The Company's operations comprise three reportable segments: Walmart U.S., Walmart Intern</w:t>
      </w:r>
      <w:r>
        <w:rPr>
          <w:rFonts w:ascii="Times New Roman" w:eastAsia="宋体" w:hAnsi="Times New Roman"/>
          <w:color w:val="000000"/>
          <w:sz w:val="20"/>
          <w:szCs w:val="20"/>
        </w:rPr>
        <w:t>ational and Sam's Club.</w:t>
      </w:r>
    </w:p>
    <w:p w14:paraId="35D0AB8A" w14:textId="77777777" w:rsidR="00D42204" w:rsidRDefault="004E439D">
      <w:pPr>
        <w:spacing w:before="180"/>
      </w:pPr>
      <w:r>
        <w:rPr>
          <w:rFonts w:ascii="Times New Roman" w:eastAsia="宋体" w:hAnsi="Times New Roman"/>
          <w:b/>
          <w:bCs/>
          <w:i/>
          <w:iCs/>
          <w:color w:val="000000"/>
          <w:sz w:val="20"/>
          <w:szCs w:val="20"/>
        </w:rPr>
        <w:t>Principles of Consolidation</w:t>
      </w:r>
    </w:p>
    <w:p w14:paraId="35D0AB8B" w14:textId="77777777" w:rsidR="00D42204" w:rsidRDefault="004E439D">
      <w:pPr>
        <w:spacing w:before="100"/>
      </w:pPr>
      <w:r>
        <w:rPr>
          <w:rFonts w:ascii="Times New Roman" w:eastAsia="宋体" w:hAnsi="Times New Roman"/>
          <w:color w:val="000000"/>
          <w:sz w:val="20"/>
          <w:szCs w:val="20"/>
        </w:rPr>
        <w:t>The Consolidated Financial Statements include the accounts of Walmart and its subsidiaries as of and for the fiscal years ended January 31, 2022 ("fiscal 2022"), January 31, 2021 ("fiscal 2021") and Janua</w:t>
      </w:r>
      <w:r>
        <w:rPr>
          <w:rFonts w:ascii="Times New Roman" w:eastAsia="宋体" w:hAnsi="Times New Roman"/>
          <w:color w:val="000000"/>
          <w:sz w:val="20"/>
          <w:szCs w:val="20"/>
        </w:rPr>
        <w:t>ry 31, 2020 ("fiscal 2020"). Intercompany accounts and transactions have been eliminated in consolidation. Certain previously reported amounts have been reclassified to conform to the current year presentation. The Company consolidates variable interest en</w:t>
      </w:r>
      <w:r>
        <w:rPr>
          <w:rFonts w:ascii="Times New Roman" w:eastAsia="宋体" w:hAnsi="Times New Roman"/>
          <w:color w:val="000000"/>
          <w:sz w:val="20"/>
          <w:szCs w:val="20"/>
        </w:rPr>
        <w:t>tities where it has been determined that the Company is the primary beneficiary of those entities' operations. Investments for which the Company exercises significant influence but does not have control are accounted for under the equity method. These vari</w:t>
      </w:r>
      <w:r>
        <w:rPr>
          <w:rFonts w:ascii="Times New Roman" w:eastAsia="宋体" w:hAnsi="Times New Roman"/>
          <w:color w:val="000000"/>
          <w:sz w:val="20"/>
          <w:szCs w:val="20"/>
        </w:rPr>
        <w:t>able interest entities and equity method investments are immaterial to the Company's Consolidated Financial Statements.</w:t>
      </w:r>
    </w:p>
    <w:p w14:paraId="35D0AB8C" w14:textId="77777777" w:rsidR="00D42204" w:rsidRDefault="004E439D">
      <w:pPr>
        <w:spacing w:before="100"/>
      </w:pPr>
      <w:r>
        <w:rPr>
          <w:rFonts w:ascii="Times New Roman" w:eastAsia="宋体" w:hAnsi="Times New Roman"/>
          <w:color w:val="000000"/>
          <w:sz w:val="20"/>
          <w:szCs w:val="20"/>
        </w:rPr>
        <w:t>The Company's Consolidated Financial Statements are based on a fiscal year ending on January 31 for the United States ("U.S.") and Canad</w:t>
      </w:r>
      <w:r>
        <w:rPr>
          <w:rFonts w:ascii="Times New Roman" w:eastAsia="宋体" w:hAnsi="Times New Roman"/>
          <w:color w:val="000000"/>
          <w:sz w:val="20"/>
          <w:szCs w:val="20"/>
        </w:rPr>
        <w:t>ian operations. The Company consolidates all other operations generally using a one-month lag and based on a calendar year. There were no significant intervening events during the month of January 2022 related to the operations consolidated using a lag tha</w:t>
      </w:r>
      <w:r>
        <w:rPr>
          <w:rFonts w:ascii="Times New Roman" w:eastAsia="宋体" w:hAnsi="Times New Roman"/>
          <w:color w:val="000000"/>
          <w:sz w:val="20"/>
          <w:szCs w:val="20"/>
        </w:rPr>
        <w:t>t materially affected the Consolidated Financial Statements.</w:t>
      </w:r>
    </w:p>
    <w:p w14:paraId="35D0AB8D" w14:textId="77777777" w:rsidR="00D42204" w:rsidRDefault="004E439D">
      <w:pPr>
        <w:spacing w:before="180"/>
      </w:pPr>
      <w:r>
        <w:rPr>
          <w:rFonts w:ascii="Times New Roman" w:eastAsia="宋体" w:hAnsi="Times New Roman"/>
          <w:b/>
          <w:bCs/>
          <w:i/>
          <w:iCs/>
          <w:color w:val="000000"/>
          <w:sz w:val="20"/>
          <w:szCs w:val="20"/>
        </w:rPr>
        <w:t>Use of Estimates</w:t>
      </w:r>
    </w:p>
    <w:p w14:paraId="35D0AB8E" w14:textId="77777777" w:rsidR="00D42204" w:rsidRDefault="004E439D">
      <w:pPr>
        <w:spacing w:before="100"/>
      </w:pPr>
      <w:r>
        <w:rPr>
          <w:rFonts w:ascii="Times New Roman" w:eastAsia="宋体" w:hAnsi="Times New Roman"/>
          <w:color w:val="000000"/>
          <w:sz w:val="20"/>
          <w:szCs w:val="20"/>
        </w:rPr>
        <w:t>The Consolidated Financial Statements have been prepared in conformity with U.S. generally accepted accounting principles. Those principles require management to make estimates a</w:t>
      </w:r>
      <w:r>
        <w:rPr>
          <w:rFonts w:ascii="Times New Roman" w:eastAsia="宋体" w:hAnsi="Times New Roman"/>
          <w:color w:val="000000"/>
          <w:sz w:val="20"/>
          <w:szCs w:val="20"/>
        </w:rPr>
        <w:t>nd assumptions that affect the reported amounts of assets and liabilities. Management's estimates and assumptions also affect the disclosure of contingent assets and liabilities at the date of the financial statements and the reported amounts of revenues a</w:t>
      </w:r>
      <w:r>
        <w:rPr>
          <w:rFonts w:ascii="Times New Roman" w:eastAsia="宋体" w:hAnsi="Times New Roman"/>
          <w:color w:val="000000"/>
          <w:sz w:val="20"/>
          <w:szCs w:val="20"/>
        </w:rPr>
        <w:t>nd expenses during the reporting period. Actual results may differ from those estimates.</w:t>
      </w:r>
    </w:p>
    <w:p w14:paraId="35D0AB8F" w14:textId="77777777" w:rsidR="00D42204" w:rsidRDefault="004E439D">
      <w:pPr>
        <w:spacing w:before="180"/>
      </w:pPr>
      <w:r>
        <w:rPr>
          <w:rFonts w:ascii="Times New Roman" w:eastAsia="宋体" w:hAnsi="Times New Roman"/>
          <w:b/>
          <w:bCs/>
          <w:i/>
          <w:iCs/>
          <w:color w:val="000000"/>
          <w:sz w:val="20"/>
          <w:szCs w:val="20"/>
        </w:rPr>
        <w:t>Cash and Cash Equivalents</w:t>
      </w:r>
    </w:p>
    <w:p w14:paraId="35D0AB90" w14:textId="77777777" w:rsidR="00D42204" w:rsidRDefault="004E439D">
      <w:pPr>
        <w:spacing w:before="100"/>
      </w:pPr>
      <w:r>
        <w:rPr>
          <w:rFonts w:ascii="Times New Roman" w:eastAsia="宋体" w:hAnsi="Times New Roman"/>
          <w:color w:val="000000"/>
          <w:sz w:val="20"/>
          <w:szCs w:val="20"/>
        </w:rPr>
        <w:t xml:space="preserve">The Company considers investments with a maturity when purchased of three months or less to be cash equivalents. All credit card, debit card </w:t>
      </w:r>
      <w:r>
        <w:rPr>
          <w:rFonts w:ascii="Times New Roman" w:eastAsia="宋体" w:hAnsi="Times New Roman"/>
          <w:color w:val="000000"/>
          <w:sz w:val="20"/>
          <w:szCs w:val="20"/>
        </w:rPr>
        <w:t>and electronic transfer transactions that process in less than seven days are classified as cash and cash equivalents. The amounts due from banks for these transactions classified as cash and cash equivalents totaled $1.7 billion and $4.1 billion as of Jan</w:t>
      </w:r>
      <w:r>
        <w:rPr>
          <w:rFonts w:ascii="Times New Roman" w:eastAsia="宋体" w:hAnsi="Times New Roman"/>
          <w:color w:val="000000"/>
          <w:sz w:val="20"/>
          <w:szCs w:val="20"/>
        </w:rPr>
        <w:t xml:space="preserve">uary 31, 2022 and 2021, respectively. </w:t>
      </w:r>
    </w:p>
    <w:p w14:paraId="35D0AB91" w14:textId="77777777" w:rsidR="00D42204" w:rsidRDefault="004E439D">
      <w:pPr>
        <w:spacing w:before="100"/>
      </w:pPr>
      <w:r>
        <w:rPr>
          <w:rFonts w:ascii="Times New Roman" w:eastAsia="宋体" w:hAnsi="Times New Roman"/>
          <w:color w:val="000000"/>
          <w:sz w:val="20"/>
          <w:szCs w:val="20"/>
        </w:rPr>
        <w:t xml:space="preserve">The Company's cash balances are held in various locations around the world. Of the Company's $14.8 billion and $17.7 billion in cash and cash equivalents as of January 31, 2022 and January 31, 2021, approximately 50% </w:t>
      </w:r>
      <w:r>
        <w:rPr>
          <w:rFonts w:ascii="Times New Roman" w:eastAsia="宋体" w:hAnsi="Times New Roman"/>
          <w:color w:val="000000"/>
          <w:sz w:val="20"/>
          <w:szCs w:val="20"/>
        </w:rPr>
        <w:t>and 40% were held outside of the U.S., respectively. Cash and cash equivalents held outside of the U.S. are generally utilized to support liquidity needs in the Company's non-U.S. operations.</w:t>
      </w:r>
    </w:p>
    <w:p w14:paraId="35D0AB92" w14:textId="77777777" w:rsidR="00D42204" w:rsidRDefault="004E439D">
      <w:pPr>
        <w:spacing w:before="100"/>
      </w:pPr>
      <w:r>
        <w:rPr>
          <w:rFonts w:ascii="Times New Roman" w:eastAsia="宋体" w:hAnsi="Times New Roman"/>
          <w:color w:val="000000"/>
          <w:sz w:val="20"/>
          <w:szCs w:val="20"/>
        </w:rPr>
        <w:t>The Company uses intercompany financing arrangements in an effor</w:t>
      </w:r>
      <w:r>
        <w:rPr>
          <w:rFonts w:ascii="Times New Roman" w:eastAsia="宋体" w:hAnsi="Times New Roman"/>
          <w:color w:val="000000"/>
          <w:sz w:val="20"/>
          <w:szCs w:val="20"/>
        </w:rPr>
        <w:t xml:space="preserve">t to ensure cash can be made available in the country in which it is needed with the minimum cost possible. </w:t>
      </w:r>
    </w:p>
    <w:p w14:paraId="35D0AB93" w14:textId="77777777" w:rsidR="00D42204" w:rsidRDefault="004E439D">
      <w:pPr>
        <w:spacing w:before="100"/>
      </w:pPr>
      <w:r>
        <w:rPr>
          <w:rFonts w:ascii="Times New Roman" w:eastAsia="宋体" w:hAnsi="Times New Roman"/>
          <w:color w:val="000000"/>
          <w:sz w:val="20"/>
          <w:szCs w:val="20"/>
        </w:rPr>
        <w:t>As of January 31, 2022 and 2021, cash and cash equivalents of approximately $4.3 billion and $2.8 billion, respectively, may not be freely transfer</w:t>
      </w:r>
      <w:r>
        <w:rPr>
          <w:rFonts w:ascii="Times New Roman" w:eastAsia="宋体" w:hAnsi="Times New Roman"/>
          <w:color w:val="000000"/>
          <w:sz w:val="20"/>
          <w:szCs w:val="20"/>
        </w:rPr>
        <w:t>able to the U.S. due to local laws or other restrictions. Of the $4.3 billion as of January 31, 2022, approximately $2.2 billion can only be accessed through dividends or intercompany financing arrangements subject to approval of Flipkart Private Limited (</w:t>
      </w:r>
      <w:r>
        <w:rPr>
          <w:rFonts w:ascii="Times New Roman" w:eastAsia="宋体" w:hAnsi="Times New Roman"/>
          <w:color w:val="000000"/>
          <w:sz w:val="20"/>
          <w:szCs w:val="20"/>
        </w:rPr>
        <w:t>"Flipkart") minority shareholders.</w:t>
      </w:r>
    </w:p>
    <w:p w14:paraId="35D0AB94" w14:textId="77777777" w:rsidR="00D42204" w:rsidRDefault="004E439D">
      <w:pPr>
        <w:spacing w:before="180"/>
      </w:pPr>
      <w:r>
        <w:rPr>
          <w:rFonts w:ascii="Times New Roman" w:eastAsia="宋体" w:hAnsi="Times New Roman"/>
          <w:b/>
          <w:bCs/>
          <w:i/>
          <w:iCs/>
          <w:color w:val="000000"/>
          <w:sz w:val="20"/>
          <w:szCs w:val="20"/>
        </w:rPr>
        <w:t>Receivables</w:t>
      </w:r>
    </w:p>
    <w:p w14:paraId="35D0AB95" w14:textId="77777777" w:rsidR="00D42204" w:rsidRDefault="004E439D">
      <w:pPr>
        <w:spacing w:before="100"/>
      </w:pPr>
      <w:r>
        <w:rPr>
          <w:rFonts w:ascii="Times New Roman" w:eastAsia="宋体" w:hAnsi="Times New Roman"/>
          <w:color w:val="000000"/>
          <w:sz w:val="20"/>
          <w:szCs w:val="20"/>
        </w:rPr>
        <w:t>Receivables are stated at their carrying values, net of a reserve for doubtful accounts, and are primarily due from the following: customers, which includes pharmacy insurance companies as well as advertisers,</w:t>
      </w:r>
      <w:r>
        <w:rPr>
          <w:rFonts w:ascii="Times New Roman" w:eastAsia="宋体" w:hAnsi="Times New Roman"/>
          <w:color w:val="000000"/>
          <w:sz w:val="20"/>
          <w:szCs w:val="20"/>
        </w:rPr>
        <w:t xml:space="preserve"> and banks for customer credit, debit cards and electronic transfer transactions that take in excess of seven days to process; suppliers for marketing or incentive programs; governments for income taxes; and real estate transactions. As of January 31, 2022</w:t>
      </w:r>
      <w:r>
        <w:rPr>
          <w:rFonts w:ascii="Times New Roman" w:eastAsia="宋体" w:hAnsi="Times New Roman"/>
          <w:color w:val="000000"/>
          <w:sz w:val="20"/>
          <w:szCs w:val="20"/>
        </w:rPr>
        <w:t xml:space="preserve"> and January 31, 2021, net receivables from transactions with customers were $3.4 billion and $2.7 billion, respectively.</w:t>
      </w:r>
    </w:p>
    <w:p w14:paraId="35D0AB96" w14:textId="77777777" w:rsidR="00D42204" w:rsidRDefault="004E439D">
      <w:pPr>
        <w:jc w:val="center"/>
      </w:pPr>
      <w:r>
        <w:rPr>
          <w:rFonts w:ascii="Times New Roman" w:eastAsia="宋体" w:hAnsi="Times New Roman"/>
          <w:color w:val="000000"/>
          <w:sz w:val="20"/>
          <w:szCs w:val="20"/>
        </w:rPr>
        <w:t>58</w:t>
      </w:r>
    </w:p>
    <w:p w14:paraId="35D0AB97" w14:textId="77777777" w:rsidR="00D42204" w:rsidRDefault="004E439D">
      <w:r>
        <w:pict w14:anchorId="35D0C395">
          <v:rect id="_x0000_i1082" style="width:415.3pt;height:1.5pt" o:hralign="center" o:hrstd="t" o:hr="t" fillcolor="#a0a0a0" stroked="f"/>
        </w:pict>
      </w:r>
    </w:p>
    <w:p w14:paraId="35D0AB98" w14:textId="77777777" w:rsidR="00D42204" w:rsidRDefault="00D42204"/>
    <w:p w14:paraId="35D0AB99" w14:textId="77777777" w:rsidR="00D42204" w:rsidRDefault="004E439D">
      <w:pPr>
        <w:spacing w:before="180"/>
      </w:pPr>
      <w:r>
        <w:rPr>
          <w:rFonts w:ascii="Times New Roman" w:eastAsia="宋体" w:hAnsi="Times New Roman"/>
          <w:b/>
          <w:bCs/>
          <w:i/>
          <w:iCs/>
          <w:color w:val="000000"/>
          <w:sz w:val="20"/>
          <w:szCs w:val="20"/>
        </w:rPr>
        <w:t>Inventories</w:t>
      </w:r>
    </w:p>
    <w:p w14:paraId="35D0AB9A" w14:textId="77777777" w:rsidR="00D42204" w:rsidRDefault="004E439D">
      <w:pPr>
        <w:spacing w:before="100"/>
      </w:pPr>
      <w:r>
        <w:rPr>
          <w:rFonts w:ascii="Times New Roman" w:eastAsia="宋体" w:hAnsi="Times New Roman"/>
          <w:color w:val="000000"/>
          <w:sz w:val="20"/>
          <w:szCs w:val="20"/>
        </w:rPr>
        <w:t>The Company values inventories at the lower of cost or market as determined primarily by the retail inventory method</w:t>
      </w:r>
      <w:r>
        <w:rPr>
          <w:rFonts w:ascii="Times New Roman" w:eastAsia="宋体" w:hAnsi="Times New Roman"/>
          <w:color w:val="000000"/>
          <w:sz w:val="20"/>
          <w:szCs w:val="20"/>
        </w:rPr>
        <w:t xml:space="preserve"> of accounting, using the last-in, first-out ("LIFO") method for the Walmart U.S. segment's inventories. The inventory for the Walmart International segment is generally valued in most markets by the retail inventory method of accounting, using the first-i</w:t>
      </w:r>
      <w:r>
        <w:rPr>
          <w:rFonts w:ascii="Times New Roman" w:eastAsia="宋体" w:hAnsi="Times New Roman"/>
          <w:color w:val="000000"/>
          <w:sz w:val="20"/>
          <w:szCs w:val="20"/>
        </w:rPr>
        <w:t>n, first-out ("FIFO") method. The retail inventory method of accounting results in inventory being valued at the lower of cost or market, since permanent markdowns are immediately recorded as a reduction of the retail value of inventory. The inventory at t</w:t>
      </w:r>
      <w:r>
        <w:rPr>
          <w:rFonts w:ascii="Times New Roman" w:eastAsia="宋体" w:hAnsi="Times New Roman"/>
          <w:color w:val="000000"/>
          <w:sz w:val="20"/>
          <w:szCs w:val="20"/>
        </w:rPr>
        <w:t>he Sam's Club segment is valued using the weighted-average cost LIFO method. As of January 31, 2022 and 2021, inventories valued at LIFO approximated those inventories as if they were valued at first-in, first-out ("FIFO").</w:t>
      </w:r>
    </w:p>
    <w:p w14:paraId="35D0AB9B" w14:textId="77777777" w:rsidR="00D42204" w:rsidRDefault="004E439D">
      <w:pPr>
        <w:spacing w:before="180"/>
      </w:pPr>
      <w:r>
        <w:rPr>
          <w:rFonts w:ascii="Times New Roman" w:eastAsia="宋体" w:hAnsi="Times New Roman"/>
          <w:b/>
          <w:bCs/>
          <w:i/>
          <w:iCs/>
          <w:color w:val="000000"/>
          <w:sz w:val="20"/>
          <w:szCs w:val="20"/>
        </w:rPr>
        <w:t>Held for Sale</w:t>
      </w:r>
    </w:p>
    <w:p w14:paraId="35D0AB9C" w14:textId="77777777" w:rsidR="00D42204" w:rsidRDefault="004E439D">
      <w:pPr>
        <w:spacing w:before="100"/>
      </w:pPr>
      <w:r>
        <w:rPr>
          <w:rFonts w:ascii="Times New Roman" w:eastAsia="宋体" w:hAnsi="Times New Roman"/>
          <w:color w:val="000000"/>
          <w:sz w:val="20"/>
          <w:szCs w:val="20"/>
        </w:rPr>
        <w:t>Components and bus</w:t>
      </w:r>
      <w:r>
        <w:rPr>
          <w:rFonts w:ascii="Times New Roman" w:eastAsia="宋体" w:hAnsi="Times New Roman"/>
          <w:color w:val="000000"/>
          <w:sz w:val="20"/>
          <w:szCs w:val="20"/>
        </w:rPr>
        <w:t>inesses that meet accounting requirements to be classified as held for sale are presented as single asset and liability amounts in the Company's financial statements with a valuation allowance, if necessary, to recognize the net carrying amount at the lowe</w:t>
      </w:r>
      <w:r>
        <w:rPr>
          <w:rFonts w:ascii="Times New Roman" w:eastAsia="宋体" w:hAnsi="Times New Roman"/>
          <w:color w:val="000000"/>
          <w:sz w:val="20"/>
          <w:szCs w:val="20"/>
        </w:rPr>
        <w:t>r of cost or fair value, less costs to sell.  The Company reviews its businesses and assets held for sale each reporting period to determine whether the existing carrying amounts are fully recoverable in comparison to estimated fair values.  As of January </w:t>
      </w:r>
      <w:r>
        <w:rPr>
          <w:rFonts w:ascii="Times New Roman" w:eastAsia="宋体" w:hAnsi="Times New Roman"/>
          <w:color w:val="000000"/>
          <w:sz w:val="20"/>
          <w:szCs w:val="20"/>
        </w:rPr>
        <w:t>31, 2022, assets and liabilities held for sale were immaterial. As of January 31, 2021, $19.2 billion assets held for sale and $12.7 billion liabilities held for sale were classified in prepaid expenses and other and accrued liabilities in the Consolidated</w:t>
      </w:r>
      <w:r>
        <w:rPr>
          <w:rFonts w:ascii="Times New Roman" w:eastAsia="宋体" w:hAnsi="Times New Roman"/>
          <w:color w:val="000000"/>
          <w:sz w:val="20"/>
          <w:szCs w:val="20"/>
        </w:rPr>
        <w:t xml:space="preserve"> Balance Sheets, respectively, reflecting the Company's operations in the U.K. and Japan classified as held for sale which subsequently closed during fiscal 2022. Refer to </w:t>
      </w:r>
      <w:hyperlink r:id="rId139" w:anchor="i1ba69ebb72ec48f9b754a5e96c4cdf3f_190"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xml:space="preserve"> for additional details. </w:t>
      </w:r>
    </w:p>
    <w:p w14:paraId="35D0AB9D" w14:textId="77777777" w:rsidR="00D42204" w:rsidRDefault="004E439D">
      <w:pPr>
        <w:spacing w:before="180"/>
      </w:pPr>
      <w:r>
        <w:rPr>
          <w:rFonts w:ascii="Times New Roman" w:eastAsia="宋体" w:hAnsi="Times New Roman"/>
          <w:b/>
          <w:bCs/>
          <w:i/>
          <w:iCs/>
          <w:color w:val="000000"/>
          <w:sz w:val="20"/>
          <w:szCs w:val="20"/>
        </w:rPr>
        <w:t>Property and Equipment</w:t>
      </w:r>
    </w:p>
    <w:p w14:paraId="35D0AB9E" w14:textId="77777777" w:rsidR="00D42204" w:rsidRDefault="004E439D">
      <w:pPr>
        <w:spacing w:before="100"/>
      </w:pPr>
      <w:r>
        <w:rPr>
          <w:rFonts w:ascii="Times New Roman" w:eastAsia="宋体" w:hAnsi="Times New Roman"/>
          <w:color w:val="000000"/>
          <w:sz w:val="20"/>
          <w:szCs w:val="20"/>
        </w:rPr>
        <w:t xml:space="preserve">Property and equipment are initially recorded at cost. Gains or losses on disposition are recognized as earned or </w:t>
      </w:r>
      <w:r>
        <w:rPr>
          <w:rFonts w:ascii="Times New Roman" w:eastAsia="宋体" w:hAnsi="Times New Roman"/>
          <w:color w:val="000000"/>
          <w:sz w:val="20"/>
          <w:szCs w:val="20"/>
        </w:rPr>
        <w:t>incurred. Costs of major improvements are capitalized, while costs of normal repairs and maintenance are expensed as incurred. The following table summarizes the Company's property and equipment balances and includes the estimated useful lives that are gen</w:t>
      </w:r>
      <w:r>
        <w:rPr>
          <w:rFonts w:ascii="Times New Roman" w:eastAsia="宋体" w:hAnsi="Times New Roman"/>
          <w:color w:val="000000"/>
          <w:sz w:val="20"/>
          <w:szCs w:val="20"/>
        </w:rPr>
        <w:t>erally used to depreciate the assets on a straight-line basis:</w:t>
      </w:r>
    </w:p>
    <w:tbl>
      <w:tblPr>
        <w:tblW w:w="4963" w:type="pct"/>
        <w:jc w:val="center"/>
        <w:tblCellMar>
          <w:top w:w="15" w:type="dxa"/>
          <w:left w:w="15" w:type="dxa"/>
          <w:bottom w:w="15" w:type="dxa"/>
          <w:right w:w="15" w:type="dxa"/>
        </w:tblCellMar>
        <w:tblLook w:val="04A0" w:firstRow="1" w:lastRow="0" w:firstColumn="1" w:lastColumn="0" w:noHBand="0" w:noVBand="1"/>
      </w:tblPr>
      <w:tblGrid>
        <w:gridCol w:w="48"/>
        <w:gridCol w:w="4105"/>
        <w:gridCol w:w="37"/>
        <w:gridCol w:w="36"/>
        <w:gridCol w:w="36"/>
        <w:gridCol w:w="36"/>
        <w:gridCol w:w="37"/>
        <w:gridCol w:w="1576"/>
        <w:gridCol w:w="36"/>
        <w:gridCol w:w="36"/>
        <w:gridCol w:w="36"/>
        <w:gridCol w:w="36"/>
        <w:gridCol w:w="100"/>
        <w:gridCol w:w="919"/>
        <w:gridCol w:w="36"/>
        <w:gridCol w:w="36"/>
        <w:gridCol w:w="36"/>
        <w:gridCol w:w="36"/>
        <w:gridCol w:w="100"/>
        <w:gridCol w:w="920"/>
        <w:gridCol w:w="36"/>
      </w:tblGrid>
      <w:tr w:rsidR="00D42204" w14:paraId="35D0ABB4" w14:textId="77777777">
        <w:trPr>
          <w:jc w:val="center"/>
        </w:trPr>
        <w:tc>
          <w:tcPr>
            <w:tcW w:w="50" w:type="pct"/>
            <w:shd w:val="clear" w:color="auto" w:fill="auto"/>
            <w:vAlign w:val="bottom"/>
          </w:tcPr>
          <w:p w14:paraId="35D0AB9F" w14:textId="77777777" w:rsidR="00D42204" w:rsidRDefault="00D42204">
            <w:pPr>
              <w:rPr>
                <w:rFonts w:ascii="宋体"/>
              </w:rPr>
            </w:pPr>
          </w:p>
        </w:tc>
        <w:tc>
          <w:tcPr>
            <w:tcW w:w="2500" w:type="pct"/>
            <w:shd w:val="clear" w:color="auto" w:fill="auto"/>
            <w:vAlign w:val="bottom"/>
          </w:tcPr>
          <w:p w14:paraId="35D0ABA0" w14:textId="77777777" w:rsidR="00D42204" w:rsidRDefault="00D42204">
            <w:pPr>
              <w:rPr>
                <w:rFonts w:ascii="宋体"/>
              </w:rPr>
            </w:pPr>
          </w:p>
        </w:tc>
        <w:tc>
          <w:tcPr>
            <w:tcW w:w="5" w:type="pct"/>
            <w:shd w:val="clear" w:color="auto" w:fill="auto"/>
            <w:vAlign w:val="bottom"/>
          </w:tcPr>
          <w:p w14:paraId="35D0ABA1" w14:textId="77777777" w:rsidR="00D42204" w:rsidRDefault="00D42204">
            <w:pPr>
              <w:rPr>
                <w:rFonts w:ascii="宋体"/>
              </w:rPr>
            </w:pPr>
          </w:p>
        </w:tc>
        <w:tc>
          <w:tcPr>
            <w:tcW w:w="5" w:type="pct"/>
            <w:shd w:val="clear" w:color="auto" w:fill="auto"/>
            <w:vAlign w:val="bottom"/>
          </w:tcPr>
          <w:p w14:paraId="35D0ABA2" w14:textId="77777777" w:rsidR="00D42204" w:rsidRDefault="00D42204">
            <w:pPr>
              <w:rPr>
                <w:rFonts w:ascii="宋体"/>
              </w:rPr>
            </w:pPr>
          </w:p>
        </w:tc>
        <w:tc>
          <w:tcPr>
            <w:tcW w:w="26" w:type="pct"/>
            <w:shd w:val="clear" w:color="auto" w:fill="auto"/>
            <w:vAlign w:val="bottom"/>
          </w:tcPr>
          <w:p w14:paraId="35D0ABA3" w14:textId="77777777" w:rsidR="00D42204" w:rsidRDefault="00D42204">
            <w:pPr>
              <w:rPr>
                <w:rFonts w:ascii="宋体"/>
              </w:rPr>
            </w:pPr>
          </w:p>
        </w:tc>
        <w:tc>
          <w:tcPr>
            <w:tcW w:w="5" w:type="pct"/>
            <w:shd w:val="clear" w:color="auto" w:fill="auto"/>
            <w:vAlign w:val="bottom"/>
          </w:tcPr>
          <w:p w14:paraId="35D0ABA4" w14:textId="77777777" w:rsidR="00D42204" w:rsidRDefault="00D42204">
            <w:pPr>
              <w:rPr>
                <w:rFonts w:ascii="宋体"/>
              </w:rPr>
            </w:pPr>
          </w:p>
        </w:tc>
        <w:tc>
          <w:tcPr>
            <w:tcW w:w="50" w:type="pct"/>
            <w:shd w:val="clear" w:color="auto" w:fill="auto"/>
            <w:vAlign w:val="bottom"/>
          </w:tcPr>
          <w:p w14:paraId="35D0ABA5" w14:textId="77777777" w:rsidR="00D42204" w:rsidRDefault="00D42204">
            <w:pPr>
              <w:rPr>
                <w:rFonts w:ascii="宋体"/>
              </w:rPr>
            </w:pPr>
          </w:p>
        </w:tc>
        <w:tc>
          <w:tcPr>
            <w:tcW w:w="983" w:type="pct"/>
            <w:shd w:val="clear" w:color="auto" w:fill="auto"/>
            <w:vAlign w:val="bottom"/>
          </w:tcPr>
          <w:p w14:paraId="35D0ABA6" w14:textId="77777777" w:rsidR="00D42204" w:rsidRDefault="00D42204">
            <w:pPr>
              <w:rPr>
                <w:rFonts w:ascii="宋体"/>
              </w:rPr>
            </w:pPr>
          </w:p>
        </w:tc>
        <w:tc>
          <w:tcPr>
            <w:tcW w:w="5" w:type="pct"/>
            <w:shd w:val="clear" w:color="auto" w:fill="auto"/>
            <w:vAlign w:val="bottom"/>
          </w:tcPr>
          <w:p w14:paraId="35D0ABA7" w14:textId="77777777" w:rsidR="00D42204" w:rsidRDefault="00D42204">
            <w:pPr>
              <w:rPr>
                <w:rFonts w:ascii="宋体"/>
              </w:rPr>
            </w:pPr>
          </w:p>
        </w:tc>
        <w:tc>
          <w:tcPr>
            <w:tcW w:w="5" w:type="pct"/>
            <w:shd w:val="clear" w:color="auto" w:fill="auto"/>
            <w:vAlign w:val="bottom"/>
          </w:tcPr>
          <w:p w14:paraId="35D0ABA8" w14:textId="77777777" w:rsidR="00D42204" w:rsidRDefault="00D42204">
            <w:pPr>
              <w:rPr>
                <w:rFonts w:ascii="宋体"/>
              </w:rPr>
            </w:pPr>
          </w:p>
        </w:tc>
        <w:tc>
          <w:tcPr>
            <w:tcW w:w="26" w:type="pct"/>
            <w:shd w:val="clear" w:color="auto" w:fill="auto"/>
            <w:vAlign w:val="bottom"/>
          </w:tcPr>
          <w:p w14:paraId="35D0ABA9" w14:textId="77777777" w:rsidR="00D42204" w:rsidRDefault="00D42204">
            <w:pPr>
              <w:rPr>
                <w:rFonts w:ascii="宋体"/>
              </w:rPr>
            </w:pPr>
          </w:p>
        </w:tc>
        <w:tc>
          <w:tcPr>
            <w:tcW w:w="5" w:type="pct"/>
            <w:shd w:val="clear" w:color="auto" w:fill="auto"/>
            <w:vAlign w:val="bottom"/>
          </w:tcPr>
          <w:p w14:paraId="35D0ABAA" w14:textId="77777777" w:rsidR="00D42204" w:rsidRDefault="00D42204">
            <w:pPr>
              <w:rPr>
                <w:rFonts w:ascii="宋体"/>
              </w:rPr>
            </w:pPr>
          </w:p>
        </w:tc>
        <w:tc>
          <w:tcPr>
            <w:tcW w:w="50" w:type="pct"/>
            <w:shd w:val="clear" w:color="auto" w:fill="auto"/>
            <w:vAlign w:val="bottom"/>
          </w:tcPr>
          <w:p w14:paraId="35D0ABAB" w14:textId="77777777" w:rsidR="00D42204" w:rsidRDefault="00D42204">
            <w:pPr>
              <w:rPr>
                <w:rFonts w:ascii="宋体"/>
              </w:rPr>
            </w:pPr>
          </w:p>
        </w:tc>
        <w:tc>
          <w:tcPr>
            <w:tcW w:w="593" w:type="pct"/>
            <w:shd w:val="clear" w:color="auto" w:fill="auto"/>
            <w:vAlign w:val="bottom"/>
          </w:tcPr>
          <w:p w14:paraId="35D0ABAC" w14:textId="77777777" w:rsidR="00D42204" w:rsidRDefault="00D42204">
            <w:pPr>
              <w:rPr>
                <w:rFonts w:ascii="宋体"/>
              </w:rPr>
            </w:pPr>
          </w:p>
        </w:tc>
        <w:tc>
          <w:tcPr>
            <w:tcW w:w="5" w:type="pct"/>
            <w:shd w:val="clear" w:color="auto" w:fill="auto"/>
            <w:vAlign w:val="bottom"/>
          </w:tcPr>
          <w:p w14:paraId="35D0ABAD" w14:textId="77777777" w:rsidR="00D42204" w:rsidRDefault="00D42204">
            <w:pPr>
              <w:rPr>
                <w:rFonts w:ascii="宋体"/>
              </w:rPr>
            </w:pPr>
          </w:p>
        </w:tc>
        <w:tc>
          <w:tcPr>
            <w:tcW w:w="5" w:type="pct"/>
            <w:shd w:val="clear" w:color="auto" w:fill="auto"/>
            <w:vAlign w:val="bottom"/>
          </w:tcPr>
          <w:p w14:paraId="35D0ABAE" w14:textId="77777777" w:rsidR="00D42204" w:rsidRDefault="00D42204">
            <w:pPr>
              <w:rPr>
                <w:rFonts w:ascii="宋体"/>
              </w:rPr>
            </w:pPr>
          </w:p>
        </w:tc>
        <w:tc>
          <w:tcPr>
            <w:tcW w:w="26" w:type="pct"/>
            <w:shd w:val="clear" w:color="auto" w:fill="auto"/>
            <w:vAlign w:val="bottom"/>
          </w:tcPr>
          <w:p w14:paraId="35D0ABAF" w14:textId="77777777" w:rsidR="00D42204" w:rsidRDefault="00D42204">
            <w:pPr>
              <w:rPr>
                <w:rFonts w:ascii="宋体"/>
              </w:rPr>
            </w:pPr>
          </w:p>
        </w:tc>
        <w:tc>
          <w:tcPr>
            <w:tcW w:w="5" w:type="pct"/>
            <w:shd w:val="clear" w:color="auto" w:fill="auto"/>
            <w:vAlign w:val="bottom"/>
          </w:tcPr>
          <w:p w14:paraId="35D0ABB0" w14:textId="77777777" w:rsidR="00D42204" w:rsidRDefault="00D42204">
            <w:pPr>
              <w:rPr>
                <w:rFonts w:ascii="宋体"/>
              </w:rPr>
            </w:pPr>
          </w:p>
        </w:tc>
        <w:tc>
          <w:tcPr>
            <w:tcW w:w="50" w:type="pct"/>
            <w:shd w:val="clear" w:color="auto" w:fill="auto"/>
            <w:vAlign w:val="bottom"/>
          </w:tcPr>
          <w:p w14:paraId="35D0ABB1" w14:textId="77777777" w:rsidR="00D42204" w:rsidRDefault="00D42204">
            <w:pPr>
              <w:rPr>
                <w:rFonts w:ascii="宋体"/>
              </w:rPr>
            </w:pPr>
          </w:p>
        </w:tc>
        <w:tc>
          <w:tcPr>
            <w:tcW w:w="593" w:type="pct"/>
            <w:shd w:val="clear" w:color="auto" w:fill="auto"/>
            <w:vAlign w:val="bottom"/>
          </w:tcPr>
          <w:p w14:paraId="35D0ABB2" w14:textId="77777777" w:rsidR="00D42204" w:rsidRDefault="00D42204">
            <w:pPr>
              <w:rPr>
                <w:rFonts w:ascii="宋体"/>
              </w:rPr>
            </w:pPr>
          </w:p>
        </w:tc>
        <w:tc>
          <w:tcPr>
            <w:tcW w:w="5" w:type="pct"/>
            <w:shd w:val="clear" w:color="auto" w:fill="auto"/>
            <w:vAlign w:val="bottom"/>
          </w:tcPr>
          <w:p w14:paraId="35D0ABB3" w14:textId="77777777" w:rsidR="00D42204" w:rsidRDefault="00D42204">
            <w:pPr>
              <w:rPr>
                <w:rFonts w:ascii="宋体"/>
              </w:rPr>
            </w:pPr>
          </w:p>
        </w:tc>
      </w:tr>
      <w:tr w:rsidR="00D42204" w14:paraId="35D0ABBA" w14:textId="77777777">
        <w:trPr>
          <w:jc w:val="center"/>
        </w:trPr>
        <w:tc>
          <w:tcPr>
            <w:tcW w:w="0" w:type="auto"/>
            <w:gridSpan w:val="3"/>
            <w:shd w:val="clear" w:color="auto" w:fill="auto"/>
            <w:tcMar>
              <w:top w:w="0" w:type="dxa"/>
              <w:left w:w="20" w:type="dxa"/>
              <w:bottom w:w="0" w:type="dxa"/>
              <w:right w:w="20" w:type="dxa"/>
            </w:tcMar>
            <w:vAlign w:val="bottom"/>
          </w:tcPr>
          <w:p w14:paraId="35D0ABB5"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BB6"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BB7"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BB8" w14:textId="77777777" w:rsidR="00D42204" w:rsidRDefault="00D42204">
            <w:pPr>
              <w:rPr>
                <w:rFonts w:ascii="宋体"/>
              </w:rPr>
            </w:pPr>
          </w:p>
        </w:tc>
        <w:tc>
          <w:tcPr>
            <w:tcW w:w="0" w:type="auto"/>
            <w:gridSpan w:val="9"/>
            <w:shd w:val="clear" w:color="auto" w:fill="auto"/>
            <w:tcMar>
              <w:top w:w="40" w:type="dxa"/>
              <w:left w:w="20" w:type="dxa"/>
              <w:bottom w:w="40" w:type="dxa"/>
              <w:right w:w="20" w:type="dxa"/>
            </w:tcMar>
            <w:vAlign w:val="bottom"/>
          </w:tcPr>
          <w:p w14:paraId="35D0ABB9" w14:textId="77777777" w:rsidR="00D42204" w:rsidRDefault="004E439D">
            <w:pPr>
              <w:jc w:val="center"/>
              <w:textAlignment w:val="bottom"/>
            </w:pPr>
            <w:r>
              <w:rPr>
                <w:rFonts w:ascii="Times New Roman" w:eastAsia="宋体" w:hAnsi="Times New Roman"/>
                <w:b/>
                <w:bCs/>
                <w:color w:val="000000"/>
                <w:sz w:val="16"/>
                <w:szCs w:val="16"/>
              </w:rPr>
              <w:t>As of January 31,</w:t>
            </w:r>
          </w:p>
        </w:tc>
      </w:tr>
      <w:tr w:rsidR="00D42204" w14:paraId="35D0ABC2" w14:textId="77777777">
        <w:trPr>
          <w:jc w:val="center"/>
        </w:trPr>
        <w:tc>
          <w:tcPr>
            <w:tcW w:w="0" w:type="auto"/>
            <w:gridSpan w:val="3"/>
            <w:shd w:val="clear" w:color="auto" w:fill="auto"/>
            <w:tcMar>
              <w:top w:w="40" w:type="dxa"/>
              <w:left w:w="20" w:type="dxa"/>
              <w:bottom w:w="40" w:type="dxa"/>
              <w:right w:w="20" w:type="dxa"/>
            </w:tcMar>
            <w:vAlign w:val="bottom"/>
          </w:tcPr>
          <w:p w14:paraId="35D0ABBB"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ABBC"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BBD" w14:textId="77777777" w:rsidR="00D42204" w:rsidRDefault="004E439D">
            <w:pPr>
              <w:jc w:val="center"/>
              <w:textAlignment w:val="bottom"/>
            </w:pPr>
            <w:r>
              <w:rPr>
                <w:rFonts w:ascii="Times New Roman" w:eastAsia="宋体" w:hAnsi="Times New Roman"/>
                <w:b/>
                <w:bCs/>
                <w:color w:val="000000"/>
                <w:sz w:val="16"/>
                <w:szCs w:val="16"/>
              </w:rPr>
              <w:t>Estimated Useful Lives</w:t>
            </w:r>
          </w:p>
        </w:tc>
        <w:tc>
          <w:tcPr>
            <w:tcW w:w="0" w:type="auto"/>
            <w:gridSpan w:val="3"/>
            <w:shd w:val="clear" w:color="auto" w:fill="auto"/>
            <w:tcMar>
              <w:top w:w="0" w:type="dxa"/>
              <w:left w:w="20" w:type="dxa"/>
              <w:bottom w:w="0" w:type="dxa"/>
              <w:right w:w="20" w:type="dxa"/>
            </w:tcMar>
            <w:vAlign w:val="bottom"/>
          </w:tcPr>
          <w:p w14:paraId="35D0ABBE"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BBF"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BC0"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BC1" w14:textId="77777777" w:rsidR="00D42204" w:rsidRDefault="004E439D">
            <w:pPr>
              <w:jc w:val="center"/>
              <w:textAlignment w:val="bottom"/>
            </w:pPr>
            <w:r>
              <w:rPr>
                <w:rFonts w:ascii="Times New Roman" w:eastAsia="宋体" w:hAnsi="Times New Roman"/>
                <w:b/>
                <w:bCs/>
                <w:color w:val="000000"/>
                <w:sz w:val="16"/>
                <w:szCs w:val="16"/>
              </w:rPr>
              <w:t>2021</w:t>
            </w:r>
          </w:p>
        </w:tc>
      </w:tr>
      <w:tr w:rsidR="00D42204" w14:paraId="35D0ABCE" w14:textId="77777777">
        <w:trPr>
          <w:jc w:val="center"/>
        </w:trPr>
        <w:tc>
          <w:tcPr>
            <w:tcW w:w="0" w:type="auto"/>
            <w:gridSpan w:val="3"/>
            <w:shd w:val="clear" w:color="auto" w:fill="CCEEFF"/>
            <w:tcMar>
              <w:top w:w="40" w:type="dxa"/>
              <w:left w:w="20" w:type="dxa"/>
              <w:bottom w:w="40" w:type="dxa"/>
              <w:right w:w="20" w:type="dxa"/>
            </w:tcMar>
            <w:vAlign w:val="center"/>
          </w:tcPr>
          <w:p w14:paraId="35D0ABC3" w14:textId="77777777" w:rsidR="00D42204" w:rsidRDefault="004E439D">
            <w:pPr>
              <w:textAlignment w:val="center"/>
            </w:pPr>
            <w:r>
              <w:rPr>
                <w:rFonts w:ascii="Times New Roman" w:eastAsia="宋体" w:hAnsi="Times New Roman"/>
                <w:color w:val="000000"/>
                <w:sz w:val="16"/>
                <w:szCs w:val="16"/>
              </w:rPr>
              <w:t>Land</w:t>
            </w:r>
          </w:p>
        </w:tc>
        <w:tc>
          <w:tcPr>
            <w:tcW w:w="0" w:type="auto"/>
            <w:gridSpan w:val="3"/>
            <w:shd w:val="clear" w:color="auto" w:fill="CCEEFF"/>
            <w:tcMar>
              <w:top w:w="0" w:type="dxa"/>
              <w:left w:w="20" w:type="dxa"/>
              <w:bottom w:w="0" w:type="dxa"/>
              <w:right w:w="20" w:type="dxa"/>
            </w:tcMar>
            <w:vAlign w:val="bottom"/>
          </w:tcPr>
          <w:p w14:paraId="35D0ABC4"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ABC5" w14:textId="77777777" w:rsidR="00D42204" w:rsidRDefault="004E439D">
            <w:pPr>
              <w:jc w:val="center"/>
              <w:textAlignment w:val="center"/>
            </w:pPr>
            <w:r>
              <w:rPr>
                <w:rFonts w:ascii="Times New Roman" w:eastAsia="宋体" w:hAnsi="Times New Roman"/>
                <w:color w:val="000000"/>
                <w:sz w:val="16"/>
                <w:szCs w:val="16"/>
              </w:rPr>
              <w:t>N/A</w:t>
            </w:r>
          </w:p>
        </w:tc>
        <w:tc>
          <w:tcPr>
            <w:tcW w:w="0" w:type="auto"/>
            <w:gridSpan w:val="3"/>
            <w:shd w:val="clear" w:color="auto" w:fill="CCEEFF"/>
            <w:tcMar>
              <w:top w:w="0" w:type="dxa"/>
              <w:left w:w="20" w:type="dxa"/>
              <w:bottom w:w="0" w:type="dxa"/>
              <w:right w:w="20" w:type="dxa"/>
            </w:tcMar>
            <w:vAlign w:val="bottom"/>
          </w:tcPr>
          <w:p w14:paraId="35D0ABC6"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BC7"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BC8" w14:textId="77777777" w:rsidR="00D42204" w:rsidRDefault="004E439D">
            <w:pPr>
              <w:jc w:val="right"/>
              <w:textAlignment w:val="center"/>
            </w:pPr>
            <w:r>
              <w:rPr>
                <w:rFonts w:ascii="Times New Roman" w:eastAsia="宋体" w:hAnsi="Times New Roman"/>
                <w:color w:val="000000"/>
                <w:sz w:val="16"/>
                <w:szCs w:val="16"/>
              </w:rPr>
              <w:t>19,204 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BC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BCA"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BC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BCC" w14:textId="77777777" w:rsidR="00D42204" w:rsidRDefault="004E439D">
            <w:pPr>
              <w:jc w:val="right"/>
              <w:textAlignment w:val="center"/>
            </w:pPr>
            <w:r>
              <w:rPr>
                <w:rFonts w:ascii="Times New Roman" w:eastAsia="宋体" w:hAnsi="Times New Roman"/>
                <w:color w:val="000000"/>
                <w:sz w:val="16"/>
                <w:szCs w:val="16"/>
              </w:rPr>
              <w:t>19,308 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BCD" w14:textId="77777777" w:rsidR="00D42204" w:rsidRDefault="00D42204">
            <w:pPr>
              <w:jc w:val="right"/>
              <w:rPr>
                <w:rFonts w:ascii="宋体"/>
              </w:rPr>
            </w:pPr>
          </w:p>
        </w:tc>
      </w:tr>
      <w:tr w:rsidR="00D42204" w14:paraId="35D0ABD8" w14:textId="77777777">
        <w:trPr>
          <w:jc w:val="center"/>
        </w:trPr>
        <w:tc>
          <w:tcPr>
            <w:tcW w:w="0" w:type="auto"/>
            <w:gridSpan w:val="3"/>
            <w:shd w:val="clear" w:color="auto" w:fill="FFFFFF"/>
            <w:tcMar>
              <w:top w:w="40" w:type="dxa"/>
              <w:left w:w="20" w:type="dxa"/>
              <w:bottom w:w="40" w:type="dxa"/>
              <w:right w:w="20" w:type="dxa"/>
            </w:tcMar>
            <w:vAlign w:val="center"/>
          </w:tcPr>
          <w:p w14:paraId="35D0ABCF" w14:textId="77777777" w:rsidR="00D42204" w:rsidRDefault="004E439D">
            <w:pPr>
              <w:textAlignment w:val="center"/>
            </w:pPr>
            <w:r>
              <w:rPr>
                <w:rFonts w:ascii="Times New Roman" w:eastAsia="宋体" w:hAnsi="Times New Roman"/>
                <w:color w:val="000000"/>
                <w:sz w:val="16"/>
                <w:szCs w:val="16"/>
              </w:rPr>
              <w:t>Buildings and improvements</w:t>
            </w:r>
          </w:p>
        </w:tc>
        <w:tc>
          <w:tcPr>
            <w:tcW w:w="0" w:type="auto"/>
            <w:gridSpan w:val="3"/>
            <w:shd w:val="clear" w:color="auto" w:fill="FFFFFF"/>
            <w:tcMar>
              <w:top w:w="0" w:type="dxa"/>
              <w:left w:w="20" w:type="dxa"/>
              <w:bottom w:w="0" w:type="dxa"/>
              <w:right w:w="20" w:type="dxa"/>
            </w:tcMar>
            <w:vAlign w:val="bottom"/>
          </w:tcPr>
          <w:p w14:paraId="35D0ABD0"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ABD1" w14:textId="77777777" w:rsidR="00D42204" w:rsidRDefault="004E439D">
            <w:pPr>
              <w:jc w:val="center"/>
              <w:textAlignment w:val="center"/>
            </w:pPr>
            <w:r>
              <w:rPr>
                <w:rFonts w:ascii="Times New Roman" w:eastAsia="宋体" w:hAnsi="Times New Roman"/>
                <w:color w:val="000000"/>
                <w:sz w:val="16"/>
                <w:szCs w:val="16"/>
              </w:rPr>
              <w:t>3 - 40 years</w:t>
            </w:r>
          </w:p>
        </w:tc>
        <w:tc>
          <w:tcPr>
            <w:tcW w:w="0" w:type="auto"/>
            <w:gridSpan w:val="3"/>
            <w:shd w:val="clear" w:color="auto" w:fill="FFFFFF"/>
            <w:tcMar>
              <w:top w:w="0" w:type="dxa"/>
              <w:left w:w="20" w:type="dxa"/>
              <w:bottom w:w="0" w:type="dxa"/>
              <w:right w:w="20" w:type="dxa"/>
            </w:tcMar>
            <w:vAlign w:val="bottom"/>
          </w:tcPr>
          <w:p w14:paraId="35D0ABD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BD3" w14:textId="77777777" w:rsidR="00D42204" w:rsidRDefault="004E439D">
            <w:pPr>
              <w:jc w:val="right"/>
              <w:textAlignment w:val="center"/>
            </w:pPr>
            <w:r>
              <w:rPr>
                <w:rFonts w:ascii="Times New Roman" w:eastAsia="宋体" w:hAnsi="Times New Roman"/>
                <w:color w:val="000000"/>
                <w:sz w:val="16"/>
                <w:szCs w:val="16"/>
              </w:rPr>
              <w:t>100,376 </w:t>
            </w:r>
          </w:p>
        </w:tc>
        <w:tc>
          <w:tcPr>
            <w:tcW w:w="0" w:type="auto"/>
            <w:shd w:val="clear" w:color="auto" w:fill="FFFFFF"/>
            <w:tcMar>
              <w:top w:w="40" w:type="dxa"/>
              <w:left w:w="0" w:type="dxa"/>
              <w:bottom w:w="40" w:type="dxa"/>
              <w:right w:w="20" w:type="dxa"/>
            </w:tcMar>
            <w:vAlign w:val="center"/>
          </w:tcPr>
          <w:p w14:paraId="35D0ABD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BD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BD6" w14:textId="77777777" w:rsidR="00D42204" w:rsidRDefault="004E439D">
            <w:pPr>
              <w:jc w:val="right"/>
              <w:textAlignment w:val="center"/>
            </w:pPr>
            <w:r>
              <w:rPr>
                <w:rFonts w:ascii="Times New Roman" w:eastAsia="宋体" w:hAnsi="Times New Roman"/>
                <w:color w:val="000000"/>
                <w:sz w:val="16"/>
                <w:szCs w:val="16"/>
              </w:rPr>
              <w:t>97,582 </w:t>
            </w:r>
          </w:p>
        </w:tc>
        <w:tc>
          <w:tcPr>
            <w:tcW w:w="0" w:type="auto"/>
            <w:shd w:val="clear" w:color="auto" w:fill="FFFFFF"/>
            <w:tcMar>
              <w:top w:w="40" w:type="dxa"/>
              <w:left w:w="0" w:type="dxa"/>
              <w:bottom w:w="40" w:type="dxa"/>
              <w:right w:w="20" w:type="dxa"/>
            </w:tcMar>
            <w:vAlign w:val="center"/>
          </w:tcPr>
          <w:p w14:paraId="35D0ABD7" w14:textId="77777777" w:rsidR="00D42204" w:rsidRDefault="00D42204">
            <w:pPr>
              <w:jc w:val="right"/>
              <w:rPr>
                <w:rFonts w:ascii="宋体"/>
              </w:rPr>
            </w:pPr>
          </w:p>
        </w:tc>
      </w:tr>
      <w:tr w:rsidR="00D42204" w14:paraId="35D0ABE2" w14:textId="77777777">
        <w:trPr>
          <w:jc w:val="center"/>
        </w:trPr>
        <w:tc>
          <w:tcPr>
            <w:tcW w:w="0" w:type="auto"/>
            <w:gridSpan w:val="3"/>
            <w:shd w:val="clear" w:color="auto" w:fill="CCEEFF"/>
            <w:tcMar>
              <w:top w:w="40" w:type="dxa"/>
              <w:left w:w="20" w:type="dxa"/>
              <w:bottom w:w="40" w:type="dxa"/>
              <w:right w:w="20" w:type="dxa"/>
            </w:tcMar>
            <w:vAlign w:val="center"/>
          </w:tcPr>
          <w:p w14:paraId="35D0ABD9" w14:textId="77777777" w:rsidR="00D42204" w:rsidRDefault="004E439D">
            <w:pPr>
              <w:textAlignment w:val="center"/>
            </w:pPr>
            <w:r>
              <w:rPr>
                <w:rFonts w:ascii="Times New Roman" w:eastAsia="宋体" w:hAnsi="Times New Roman"/>
                <w:color w:val="000000"/>
                <w:sz w:val="16"/>
                <w:szCs w:val="16"/>
              </w:rPr>
              <w:t>Fixtures and equipment</w:t>
            </w:r>
          </w:p>
        </w:tc>
        <w:tc>
          <w:tcPr>
            <w:tcW w:w="0" w:type="auto"/>
            <w:gridSpan w:val="3"/>
            <w:shd w:val="clear" w:color="auto" w:fill="CCEEFF"/>
            <w:tcMar>
              <w:top w:w="0" w:type="dxa"/>
              <w:left w:w="20" w:type="dxa"/>
              <w:bottom w:w="0" w:type="dxa"/>
              <w:right w:w="20" w:type="dxa"/>
            </w:tcMar>
            <w:vAlign w:val="bottom"/>
          </w:tcPr>
          <w:p w14:paraId="35D0ABDA"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center"/>
          </w:tcPr>
          <w:p w14:paraId="35D0ABDB" w14:textId="77777777" w:rsidR="00D42204" w:rsidRDefault="004E439D">
            <w:pPr>
              <w:jc w:val="center"/>
              <w:textAlignment w:val="center"/>
            </w:pPr>
            <w:r>
              <w:rPr>
                <w:rFonts w:ascii="Times New Roman" w:eastAsia="宋体" w:hAnsi="Times New Roman"/>
                <w:color w:val="000000"/>
                <w:sz w:val="16"/>
                <w:szCs w:val="16"/>
              </w:rPr>
              <w:t>1 - 30 years</w:t>
            </w:r>
          </w:p>
        </w:tc>
        <w:tc>
          <w:tcPr>
            <w:tcW w:w="0" w:type="auto"/>
            <w:gridSpan w:val="3"/>
            <w:shd w:val="clear" w:color="auto" w:fill="CCEEFF"/>
            <w:tcMar>
              <w:top w:w="0" w:type="dxa"/>
              <w:left w:w="20" w:type="dxa"/>
              <w:bottom w:w="0" w:type="dxa"/>
              <w:right w:w="20" w:type="dxa"/>
            </w:tcMar>
            <w:vAlign w:val="bottom"/>
          </w:tcPr>
          <w:p w14:paraId="35D0ABD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BDD" w14:textId="77777777" w:rsidR="00D42204" w:rsidRDefault="004E439D">
            <w:pPr>
              <w:jc w:val="right"/>
              <w:textAlignment w:val="center"/>
            </w:pPr>
            <w:r>
              <w:rPr>
                <w:rFonts w:ascii="Times New Roman" w:eastAsia="宋体" w:hAnsi="Times New Roman"/>
                <w:color w:val="000000"/>
                <w:sz w:val="16"/>
                <w:szCs w:val="16"/>
              </w:rPr>
              <w:t>60,282 </w:t>
            </w:r>
          </w:p>
        </w:tc>
        <w:tc>
          <w:tcPr>
            <w:tcW w:w="0" w:type="auto"/>
            <w:shd w:val="clear" w:color="auto" w:fill="CCEEFF"/>
            <w:tcMar>
              <w:top w:w="40" w:type="dxa"/>
              <w:left w:w="0" w:type="dxa"/>
              <w:bottom w:w="40" w:type="dxa"/>
              <w:right w:w="20" w:type="dxa"/>
            </w:tcMar>
            <w:vAlign w:val="center"/>
          </w:tcPr>
          <w:p w14:paraId="35D0ABD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BD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BE0" w14:textId="77777777" w:rsidR="00D42204" w:rsidRDefault="004E439D">
            <w:pPr>
              <w:jc w:val="right"/>
              <w:textAlignment w:val="center"/>
            </w:pPr>
            <w:r>
              <w:rPr>
                <w:rFonts w:ascii="Times New Roman" w:eastAsia="宋体" w:hAnsi="Times New Roman"/>
                <w:color w:val="000000"/>
                <w:sz w:val="16"/>
                <w:szCs w:val="16"/>
              </w:rPr>
              <w:t>56,639 </w:t>
            </w:r>
          </w:p>
        </w:tc>
        <w:tc>
          <w:tcPr>
            <w:tcW w:w="0" w:type="auto"/>
            <w:shd w:val="clear" w:color="auto" w:fill="CCEEFF"/>
            <w:tcMar>
              <w:top w:w="40" w:type="dxa"/>
              <w:left w:w="0" w:type="dxa"/>
              <w:bottom w:w="40" w:type="dxa"/>
              <w:right w:w="20" w:type="dxa"/>
            </w:tcMar>
            <w:vAlign w:val="center"/>
          </w:tcPr>
          <w:p w14:paraId="35D0ABE1" w14:textId="77777777" w:rsidR="00D42204" w:rsidRDefault="00D42204">
            <w:pPr>
              <w:jc w:val="right"/>
              <w:rPr>
                <w:rFonts w:ascii="宋体"/>
              </w:rPr>
            </w:pPr>
          </w:p>
        </w:tc>
      </w:tr>
      <w:tr w:rsidR="00D42204" w14:paraId="35D0ABEC" w14:textId="77777777">
        <w:trPr>
          <w:jc w:val="center"/>
        </w:trPr>
        <w:tc>
          <w:tcPr>
            <w:tcW w:w="0" w:type="auto"/>
            <w:gridSpan w:val="3"/>
            <w:shd w:val="clear" w:color="auto" w:fill="FFFFFF"/>
            <w:tcMar>
              <w:top w:w="40" w:type="dxa"/>
              <w:left w:w="20" w:type="dxa"/>
              <w:bottom w:w="40" w:type="dxa"/>
              <w:right w:w="20" w:type="dxa"/>
            </w:tcMar>
            <w:vAlign w:val="center"/>
          </w:tcPr>
          <w:p w14:paraId="35D0ABE3" w14:textId="77777777" w:rsidR="00D42204" w:rsidRDefault="004E439D">
            <w:pPr>
              <w:textAlignment w:val="center"/>
            </w:pPr>
            <w:r>
              <w:rPr>
                <w:rFonts w:ascii="Times New Roman" w:eastAsia="宋体" w:hAnsi="Times New Roman"/>
                <w:color w:val="000000"/>
                <w:sz w:val="16"/>
                <w:szCs w:val="16"/>
              </w:rPr>
              <w:t>Transportation equipment</w:t>
            </w:r>
          </w:p>
        </w:tc>
        <w:tc>
          <w:tcPr>
            <w:tcW w:w="0" w:type="auto"/>
            <w:gridSpan w:val="3"/>
            <w:shd w:val="clear" w:color="auto" w:fill="FFFFFF"/>
            <w:tcMar>
              <w:top w:w="0" w:type="dxa"/>
              <w:left w:w="20" w:type="dxa"/>
              <w:bottom w:w="0" w:type="dxa"/>
              <w:right w:w="20" w:type="dxa"/>
            </w:tcMar>
            <w:vAlign w:val="bottom"/>
          </w:tcPr>
          <w:p w14:paraId="35D0ABE4"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ABE5" w14:textId="77777777" w:rsidR="00D42204" w:rsidRDefault="004E439D">
            <w:pPr>
              <w:jc w:val="center"/>
              <w:textAlignment w:val="center"/>
            </w:pPr>
            <w:r>
              <w:rPr>
                <w:rFonts w:ascii="Times New Roman" w:eastAsia="宋体" w:hAnsi="Times New Roman"/>
                <w:color w:val="000000"/>
                <w:sz w:val="16"/>
                <w:szCs w:val="16"/>
              </w:rPr>
              <w:t>3 - 15 years</w:t>
            </w:r>
          </w:p>
        </w:tc>
        <w:tc>
          <w:tcPr>
            <w:tcW w:w="0" w:type="auto"/>
            <w:gridSpan w:val="3"/>
            <w:shd w:val="clear" w:color="auto" w:fill="FFFFFF"/>
            <w:tcMar>
              <w:top w:w="0" w:type="dxa"/>
              <w:left w:w="20" w:type="dxa"/>
              <w:bottom w:w="0" w:type="dxa"/>
              <w:right w:w="20" w:type="dxa"/>
            </w:tcMar>
            <w:vAlign w:val="bottom"/>
          </w:tcPr>
          <w:p w14:paraId="35D0ABE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BE7" w14:textId="77777777" w:rsidR="00D42204" w:rsidRDefault="004E439D">
            <w:pPr>
              <w:jc w:val="right"/>
              <w:textAlignment w:val="center"/>
            </w:pPr>
            <w:r>
              <w:rPr>
                <w:rFonts w:ascii="Times New Roman" w:eastAsia="宋体" w:hAnsi="Times New Roman"/>
                <w:color w:val="000000"/>
                <w:sz w:val="16"/>
                <w:szCs w:val="16"/>
              </w:rPr>
              <w:t>2,263 </w:t>
            </w:r>
          </w:p>
        </w:tc>
        <w:tc>
          <w:tcPr>
            <w:tcW w:w="0" w:type="auto"/>
            <w:shd w:val="clear" w:color="auto" w:fill="FFFFFF"/>
            <w:tcMar>
              <w:top w:w="40" w:type="dxa"/>
              <w:left w:w="0" w:type="dxa"/>
              <w:bottom w:w="40" w:type="dxa"/>
              <w:right w:w="20" w:type="dxa"/>
            </w:tcMar>
            <w:vAlign w:val="center"/>
          </w:tcPr>
          <w:p w14:paraId="35D0ABE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BE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BEA" w14:textId="77777777" w:rsidR="00D42204" w:rsidRDefault="004E439D">
            <w:pPr>
              <w:jc w:val="right"/>
              <w:textAlignment w:val="center"/>
            </w:pPr>
            <w:r>
              <w:rPr>
                <w:rFonts w:ascii="Times New Roman" w:eastAsia="宋体" w:hAnsi="Times New Roman"/>
                <w:color w:val="000000"/>
                <w:sz w:val="16"/>
                <w:szCs w:val="16"/>
              </w:rPr>
              <w:t>2,301 </w:t>
            </w:r>
          </w:p>
        </w:tc>
        <w:tc>
          <w:tcPr>
            <w:tcW w:w="0" w:type="auto"/>
            <w:shd w:val="clear" w:color="auto" w:fill="FFFFFF"/>
            <w:tcMar>
              <w:top w:w="40" w:type="dxa"/>
              <w:left w:w="0" w:type="dxa"/>
              <w:bottom w:w="40" w:type="dxa"/>
              <w:right w:w="20" w:type="dxa"/>
            </w:tcMar>
            <w:vAlign w:val="center"/>
          </w:tcPr>
          <w:p w14:paraId="35D0ABEB" w14:textId="77777777" w:rsidR="00D42204" w:rsidRDefault="00D42204">
            <w:pPr>
              <w:jc w:val="right"/>
              <w:rPr>
                <w:rFonts w:ascii="宋体"/>
              </w:rPr>
            </w:pPr>
          </w:p>
        </w:tc>
      </w:tr>
      <w:tr w:rsidR="00D42204" w14:paraId="35D0ABF6" w14:textId="77777777">
        <w:trPr>
          <w:jc w:val="center"/>
        </w:trPr>
        <w:tc>
          <w:tcPr>
            <w:tcW w:w="0" w:type="auto"/>
            <w:gridSpan w:val="3"/>
            <w:shd w:val="clear" w:color="auto" w:fill="CCEEFF"/>
            <w:tcMar>
              <w:top w:w="40" w:type="dxa"/>
              <w:left w:w="20" w:type="dxa"/>
              <w:bottom w:w="40" w:type="dxa"/>
              <w:right w:w="20" w:type="dxa"/>
            </w:tcMar>
            <w:vAlign w:val="center"/>
          </w:tcPr>
          <w:p w14:paraId="35D0ABED" w14:textId="77777777" w:rsidR="00D42204" w:rsidRDefault="004E439D">
            <w:pPr>
              <w:textAlignment w:val="center"/>
            </w:pPr>
            <w:r>
              <w:rPr>
                <w:rFonts w:ascii="Times New Roman" w:eastAsia="宋体" w:hAnsi="Times New Roman"/>
                <w:color w:val="000000"/>
                <w:sz w:val="16"/>
                <w:szCs w:val="16"/>
              </w:rPr>
              <w:t>Construction in progress</w:t>
            </w:r>
          </w:p>
        </w:tc>
        <w:tc>
          <w:tcPr>
            <w:tcW w:w="0" w:type="auto"/>
            <w:gridSpan w:val="3"/>
            <w:shd w:val="clear" w:color="auto" w:fill="CCEEFF"/>
            <w:tcMar>
              <w:top w:w="0" w:type="dxa"/>
              <w:left w:w="20" w:type="dxa"/>
              <w:bottom w:w="0" w:type="dxa"/>
              <w:right w:w="20" w:type="dxa"/>
            </w:tcMar>
            <w:vAlign w:val="bottom"/>
          </w:tcPr>
          <w:p w14:paraId="35D0ABEE"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center"/>
          </w:tcPr>
          <w:p w14:paraId="35D0ABEF" w14:textId="77777777" w:rsidR="00D42204" w:rsidRDefault="004E439D">
            <w:pPr>
              <w:jc w:val="center"/>
              <w:textAlignment w:val="center"/>
            </w:pPr>
            <w:r>
              <w:rPr>
                <w:rFonts w:ascii="Times New Roman" w:eastAsia="宋体" w:hAnsi="Times New Roman"/>
                <w:color w:val="000000"/>
                <w:sz w:val="16"/>
                <w:szCs w:val="16"/>
              </w:rPr>
              <w:t>N/A</w:t>
            </w:r>
          </w:p>
        </w:tc>
        <w:tc>
          <w:tcPr>
            <w:tcW w:w="0" w:type="auto"/>
            <w:gridSpan w:val="3"/>
            <w:shd w:val="clear" w:color="auto" w:fill="CCEEFF"/>
            <w:tcMar>
              <w:top w:w="0" w:type="dxa"/>
              <w:left w:w="20" w:type="dxa"/>
              <w:bottom w:w="0" w:type="dxa"/>
              <w:right w:w="20" w:type="dxa"/>
            </w:tcMar>
            <w:vAlign w:val="bottom"/>
          </w:tcPr>
          <w:p w14:paraId="35D0ABF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BF1" w14:textId="77777777" w:rsidR="00D42204" w:rsidRDefault="004E439D">
            <w:pPr>
              <w:jc w:val="right"/>
              <w:textAlignment w:val="center"/>
            </w:pPr>
            <w:r>
              <w:rPr>
                <w:rFonts w:ascii="Times New Roman" w:eastAsia="宋体" w:hAnsi="Times New Roman"/>
                <w:color w:val="000000"/>
                <w:sz w:val="16"/>
                <w:szCs w:val="16"/>
              </w:rPr>
              <w:t>7,199 </w:t>
            </w:r>
          </w:p>
        </w:tc>
        <w:tc>
          <w:tcPr>
            <w:tcW w:w="0" w:type="auto"/>
            <w:shd w:val="clear" w:color="auto" w:fill="CCEEFF"/>
            <w:tcMar>
              <w:top w:w="40" w:type="dxa"/>
              <w:left w:w="0" w:type="dxa"/>
              <w:bottom w:w="40" w:type="dxa"/>
              <w:right w:w="20" w:type="dxa"/>
            </w:tcMar>
            <w:vAlign w:val="center"/>
          </w:tcPr>
          <w:p w14:paraId="35D0ABF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BF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BF4" w14:textId="77777777" w:rsidR="00D42204" w:rsidRDefault="004E439D">
            <w:pPr>
              <w:jc w:val="right"/>
              <w:textAlignment w:val="center"/>
            </w:pPr>
            <w:r>
              <w:rPr>
                <w:rFonts w:ascii="Times New Roman" w:eastAsia="宋体" w:hAnsi="Times New Roman"/>
                <w:color w:val="000000"/>
                <w:sz w:val="16"/>
                <w:szCs w:val="16"/>
              </w:rPr>
              <w:t>4,741 </w:t>
            </w:r>
          </w:p>
        </w:tc>
        <w:tc>
          <w:tcPr>
            <w:tcW w:w="0" w:type="auto"/>
            <w:shd w:val="clear" w:color="auto" w:fill="CCEEFF"/>
            <w:tcMar>
              <w:top w:w="40" w:type="dxa"/>
              <w:left w:w="0" w:type="dxa"/>
              <w:bottom w:w="40" w:type="dxa"/>
              <w:right w:w="20" w:type="dxa"/>
            </w:tcMar>
            <w:vAlign w:val="center"/>
          </w:tcPr>
          <w:p w14:paraId="35D0ABF5" w14:textId="77777777" w:rsidR="00D42204" w:rsidRDefault="00D42204">
            <w:pPr>
              <w:jc w:val="right"/>
              <w:rPr>
                <w:rFonts w:ascii="宋体"/>
              </w:rPr>
            </w:pPr>
          </w:p>
        </w:tc>
      </w:tr>
      <w:tr w:rsidR="00D42204" w14:paraId="35D0AC00" w14:textId="77777777">
        <w:trPr>
          <w:jc w:val="center"/>
        </w:trPr>
        <w:tc>
          <w:tcPr>
            <w:tcW w:w="0" w:type="auto"/>
            <w:gridSpan w:val="3"/>
            <w:shd w:val="clear" w:color="auto" w:fill="FFFFFF"/>
            <w:tcMar>
              <w:top w:w="40" w:type="dxa"/>
              <w:left w:w="20" w:type="dxa"/>
              <w:bottom w:w="40" w:type="dxa"/>
              <w:right w:w="20" w:type="dxa"/>
            </w:tcMar>
            <w:vAlign w:val="center"/>
          </w:tcPr>
          <w:p w14:paraId="35D0ABF7" w14:textId="77777777" w:rsidR="00D42204" w:rsidRDefault="004E439D">
            <w:pPr>
              <w:textAlignment w:val="center"/>
            </w:pPr>
            <w:r>
              <w:rPr>
                <w:rFonts w:ascii="Times New Roman" w:eastAsia="宋体" w:hAnsi="Times New Roman"/>
                <w:b/>
                <w:bCs/>
                <w:color w:val="000000"/>
                <w:sz w:val="16"/>
                <w:szCs w:val="16"/>
              </w:rPr>
              <w:t>Property and equipment</w:t>
            </w:r>
          </w:p>
        </w:tc>
        <w:tc>
          <w:tcPr>
            <w:tcW w:w="0" w:type="auto"/>
            <w:gridSpan w:val="3"/>
            <w:shd w:val="clear" w:color="auto" w:fill="FFFFFF"/>
            <w:tcMar>
              <w:top w:w="0" w:type="dxa"/>
              <w:left w:w="20" w:type="dxa"/>
              <w:bottom w:w="0" w:type="dxa"/>
              <w:right w:w="20" w:type="dxa"/>
            </w:tcMar>
            <w:vAlign w:val="bottom"/>
          </w:tcPr>
          <w:p w14:paraId="35D0ABF8"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BF9"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BFA"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BFB" w14:textId="77777777" w:rsidR="00D42204" w:rsidRDefault="004E439D">
            <w:pPr>
              <w:jc w:val="right"/>
              <w:textAlignment w:val="center"/>
            </w:pPr>
            <w:r>
              <w:rPr>
                <w:rFonts w:ascii="Times New Roman" w:eastAsia="宋体" w:hAnsi="Times New Roman"/>
                <w:color w:val="000000"/>
                <w:sz w:val="16"/>
                <w:szCs w:val="16"/>
              </w:rPr>
              <w:t>189,324 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BF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BFD"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BFE" w14:textId="77777777" w:rsidR="00D42204" w:rsidRDefault="004E439D">
            <w:pPr>
              <w:jc w:val="right"/>
              <w:textAlignment w:val="center"/>
            </w:pPr>
            <w:r>
              <w:rPr>
                <w:rFonts w:ascii="Times New Roman" w:eastAsia="宋体" w:hAnsi="Times New Roman"/>
                <w:color w:val="000000"/>
                <w:sz w:val="16"/>
                <w:szCs w:val="16"/>
              </w:rPr>
              <w:t>180,571 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BFF" w14:textId="77777777" w:rsidR="00D42204" w:rsidRDefault="00D42204">
            <w:pPr>
              <w:jc w:val="right"/>
              <w:rPr>
                <w:rFonts w:ascii="宋体"/>
              </w:rPr>
            </w:pPr>
          </w:p>
        </w:tc>
      </w:tr>
      <w:tr w:rsidR="00D42204" w14:paraId="35D0AC0A" w14:textId="77777777">
        <w:trPr>
          <w:jc w:val="center"/>
        </w:trPr>
        <w:tc>
          <w:tcPr>
            <w:tcW w:w="0" w:type="auto"/>
            <w:gridSpan w:val="3"/>
            <w:shd w:val="clear" w:color="auto" w:fill="CCEEFF"/>
            <w:tcMar>
              <w:top w:w="40" w:type="dxa"/>
              <w:left w:w="20" w:type="dxa"/>
              <w:bottom w:w="40" w:type="dxa"/>
              <w:right w:w="20" w:type="dxa"/>
            </w:tcMar>
            <w:vAlign w:val="center"/>
          </w:tcPr>
          <w:p w14:paraId="35D0AC01" w14:textId="77777777" w:rsidR="00D42204" w:rsidRDefault="004E439D">
            <w:pPr>
              <w:textAlignment w:val="center"/>
            </w:pPr>
            <w:r>
              <w:rPr>
                <w:rFonts w:ascii="Times New Roman" w:eastAsia="宋体" w:hAnsi="Times New Roman"/>
                <w:color w:val="000000"/>
                <w:sz w:val="16"/>
                <w:szCs w:val="16"/>
              </w:rPr>
              <w:t>Accumulated depreciation</w:t>
            </w:r>
          </w:p>
        </w:tc>
        <w:tc>
          <w:tcPr>
            <w:tcW w:w="0" w:type="auto"/>
            <w:gridSpan w:val="3"/>
            <w:shd w:val="clear" w:color="auto" w:fill="CCEEFF"/>
            <w:tcMar>
              <w:top w:w="0" w:type="dxa"/>
              <w:left w:w="20" w:type="dxa"/>
              <w:bottom w:w="0" w:type="dxa"/>
              <w:right w:w="20" w:type="dxa"/>
            </w:tcMar>
            <w:vAlign w:val="bottom"/>
          </w:tcPr>
          <w:p w14:paraId="35D0AC0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C03"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C0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C05" w14:textId="77777777" w:rsidR="00D42204" w:rsidRDefault="004E439D">
            <w:pPr>
              <w:jc w:val="right"/>
              <w:textAlignment w:val="center"/>
            </w:pPr>
            <w:r>
              <w:rPr>
                <w:rFonts w:ascii="Times New Roman" w:eastAsia="宋体" w:hAnsi="Times New Roman"/>
                <w:color w:val="000000"/>
                <w:sz w:val="16"/>
                <w:szCs w:val="16"/>
              </w:rPr>
              <w:t>(94,809)</w:t>
            </w:r>
          </w:p>
        </w:tc>
        <w:tc>
          <w:tcPr>
            <w:tcW w:w="0" w:type="auto"/>
            <w:shd w:val="clear" w:color="auto" w:fill="CCEEFF"/>
            <w:tcMar>
              <w:top w:w="40" w:type="dxa"/>
              <w:left w:w="0" w:type="dxa"/>
              <w:bottom w:w="40" w:type="dxa"/>
              <w:right w:w="20" w:type="dxa"/>
            </w:tcMar>
            <w:vAlign w:val="center"/>
          </w:tcPr>
          <w:p w14:paraId="35D0AC0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C0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C08" w14:textId="77777777" w:rsidR="00D42204" w:rsidRDefault="004E439D">
            <w:pPr>
              <w:jc w:val="right"/>
              <w:textAlignment w:val="center"/>
            </w:pPr>
            <w:r>
              <w:rPr>
                <w:rFonts w:ascii="Times New Roman" w:eastAsia="宋体" w:hAnsi="Times New Roman"/>
                <w:color w:val="000000"/>
                <w:sz w:val="16"/>
                <w:szCs w:val="16"/>
              </w:rPr>
              <w:t>(88,370)</w:t>
            </w:r>
          </w:p>
        </w:tc>
        <w:tc>
          <w:tcPr>
            <w:tcW w:w="0" w:type="auto"/>
            <w:shd w:val="clear" w:color="auto" w:fill="CCEEFF"/>
            <w:tcMar>
              <w:top w:w="40" w:type="dxa"/>
              <w:left w:w="0" w:type="dxa"/>
              <w:bottom w:w="40" w:type="dxa"/>
              <w:right w:w="20" w:type="dxa"/>
            </w:tcMar>
            <w:vAlign w:val="center"/>
          </w:tcPr>
          <w:p w14:paraId="35D0AC09" w14:textId="77777777" w:rsidR="00D42204" w:rsidRDefault="00D42204">
            <w:pPr>
              <w:jc w:val="right"/>
              <w:rPr>
                <w:rFonts w:ascii="宋体"/>
              </w:rPr>
            </w:pPr>
          </w:p>
        </w:tc>
      </w:tr>
      <w:tr w:rsidR="00D42204" w14:paraId="35D0AC16" w14:textId="77777777">
        <w:trPr>
          <w:jc w:val="center"/>
        </w:trPr>
        <w:tc>
          <w:tcPr>
            <w:tcW w:w="0" w:type="auto"/>
            <w:gridSpan w:val="3"/>
            <w:shd w:val="clear" w:color="auto" w:fill="FFFFFF"/>
            <w:tcMar>
              <w:top w:w="40" w:type="dxa"/>
              <w:left w:w="20" w:type="dxa"/>
              <w:bottom w:w="40" w:type="dxa"/>
              <w:right w:w="20" w:type="dxa"/>
            </w:tcMar>
            <w:vAlign w:val="center"/>
          </w:tcPr>
          <w:p w14:paraId="35D0AC0B" w14:textId="77777777" w:rsidR="00D42204" w:rsidRDefault="004E439D">
            <w:pPr>
              <w:textAlignment w:val="center"/>
            </w:pPr>
            <w:r>
              <w:rPr>
                <w:rFonts w:ascii="Times New Roman" w:eastAsia="宋体" w:hAnsi="Times New Roman"/>
                <w:b/>
                <w:bCs/>
                <w:color w:val="000000"/>
                <w:sz w:val="16"/>
                <w:szCs w:val="16"/>
              </w:rPr>
              <w:t>Property and equipment, net</w:t>
            </w:r>
          </w:p>
        </w:tc>
        <w:tc>
          <w:tcPr>
            <w:tcW w:w="0" w:type="auto"/>
            <w:gridSpan w:val="3"/>
            <w:shd w:val="clear" w:color="auto" w:fill="FFFFFF"/>
            <w:tcMar>
              <w:top w:w="0" w:type="dxa"/>
              <w:left w:w="20" w:type="dxa"/>
              <w:bottom w:w="0" w:type="dxa"/>
              <w:right w:w="20" w:type="dxa"/>
            </w:tcMar>
            <w:vAlign w:val="bottom"/>
          </w:tcPr>
          <w:p w14:paraId="35D0AC0C"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C0D"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C0E"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C0F"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C10" w14:textId="77777777" w:rsidR="00D42204" w:rsidRDefault="004E439D">
            <w:pPr>
              <w:jc w:val="right"/>
              <w:textAlignment w:val="center"/>
            </w:pPr>
            <w:r>
              <w:rPr>
                <w:rFonts w:ascii="Times New Roman" w:eastAsia="宋体" w:hAnsi="Times New Roman"/>
                <w:color w:val="000000"/>
                <w:sz w:val="16"/>
                <w:szCs w:val="16"/>
              </w:rPr>
              <w:t>94,515 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C1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C12"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C13"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C14" w14:textId="77777777" w:rsidR="00D42204" w:rsidRDefault="004E439D">
            <w:pPr>
              <w:jc w:val="right"/>
              <w:textAlignment w:val="center"/>
            </w:pPr>
            <w:r>
              <w:rPr>
                <w:rFonts w:ascii="Times New Roman" w:eastAsia="宋体" w:hAnsi="Times New Roman"/>
                <w:color w:val="000000"/>
                <w:sz w:val="16"/>
                <w:szCs w:val="16"/>
              </w:rPr>
              <w:t>92,201 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C15" w14:textId="77777777" w:rsidR="00D42204" w:rsidRDefault="00D42204">
            <w:pPr>
              <w:jc w:val="right"/>
              <w:rPr>
                <w:rFonts w:ascii="宋体"/>
              </w:rPr>
            </w:pPr>
          </w:p>
        </w:tc>
      </w:tr>
    </w:tbl>
    <w:p w14:paraId="35D0AC17" w14:textId="77777777" w:rsidR="00D42204" w:rsidRDefault="004E439D">
      <w:pPr>
        <w:spacing w:before="80"/>
      </w:pPr>
      <w:r>
        <w:rPr>
          <w:rFonts w:ascii="Times New Roman" w:eastAsia="宋体" w:hAnsi="Times New Roman"/>
          <w:color w:val="000000"/>
          <w:sz w:val="20"/>
          <w:szCs w:val="20"/>
        </w:rPr>
        <w:t xml:space="preserve">Leasehold improvements are depreciated or amortized over the shorter of the estimated useful life of the asset or the remaining expected lease term. Total depreciation and amortization expense for property and equipment, property under </w:t>
      </w:r>
      <w:r>
        <w:rPr>
          <w:rFonts w:ascii="Times New Roman" w:eastAsia="宋体" w:hAnsi="Times New Roman"/>
          <w:color w:val="000000"/>
          <w:sz w:val="20"/>
          <w:szCs w:val="20"/>
        </w:rPr>
        <w:t>finance leases and intangible assets for fiscal 2022, 2021 and 2020 was $10.7 billion, $11.2 billion and $11.0 billion, respectively.</w:t>
      </w:r>
    </w:p>
    <w:p w14:paraId="35D0AC18" w14:textId="77777777" w:rsidR="00D42204" w:rsidRDefault="004E439D">
      <w:pPr>
        <w:spacing w:before="180"/>
      </w:pPr>
      <w:r>
        <w:rPr>
          <w:rFonts w:ascii="Times New Roman" w:eastAsia="宋体" w:hAnsi="Times New Roman"/>
          <w:b/>
          <w:bCs/>
          <w:i/>
          <w:iCs/>
          <w:color w:val="000000"/>
          <w:sz w:val="20"/>
          <w:szCs w:val="20"/>
        </w:rPr>
        <w:t>Leases</w:t>
      </w:r>
    </w:p>
    <w:p w14:paraId="35D0AC19" w14:textId="77777777" w:rsidR="00D42204" w:rsidRDefault="004E439D">
      <w:pPr>
        <w:spacing w:before="100"/>
      </w:pPr>
      <w:r>
        <w:rPr>
          <w:rFonts w:ascii="Times New Roman" w:eastAsia="宋体" w:hAnsi="Times New Roman"/>
          <w:color w:val="000000"/>
          <w:sz w:val="20"/>
          <w:szCs w:val="20"/>
        </w:rPr>
        <w:t>For any new or modified lease, the Company, at the inception of the contract, determines whether a contract is or c</w:t>
      </w:r>
      <w:r>
        <w:rPr>
          <w:rFonts w:ascii="Times New Roman" w:eastAsia="宋体" w:hAnsi="Times New Roman"/>
          <w:color w:val="000000"/>
          <w:sz w:val="20"/>
          <w:szCs w:val="20"/>
        </w:rPr>
        <w:t>ontains a lease. The Company records right-of-use ("ROU") assets and lease obligations for its finance and operating leases, which are initially recognized based on the discounted future lease payments over the term of the lease. If the rate implicit in th</w:t>
      </w:r>
      <w:r>
        <w:rPr>
          <w:rFonts w:ascii="Times New Roman" w:eastAsia="宋体" w:hAnsi="Times New Roman"/>
          <w:color w:val="000000"/>
          <w:sz w:val="20"/>
          <w:szCs w:val="20"/>
        </w:rPr>
        <w:t>e Company's leases is not easily determinable, the Company's applicable incremental borrowing rate is used in calculating the present value of the sum of the lease payments.</w:t>
      </w:r>
    </w:p>
    <w:p w14:paraId="35D0AC1A" w14:textId="77777777" w:rsidR="00D42204" w:rsidRDefault="004E439D">
      <w:pPr>
        <w:spacing w:before="100"/>
      </w:pPr>
      <w:r>
        <w:rPr>
          <w:rFonts w:ascii="Times New Roman" w:eastAsia="宋体" w:hAnsi="Times New Roman"/>
          <w:color w:val="000000"/>
          <w:sz w:val="20"/>
          <w:szCs w:val="20"/>
        </w:rPr>
        <w:t>Lease term is defined as the non-cancelable period of the lease plus any options t</w:t>
      </w:r>
      <w:r>
        <w:rPr>
          <w:rFonts w:ascii="Times New Roman" w:eastAsia="宋体" w:hAnsi="Times New Roman"/>
          <w:color w:val="000000"/>
          <w:sz w:val="20"/>
          <w:szCs w:val="20"/>
        </w:rPr>
        <w:t>o extend or terminate the lease when it is reasonably certain that the Company will exercise the option. The Company has elected not to recognize ROU asset and lease obligations for its short-term leases, which are defined as leases with an initial term of</w:t>
      </w:r>
      <w:r>
        <w:rPr>
          <w:rFonts w:ascii="Times New Roman" w:eastAsia="宋体" w:hAnsi="Times New Roman"/>
          <w:color w:val="000000"/>
          <w:sz w:val="20"/>
          <w:szCs w:val="20"/>
        </w:rPr>
        <w:t xml:space="preserve"> 12 months or less.</w:t>
      </w:r>
    </w:p>
    <w:p w14:paraId="35D0AC1B" w14:textId="77777777" w:rsidR="00D42204" w:rsidRDefault="004E439D">
      <w:pPr>
        <w:spacing w:before="100"/>
      </w:pPr>
      <w:r>
        <w:rPr>
          <w:rFonts w:ascii="Times New Roman" w:eastAsia="宋体" w:hAnsi="Times New Roman"/>
          <w:color w:val="000000"/>
          <w:sz w:val="20"/>
          <w:szCs w:val="20"/>
        </w:rPr>
        <w:t xml:space="preserve">For a majority of all classes of underlying assets, the Company has elected to not separate lease from non-lease components. For leases in which the lease and non-lease components have been combined, the variable lease expense includes </w:t>
      </w:r>
      <w:r>
        <w:rPr>
          <w:rFonts w:ascii="Times New Roman" w:eastAsia="宋体" w:hAnsi="Times New Roman"/>
          <w:color w:val="000000"/>
          <w:sz w:val="20"/>
          <w:szCs w:val="20"/>
        </w:rPr>
        <w:t>expenses such as common area maintenance, utilities, and repairs and maintenance.</w:t>
      </w:r>
    </w:p>
    <w:p w14:paraId="35D0AC1C" w14:textId="77777777" w:rsidR="00D42204" w:rsidRDefault="004E439D">
      <w:pPr>
        <w:jc w:val="center"/>
      </w:pPr>
      <w:r>
        <w:rPr>
          <w:rFonts w:ascii="Times New Roman" w:eastAsia="宋体" w:hAnsi="Times New Roman"/>
          <w:color w:val="000000"/>
          <w:sz w:val="20"/>
          <w:szCs w:val="20"/>
        </w:rPr>
        <w:t>59</w:t>
      </w:r>
    </w:p>
    <w:p w14:paraId="35D0AC1D" w14:textId="77777777" w:rsidR="00D42204" w:rsidRDefault="004E439D">
      <w:r>
        <w:pict w14:anchorId="35D0C396">
          <v:rect id="_x0000_i1083" style="width:415.3pt;height:1.5pt" o:hralign="center" o:hrstd="t" o:hr="t" fillcolor="#a0a0a0" stroked="f"/>
        </w:pict>
      </w:r>
    </w:p>
    <w:p w14:paraId="35D0AC1E" w14:textId="77777777" w:rsidR="00D42204" w:rsidRDefault="00D42204"/>
    <w:p w14:paraId="35D0AC1F" w14:textId="77777777" w:rsidR="00D42204" w:rsidRDefault="004E439D">
      <w:pPr>
        <w:spacing w:before="180"/>
      </w:pPr>
      <w:r>
        <w:rPr>
          <w:rFonts w:ascii="Times New Roman" w:eastAsia="宋体" w:hAnsi="Times New Roman"/>
          <w:b/>
          <w:bCs/>
          <w:i/>
          <w:iCs/>
          <w:color w:val="000000"/>
          <w:sz w:val="20"/>
          <w:szCs w:val="20"/>
        </w:rPr>
        <w:t>Impairment of Long-Lived Assets</w:t>
      </w:r>
    </w:p>
    <w:p w14:paraId="35D0AC20" w14:textId="77777777" w:rsidR="00D42204" w:rsidRDefault="004E439D">
      <w:pPr>
        <w:spacing w:before="100"/>
      </w:pPr>
      <w:r>
        <w:rPr>
          <w:rFonts w:ascii="Times New Roman" w:eastAsia="宋体" w:hAnsi="Times New Roman"/>
          <w:color w:val="000000"/>
          <w:sz w:val="20"/>
          <w:szCs w:val="20"/>
        </w:rPr>
        <w:t xml:space="preserve">Management reviews long-lived assets for indicators of impairment whenever events or changes in circumstances indicate that the carrying amount may not be recoverable. The evaluation is performed at the lowest level of identifiable cash flows, which is at </w:t>
      </w:r>
      <w:r>
        <w:rPr>
          <w:rFonts w:ascii="Times New Roman" w:eastAsia="宋体" w:hAnsi="Times New Roman"/>
          <w:color w:val="000000"/>
          <w:sz w:val="20"/>
          <w:szCs w:val="20"/>
        </w:rPr>
        <w:t xml:space="preserve">the individual store or club level. Undiscounted cash flows expected to be generated by the related assets are estimated over the assets' useful lives based on updated projections. If the evaluation indicates that the carrying amount of the assets may not </w:t>
      </w:r>
      <w:r>
        <w:rPr>
          <w:rFonts w:ascii="Times New Roman" w:eastAsia="宋体" w:hAnsi="Times New Roman"/>
          <w:color w:val="000000"/>
          <w:sz w:val="20"/>
          <w:szCs w:val="20"/>
        </w:rPr>
        <w:t xml:space="preserve">be recoverable, any potential impairment is measured based upon the fair value of the related asset or asset group as determined by an appropriate market appraisal or other valuation technique. </w:t>
      </w:r>
    </w:p>
    <w:p w14:paraId="35D0AC21" w14:textId="77777777" w:rsidR="00D42204" w:rsidRDefault="004E439D">
      <w:pPr>
        <w:spacing w:before="180"/>
      </w:pPr>
      <w:r>
        <w:rPr>
          <w:rFonts w:ascii="Times New Roman" w:eastAsia="宋体" w:hAnsi="Times New Roman"/>
          <w:b/>
          <w:bCs/>
          <w:i/>
          <w:iCs/>
          <w:color w:val="000000"/>
          <w:sz w:val="20"/>
          <w:szCs w:val="20"/>
        </w:rPr>
        <w:t xml:space="preserve">Goodwill and Other Acquired Intangible Assets </w:t>
      </w:r>
    </w:p>
    <w:p w14:paraId="35D0AC22" w14:textId="77777777" w:rsidR="00D42204" w:rsidRDefault="004E439D">
      <w:pPr>
        <w:spacing w:before="100"/>
      </w:pPr>
      <w:r>
        <w:rPr>
          <w:rFonts w:ascii="Times New Roman" w:eastAsia="宋体" w:hAnsi="Times New Roman"/>
          <w:color w:val="000000"/>
          <w:sz w:val="20"/>
          <w:szCs w:val="20"/>
        </w:rPr>
        <w:t>Goodwill repre</w:t>
      </w:r>
      <w:r>
        <w:rPr>
          <w:rFonts w:ascii="Times New Roman" w:eastAsia="宋体" w:hAnsi="Times New Roman"/>
          <w:color w:val="000000"/>
          <w:sz w:val="20"/>
          <w:szCs w:val="20"/>
        </w:rPr>
        <w:t>sents the excess of the purchase price over the fair value of net assets acquired in business combinations and is allocated to the appropriate reporting unit when acquired. Other acquired intangible assets are stated at the fair value acquired as determine</w:t>
      </w:r>
      <w:r>
        <w:rPr>
          <w:rFonts w:ascii="Times New Roman" w:eastAsia="宋体" w:hAnsi="Times New Roman"/>
          <w:color w:val="000000"/>
          <w:sz w:val="20"/>
          <w:szCs w:val="20"/>
        </w:rPr>
        <w:t>d by a valuation technique commensurate with the intended use of the related asset. Goodwill and indefinite-lived intangible assets are not amortized; rather, they are evaluated for impairment annually and whenever events or changes in circumstances indica</w:t>
      </w:r>
      <w:r>
        <w:rPr>
          <w:rFonts w:ascii="Times New Roman" w:eastAsia="宋体" w:hAnsi="Times New Roman"/>
          <w:color w:val="000000"/>
          <w:sz w:val="20"/>
          <w:szCs w:val="20"/>
        </w:rPr>
        <w:t>te that the value of the asset may be impaired. Definite-lived intangible assets are considered long-lived assets and are amortized on a straight-line basis over the periods that expected economic benefits will be provided.</w:t>
      </w:r>
    </w:p>
    <w:p w14:paraId="35D0AC23" w14:textId="77777777" w:rsidR="00D42204" w:rsidRDefault="004E439D">
      <w:pPr>
        <w:spacing w:before="100"/>
      </w:pPr>
      <w:r>
        <w:rPr>
          <w:rFonts w:ascii="Times New Roman" w:eastAsia="宋体" w:hAnsi="Times New Roman"/>
          <w:color w:val="000000"/>
          <w:sz w:val="20"/>
          <w:szCs w:val="20"/>
        </w:rPr>
        <w:t>Goodwill is typically assigned t</w:t>
      </w:r>
      <w:r>
        <w:rPr>
          <w:rFonts w:ascii="Times New Roman" w:eastAsia="宋体" w:hAnsi="Times New Roman"/>
          <w:color w:val="000000"/>
          <w:sz w:val="20"/>
          <w:szCs w:val="20"/>
        </w:rPr>
        <w:t>o the reporting unit which consolidates the acquisition. Components within the same reportable segment are aggregated and deemed a single reporting unit if the components have similar economic characteristics. As of January 31, 2022, the Company's reportin</w:t>
      </w:r>
      <w:r>
        <w:rPr>
          <w:rFonts w:ascii="Times New Roman" w:eastAsia="宋体" w:hAnsi="Times New Roman"/>
          <w:color w:val="000000"/>
          <w:sz w:val="20"/>
          <w:szCs w:val="20"/>
        </w:rPr>
        <w:t>g units consisted of Walmart U.S., Walmart International and Sam's Club. Goodwill is evaluated for impairment using either a qualitative or quantitative approach for each of the Company's reporting units. Generally, a qualitative assessment is first perfor</w:t>
      </w:r>
      <w:r>
        <w:rPr>
          <w:rFonts w:ascii="Times New Roman" w:eastAsia="宋体" w:hAnsi="Times New Roman"/>
          <w:color w:val="000000"/>
          <w:sz w:val="20"/>
          <w:szCs w:val="20"/>
        </w:rPr>
        <w:t>med to determine whether a quantitative goodwill impairment test is necessary. If management determines, after performing an assessment based on the qualitative factors, that the fair value of the reporting unit is more likely than not less than the carryi</w:t>
      </w:r>
      <w:r>
        <w:rPr>
          <w:rFonts w:ascii="Times New Roman" w:eastAsia="宋体" w:hAnsi="Times New Roman"/>
          <w:color w:val="000000"/>
          <w:sz w:val="20"/>
          <w:szCs w:val="20"/>
        </w:rPr>
        <w:t>ng amount, or that a fair value of the reporting unit substantially in excess of the carrying amount cannot be assured, then a quantitative goodwill impairment test would be required. The quantitative test for goodwill impairment is performed by determinin</w:t>
      </w:r>
      <w:r>
        <w:rPr>
          <w:rFonts w:ascii="Times New Roman" w:eastAsia="宋体" w:hAnsi="Times New Roman"/>
          <w:color w:val="000000"/>
          <w:sz w:val="20"/>
          <w:szCs w:val="20"/>
        </w:rPr>
        <w:t>g the fair value of the related reporting units. Fair value is measured based on the discounted cash flow method and relative market-based approaches. Management has performed its evaluation and determined the fair value of each reporting unit is significa</w:t>
      </w:r>
      <w:r>
        <w:rPr>
          <w:rFonts w:ascii="Times New Roman" w:eastAsia="宋体" w:hAnsi="Times New Roman"/>
          <w:color w:val="000000"/>
          <w:sz w:val="20"/>
          <w:szCs w:val="20"/>
        </w:rPr>
        <w:t>ntly greater than the carrying amount and, accordingly, the Company has not recorded any impairment charges related to goodwill.</w:t>
      </w:r>
    </w:p>
    <w:p w14:paraId="35D0AC24" w14:textId="77777777" w:rsidR="00D42204" w:rsidRDefault="004E439D">
      <w:pPr>
        <w:spacing w:before="100"/>
      </w:pPr>
      <w:r>
        <w:rPr>
          <w:rFonts w:ascii="Times New Roman" w:eastAsia="宋体" w:hAnsi="Times New Roman"/>
          <w:color w:val="000000"/>
          <w:sz w:val="20"/>
          <w:szCs w:val="20"/>
        </w:rPr>
        <w:t>The following table reflects goodwill activity, by reportable segment, for fiscal 2022 and 2021:</w:t>
      </w:r>
    </w:p>
    <w:tbl>
      <w:tblPr>
        <w:tblW w:w="4956" w:type="pct"/>
        <w:jc w:val="center"/>
        <w:tblCellMar>
          <w:top w:w="15" w:type="dxa"/>
          <w:left w:w="15" w:type="dxa"/>
          <w:bottom w:w="15" w:type="dxa"/>
          <w:right w:w="15" w:type="dxa"/>
        </w:tblCellMar>
        <w:tblLook w:val="04A0" w:firstRow="1" w:lastRow="0" w:firstColumn="1" w:lastColumn="0" w:noHBand="0" w:noVBand="1"/>
      </w:tblPr>
      <w:tblGrid>
        <w:gridCol w:w="39"/>
        <w:gridCol w:w="4250"/>
        <w:gridCol w:w="38"/>
        <w:gridCol w:w="36"/>
        <w:gridCol w:w="36"/>
        <w:gridCol w:w="36"/>
        <w:gridCol w:w="101"/>
        <w:gridCol w:w="884"/>
        <w:gridCol w:w="36"/>
        <w:gridCol w:w="36"/>
        <w:gridCol w:w="36"/>
        <w:gridCol w:w="36"/>
        <w:gridCol w:w="101"/>
        <w:gridCol w:w="850"/>
        <w:gridCol w:w="36"/>
        <w:gridCol w:w="36"/>
        <w:gridCol w:w="36"/>
        <w:gridCol w:w="36"/>
        <w:gridCol w:w="101"/>
        <w:gridCol w:w="743"/>
        <w:gridCol w:w="36"/>
        <w:gridCol w:w="36"/>
        <w:gridCol w:w="36"/>
        <w:gridCol w:w="36"/>
        <w:gridCol w:w="100"/>
        <w:gridCol w:w="480"/>
        <w:gridCol w:w="36"/>
      </w:tblGrid>
      <w:tr w:rsidR="00D42204" w14:paraId="35D0AC40" w14:textId="77777777">
        <w:trPr>
          <w:jc w:val="center"/>
        </w:trPr>
        <w:tc>
          <w:tcPr>
            <w:tcW w:w="50" w:type="pct"/>
            <w:shd w:val="clear" w:color="auto" w:fill="auto"/>
            <w:vAlign w:val="bottom"/>
          </w:tcPr>
          <w:p w14:paraId="35D0AC25" w14:textId="77777777" w:rsidR="00D42204" w:rsidRDefault="00D42204">
            <w:pPr>
              <w:rPr>
                <w:rFonts w:ascii="宋体"/>
              </w:rPr>
            </w:pPr>
          </w:p>
        </w:tc>
        <w:tc>
          <w:tcPr>
            <w:tcW w:w="2651" w:type="pct"/>
            <w:shd w:val="clear" w:color="auto" w:fill="auto"/>
            <w:vAlign w:val="bottom"/>
          </w:tcPr>
          <w:p w14:paraId="35D0AC26" w14:textId="77777777" w:rsidR="00D42204" w:rsidRDefault="00D42204">
            <w:pPr>
              <w:rPr>
                <w:rFonts w:ascii="宋体"/>
              </w:rPr>
            </w:pPr>
          </w:p>
        </w:tc>
        <w:tc>
          <w:tcPr>
            <w:tcW w:w="5" w:type="pct"/>
            <w:shd w:val="clear" w:color="auto" w:fill="auto"/>
            <w:vAlign w:val="bottom"/>
          </w:tcPr>
          <w:p w14:paraId="35D0AC27" w14:textId="77777777" w:rsidR="00D42204" w:rsidRDefault="00D42204">
            <w:pPr>
              <w:rPr>
                <w:rFonts w:ascii="宋体"/>
              </w:rPr>
            </w:pPr>
          </w:p>
        </w:tc>
        <w:tc>
          <w:tcPr>
            <w:tcW w:w="5" w:type="pct"/>
            <w:shd w:val="clear" w:color="auto" w:fill="auto"/>
            <w:vAlign w:val="bottom"/>
          </w:tcPr>
          <w:p w14:paraId="35D0AC28" w14:textId="77777777" w:rsidR="00D42204" w:rsidRDefault="00D42204">
            <w:pPr>
              <w:rPr>
                <w:rFonts w:ascii="宋体"/>
              </w:rPr>
            </w:pPr>
          </w:p>
        </w:tc>
        <w:tc>
          <w:tcPr>
            <w:tcW w:w="26" w:type="pct"/>
            <w:shd w:val="clear" w:color="auto" w:fill="auto"/>
            <w:vAlign w:val="bottom"/>
          </w:tcPr>
          <w:p w14:paraId="35D0AC29" w14:textId="77777777" w:rsidR="00D42204" w:rsidRDefault="00D42204">
            <w:pPr>
              <w:rPr>
                <w:rFonts w:ascii="宋体"/>
              </w:rPr>
            </w:pPr>
          </w:p>
        </w:tc>
        <w:tc>
          <w:tcPr>
            <w:tcW w:w="5" w:type="pct"/>
            <w:shd w:val="clear" w:color="auto" w:fill="auto"/>
            <w:vAlign w:val="bottom"/>
          </w:tcPr>
          <w:p w14:paraId="35D0AC2A" w14:textId="77777777" w:rsidR="00D42204" w:rsidRDefault="00D42204">
            <w:pPr>
              <w:rPr>
                <w:rFonts w:ascii="宋体"/>
              </w:rPr>
            </w:pPr>
          </w:p>
        </w:tc>
        <w:tc>
          <w:tcPr>
            <w:tcW w:w="50" w:type="pct"/>
            <w:shd w:val="clear" w:color="auto" w:fill="auto"/>
            <w:vAlign w:val="bottom"/>
          </w:tcPr>
          <w:p w14:paraId="35D0AC2B" w14:textId="77777777" w:rsidR="00D42204" w:rsidRDefault="00D42204">
            <w:pPr>
              <w:rPr>
                <w:rFonts w:ascii="宋体"/>
              </w:rPr>
            </w:pPr>
          </w:p>
        </w:tc>
        <w:tc>
          <w:tcPr>
            <w:tcW w:w="475" w:type="pct"/>
            <w:shd w:val="clear" w:color="auto" w:fill="auto"/>
            <w:vAlign w:val="bottom"/>
          </w:tcPr>
          <w:p w14:paraId="35D0AC2C" w14:textId="77777777" w:rsidR="00D42204" w:rsidRDefault="00D42204">
            <w:pPr>
              <w:rPr>
                <w:rFonts w:ascii="宋体"/>
              </w:rPr>
            </w:pPr>
          </w:p>
        </w:tc>
        <w:tc>
          <w:tcPr>
            <w:tcW w:w="5" w:type="pct"/>
            <w:shd w:val="clear" w:color="auto" w:fill="auto"/>
            <w:vAlign w:val="bottom"/>
          </w:tcPr>
          <w:p w14:paraId="35D0AC2D" w14:textId="77777777" w:rsidR="00D42204" w:rsidRDefault="00D42204">
            <w:pPr>
              <w:rPr>
                <w:rFonts w:ascii="宋体"/>
              </w:rPr>
            </w:pPr>
          </w:p>
        </w:tc>
        <w:tc>
          <w:tcPr>
            <w:tcW w:w="5" w:type="pct"/>
            <w:shd w:val="clear" w:color="auto" w:fill="auto"/>
            <w:vAlign w:val="bottom"/>
          </w:tcPr>
          <w:p w14:paraId="35D0AC2E" w14:textId="77777777" w:rsidR="00D42204" w:rsidRDefault="00D42204">
            <w:pPr>
              <w:rPr>
                <w:rFonts w:ascii="宋体"/>
              </w:rPr>
            </w:pPr>
          </w:p>
        </w:tc>
        <w:tc>
          <w:tcPr>
            <w:tcW w:w="26" w:type="pct"/>
            <w:shd w:val="clear" w:color="auto" w:fill="auto"/>
            <w:vAlign w:val="bottom"/>
          </w:tcPr>
          <w:p w14:paraId="35D0AC2F" w14:textId="77777777" w:rsidR="00D42204" w:rsidRDefault="00D42204">
            <w:pPr>
              <w:rPr>
                <w:rFonts w:ascii="宋体"/>
              </w:rPr>
            </w:pPr>
          </w:p>
        </w:tc>
        <w:tc>
          <w:tcPr>
            <w:tcW w:w="5" w:type="pct"/>
            <w:shd w:val="clear" w:color="auto" w:fill="auto"/>
            <w:vAlign w:val="bottom"/>
          </w:tcPr>
          <w:p w14:paraId="35D0AC30" w14:textId="77777777" w:rsidR="00D42204" w:rsidRDefault="00D42204">
            <w:pPr>
              <w:rPr>
                <w:rFonts w:ascii="宋体"/>
              </w:rPr>
            </w:pPr>
          </w:p>
        </w:tc>
        <w:tc>
          <w:tcPr>
            <w:tcW w:w="50" w:type="pct"/>
            <w:shd w:val="clear" w:color="auto" w:fill="auto"/>
            <w:vAlign w:val="bottom"/>
          </w:tcPr>
          <w:p w14:paraId="35D0AC31" w14:textId="77777777" w:rsidR="00D42204" w:rsidRDefault="00D42204">
            <w:pPr>
              <w:rPr>
                <w:rFonts w:ascii="宋体"/>
              </w:rPr>
            </w:pPr>
          </w:p>
        </w:tc>
        <w:tc>
          <w:tcPr>
            <w:tcW w:w="483" w:type="pct"/>
            <w:shd w:val="clear" w:color="auto" w:fill="auto"/>
            <w:vAlign w:val="bottom"/>
          </w:tcPr>
          <w:p w14:paraId="35D0AC32" w14:textId="77777777" w:rsidR="00D42204" w:rsidRDefault="00D42204">
            <w:pPr>
              <w:rPr>
                <w:rFonts w:ascii="宋体"/>
              </w:rPr>
            </w:pPr>
          </w:p>
        </w:tc>
        <w:tc>
          <w:tcPr>
            <w:tcW w:w="5" w:type="pct"/>
            <w:shd w:val="clear" w:color="auto" w:fill="auto"/>
            <w:vAlign w:val="bottom"/>
          </w:tcPr>
          <w:p w14:paraId="35D0AC33" w14:textId="77777777" w:rsidR="00D42204" w:rsidRDefault="00D42204">
            <w:pPr>
              <w:rPr>
                <w:rFonts w:ascii="宋体"/>
              </w:rPr>
            </w:pPr>
          </w:p>
        </w:tc>
        <w:tc>
          <w:tcPr>
            <w:tcW w:w="5" w:type="pct"/>
            <w:shd w:val="clear" w:color="auto" w:fill="auto"/>
            <w:vAlign w:val="bottom"/>
          </w:tcPr>
          <w:p w14:paraId="35D0AC34" w14:textId="77777777" w:rsidR="00D42204" w:rsidRDefault="00D42204">
            <w:pPr>
              <w:rPr>
                <w:rFonts w:ascii="宋体"/>
              </w:rPr>
            </w:pPr>
          </w:p>
        </w:tc>
        <w:tc>
          <w:tcPr>
            <w:tcW w:w="26" w:type="pct"/>
            <w:shd w:val="clear" w:color="auto" w:fill="auto"/>
            <w:vAlign w:val="bottom"/>
          </w:tcPr>
          <w:p w14:paraId="35D0AC35" w14:textId="77777777" w:rsidR="00D42204" w:rsidRDefault="00D42204">
            <w:pPr>
              <w:rPr>
                <w:rFonts w:ascii="宋体"/>
              </w:rPr>
            </w:pPr>
          </w:p>
        </w:tc>
        <w:tc>
          <w:tcPr>
            <w:tcW w:w="5" w:type="pct"/>
            <w:shd w:val="clear" w:color="auto" w:fill="auto"/>
            <w:vAlign w:val="bottom"/>
          </w:tcPr>
          <w:p w14:paraId="35D0AC36" w14:textId="77777777" w:rsidR="00D42204" w:rsidRDefault="00D42204">
            <w:pPr>
              <w:rPr>
                <w:rFonts w:ascii="宋体"/>
              </w:rPr>
            </w:pPr>
          </w:p>
        </w:tc>
        <w:tc>
          <w:tcPr>
            <w:tcW w:w="50" w:type="pct"/>
            <w:shd w:val="clear" w:color="auto" w:fill="auto"/>
            <w:vAlign w:val="bottom"/>
          </w:tcPr>
          <w:p w14:paraId="35D0AC37" w14:textId="77777777" w:rsidR="00D42204" w:rsidRDefault="00D42204">
            <w:pPr>
              <w:rPr>
                <w:rFonts w:ascii="宋体"/>
              </w:rPr>
            </w:pPr>
          </w:p>
        </w:tc>
        <w:tc>
          <w:tcPr>
            <w:tcW w:w="483" w:type="pct"/>
            <w:shd w:val="clear" w:color="auto" w:fill="auto"/>
            <w:vAlign w:val="bottom"/>
          </w:tcPr>
          <w:p w14:paraId="35D0AC38" w14:textId="77777777" w:rsidR="00D42204" w:rsidRDefault="00D42204">
            <w:pPr>
              <w:rPr>
                <w:rFonts w:ascii="宋体"/>
              </w:rPr>
            </w:pPr>
          </w:p>
        </w:tc>
        <w:tc>
          <w:tcPr>
            <w:tcW w:w="5" w:type="pct"/>
            <w:shd w:val="clear" w:color="auto" w:fill="auto"/>
            <w:vAlign w:val="bottom"/>
          </w:tcPr>
          <w:p w14:paraId="35D0AC39" w14:textId="77777777" w:rsidR="00D42204" w:rsidRDefault="00D42204">
            <w:pPr>
              <w:rPr>
                <w:rFonts w:ascii="宋体"/>
              </w:rPr>
            </w:pPr>
          </w:p>
        </w:tc>
        <w:tc>
          <w:tcPr>
            <w:tcW w:w="5" w:type="pct"/>
            <w:shd w:val="clear" w:color="auto" w:fill="auto"/>
            <w:vAlign w:val="bottom"/>
          </w:tcPr>
          <w:p w14:paraId="35D0AC3A" w14:textId="77777777" w:rsidR="00D42204" w:rsidRDefault="00D42204">
            <w:pPr>
              <w:rPr>
                <w:rFonts w:ascii="宋体"/>
              </w:rPr>
            </w:pPr>
          </w:p>
        </w:tc>
        <w:tc>
          <w:tcPr>
            <w:tcW w:w="26" w:type="pct"/>
            <w:shd w:val="clear" w:color="auto" w:fill="auto"/>
            <w:vAlign w:val="bottom"/>
          </w:tcPr>
          <w:p w14:paraId="35D0AC3B" w14:textId="77777777" w:rsidR="00D42204" w:rsidRDefault="00D42204">
            <w:pPr>
              <w:rPr>
                <w:rFonts w:ascii="宋体"/>
              </w:rPr>
            </w:pPr>
          </w:p>
        </w:tc>
        <w:tc>
          <w:tcPr>
            <w:tcW w:w="5" w:type="pct"/>
            <w:shd w:val="clear" w:color="auto" w:fill="auto"/>
            <w:vAlign w:val="bottom"/>
          </w:tcPr>
          <w:p w14:paraId="35D0AC3C" w14:textId="77777777" w:rsidR="00D42204" w:rsidRDefault="00D42204">
            <w:pPr>
              <w:rPr>
                <w:rFonts w:ascii="宋体"/>
              </w:rPr>
            </w:pPr>
          </w:p>
        </w:tc>
        <w:tc>
          <w:tcPr>
            <w:tcW w:w="50" w:type="pct"/>
            <w:shd w:val="clear" w:color="auto" w:fill="auto"/>
            <w:vAlign w:val="bottom"/>
          </w:tcPr>
          <w:p w14:paraId="35D0AC3D" w14:textId="77777777" w:rsidR="00D42204" w:rsidRDefault="00D42204">
            <w:pPr>
              <w:rPr>
                <w:rFonts w:ascii="宋体"/>
              </w:rPr>
            </w:pPr>
          </w:p>
        </w:tc>
        <w:tc>
          <w:tcPr>
            <w:tcW w:w="483" w:type="pct"/>
            <w:shd w:val="clear" w:color="auto" w:fill="auto"/>
            <w:vAlign w:val="bottom"/>
          </w:tcPr>
          <w:p w14:paraId="35D0AC3E" w14:textId="77777777" w:rsidR="00D42204" w:rsidRDefault="00D42204">
            <w:pPr>
              <w:rPr>
                <w:rFonts w:ascii="宋体"/>
              </w:rPr>
            </w:pPr>
          </w:p>
        </w:tc>
        <w:tc>
          <w:tcPr>
            <w:tcW w:w="5" w:type="pct"/>
            <w:shd w:val="clear" w:color="auto" w:fill="auto"/>
            <w:vAlign w:val="bottom"/>
          </w:tcPr>
          <w:p w14:paraId="35D0AC3F" w14:textId="77777777" w:rsidR="00D42204" w:rsidRDefault="00D42204">
            <w:pPr>
              <w:rPr>
                <w:rFonts w:ascii="宋体"/>
              </w:rPr>
            </w:pPr>
          </w:p>
        </w:tc>
      </w:tr>
      <w:tr w:rsidR="00D42204" w14:paraId="35D0AC4A" w14:textId="77777777">
        <w:trPr>
          <w:jc w:val="center"/>
        </w:trPr>
        <w:tc>
          <w:tcPr>
            <w:tcW w:w="0" w:type="auto"/>
            <w:gridSpan w:val="3"/>
            <w:shd w:val="clear" w:color="auto" w:fill="auto"/>
            <w:tcMar>
              <w:top w:w="40" w:type="dxa"/>
              <w:left w:w="20" w:type="dxa"/>
              <w:bottom w:w="40" w:type="dxa"/>
              <w:right w:w="20" w:type="dxa"/>
            </w:tcMar>
            <w:vAlign w:val="bottom"/>
          </w:tcPr>
          <w:p w14:paraId="35D0AC41"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AC42"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C43" w14:textId="77777777" w:rsidR="00D42204" w:rsidRDefault="004E439D">
            <w:pPr>
              <w:jc w:val="center"/>
              <w:textAlignment w:val="bottom"/>
            </w:pPr>
            <w:r>
              <w:rPr>
                <w:rFonts w:ascii="Times New Roman" w:eastAsia="宋体" w:hAnsi="Times New Roman"/>
                <w:b/>
                <w:bCs/>
                <w:color w:val="000000"/>
                <w:sz w:val="16"/>
                <w:szCs w:val="16"/>
              </w:rPr>
              <w:t>Walmart U.S.</w:t>
            </w:r>
          </w:p>
        </w:tc>
        <w:tc>
          <w:tcPr>
            <w:tcW w:w="0" w:type="auto"/>
            <w:gridSpan w:val="3"/>
            <w:shd w:val="clear" w:color="auto" w:fill="auto"/>
            <w:tcMar>
              <w:top w:w="0" w:type="dxa"/>
              <w:left w:w="20" w:type="dxa"/>
              <w:bottom w:w="0" w:type="dxa"/>
              <w:right w:w="20" w:type="dxa"/>
            </w:tcMar>
            <w:vAlign w:val="bottom"/>
          </w:tcPr>
          <w:p w14:paraId="35D0AC44"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C45" w14:textId="77777777" w:rsidR="00D42204" w:rsidRDefault="004E439D">
            <w:pPr>
              <w:jc w:val="center"/>
              <w:textAlignment w:val="bottom"/>
            </w:pPr>
            <w:r>
              <w:rPr>
                <w:rFonts w:ascii="Times New Roman" w:eastAsia="宋体" w:hAnsi="Times New Roman"/>
                <w:b/>
                <w:bCs/>
                <w:color w:val="000000"/>
                <w:sz w:val="16"/>
                <w:szCs w:val="16"/>
              </w:rPr>
              <w:t>Walmart</w:t>
            </w:r>
            <w:r>
              <w:rPr>
                <w:rFonts w:ascii="Times New Roman" w:eastAsia="宋体" w:hAnsi="Times New Roman"/>
                <w:b/>
                <w:bCs/>
                <w:color w:val="000000"/>
                <w:sz w:val="16"/>
                <w:szCs w:val="16"/>
              </w:rPr>
              <w:br/>
              <w:t>International</w:t>
            </w:r>
          </w:p>
        </w:tc>
        <w:tc>
          <w:tcPr>
            <w:tcW w:w="0" w:type="auto"/>
            <w:gridSpan w:val="3"/>
            <w:shd w:val="clear" w:color="auto" w:fill="auto"/>
            <w:tcMar>
              <w:top w:w="0" w:type="dxa"/>
              <w:left w:w="20" w:type="dxa"/>
              <w:bottom w:w="0" w:type="dxa"/>
              <w:right w:w="20" w:type="dxa"/>
            </w:tcMar>
            <w:vAlign w:val="bottom"/>
          </w:tcPr>
          <w:p w14:paraId="35D0AC46"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C47" w14:textId="77777777" w:rsidR="00D42204" w:rsidRDefault="004E439D">
            <w:pPr>
              <w:jc w:val="center"/>
              <w:textAlignment w:val="bottom"/>
            </w:pPr>
            <w:r>
              <w:rPr>
                <w:rFonts w:ascii="Times New Roman" w:eastAsia="宋体" w:hAnsi="Times New Roman"/>
                <w:b/>
                <w:bCs/>
                <w:color w:val="000000"/>
                <w:sz w:val="16"/>
                <w:szCs w:val="16"/>
              </w:rPr>
              <w:t>Sam's Club</w:t>
            </w:r>
          </w:p>
        </w:tc>
        <w:tc>
          <w:tcPr>
            <w:tcW w:w="0" w:type="auto"/>
            <w:gridSpan w:val="3"/>
            <w:shd w:val="clear" w:color="auto" w:fill="auto"/>
            <w:tcMar>
              <w:top w:w="0" w:type="dxa"/>
              <w:left w:w="20" w:type="dxa"/>
              <w:bottom w:w="0" w:type="dxa"/>
              <w:right w:w="20" w:type="dxa"/>
            </w:tcMar>
            <w:vAlign w:val="bottom"/>
          </w:tcPr>
          <w:p w14:paraId="35D0AC48"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C49" w14:textId="77777777" w:rsidR="00D42204" w:rsidRDefault="004E439D">
            <w:pPr>
              <w:jc w:val="center"/>
              <w:textAlignment w:val="bottom"/>
            </w:pPr>
            <w:r>
              <w:rPr>
                <w:rFonts w:ascii="Times New Roman" w:eastAsia="宋体" w:hAnsi="Times New Roman"/>
                <w:b/>
                <w:bCs/>
                <w:color w:val="000000"/>
                <w:sz w:val="16"/>
                <w:szCs w:val="16"/>
              </w:rPr>
              <w:t>Total</w:t>
            </w:r>
          </w:p>
        </w:tc>
      </w:tr>
      <w:tr w:rsidR="00D42204" w14:paraId="35D0AC5C" w14:textId="77777777">
        <w:trPr>
          <w:jc w:val="center"/>
        </w:trPr>
        <w:tc>
          <w:tcPr>
            <w:tcW w:w="0" w:type="auto"/>
            <w:gridSpan w:val="3"/>
            <w:shd w:val="clear" w:color="auto" w:fill="CCEEFF"/>
            <w:tcMar>
              <w:top w:w="40" w:type="dxa"/>
              <w:left w:w="20" w:type="dxa"/>
              <w:bottom w:w="40" w:type="dxa"/>
              <w:right w:w="20" w:type="dxa"/>
            </w:tcMar>
            <w:vAlign w:val="center"/>
          </w:tcPr>
          <w:p w14:paraId="35D0AC4B" w14:textId="77777777" w:rsidR="00D42204" w:rsidRDefault="004E439D">
            <w:pPr>
              <w:textAlignment w:val="center"/>
            </w:pPr>
            <w:r>
              <w:rPr>
                <w:rFonts w:ascii="Times New Roman" w:eastAsia="宋体" w:hAnsi="Times New Roman"/>
                <w:b/>
                <w:bCs/>
                <w:color w:val="000000"/>
                <w:sz w:val="16"/>
                <w:szCs w:val="16"/>
              </w:rPr>
              <w:t>Balances as of February 1, 2020</w:t>
            </w:r>
          </w:p>
        </w:tc>
        <w:tc>
          <w:tcPr>
            <w:tcW w:w="0" w:type="auto"/>
            <w:gridSpan w:val="3"/>
            <w:shd w:val="clear" w:color="auto" w:fill="CCEEFF"/>
            <w:tcMar>
              <w:top w:w="0" w:type="dxa"/>
              <w:left w:w="20" w:type="dxa"/>
              <w:bottom w:w="0" w:type="dxa"/>
              <w:right w:w="20" w:type="dxa"/>
            </w:tcMar>
            <w:vAlign w:val="bottom"/>
          </w:tcPr>
          <w:p w14:paraId="35D0AC4C"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C4D"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C4E" w14:textId="77777777" w:rsidR="00D42204" w:rsidRDefault="004E439D">
            <w:pPr>
              <w:jc w:val="right"/>
              <w:textAlignment w:val="center"/>
            </w:pPr>
            <w:r>
              <w:rPr>
                <w:rFonts w:ascii="Times New Roman" w:eastAsia="宋体" w:hAnsi="Times New Roman"/>
                <w:color w:val="000000"/>
                <w:sz w:val="16"/>
                <w:szCs w:val="16"/>
              </w:rPr>
              <w:t>2,593 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C4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C50"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C51"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C52" w14:textId="77777777" w:rsidR="00D42204" w:rsidRDefault="004E439D">
            <w:pPr>
              <w:jc w:val="right"/>
              <w:textAlignment w:val="center"/>
            </w:pPr>
            <w:r>
              <w:rPr>
                <w:rFonts w:ascii="Times New Roman" w:eastAsia="宋体" w:hAnsi="Times New Roman"/>
                <w:color w:val="000000"/>
                <w:sz w:val="16"/>
                <w:szCs w:val="16"/>
              </w:rPr>
              <w:t>28,167 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C5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C54"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C55"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C56" w14:textId="77777777" w:rsidR="00D42204" w:rsidRDefault="004E439D">
            <w:pPr>
              <w:jc w:val="right"/>
              <w:textAlignment w:val="center"/>
            </w:pPr>
            <w:r>
              <w:rPr>
                <w:rFonts w:ascii="Times New Roman" w:eastAsia="宋体" w:hAnsi="Times New Roman"/>
                <w:color w:val="000000"/>
                <w:sz w:val="16"/>
                <w:szCs w:val="16"/>
              </w:rPr>
              <w:t>313 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C5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C58"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C59"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C5A" w14:textId="77777777" w:rsidR="00D42204" w:rsidRDefault="004E439D">
            <w:pPr>
              <w:jc w:val="right"/>
              <w:textAlignment w:val="center"/>
            </w:pPr>
            <w:r>
              <w:rPr>
                <w:rFonts w:ascii="Times New Roman" w:eastAsia="宋体" w:hAnsi="Times New Roman"/>
                <w:color w:val="000000"/>
                <w:sz w:val="16"/>
                <w:szCs w:val="16"/>
              </w:rPr>
              <w:t>31,073 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C5B" w14:textId="77777777" w:rsidR="00D42204" w:rsidRDefault="00D42204">
            <w:pPr>
              <w:jc w:val="right"/>
              <w:rPr>
                <w:rFonts w:ascii="宋体"/>
              </w:rPr>
            </w:pPr>
          </w:p>
        </w:tc>
      </w:tr>
      <w:tr w:rsidR="00D42204" w14:paraId="35D0AC6A" w14:textId="77777777">
        <w:trPr>
          <w:jc w:val="center"/>
        </w:trPr>
        <w:tc>
          <w:tcPr>
            <w:tcW w:w="0" w:type="auto"/>
            <w:gridSpan w:val="3"/>
            <w:shd w:val="clear" w:color="auto" w:fill="FFFFFF"/>
            <w:tcMar>
              <w:top w:w="40" w:type="dxa"/>
              <w:left w:w="20" w:type="dxa"/>
              <w:bottom w:w="40" w:type="dxa"/>
              <w:right w:w="20" w:type="dxa"/>
            </w:tcMar>
            <w:vAlign w:val="center"/>
          </w:tcPr>
          <w:p w14:paraId="35D0AC5D" w14:textId="77777777" w:rsidR="00D42204" w:rsidRDefault="004E439D">
            <w:pPr>
              <w:textAlignment w:val="center"/>
            </w:pPr>
            <w:r>
              <w:rPr>
                <w:rFonts w:ascii="Times New Roman" w:eastAsia="宋体" w:hAnsi="Times New Roman"/>
                <w:color w:val="000000"/>
                <w:sz w:val="16"/>
                <w:szCs w:val="16"/>
              </w:rPr>
              <w:t>Changes in currency translation and other</w:t>
            </w:r>
          </w:p>
        </w:tc>
        <w:tc>
          <w:tcPr>
            <w:tcW w:w="0" w:type="auto"/>
            <w:gridSpan w:val="3"/>
            <w:shd w:val="clear" w:color="auto" w:fill="FFFFFF"/>
            <w:tcMar>
              <w:top w:w="0" w:type="dxa"/>
              <w:left w:w="20" w:type="dxa"/>
              <w:bottom w:w="0" w:type="dxa"/>
              <w:right w:w="20" w:type="dxa"/>
            </w:tcMar>
            <w:vAlign w:val="bottom"/>
          </w:tcPr>
          <w:p w14:paraId="35D0AC5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C5F"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C6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C6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C62" w14:textId="77777777" w:rsidR="00D42204" w:rsidRDefault="004E439D">
            <w:pPr>
              <w:jc w:val="right"/>
              <w:textAlignment w:val="center"/>
            </w:pPr>
            <w:r>
              <w:rPr>
                <w:rFonts w:ascii="Times New Roman" w:eastAsia="宋体" w:hAnsi="Times New Roman"/>
                <w:color w:val="000000"/>
                <w:sz w:val="16"/>
                <w:szCs w:val="16"/>
              </w:rPr>
              <w:t>10 </w:t>
            </w:r>
          </w:p>
        </w:tc>
        <w:tc>
          <w:tcPr>
            <w:tcW w:w="0" w:type="auto"/>
            <w:shd w:val="clear" w:color="auto" w:fill="FFFFFF"/>
            <w:tcMar>
              <w:top w:w="40" w:type="dxa"/>
              <w:left w:w="0" w:type="dxa"/>
              <w:bottom w:w="40" w:type="dxa"/>
              <w:right w:w="20" w:type="dxa"/>
            </w:tcMar>
            <w:vAlign w:val="center"/>
          </w:tcPr>
          <w:p w14:paraId="35D0AC6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C6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C65"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C6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C6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C68" w14:textId="77777777" w:rsidR="00D42204" w:rsidRDefault="004E439D">
            <w:pPr>
              <w:jc w:val="right"/>
              <w:textAlignment w:val="center"/>
            </w:pPr>
            <w:r>
              <w:rPr>
                <w:rFonts w:ascii="Times New Roman" w:eastAsia="宋体" w:hAnsi="Times New Roman"/>
                <w:color w:val="000000"/>
                <w:sz w:val="16"/>
                <w:szCs w:val="16"/>
              </w:rPr>
              <w:t>10 </w:t>
            </w:r>
          </w:p>
        </w:tc>
        <w:tc>
          <w:tcPr>
            <w:tcW w:w="0" w:type="auto"/>
            <w:shd w:val="clear" w:color="auto" w:fill="FFFFFF"/>
            <w:tcMar>
              <w:top w:w="40" w:type="dxa"/>
              <w:left w:w="0" w:type="dxa"/>
              <w:bottom w:w="40" w:type="dxa"/>
              <w:right w:w="20" w:type="dxa"/>
            </w:tcMar>
            <w:vAlign w:val="center"/>
          </w:tcPr>
          <w:p w14:paraId="35D0AC69" w14:textId="77777777" w:rsidR="00D42204" w:rsidRDefault="00D42204">
            <w:pPr>
              <w:jc w:val="right"/>
              <w:rPr>
                <w:rFonts w:ascii="宋体"/>
              </w:rPr>
            </w:pPr>
          </w:p>
        </w:tc>
      </w:tr>
      <w:tr w:rsidR="00D42204" w14:paraId="35D0AC78" w14:textId="77777777">
        <w:trPr>
          <w:jc w:val="center"/>
        </w:trPr>
        <w:tc>
          <w:tcPr>
            <w:tcW w:w="0" w:type="auto"/>
            <w:gridSpan w:val="3"/>
            <w:shd w:val="clear" w:color="auto" w:fill="CCEEFF"/>
            <w:tcMar>
              <w:top w:w="40" w:type="dxa"/>
              <w:left w:w="20" w:type="dxa"/>
              <w:bottom w:w="40" w:type="dxa"/>
              <w:right w:w="20" w:type="dxa"/>
            </w:tcMar>
            <w:vAlign w:val="center"/>
          </w:tcPr>
          <w:p w14:paraId="35D0AC6B" w14:textId="77777777" w:rsidR="00D42204" w:rsidRDefault="004E439D">
            <w:pPr>
              <w:textAlignment w:val="center"/>
            </w:pPr>
            <w:r>
              <w:rPr>
                <w:rFonts w:ascii="Times New Roman" w:eastAsia="宋体" w:hAnsi="Times New Roman"/>
                <w:color w:val="000000"/>
                <w:sz w:val="16"/>
                <w:szCs w:val="16"/>
              </w:rPr>
              <w:t>Acquisitions</w:t>
            </w:r>
          </w:p>
        </w:tc>
        <w:tc>
          <w:tcPr>
            <w:tcW w:w="0" w:type="auto"/>
            <w:gridSpan w:val="3"/>
            <w:shd w:val="clear" w:color="auto" w:fill="CCEEFF"/>
            <w:tcMar>
              <w:top w:w="0" w:type="dxa"/>
              <w:left w:w="20" w:type="dxa"/>
              <w:bottom w:w="0" w:type="dxa"/>
              <w:right w:w="20" w:type="dxa"/>
            </w:tcMar>
            <w:vAlign w:val="bottom"/>
          </w:tcPr>
          <w:p w14:paraId="35D0AC6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C6D" w14:textId="77777777" w:rsidR="00D42204" w:rsidRDefault="004E439D">
            <w:pPr>
              <w:jc w:val="right"/>
              <w:textAlignment w:val="center"/>
            </w:pPr>
            <w:r>
              <w:rPr>
                <w:rFonts w:ascii="Times New Roman" w:eastAsia="宋体" w:hAnsi="Times New Roman"/>
                <w:color w:val="000000"/>
                <w:sz w:val="16"/>
                <w:szCs w:val="16"/>
              </w:rPr>
              <w:t>103 </w:t>
            </w:r>
          </w:p>
        </w:tc>
        <w:tc>
          <w:tcPr>
            <w:tcW w:w="0" w:type="auto"/>
            <w:shd w:val="clear" w:color="auto" w:fill="CCEEFF"/>
            <w:tcMar>
              <w:top w:w="40" w:type="dxa"/>
              <w:left w:w="0" w:type="dxa"/>
              <w:bottom w:w="40" w:type="dxa"/>
              <w:right w:w="20" w:type="dxa"/>
            </w:tcMar>
            <w:vAlign w:val="center"/>
          </w:tcPr>
          <w:p w14:paraId="35D0AC6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C6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C70"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C7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C7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C73" w14:textId="77777777" w:rsidR="00D42204" w:rsidRDefault="004E439D">
            <w:pPr>
              <w:jc w:val="right"/>
              <w:textAlignment w:val="center"/>
            </w:pPr>
            <w:r>
              <w:rPr>
                <w:rFonts w:ascii="Times New Roman" w:eastAsia="宋体" w:hAnsi="Times New Roman"/>
                <w:color w:val="000000"/>
                <w:sz w:val="16"/>
                <w:szCs w:val="16"/>
              </w:rPr>
              <w:t>8 </w:t>
            </w:r>
          </w:p>
        </w:tc>
        <w:tc>
          <w:tcPr>
            <w:tcW w:w="0" w:type="auto"/>
            <w:shd w:val="clear" w:color="auto" w:fill="CCEEFF"/>
            <w:tcMar>
              <w:top w:w="40" w:type="dxa"/>
              <w:left w:w="0" w:type="dxa"/>
              <w:bottom w:w="40" w:type="dxa"/>
              <w:right w:w="20" w:type="dxa"/>
            </w:tcMar>
            <w:vAlign w:val="center"/>
          </w:tcPr>
          <w:p w14:paraId="35D0AC7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C7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C76" w14:textId="77777777" w:rsidR="00D42204" w:rsidRDefault="004E439D">
            <w:pPr>
              <w:jc w:val="right"/>
              <w:textAlignment w:val="center"/>
            </w:pPr>
            <w:r>
              <w:rPr>
                <w:rFonts w:ascii="Times New Roman" w:eastAsia="宋体" w:hAnsi="Times New Roman"/>
                <w:color w:val="000000"/>
                <w:sz w:val="16"/>
                <w:szCs w:val="16"/>
              </w:rPr>
              <w:t>111 </w:t>
            </w:r>
          </w:p>
        </w:tc>
        <w:tc>
          <w:tcPr>
            <w:tcW w:w="0" w:type="auto"/>
            <w:shd w:val="clear" w:color="auto" w:fill="CCEEFF"/>
            <w:tcMar>
              <w:top w:w="40" w:type="dxa"/>
              <w:left w:w="0" w:type="dxa"/>
              <w:bottom w:w="40" w:type="dxa"/>
              <w:right w:w="20" w:type="dxa"/>
            </w:tcMar>
            <w:vAlign w:val="center"/>
          </w:tcPr>
          <w:p w14:paraId="35D0AC77" w14:textId="77777777" w:rsidR="00D42204" w:rsidRDefault="00D42204">
            <w:pPr>
              <w:jc w:val="right"/>
              <w:rPr>
                <w:rFonts w:ascii="宋体"/>
              </w:rPr>
            </w:pPr>
          </w:p>
        </w:tc>
      </w:tr>
      <w:tr w:rsidR="00D42204" w14:paraId="35D0AC86" w14:textId="77777777">
        <w:trPr>
          <w:jc w:val="center"/>
        </w:trPr>
        <w:tc>
          <w:tcPr>
            <w:tcW w:w="0" w:type="auto"/>
            <w:gridSpan w:val="3"/>
            <w:shd w:val="clear" w:color="auto" w:fill="FFFFFF"/>
            <w:tcMar>
              <w:top w:w="40" w:type="dxa"/>
              <w:left w:w="20" w:type="dxa"/>
              <w:bottom w:w="40" w:type="dxa"/>
              <w:right w:w="20" w:type="dxa"/>
            </w:tcMar>
            <w:vAlign w:val="center"/>
          </w:tcPr>
          <w:p w14:paraId="35D0AC79" w14:textId="77777777" w:rsidR="00D42204" w:rsidRDefault="004E439D">
            <w:pPr>
              <w:textAlignment w:val="center"/>
            </w:pPr>
            <w:r>
              <w:rPr>
                <w:rFonts w:ascii="Times New Roman" w:eastAsia="宋体" w:hAnsi="Times New Roman"/>
                <w:color w:val="000000"/>
                <w:sz w:val="16"/>
                <w:szCs w:val="16"/>
              </w:rPr>
              <w:t>Amounts reclassified related to operations held for sale</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vAlign w:val="bottom"/>
          </w:tcPr>
          <w:p w14:paraId="35D0AC7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C7B"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C7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C7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C7E" w14:textId="77777777" w:rsidR="00D42204" w:rsidRDefault="004E439D">
            <w:pPr>
              <w:jc w:val="right"/>
              <w:textAlignment w:val="center"/>
            </w:pPr>
            <w:r>
              <w:rPr>
                <w:rFonts w:ascii="Times New Roman" w:eastAsia="宋体" w:hAnsi="Times New Roman"/>
                <w:color w:val="000000"/>
                <w:sz w:val="16"/>
                <w:szCs w:val="16"/>
              </w:rPr>
              <w:t>(2,211)</w:t>
            </w:r>
          </w:p>
        </w:tc>
        <w:tc>
          <w:tcPr>
            <w:tcW w:w="0" w:type="auto"/>
            <w:shd w:val="clear" w:color="auto" w:fill="FFFFFF"/>
            <w:tcMar>
              <w:top w:w="40" w:type="dxa"/>
              <w:left w:w="0" w:type="dxa"/>
              <w:bottom w:w="40" w:type="dxa"/>
              <w:right w:w="20" w:type="dxa"/>
            </w:tcMar>
            <w:vAlign w:val="center"/>
          </w:tcPr>
          <w:p w14:paraId="35D0AC7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C8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C81"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C8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C8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C84" w14:textId="77777777" w:rsidR="00D42204" w:rsidRDefault="004E439D">
            <w:pPr>
              <w:jc w:val="right"/>
              <w:textAlignment w:val="center"/>
            </w:pPr>
            <w:r>
              <w:rPr>
                <w:rFonts w:ascii="Times New Roman" w:eastAsia="宋体" w:hAnsi="Times New Roman"/>
                <w:color w:val="000000"/>
                <w:sz w:val="16"/>
                <w:szCs w:val="16"/>
              </w:rPr>
              <w:t>(2,211)</w:t>
            </w:r>
          </w:p>
        </w:tc>
        <w:tc>
          <w:tcPr>
            <w:tcW w:w="0" w:type="auto"/>
            <w:shd w:val="clear" w:color="auto" w:fill="FFFFFF"/>
            <w:tcMar>
              <w:top w:w="40" w:type="dxa"/>
              <w:left w:w="0" w:type="dxa"/>
              <w:bottom w:w="40" w:type="dxa"/>
              <w:right w:w="20" w:type="dxa"/>
            </w:tcMar>
            <w:vAlign w:val="center"/>
          </w:tcPr>
          <w:p w14:paraId="35D0AC85" w14:textId="77777777" w:rsidR="00D42204" w:rsidRDefault="00D42204">
            <w:pPr>
              <w:jc w:val="right"/>
              <w:rPr>
                <w:rFonts w:ascii="宋体"/>
              </w:rPr>
            </w:pPr>
          </w:p>
        </w:tc>
      </w:tr>
      <w:tr w:rsidR="00D42204" w14:paraId="35D0AC94" w14:textId="77777777">
        <w:trPr>
          <w:jc w:val="center"/>
        </w:trPr>
        <w:tc>
          <w:tcPr>
            <w:tcW w:w="0" w:type="auto"/>
            <w:gridSpan w:val="3"/>
            <w:shd w:val="clear" w:color="auto" w:fill="CCEEFF"/>
            <w:tcMar>
              <w:top w:w="40" w:type="dxa"/>
              <w:left w:w="20" w:type="dxa"/>
              <w:bottom w:w="40" w:type="dxa"/>
              <w:right w:w="20" w:type="dxa"/>
            </w:tcMar>
            <w:vAlign w:val="center"/>
          </w:tcPr>
          <w:p w14:paraId="35D0AC87" w14:textId="77777777" w:rsidR="00D42204" w:rsidRDefault="004E439D">
            <w:pPr>
              <w:textAlignment w:val="center"/>
            </w:pPr>
            <w:r>
              <w:rPr>
                <w:rFonts w:ascii="Times New Roman" w:eastAsia="宋体" w:hAnsi="Times New Roman"/>
                <w:b/>
                <w:bCs/>
                <w:color w:val="000000"/>
                <w:sz w:val="16"/>
                <w:szCs w:val="16"/>
              </w:rPr>
              <w:t>Balances as of January 31, 2021</w:t>
            </w:r>
          </w:p>
        </w:tc>
        <w:tc>
          <w:tcPr>
            <w:tcW w:w="0" w:type="auto"/>
            <w:gridSpan w:val="3"/>
            <w:shd w:val="clear" w:color="auto" w:fill="CCEEFF"/>
            <w:tcMar>
              <w:top w:w="0" w:type="dxa"/>
              <w:left w:w="20" w:type="dxa"/>
              <w:bottom w:w="0" w:type="dxa"/>
              <w:right w:w="20" w:type="dxa"/>
            </w:tcMar>
            <w:vAlign w:val="bottom"/>
          </w:tcPr>
          <w:p w14:paraId="35D0AC88"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C89" w14:textId="77777777" w:rsidR="00D42204" w:rsidRDefault="004E439D">
            <w:pPr>
              <w:jc w:val="right"/>
              <w:textAlignment w:val="center"/>
            </w:pPr>
            <w:r>
              <w:rPr>
                <w:rFonts w:ascii="Times New Roman" w:eastAsia="宋体" w:hAnsi="Times New Roman"/>
                <w:color w:val="000000"/>
                <w:sz w:val="16"/>
                <w:szCs w:val="16"/>
              </w:rPr>
              <w:t>2,696 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C8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C8B"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C8C" w14:textId="77777777" w:rsidR="00D42204" w:rsidRDefault="004E439D">
            <w:pPr>
              <w:jc w:val="right"/>
              <w:textAlignment w:val="center"/>
            </w:pPr>
            <w:r>
              <w:rPr>
                <w:rFonts w:ascii="Times New Roman" w:eastAsia="宋体" w:hAnsi="Times New Roman"/>
                <w:color w:val="000000"/>
                <w:sz w:val="16"/>
                <w:szCs w:val="16"/>
              </w:rPr>
              <w:t>25,966 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C8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C8E"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C8F" w14:textId="77777777" w:rsidR="00D42204" w:rsidRDefault="004E439D">
            <w:pPr>
              <w:jc w:val="right"/>
              <w:textAlignment w:val="center"/>
            </w:pPr>
            <w:r>
              <w:rPr>
                <w:rFonts w:ascii="Times New Roman" w:eastAsia="宋体" w:hAnsi="Times New Roman"/>
                <w:color w:val="000000"/>
                <w:sz w:val="16"/>
                <w:szCs w:val="16"/>
              </w:rPr>
              <w:t>321 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C9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C91"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C92" w14:textId="77777777" w:rsidR="00D42204" w:rsidRDefault="004E439D">
            <w:pPr>
              <w:jc w:val="right"/>
              <w:textAlignment w:val="center"/>
            </w:pPr>
            <w:r>
              <w:rPr>
                <w:rFonts w:ascii="Times New Roman" w:eastAsia="宋体" w:hAnsi="Times New Roman"/>
                <w:color w:val="000000"/>
                <w:sz w:val="16"/>
                <w:szCs w:val="16"/>
              </w:rPr>
              <w:t>28,983 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C93" w14:textId="77777777" w:rsidR="00D42204" w:rsidRDefault="00D42204">
            <w:pPr>
              <w:jc w:val="right"/>
              <w:rPr>
                <w:rFonts w:ascii="宋体"/>
              </w:rPr>
            </w:pPr>
          </w:p>
        </w:tc>
      </w:tr>
      <w:tr w:rsidR="00D42204" w14:paraId="35D0ACA2" w14:textId="77777777">
        <w:trPr>
          <w:jc w:val="center"/>
        </w:trPr>
        <w:tc>
          <w:tcPr>
            <w:tcW w:w="0" w:type="auto"/>
            <w:gridSpan w:val="3"/>
            <w:shd w:val="clear" w:color="auto" w:fill="FFFFFF"/>
            <w:tcMar>
              <w:top w:w="40" w:type="dxa"/>
              <w:left w:w="20" w:type="dxa"/>
              <w:bottom w:w="40" w:type="dxa"/>
              <w:right w:w="20" w:type="dxa"/>
            </w:tcMar>
            <w:vAlign w:val="center"/>
          </w:tcPr>
          <w:p w14:paraId="35D0AC95" w14:textId="77777777" w:rsidR="00D42204" w:rsidRDefault="004E439D">
            <w:pPr>
              <w:textAlignment w:val="center"/>
            </w:pPr>
            <w:r>
              <w:rPr>
                <w:rFonts w:ascii="Times New Roman" w:eastAsia="宋体" w:hAnsi="Times New Roman"/>
                <w:color w:val="000000"/>
                <w:sz w:val="16"/>
                <w:szCs w:val="16"/>
              </w:rPr>
              <w:t>Changes in currency translation and other</w:t>
            </w:r>
          </w:p>
        </w:tc>
        <w:tc>
          <w:tcPr>
            <w:tcW w:w="0" w:type="auto"/>
            <w:gridSpan w:val="3"/>
            <w:shd w:val="clear" w:color="auto" w:fill="FFFFFF"/>
            <w:tcMar>
              <w:top w:w="0" w:type="dxa"/>
              <w:left w:w="20" w:type="dxa"/>
              <w:bottom w:w="0" w:type="dxa"/>
              <w:right w:w="20" w:type="dxa"/>
            </w:tcMar>
            <w:vAlign w:val="bottom"/>
          </w:tcPr>
          <w:p w14:paraId="35D0AC9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C97"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C9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C9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C9A" w14:textId="77777777" w:rsidR="00D42204" w:rsidRDefault="004E439D">
            <w:pPr>
              <w:jc w:val="right"/>
              <w:textAlignment w:val="center"/>
            </w:pPr>
            <w:r>
              <w:rPr>
                <w:rFonts w:ascii="Times New Roman" w:eastAsia="宋体" w:hAnsi="Times New Roman"/>
                <w:color w:val="000000"/>
                <w:sz w:val="16"/>
                <w:szCs w:val="16"/>
              </w:rPr>
              <w:t>(415)</w:t>
            </w:r>
          </w:p>
        </w:tc>
        <w:tc>
          <w:tcPr>
            <w:tcW w:w="0" w:type="auto"/>
            <w:shd w:val="clear" w:color="auto" w:fill="FFFFFF"/>
            <w:tcMar>
              <w:top w:w="40" w:type="dxa"/>
              <w:left w:w="0" w:type="dxa"/>
              <w:bottom w:w="40" w:type="dxa"/>
              <w:right w:w="20" w:type="dxa"/>
            </w:tcMar>
            <w:vAlign w:val="center"/>
          </w:tcPr>
          <w:p w14:paraId="35D0AC9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C9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C9D"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C9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C9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CA0" w14:textId="77777777" w:rsidR="00D42204" w:rsidRDefault="004E439D">
            <w:pPr>
              <w:jc w:val="right"/>
              <w:textAlignment w:val="center"/>
            </w:pPr>
            <w:r>
              <w:rPr>
                <w:rFonts w:ascii="Times New Roman" w:eastAsia="宋体" w:hAnsi="Times New Roman"/>
                <w:color w:val="000000"/>
                <w:sz w:val="16"/>
                <w:szCs w:val="16"/>
              </w:rPr>
              <w:t>(415)</w:t>
            </w:r>
          </w:p>
        </w:tc>
        <w:tc>
          <w:tcPr>
            <w:tcW w:w="0" w:type="auto"/>
            <w:shd w:val="clear" w:color="auto" w:fill="FFFFFF"/>
            <w:tcMar>
              <w:top w:w="40" w:type="dxa"/>
              <w:left w:w="0" w:type="dxa"/>
              <w:bottom w:w="40" w:type="dxa"/>
              <w:right w:w="20" w:type="dxa"/>
            </w:tcMar>
            <w:vAlign w:val="center"/>
          </w:tcPr>
          <w:p w14:paraId="35D0ACA1" w14:textId="77777777" w:rsidR="00D42204" w:rsidRDefault="00D42204">
            <w:pPr>
              <w:jc w:val="right"/>
              <w:rPr>
                <w:rFonts w:ascii="宋体"/>
              </w:rPr>
            </w:pPr>
          </w:p>
        </w:tc>
      </w:tr>
      <w:tr w:rsidR="00D42204" w14:paraId="35D0ACB0" w14:textId="77777777">
        <w:trPr>
          <w:jc w:val="center"/>
        </w:trPr>
        <w:tc>
          <w:tcPr>
            <w:tcW w:w="0" w:type="auto"/>
            <w:gridSpan w:val="3"/>
            <w:shd w:val="clear" w:color="auto" w:fill="CCEEFF"/>
            <w:tcMar>
              <w:top w:w="40" w:type="dxa"/>
              <w:left w:w="20" w:type="dxa"/>
              <w:bottom w:w="40" w:type="dxa"/>
              <w:right w:w="20" w:type="dxa"/>
            </w:tcMar>
            <w:vAlign w:val="center"/>
          </w:tcPr>
          <w:p w14:paraId="35D0ACA3" w14:textId="77777777" w:rsidR="00D42204" w:rsidRDefault="004E439D">
            <w:pPr>
              <w:textAlignment w:val="center"/>
            </w:pPr>
            <w:r>
              <w:rPr>
                <w:rFonts w:ascii="Times New Roman" w:eastAsia="宋体" w:hAnsi="Times New Roman"/>
                <w:color w:val="000000"/>
                <w:sz w:val="16"/>
                <w:szCs w:val="16"/>
              </w:rPr>
              <w:t>Acquisitions</w:t>
            </w:r>
          </w:p>
        </w:tc>
        <w:tc>
          <w:tcPr>
            <w:tcW w:w="0" w:type="auto"/>
            <w:gridSpan w:val="3"/>
            <w:shd w:val="clear" w:color="auto" w:fill="CCEEFF"/>
            <w:tcMar>
              <w:top w:w="0" w:type="dxa"/>
              <w:left w:w="20" w:type="dxa"/>
              <w:bottom w:w="0" w:type="dxa"/>
              <w:right w:w="20" w:type="dxa"/>
            </w:tcMar>
            <w:vAlign w:val="bottom"/>
          </w:tcPr>
          <w:p w14:paraId="35D0ACA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CA5" w14:textId="77777777" w:rsidR="00D42204" w:rsidRDefault="004E439D">
            <w:pPr>
              <w:jc w:val="right"/>
              <w:textAlignment w:val="center"/>
            </w:pPr>
            <w:r>
              <w:rPr>
                <w:rFonts w:ascii="Times New Roman" w:eastAsia="宋体" w:hAnsi="Times New Roman"/>
                <w:color w:val="000000"/>
                <w:sz w:val="16"/>
                <w:szCs w:val="16"/>
              </w:rPr>
              <w:t>245 </w:t>
            </w:r>
          </w:p>
        </w:tc>
        <w:tc>
          <w:tcPr>
            <w:tcW w:w="0" w:type="auto"/>
            <w:shd w:val="clear" w:color="auto" w:fill="CCEEFF"/>
            <w:tcMar>
              <w:top w:w="40" w:type="dxa"/>
              <w:left w:w="0" w:type="dxa"/>
              <w:bottom w:w="40" w:type="dxa"/>
              <w:right w:w="20" w:type="dxa"/>
            </w:tcMar>
            <w:vAlign w:val="center"/>
          </w:tcPr>
          <w:p w14:paraId="35D0ACA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CA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CA8" w14:textId="77777777" w:rsidR="00D42204" w:rsidRDefault="004E439D">
            <w:pPr>
              <w:jc w:val="right"/>
              <w:textAlignment w:val="center"/>
            </w:pPr>
            <w:r>
              <w:rPr>
                <w:rFonts w:ascii="Times New Roman" w:eastAsia="宋体" w:hAnsi="Times New Roman"/>
                <w:color w:val="000000"/>
                <w:sz w:val="16"/>
                <w:szCs w:val="16"/>
              </w:rPr>
              <w:t>201 </w:t>
            </w:r>
          </w:p>
        </w:tc>
        <w:tc>
          <w:tcPr>
            <w:tcW w:w="0" w:type="auto"/>
            <w:shd w:val="clear" w:color="auto" w:fill="CCEEFF"/>
            <w:tcMar>
              <w:top w:w="40" w:type="dxa"/>
              <w:left w:w="0" w:type="dxa"/>
              <w:bottom w:w="40" w:type="dxa"/>
              <w:right w:w="20" w:type="dxa"/>
            </w:tcMar>
            <w:vAlign w:val="center"/>
          </w:tcPr>
          <w:p w14:paraId="35D0ACA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CA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CAB"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CA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CA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CAE" w14:textId="77777777" w:rsidR="00D42204" w:rsidRDefault="004E439D">
            <w:pPr>
              <w:jc w:val="right"/>
              <w:textAlignment w:val="center"/>
            </w:pPr>
            <w:r>
              <w:rPr>
                <w:rFonts w:ascii="Times New Roman" w:eastAsia="宋体" w:hAnsi="Times New Roman"/>
                <w:color w:val="000000"/>
                <w:sz w:val="16"/>
                <w:szCs w:val="16"/>
              </w:rPr>
              <w:t>446 </w:t>
            </w:r>
          </w:p>
        </w:tc>
        <w:tc>
          <w:tcPr>
            <w:tcW w:w="0" w:type="auto"/>
            <w:shd w:val="clear" w:color="auto" w:fill="CCEEFF"/>
            <w:tcMar>
              <w:top w:w="40" w:type="dxa"/>
              <w:left w:w="0" w:type="dxa"/>
              <w:bottom w:w="40" w:type="dxa"/>
              <w:right w:w="20" w:type="dxa"/>
            </w:tcMar>
            <w:vAlign w:val="center"/>
          </w:tcPr>
          <w:p w14:paraId="35D0ACAF" w14:textId="77777777" w:rsidR="00D42204" w:rsidRDefault="00D42204">
            <w:pPr>
              <w:jc w:val="right"/>
              <w:rPr>
                <w:rFonts w:ascii="宋体"/>
              </w:rPr>
            </w:pPr>
          </w:p>
        </w:tc>
      </w:tr>
      <w:tr w:rsidR="00D42204" w14:paraId="35D0ACC2" w14:textId="77777777">
        <w:trPr>
          <w:jc w:val="center"/>
        </w:trPr>
        <w:tc>
          <w:tcPr>
            <w:tcW w:w="0" w:type="auto"/>
            <w:gridSpan w:val="3"/>
            <w:shd w:val="clear" w:color="auto" w:fill="FFFFFF"/>
            <w:tcMar>
              <w:top w:w="40" w:type="dxa"/>
              <w:left w:w="20" w:type="dxa"/>
              <w:bottom w:w="40" w:type="dxa"/>
              <w:right w:w="20" w:type="dxa"/>
            </w:tcMar>
            <w:vAlign w:val="center"/>
          </w:tcPr>
          <w:p w14:paraId="35D0ACB1" w14:textId="77777777" w:rsidR="00D42204" w:rsidRDefault="004E439D">
            <w:pPr>
              <w:textAlignment w:val="center"/>
            </w:pPr>
            <w:r>
              <w:rPr>
                <w:rFonts w:ascii="Times New Roman" w:eastAsia="宋体" w:hAnsi="Times New Roman"/>
                <w:b/>
                <w:bCs/>
                <w:color w:val="000000"/>
                <w:sz w:val="16"/>
                <w:szCs w:val="16"/>
              </w:rPr>
              <w:t>Balances as of January 31, 2022</w:t>
            </w:r>
          </w:p>
        </w:tc>
        <w:tc>
          <w:tcPr>
            <w:tcW w:w="0" w:type="auto"/>
            <w:gridSpan w:val="3"/>
            <w:shd w:val="clear" w:color="auto" w:fill="FFFFFF"/>
            <w:tcMar>
              <w:top w:w="0" w:type="dxa"/>
              <w:left w:w="20" w:type="dxa"/>
              <w:bottom w:w="0" w:type="dxa"/>
              <w:right w:w="20" w:type="dxa"/>
            </w:tcMar>
            <w:vAlign w:val="bottom"/>
          </w:tcPr>
          <w:p w14:paraId="35D0ACB2"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CB3"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CB4" w14:textId="77777777" w:rsidR="00D42204" w:rsidRDefault="004E439D">
            <w:pPr>
              <w:jc w:val="right"/>
              <w:textAlignment w:val="center"/>
            </w:pPr>
            <w:r>
              <w:rPr>
                <w:rFonts w:ascii="Times New Roman" w:eastAsia="宋体" w:hAnsi="Times New Roman"/>
                <w:color w:val="000000"/>
                <w:sz w:val="16"/>
                <w:szCs w:val="16"/>
              </w:rPr>
              <w:t>2,941 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CB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CB6"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CB7"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CB8" w14:textId="77777777" w:rsidR="00D42204" w:rsidRDefault="004E439D">
            <w:pPr>
              <w:jc w:val="right"/>
              <w:textAlignment w:val="center"/>
            </w:pPr>
            <w:r>
              <w:rPr>
                <w:rFonts w:ascii="Times New Roman" w:eastAsia="宋体" w:hAnsi="Times New Roman"/>
                <w:color w:val="000000"/>
                <w:sz w:val="16"/>
                <w:szCs w:val="16"/>
              </w:rPr>
              <w:t>25,752 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CB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CBA"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CB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CBC" w14:textId="77777777" w:rsidR="00D42204" w:rsidRDefault="004E439D">
            <w:pPr>
              <w:jc w:val="right"/>
              <w:textAlignment w:val="center"/>
            </w:pPr>
            <w:r>
              <w:rPr>
                <w:rFonts w:ascii="Times New Roman" w:eastAsia="宋体" w:hAnsi="Times New Roman"/>
                <w:color w:val="000000"/>
                <w:sz w:val="16"/>
                <w:szCs w:val="16"/>
              </w:rPr>
              <w:t>321 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CB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CBE"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CBF"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CC0" w14:textId="77777777" w:rsidR="00D42204" w:rsidRDefault="004E439D">
            <w:pPr>
              <w:jc w:val="right"/>
              <w:textAlignment w:val="center"/>
            </w:pPr>
            <w:r>
              <w:rPr>
                <w:rFonts w:ascii="Times New Roman" w:eastAsia="宋体" w:hAnsi="Times New Roman"/>
                <w:color w:val="000000"/>
                <w:sz w:val="16"/>
                <w:szCs w:val="16"/>
              </w:rPr>
              <w:t>29,014 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CC1" w14:textId="77777777" w:rsidR="00D42204" w:rsidRDefault="00D42204">
            <w:pPr>
              <w:jc w:val="right"/>
              <w:rPr>
                <w:rFonts w:ascii="宋体"/>
              </w:rPr>
            </w:pPr>
          </w:p>
        </w:tc>
      </w:tr>
    </w:tbl>
    <w:p w14:paraId="35D0ACC3" w14:textId="77777777" w:rsidR="00D42204" w:rsidRDefault="004E439D">
      <w:r>
        <w:rPr>
          <w:rFonts w:ascii="Times New Roman" w:eastAsia="宋体" w:hAnsi="Times New Roman"/>
          <w:color w:val="000000"/>
          <w:sz w:val="10"/>
          <w:szCs w:val="10"/>
        </w:rPr>
        <w:t>(1)</w:t>
      </w:r>
      <w:r>
        <w:rPr>
          <w:rFonts w:ascii="Times New Roman" w:eastAsia="宋体" w:hAnsi="Times New Roman"/>
          <w:color w:val="000000"/>
          <w:sz w:val="20"/>
          <w:szCs w:val="20"/>
        </w:rPr>
        <w:t xml:space="preserve"> </w:t>
      </w:r>
      <w:r>
        <w:rPr>
          <w:rFonts w:ascii="Times New Roman" w:eastAsia="宋体" w:hAnsi="Times New Roman"/>
          <w:color w:val="000000"/>
          <w:sz w:val="16"/>
          <w:szCs w:val="16"/>
        </w:rPr>
        <w:t>Represents goodwill associated with operations in the U.K. and J</w:t>
      </w:r>
      <w:r>
        <w:rPr>
          <w:rFonts w:ascii="Times New Roman" w:eastAsia="宋体" w:hAnsi="Times New Roman"/>
          <w:color w:val="000000"/>
          <w:sz w:val="16"/>
          <w:szCs w:val="16"/>
        </w:rPr>
        <w:t xml:space="preserve">apan which were classified as held for sale as of January 31, 2021. Refer to </w:t>
      </w:r>
      <w:hyperlink r:id="rId140" w:anchor="i1ba69ebb72ec48f9b754a5e96c4cdf3f_190" w:history="1">
        <w:r>
          <w:rPr>
            <w:rStyle w:val="a5"/>
            <w:rFonts w:ascii="Times New Roman" w:eastAsia="宋体" w:hAnsi="Times New Roman"/>
            <w:sz w:val="16"/>
            <w:szCs w:val="16"/>
          </w:rPr>
          <w:t>Note 12</w:t>
        </w:r>
      </w:hyperlink>
      <w:r>
        <w:rPr>
          <w:rFonts w:ascii="Times New Roman" w:eastAsia="宋体" w:hAnsi="Times New Roman"/>
          <w:color w:val="000000"/>
          <w:sz w:val="16"/>
          <w:szCs w:val="16"/>
        </w:rPr>
        <w:t xml:space="preserve">. </w:t>
      </w:r>
    </w:p>
    <w:p w14:paraId="35D0ACC4" w14:textId="77777777" w:rsidR="00D42204" w:rsidRDefault="004E439D">
      <w:pPr>
        <w:spacing w:before="80"/>
      </w:pPr>
      <w:r>
        <w:rPr>
          <w:rFonts w:ascii="Times New Roman" w:eastAsia="宋体" w:hAnsi="Times New Roman"/>
          <w:color w:val="000000"/>
          <w:sz w:val="20"/>
          <w:szCs w:val="20"/>
        </w:rPr>
        <w:t>Intangible assets are recorded in other long-term assets in the Company's Consolidated Balance Sheets. As of January 31, 2022 and 2021, the Company had $4.8 billion and $4.9 billion, respectively, in indefinite-lived intangible assets which primarily consi</w:t>
      </w:r>
      <w:r>
        <w:rPr>
          <w:rFonts w:ascii="Times New Roman" w:eastAsia="宋体" w:hAnsi="Times New Roman"/>
          <w:color w:val="000000"/>
          <w:sz w:val="20"/>
          <w:szCs w:val="20"/>
        </w:rPr>
        <w:t>sts of acquired trade names. There were no significant impairment charges related to intangible assets for fiscal 2022 or 2021. During fiscal 2020, the Company incurred approximately $0.7 billion in impairment charges related to its intangible assets. Refe</w:t>
      </w:r>
      <w:r>
        <w:rPr>
          <w:rFonts w:ascii="Times New Roman" w:eastAsia="宋体" w:hAnsi="Times New Roman"/>
          <w:color w:val="000000"/>
          <w:sz w:val="20"/>
          <w:szCs w:val="20"/>
        </w:rPr>
        <w:t xml:space="preserve">r to </w:t>
      </w:r>
      <w:hyperlink r:id="rId141" w:anchor="i1ba69ebb72ec48f9b754a5e96c4cdf3f_175"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for additional information.</w:t>
      </w:r>
    </w:p>
    <w:p w14:paraId="35D0ACC5" w14:textId="77777777" w:rsidR="00D42204" w:rsidRDefault="004E439D">
      <w:pPr>
        <w:spacing w:before="180" w:after="120"/>
      </w:pPr>
      <w:r>
        <w:rPr>
          <w:rFonts w:ascii="Times New Roman" w:eastAsia="宋体" w:hAnsi="Times New Roman"/>
          <w:b/>
          <w:bCs/>
          <w:i/>
          <w:iCs/>
          <w:color w:val="000000"/>
          <w:sz w:val="20"/>
          <w:szCs w:val="20"/>
        </w:rPr>
        <w:t>Fair Value Measurement</w:t>
      </w:r>
    </w:p>
    <w:p w14:paraId="35D0ACC6" w14:textId="77777777" w:rsidR="00D42204" w:rsidRDefault="004E439D">
      <w:pPr>
        <w:spacing w:before="100"/>
      </w:pPr>
      <w:r>
        <w:rPr>
          <w:rFonts w:ascii="Times New Roman" w:eastAsia="宋体" w:hAnsi="Times New Roman"/>
          <w:color w:val="000000"/>
          <w:sz w:val="20"/>
          <w:szCs w:val="20"/>
        </w:rPr>
        <w:t>The Company records and discloses certa</w:t>
      </w:r>
      <w:r>
        <w:rPr>
          <w:rFonts w:ascii="Times New Roman" w:eastAsia="宋体" w:hAnsi="Times New Roman"/>
          <w:color w:val="000000"/>
          <w:sz w:val="20"/>
          <w:szCs w:val="20"/>
        </w:rPr>
        <w:t xml:space="preserve">in financial and non-financial assets and liabilities at fair value. The fair value of an asset is the price at which the asset could be sold in an orderly transaction between unrelated, knowledgeable and willing parties able to engage in the transaction. </w:t>
      </w:r>
      <w:r>
        <w:rPr>
          <w:rFonts w:ascii="Times New Roman" w:eastAsia="宋体" w:hAnsi="Times New Roman"/>
          <w:color w:val="000000"/>
          <w:sz w:val="20"/>
          <w:szCs w:val="20"/>
        </w:rPr>
        <w:t xml:space="preserve">The fair value of a liability is the amount that would be paid to transfer the liability to a new obligor in a transaction between such parties, not the amount that would be paid to settle the liability with the creditor. Refer to </w:t>
      </w:r>
      <w:hyperlink r:id="rId142" w:anchor="i1ba69ebb72ec48f9b754a5e96c4cdf3f_175"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for more information. </w:t>
      </w:r>
    </w:p>
    <w:p w14:paraId="35D0ACC7" w14:textId="77777777" w:rsidR="00D42204" w:rsidRDefault="004E439D">
      <w:pPr>
        <w:spacing w:before="100" w:after="120"/>
      </w:pPr>
      <w:r>
        <w:rPr>
          <w:rFonts w:ascii="Times New Roman" w:eastAsia="宋体" w:hAnsi="Times New Roman"/>
          <w:b/>
          <w:bCs/>
          <w:i/>
          <w:iCs/>
          <w:color w:val="000000"/>
          <w:sz w:val="20"/>
          <w:szCs w:val="20"/>
        </w:rPr>
        <w:t>Investments</w:t>
      </w:r>
    </w:p>
    <w:p w14:paraId="35D0ACC8" w14:textId="77777777" w:rsidR="00D42204" w:rsidRDefault="004E439D">
      <w:pPr>
        <w:spacing w:before="100"/>
      </w:pPr>
      <w:r>
        <w:rPr>
          <w:rFonts w:ascii="Times New Roman" w:eastAsia="宋体" w:hAnsi="Times New Roman"/>
          <w:color w:val="000000"/>
          <w:sz w:val="20"/>
          <w:szCs w:val="20"/>
        </w:rPr>
        <w:t>Investments in equity and debt securities are recorded in other long-term assets in t</w:t>
      </w:r>
      <w:r>
        <w:rPr>
          <w:rFonts w:ascii="Times New Roman" w:eastAsia="宋体" w:hAnsi="Times New Roman"/>
          <w:color w:val="000000"/>
          <w:sz w:val="20"/>
          <w:szCs w:val="20"/>
        </w:rPr>
        <w:t xml:space="preserve">he Consolidated Balance Sheets. Changes in fair value of equity securities measured on a recurring basis are recognized in other gains and losses in the Consolidated Statements of Income. Refer to </w:t>
      </w:r>
      <w:hyperlink r:id="rId143" w:anchor="i1ba69ebb72ec48f9b754a5e96c4cdf3f_175"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for details. Equity investments without readily determinable fair values are carried at cost and adjusted for any observable price changes or impairments within other gains and losses in the Consolidated Statements </w:t>
      </w:r>
    </w:p>
    <w:p w14:paraId="35D0ACC9" w14:textId="77777777" w:rsidR="00D42204" w:rsidRDefault="004E439D">
      <w:pPr>
        <w:jc w:val="center"/>
      </w:pPr>
      <w:r>
        <w:rPr>
          <w:rFonts w:ascii="Times New Roman" w:eastAsia="宋体" w:hAnsi="Times New Roman"/>
          <w:color w:val="000000"/>
          <w:sz w:val="20"/>
          <w:szCs w:val="20"/>
        </w:rPr>
        <w:t>60</w:t>
      </w:r>
    </w:p>
    <w:p w14:paraId="35D0ACCA" w14:textId="77777777" w:rsidR="00D42204" w:rsidRDefault="004E439D">
      <w:r>
        <w:pict w14:anchorId="35D0C397">
          <v:rect id="_x0000_i1084" style="width:415.3pt;height:1.5pt" o:hralign="center" o:hrstd="t" o:hr="t" fillcolor="#a0a0a0" stroked="f"/>
        </w:pict>
      </w:r>
    </w:p>
    <w:p w14:paraId="35D0ACCB" w14:textId="77777777" w:rsidR="00D42204" w:rsidRDefault="00D42204"/>
    <w:p w14:paraId="35D0ACCC" w14:textId="77777777" w:rsidR="00D42204" w:rsidRDefault="004E439D">
      <w:pPr>
        <w:spacing w:before="100"/>
      </w:pPr>
      <w:r>
        <w:rPr>
          <w:rFonts w:ascii="Times New Roman" w:eastAsia="宋体" w:hAnsi="Times New Roman"/>
          <w:color w:val="000000"/>
          <w:sz w:val="20"/>
          <w:szCs w:val="20"/>
        </w:rPr>
        <w:t>of Income. Investments in debt se</w:t>
      </w:r>
      <w:r>
        <w:rPr>
          <w:rFonts w:ascii="Times New Roman" w:eastAsia="宋体" w:hAnsi="Times New Roman"/>
          <w:color w:val="000000"/>
          <w:sz w:val="20"/>
          <w:szCs w:val="20"/>
        </w:rPr>
        <w:t>curities classified as trading are reported at fair value with interest income recorded in interest income in the Consolidated Statements of Income. As of January 31, 2022, the Company had $1.0 billion in debt securities classified as trading.</w:t>
      </w:r>
    </w:p>
    <w:p w14:paraId="35D0ACCD" w14:textId="77777777" w:rsidR="00D42204" w:rsidRDefault="004E439D">
      <w:pPr>
        <w:spacing w:before="100"/>
      </w:pPr>
      <w:r>
        <w:rPr>
          <w:rFonts w:ascii="Times New Roman" w:eastAsia="宋体" w:hAnsi="Times New Roman"/>
          <w:b/>
          <w:bCs/>
          <w:i/>
          <w:iCs/>
          <w:color w:val="000000"/>
          <w:sz w:val="20"/>
          <w:szCs w:val="20"/>
        </w:rPr>
        <w:t>Indemnificat</w:t>
      </w:r>
      <w:r>
        <w:rPr>
          <w:rFonts w:ascii="Times New Roman" w:eastAsia="宋体" w:hAnsi="Times New Roman"/>
          <w:b/>
          <w:bCs/>
          <w:i/>
          <w:iCs/>
          <w:color w:val="000000"/>
          <w:sz w:val="20"/>
          <w:szCs w:val="20"/>
        </w:rPr>
        <w:t>ion Liabilities</w:t>
      </w:r>
    </w:p>
    <w:p w14:paraId="35D0ACCE" w14:textId="77777777" w:rsidR="00D42204" w:rsidRDefault="004E439D">
      <w:pPr>
        <w:spacing w:before="100"/>
      </w:pPr>
      <w:r>
        <w:rPr>
          <w:rFonts w:ascii="Times New Roman" w:eastAsia="宋体" w:hAnsi="Times New Roman"/>
          <w:color w:val="000000"/>
          <w:sz w:val="20"/>
          <w:szCs w:val="20"/>
        </w:rPr>
        <w:t>The Company has provided certain indemnifications in connection with its divestitures and has recorded indemnification liabilities equal to the estimated fair value of the obligations upon inception. As of January 31, 2022 and January 31, 2</w:t>
      </w:r>
      <w:r>
        <w:rPr>
          <w:rFonts w:ascii="Times New Roman" w:eastAsia="宋体" w:hAnsi="Times New Roman"/>
          <w:color w:val="000000"/>
          <w:sz w:val="20"/>
          <w:szCs w:val="20"/>
        </w:rPr>
        <w:t>021, the Company had $0.7 billion and $0.6 billion, respectively, of certain legal and tax indemnification liabilities recorded within deferred income taxes and other in the Consolidated Balance Sheets. The maximum amount of potential future payments under</w:t>
      </w:r>
      <w:r>
        <w:rPr>
          <w:rFonts w:ascii="Times New Roman" w:eastAsia="宋体" w:hAnsi="Times New Roman"/>
          <w:color w:val="000000"/>
          <w:sz w:val="20"/>
          <w:szCs w:val="20"/>
        </w:rPr>
        <w:t xml:space="preserve"> these indemnities was $3.5 billion, based on exchange rates as of January 31, 2022. </w:t>
      </w:r>
    </w:p>
    <w:p w14:paraId="35D0ACCF" w14:textId="77777777" w:rsidR="00D42204" w:rsidRDefault="004E439D">
      <w:pPr>
        <w:spacing w:before="180" w:after="120"/>
      </w:pPr>
      <w:r>
        <w:rPr>
          <w:rFonts w:ascii="Times New Roman" w:eastAsia="宋体" w:hAnsi="Times New Roman"/>
          <w:b/>
          <w:bCs/>
          <w:i/>
          <w:iCs/>
          <w:color w:val="000000"/>
          <w:sz w:val="20"/>
          <w:szCs w:val="20"/>
        </w:rPr>
        <w:t>Self Insurance Reserves</w:t>
      </w:r>
    </w:p>
    <w:p w14:paraId="35D0ACD0" w14:textId="77777777" w:rsidR="00D42204" w:rsidRDefault="004E439D">
      <w:pPr>
        <w:spacing w:before="100"/>
      </w:pPr>
      <w:r>
        <w:rPr>
          <w:rFonts w:ascii="Times New Roman" w:eastAsia="宋体" w:hAnsi="Times New Roman"/>
          <w:color w:val="000000"/>
          <w:sz w:val="20"/>
          <w:szCs w:val="20"/>
        </w:rPr>
        <w:t xml:space="preserve">The Company self-insures a number of risks, including, but not limited to, workers' compensation, general liability, auto liability, </w:t>
      </w:r>
      <w:r>
        <w:rPr>
          <w:rFonts w:ascii="Times New Roman" w:eastAsia="宋体" w:hAnsi="Times New Roman"/>
          <w:color w:val="000000"/>
          <w:sz w:val="20"/>
          <w:szCs w:val="20"/>
        </w:rPr>
        <w:t>product liability and certain employee-related healthcare benefits. Standard actuarial procedures and data analysis are used to estimate the liabilities associated with these risks on an undiscounted basis. The recorded liabilities reflect the ultimate cos</w:t>
      </w:r>
      <w:r>
        <w:rPr>
          <w:rFonts w:ascii="Times New Roman" w:eastAsia="宋体" w:hAnsi="Times New Roman"/>
          <w:color w:val="000000"/>
          <w:sz w:val="20"/>
          <w:szCs w:val="20"/>
        </w:rPr>
        <w:t>t for claims incurred but not paid and any estimable administrative run-out expenses related to the processing of these outstanding claim payments. On a regular basis, the liabilities are evaluated for appropriateness with claims reserve valuations. To lim</w:t>
      </w:r>
      <w:r>
        <w:rPr>
          <w:rFonts w:ascii="Times New Roman" w:eastAsia="宋体" w:hAnsi="Times New Roman"/>
          <w:color w:val="000000"/>
          <w:sz w:val="20"/>
          <w:szCs w:val="20"/>
        </w:rPr>
        <w:t>it exposure to some risks, the Company maintains insurance coverage with varying limits and retentions, including stop-loss insurance coverage for workers' compensation, general liability and auto liability.</w:t>
      </w:r>
    </w:p>
    <w:p w14:paraId="35D0ACD1" w14:textId="77777777" w:rsidR="00D42204" w:rsidRDefault="004E439D">
      <w:pPr>
        <w:spacing w:before="180" w:after="120"/>
      </w:pPr>
      <w:r>
        <w:rPr>
          <w:rFonts w:ascii="Times New Roman" w:eastAsia="宋体" w:hAnsi="Times New Roman"/>
          <w:b/>
          <w:bCs/>
          <w:i/>
          <w:iCs/>
          <w:color w:val="000000"/>
          <w:sz w:val="20"/>
          <w:szCs w:val="20"/>
        </w:rPr>
        <w:t>Derivatives</w:t>
      </w:r>
    </w:p>
    <w:p w14:paraId="35D0ACD2" w14:textId="77777777" w:rsidR="00D42204" w:rsidRDefault="004E439D">
      <w:pPr>
        <w:spacing w:before="100"/>
      </w:pPr>
      <w:r>
        <w:rPr>
          <w:rFonts w:ascii="Times New Roman" w:eastAsia="宋体" w:hAnsi="Times New Roman"/>
          <w:color w:val="000000"/>
          <w:sz w:val="20"/>
          <w:szCs w:val="20"/>
        </w:rPr>
        <w:t>The Company uses derivatives for hed</w:t>
      </w:r>
      <w:r>
        <w:rPr>
          <w:rFonts w:ascii="Times New Roman" w:eastAsia="宋体" w:hAnsi="Times New Roman"/>
          <w:color w:val="000000"/>
          <w:sz w:val="20"/>
          <w:szCs w:val="20"/>
        </w:rPr>
        <w:t>ging purposes to manage its exposure to changes in interest and currency exchange rates, as well as to maintain an appropriate mix of fixed- and variable-rate debt. Use of derivatives in hedging programs subjects the Company to certain risks, such as marke</w:t>
      </w:r>
      <w:r>
        <w:rPr>
          <w:rFonts w:ascii="Times New Roman" w:eastAsia="宋体" w:hAnsi="Times New Roman"/>
          <w:color w:val="000000"/>
          <w:sz w:val="20"/>
          <w:szCs w:val="20"/>
        </w:rPr>
        <w:t>t and credit risks. The Company may be exposed to credit-related losses in the event of nonperformance by its counterparties to derivatives. Credit risk is monitored through established approval procedures, including setting concentration limits by counter</w:t>
      </w:r>
      <w:r>
        <w:rPr>
          <w:rFonts w:ascii="Times New Roman" w:eastAsia="宋体" w:hAnsi="Times New Roman"/>
          <w:color w:val="000000"/>
          <w:sz w:val="20"/>
          <w:szCs w:val="20"/>
        </w:rPr>
        <w:t>party, reviewing credit ratings and requiring collateral from the counterparty. The Company enters into derivatives with counterparties rated generally "A-" or better by nationally recognized credit rating agencies. The Company is subject to master netting</w:t>
      </w:r>
      <w:r>
        <w:rPr>
          <w:rFonts w:ascii="Times New Roman" w:eastAsia="宋体" w:hAnsi="Times New Roman"/>
          <w:color w:val="000000"/>
          <w:sz w:val="20"/>
          <w:szCs w:val="20"/>
        </w:rPr>
        <w:t xml:space="preserve"> arrangements which provides set-off and close-out netting of exposures with counterparties, but the Company does not offset derivative assets and liabilities in its Consolidated Balance Sheets. The Company's collateral arrangements require the counterpart</w:t>
      </w:r>
      <w:r>
        <w:rPr>
          <w:rFonts w:ascii="Times New Roman" w:eastAsia="宋体" w:hAnsi="Times New Roman"/>
          <w:color w:val="000000"/>
          <w:sz w:val="20"/>
          <w:szCs w:val="20"/>
        </w:rPr>
        <w:t xml:space="preserve">y in a net liability position in excess of pre-determined thresholds, after considering the effects of netting arrangements, to pledge cash collateral. Cash collateral received from counterparties and cash collateral provided to counterparties under these </w:t>
      </w:r>
      <w:r>
        <w:rPr>
          <w:rFonts w:ascii="Times New Roman" w:eastAsia="宋体" w:hAnsi="Times New Roman"/>
          <w:color w:val="000000"/>
          <w:sz w:val="20"/>
          <w:szCs w:val="20"/>
        </w:rPr>
        <w:t>arrangements was not significant as of January 31, 2022 and 2021.</w:t>
      </w:r>
    </w:p>
    <w:p w14:paraId="35D0ACD3" w14:textId="77777777" w:rsidR="00D42204" w:rsidRDefault="004E439D">
      <w:pPr>
        <w:spacing w:before="100"/>
      </w:pPr>
      <w:r>
        <w:rPr>
          <w:rFonts w:ascii="Times New Roman" w:eastAsia="宋体" w:hAnsi="Times New Roman"/>
          <w:color w:val="000000"/>
          <w:sz w:val="20"/>
          <w:szCs w:val="20"/>
        </w:rPr>
        <w:t xml:space="preserve">In order to qualify for hedge accounting, at the inception of the hedging relationship, the Company formally documents its risk management objective and strategy for undertaking the hedging </w:t>
      </w:r>
      <w:r>
        <w:rPr>
          <w:rFonts w:ascii="Times New Roman" w:eastAsia="宋体" w:hAnsi="Times New Roman"/>
          <w:color w:val="000000"/>
          <w:sz w:val="20"/>
          <w:szCs w:val="20"/>
        </w:rPr>
        <w:t>transaction, as well as its designation of the hedge. If a derivative is recorded using hedge accounting, depending on the nature of the hedge, derivative gains and losses are recorded through the same financial statement line item in earnings or are recog</w:t>
      </w:r>
      <w:r>
        <w:rPr>
          <w:rFonts w:ascii="Times New Roman" w:eastAsia="宋体" w:hAnsi="Times New Roman"/>
          <w:color w:val="000000"/>
          <w:sz w:val="20"/>
          <w:szCs w:val="20"/>
        </w:rPr>
        <w:t>nized in accumulated other comprehensive loss until the hedged item is recognized in earnings. Derivatives that do not meet the criteria for hedge accounting, or contracts for which the Company has not elected hedge accounting, are recorded at fair value w</w:t>
      </w:r>
      <w:r>
        <w:rPr>
          <w:rFonts w:ascii="Times New Roman" w:eastAsia="宋体" w:hAnsi="Times New Roman"/>
          <w:color w:val="000000"/>
          <w:sz w:val="20"/>
          <w:szCs w:val="20"/>
        </w:rPr>
        <w:t xml:space="preserve">ith unrealized gains or losses reported in earnings. Derivatives with an unrealized gain are recorded in the Company's Consolidated Balance Sheets as either current or non-current assets, based on maturity date, and derivatives with an unrealized loss are </w:t>
      </w:r>
      <w:r>
        <w:rPr>
          <w:rFonts w:ascii="Times New Roman" w:eastAsia="宋体" w:hAnsi="Times New Roman"/>
          <w:color w:val="000000"/>
          <w:sz w:val="20"/>
          <w:szCs w:val="20"/>
        </w:rPr>
        <w:t xml:space="preserve">recorded as either current or non-current liabilities, based on maturity date. Refer to </w:t>
      </w:r>
      <w:hyperlink r:id="rId144" w:anchor="i1ba69ebb72ec48f9b754a5e96c4cdf3f_175"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for the</w:t>
      </w:r>
      <w:r>
        <w:rPr>
          <w:rFonts w:ascii="Times New Roman" w:eastAsia="宋体" w:hAnsi="Times New Roman"/>
          <w:color w:val="000000"/>
          <w:sz w:val="20"/>
          <w:szCs w:val="20"/>
        </w:rPr>
        <w:t xml:space="preserve"> presentation of the Company's derivative assets and liabilities. </w:t>
      </w:r>
    </w:p>
    <w:p w14:paraId="35D0ACD4" w14:textId="77777777" w:rsidR="00D42204" w:rsidRDefault="004E439D">
      <w:pPr>
        <w:spacing w:before="180"/>
      </w:pPr>
      <w:r>
        <w:rPr>
          <w:rFonts w:ascii="Times New Roman" w:eastAsia="宋体" w:hAnsi="Times New Roman"/>
          <w:i/>
          <w:iCs/>
          <w:color w:val="000000"/>
          <w:sz w:val="20"/>
          <w:szCs w:val="20"/>
        </w:rPr>
        <w:t>Fair Value Hedges</w:t>
      </w:r>
    </w:p>
    <w:p w14:paraId="35D0ACD5" w14:textId="77777777" w:rsidR="00D42204" w:rsidRDefault="004E439D">
      <w:pPr>
        <w:spacing w:before="100"/>
      </w:pPr>
      <w:r>
        <w:rPr>
          <w:rFonts w:ascii="Times New Roman" w:eastAsia="宋体" w:hAnsi="Times New Roman"/>
          <w:color w:val="000000"/>
          <w:sz w:val="20"/>
          <w:szCs w:val="20"/>
        </w:rPr>
        <w:t>The Company is a party to receive fixed-rate, pay variable-rate interest rate swaps that the Company uses to hedge the fair value of fixed-rate debt. All interest rate swa</w:t>
      </w:r>
      <w:r>
        <w:rPr>
          <w:rFonts w:ascii="Times New Roman" w:eastAsia="宋体" w:hAnsi="Times New Roman"/>
          <w:color w:val="000000"/>
          <w:sz w:val="20"/>
          <w:szCs w:val="20"/>
        </w:rPr>
        <w:t>ps designated as fair value hedges of the related long-term debt meet the shortcut method requirements under U.S. GAAP. Accordingly, changes in the fair values of these interest rate swaps are considered to exactly offset changes in the fair value of the u</w:t>
      </w:r>
      <w:r>
        <w:rPr>
          <w:rFonts w:ascii="Times New Roman" w:eastAsia="宋体" w:hAnsi="Times New Roman"/>
          <w:color w:val="000000"/>
          <w:sz w:val="20"/>
          <w:szCs w:val="20"/>
        </w:rPr>
        <w:t>nderlying long-term debt. These derivatives will mature on dates ranging from April 2023 to September 2031.</w:t>
      </w:r>
    </w:p>
    <w:p w14:paraId="35D0ACD6" w14:textId="77777777" w:rsidR="00D42204" w:rsidRDefault="004E439D">
      <w:pPr>
        <w:spacing w:before="180"/>
      </w:pPr>
      <w:r>
        <w:rPr>
          <w:rFonts w:ascii="Times New Roman" w:eastAsia="宋体" w:hAnsi="Times New Roman"/>
          <w:i/>
          <w:iCs/>
          <w:color w:val="000000"/>
          <w:sz w:val="20"/>
          <w:szCs w:val="20"/>
        </w:rPr>
        <w:t>Cash Flow Hedges</w:t>
      </w:r>
    </w:p>
    <w:p w14:paraId="35D0ACD7" w14:textId="77777777" w:rsidR="00D42204" w:rsidRDefault="004E439D">
      <w:pPr>
        <w:spacing w:before="100" w:after="160"/>
      </w:pPr>
      <w:r>
        <w:rPr>
          <w:rFonts w:ascii="Times New Roman" w:eastAsia="宋体" w:hAnsi="Times New Roman"/>
          <w:color w:val="000000"/>
          <w:sz w:val="20"/>
          <w:szCs w:val="20"/>
        </w:rPr>
        <w:t>The Company is a party to receive fixed-rate, pay fixed-rate cross currency interest rate swaps used to hedge the currency exposure</w:t>
      </w:r>
      <w:r>
        <w:rPr>
          <w:rFonts w:ascii="Times New Roman" w:eastAsia="宋体" w:hAnsi="Times New Roman"/>
          <w:color w:val="000000"/>
          <w:sz w:val="20"/>
          <w:szCs w:val="20"/>
        </w:rPr>
        <w:t xml:space="preserve"> associated with the forecasted payments of principal and interest of certain non-U.S. denominated debt. The Company records changes in the fair value of these swaps in accumulated other comprehensive loss which is subsequently reclassified into earnings i</w:t>
      </w:r>
      <w:r>
        <w:rPr>
          <w:rFonts w:ascii="Times New Roman" w:eastAsia="宋体" w:hAnsi="Times New Roman"/>
          <w:color w:val="000000"/>
          <w:sz w:val="20"/>
          <w:szCs w:val="20"/>
        </w:rPr>
        <w:t>n the period that the hedged forecasted transaction affects earnings. These derivatives will mature on dates ranging from April 2022 to January 2039.</w:t>
      </w:r>
    </w:p>
    <w:p w14:paraId="35D0ACD8" w14:textId="77777777" w:rsidR="00D42204" w:rsidRDefault="004E439D">
      <w:pPr>
        <w:jc w:val="center"/>
      </w:pPr>
      <w:r>
        <w:rPr>
          <w:rFonts w:ascii="Times New Roman" w:eastAsia="宋体" w:hAnsi="Times New Roman"/>
          <w:color w:val="000000"/>
          <w:sz w:val="20"/>
          <w:szCs w:val="20"/>
        </w:rPr>
        <w:t>61</w:t>
      </w:r>
    </w:p>
    <w:p w14:paraId="35D0ACD9" w14:textId="77777777" w:rsidR="00D42204" w:rsidRDefault="004E439D">
      <w:r>
        <w:pict w14:anchorId="35D0C398">
          <v:rect id="_x0000_i1085" style="width:415.3pt;height:1.5pt" o:hralign="center" o:hrstd="t" o:hr="t" fillcolor="#a0a0a0" stroked="f"/>
        </w:pict>
      </w:r>
    </w:p>
    <w:p w14:paraId="35D0ACDA" w14:textId="77777777" w:rsidR="00D42204" w:rsidRDefault="00D42204"/>
    <w:p w14:paraId="35D0ACDB" w14:textId="77777777" w:rsidR="00D42204" w:rsidRDefault="004E439D">
      <w:pPr>
        <w:spacing w:before="180"/>
      </w:pPr>
      <w:r>
        <w:rPr>
          <w:rFonts w:ascii="Times New Roman" w:eastAsia="宋体" w:hAnsi="Times New Roman"/>
          <w:i/>
          <w:iCs/>
          <w:color w:val="000000"/>
          <w:sz w:val="20"/>
          <w:szCs w:val="20"/>
        </w:rPr>
        <w:t>Net Investment Hedges</w:t>
      </w:r>
    </w:p>
    <w:p w14:paraId="35D0ACDC" w14:textId="77777777" w:rsidR="00D42204" w:rsidRDefault="004E439D">
      <w:pPr>
        <w:spacing w:before="100"/>
      </w:pPr>
      <w:r>
        <w:rPr>
          <w:rFonts w:ascii="Times New Roman" w:eastAsia="宋体" w:hAnsi="Times New Roman"/>
          <w:color w:val="000000"/>
          <w:sz w:val="20"/>
          <w:szCs w:val="20"/>
        </w:rPr>
        <w:t>Prior to the divestiture of the Company's operations in the United Kingdom and</w:t>
      </w:r>
      <w:r>
        <w:rPr>
          <w:rFonts w:ascii="Times New Roman" w:eastAsia="宋体" w:hAnsi="Times New Roman"/>
          <w:color w:val="000000"/>
          <w:sz w:val="20"/>
          <w:szCs w:val="20"/>
        </w:rPr>
        <w:t xml:space="preserve"> Japan as discussed in </w:t>
      </w:r>
      <w:hyperlink r:id="rId145" w:anchor="i1ba69ebb72ec48f9b754a5e96c4cdf3f_190"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the Company was a party to receive fixed-rate, pay fixed-rate cross currency interest rate swaps used to hedge the currency exposure associated with net investments of these foreign operations. Changes in fair value attributable to the hedged risk were r</w:t>
      </w:r>
      <w:r>
        <w:rPr>
          <w:rFonts w:ascii="Times New Roman" w:eastAsia="宋体" w:hAnsi="Times New Roman"/>
          <w:color w:val="000000"/>
          <w:sz w:val="20"/>
          <w:szCs w:val="20"/>
        </w:rPr>
        <w:t>ecorded in accumulated other comprehensive loss. The Company also previously designated certain foreign currency denominated long-term debt as a hedge of currency exposure associated with the net investment of these divested operations and recorded foreign</w:t>
      </w:r>
      <w:r>
        <w:rPr>
          <w:rFonts w:ascii="Times New Roman" w:eastAsia="宋体" w:hAnsi="Times New Roman"/>
          <w:color w:val="000000"/>
          <w:sz w:val="20"/>
          <w:szCs w:val="20"/>
        </w:rPr>
        <w:t xml:space="preserve"> currency gain or loss associated with designated long-term debt in accumulated other comprehensive loss. Upon closing of the sale of the Company's operations in the U.K. and Japan during the first quarter of fiscal 2022, these amounts were released from a</w:t>
      </w:r>
      <w:r>
        <w:rPr>
          <w:rFonts w:ascii="Times New Roman" w:eastAsia="宋体" w:hAnsi="Times New Roman"/>
          <w:color w:val="000000"/>
          <w:sz w:val="20"/>
          <w:szCs w:val="20"/>
        </w:rPr>
        <w:t xml:space="preserve">ccumulated other comprehensive loss as discussed in </w:t>
      </w:r>
      <w:hyperlink r:id="rId146" w:anchor="i1ba69ebb72ec48f9b754a5e96c4cdf3f_160" w:history="1">
        <w:r>
          <w:rPr>
            <w:rStyle w:val="a5"/>
            <w:rFonts w:ascii="Times New Roman" w:eastAsia="宋体" w:hAnsi="Times New Roman"/>
            <w:sz w:val="20"/>
            <w:szCs w:val="20"/>
          </w:rPr>
          <w:t>Note 4</w:t>
        </w:r>
      </w:hyperlink>
      <w:r>
        <w:rPr>
          <w:rFonts w:ascii="Times New Roman" w:eastAsia="宋体" w:hAnsi="Times New Roman"/>
          <w:color w:val="000000"/>
          <w:sz w:val="20"/>
          <w:szCs w:val="20"/>
        </w:rPr>
        <w:t>. As of January 31, 2021, the Company had $3</w:t>
      </w:r>
      <w:r>
        <w:rPr>
          <w:rFonts w:ascii="Times New Roman" w:eastAsia="宋体" w:hAnsi="Times New Roman"/>
          <w:color w:val="000000"/>
          <w:sz w:val="20"/>
          <w:szCs w:val="20"/>
        </w:rPr>
        <w:t xml:space="preserve">.3 billion of outstanding long-term debt designated as net investment hedges. </w:t>
      </w:r>
    </w:p>
    <w:p w14:paraId="35D0ACDD" w14:textId="77777777" w:rsidR="00D42204" w:rsidRDefault="004E439D">
      <w:pPr>
        <w:spacing w:before="180"/>
      </w:pPr>
      <w:r>
        <w:rPr>
          <w:rFonts w:ascii="Times New Roman" w:eastAsia="宋体" w:hAnsi="Times New Roman"/>
          <w:b/>
          <w:bCs/>
          <w:i/>
          <w:iCs/>
          <w:color w:val="000000"/>
          <w:sz w:val="20"/>
          <w:szCs w:val="20"/>
        </w:rPr>
        <w:t>Income Taxes</w:t>
      </w:r>
    </w:p>
    <w:p w14:paraId="35D0ACDE" w14:textId="77777777" w:rsidR="00D42204" w:rsidRDefault="004E439D">
      <w:pPr>
        <w:spacing w:before="100"/>
      </w:pPr>
      <w:r>
        <w:rPr>
          <w:rFonts w:ascii="Times New Roman" w:eastAsia="宋体" w:hAnsi="Times New Roman"/>
          <w:color w:val="000000"/>
          <w:sz w:val="20"/>
          <w:szCs w:val="20"/>
        </w:rPr>
        <w:t>Income taxes are accounted for under the balance sheet method. Deferred tax assets and liabilities are recognized for the estimated future tax consequences attribut</w:t>
      </w:r>
      <w:r>
        <w:rPr>
          <w:rFonts w:ascii="Times New Roman" w:eastAsia="宋体" w:hAnsi="Times New Roman"/>
          <w:color w:val="000000"/>
          <w:sz w:val="20"/>
          <w:szCs w:val="20"/>
        </w:rPr>
        <w:t>able to differences between the financial statement carrying amounts of existing assets and liabilities and their respective tax bases ("temporary differences"). Deferred tax assets and liabilities are measured using enacted tax rates in effect for the yea</w:t>
      </w:r>
      <w:r>
        <w:rPr>
          <w:rFonts w:ascii="Times New Roman" w:eastAsia="宋体" w:hAnsi="Times New Roman"/>
          <w:color w:val="000000"/>
          <w:sz w:val="20"/>
          <w:szCs w:val="20"/>
        </w:rPr>
        <w:t>r in which those temporary differences are expected to be recovered or settled. The effect on deferred tax assets and liabilities of a change in tax rate is recognized in income in the period that includes the enactment date.</w:t>
      </w:r>
    </w:p>
    <w:p w14:paraId="35D0ACDF" w14:textId="77777777" w:rsidR="00D42204" w:rsidRDefault="004E439D">
      <w:pPr>
        <w:spacing w:before="100"/>
      </w:pPr>
      <w:r>
        <w:rPr>
          <w:rFonts w:ascii="Times New Roman" w:eastAsia="宋体" w:hAnsi="Times New Roman"/>
          <w:color w:val="000000"/>
          <w:sz w:val="20"/>
          <w:szCs w:val="20"/>
        </w:rPr>
        <w:t>Deferred tax assets are evalua</w:t>
      </w:r>
      <w:r>
        <w:rPr>
          <w:rFonts w:ascii="Times New Roman" w:eastAsia="宋体" w:hAnsi="Times New Roman"/>
          <w:color w:val="000000"/>
          <w:sz w:val="20"/>
          <w:szCs w:val="20"/>
        </w:rPr>
        <w:t>ted for future realization and reduced by a valuation allowance to the extent that a portion is not more likely than not to be realized. Many factors are considered when assessing whether it is more likely than not that the deferred tax assets will be real</w:t>
      </w:r>
      <w:r>
        <w:rPr>
          <w:rFonts w:ascii="Times New Roman" w:eastAsia="宋体" w:hAnsi="Times New Roman"/>
          <w:color w:val="000000"/>
          <w:sz w:val="20"/>
          <w:szCs w:val="20"/>
        </w:rPr>
        <w:t>ized, including recent cumulative earnings, expectations of future taxable income, carryforward periods, and other relevant quantitative and qualitative factors. The recoverability of the deferred tax assets is evaluated by assessing the adequacy of future</w:t>
      </w:r>
      <w:r>
        <w:rPr>
          <w:rFonts w:ascii="Times New Roman" w:eastAsia="宋体" w:hAnsi="Times New Roman"/>
          <w:color w:val="000000"/>
          <w:sz w:val="20"/>
          <w:szCs w:val="20"/>
        </w:rPr>
        <w:t xml:space="preserve"> expected taxable income from all sources, including reversal of taxable temporary differences, forecasted operating earnings and available tax planning strategies. These sources of income rely on estimates.</w:t>
      </w:r>
    </w:p>
    <w:p w14:paraId="35D0ACE0" w14:textId="77777777" w:rsidR="00D42204" w:rsidRDefault="004E439D">
      <w:pPr>
        <w:spacing w:before="100"/>
      </w:pPr>
      <w:r>
        <w:rPr>
          <w:rFonts w:ascii="Times New Roman" w:eastAsia="宋体" w:hAnsi="Times New Roman"/>
          <w:color w:val="000000"/>
          <w:sz w:val="20"/>
          <w:szCs w:val="20"/>
        </w:rPr>
        <w:t>In determining the provision for income taxes, a</w:t>
      </w:r>
      <w:r>
        <w:rPr>
          <w:rFonts w:ascii="Times New Roman" w:eastAsia="宋体" w:hAnsi="Times New Roman"/>
          <w:color w:val="000000"/>
          <w:sz w:val="20"/>
          <w:szCs w:val="20"/>
        </w:rPr>
        <w:t>n annual effective income tax rate is used based on annual income, permanent differences between book and tax income, and statutory income tax rates. Discrete events such as audit settlements or changes in tax laws are recognized in the period in which the</w:t>
      </w:r>
      <w:r>
        <w:rPr>
          <w:rFonts w:ascii="Times New Roman" w:eastAsia="宋体" w:hAnsi="Times New Roman"/>
          <w:color w:val="000000"/>
          <w:sz w:val="20"/>
          <w:szCs w:val="20"/>
        </w:rPr>
        <w:t>y occur.</w:t>
      </w:r>
    </w:p>
    <w:p w14:paraId="35D0ACE1" w14:textId="77777777" w:rsidR="00D42204" w:rsidRDefault="004E439D">
      <w:pPr>
        <w:spacing w:before="100"/>
      </w:pPr>
      <w:r>
        <w:rPr>
          <w:rFonts w:ascii="Times New Roman" w:eastAsia="宋体" w:hAnsi="Times New Roman"/>
          <w:color w:val="000000"/>
          <w:sz w:val="20"/>
          <w:szCs w:val="20"/>
        </w:rPr>
        <w:t>The Company records a liability for unrecognized tax benefits resulting from uncertain tax positions taken or expected to be taken in a tax return. The Company records interest and penalties related to unrecognized tax benefits in interest expense</w:t>
      </w:r>
      <w:r>
        <w:rPr>
          <w:rFonts w:ascii="Times New Roman" w:eastAsia="宋体" w:hAnsi="Times New Roman"/>
          <w:color w:val="000000"/>
          <w:sz w:val="20"/>
          <w:szCs w:val="20"/>
        </w:rPr>
        <w:t xml:space="preserve"> and operating, selling, general and administrative expenses, respectively, in the Company's Consolidated Statements of Income. Refer to </w:t>
      </w:r>
      <w:hyperlink r:id="rId147" w:anchor="i1ba69ebb72ec48f9b754a5e96c4cdf3f_178" w:history="1">
        <w:r>
          <w:rPr>
            <w:rStyle w:val="a5"/>
            <w:rFonts w:ascii="Times New Roman" w:eastAsia="宋体" w:hAnsi="Times New Roman"/>
            <w:sz w:val="20"/>
            <w:szCs w:val="20"/>
          </w:rPr>
          <w:t>Note 9</w:t>
        </w:r>
      </w:hyperlink>
      <w:r>
        <w:rPr>
          <w:rFonts w:ascii="Times New Roman" w:eastAsia="宋体" w:hAnsi="Times New Roman"/>
          <w:color w:val="000000"/>
          <w:sz w:val="20"/>
          <w:szCs w:val="20"/>
        </w:rPr>
        <w:t xml:space="preserve"> for additional income tax disclosures.</w:t>
      </w:r>
    </w:p>
    <w:p w14:paraId="35D0ACE2" w14:textId="77777777" w:rsidR="00D42204" w:rsidRDefault="004E439D">
      <w:pPr>
        <w:spacing w:before="180" w:after="120"/>
      </w:pPr>
      <w:r>
        <w:rPr>
          <w:rFonts w:ascii="Times New Roman" w:eastAsia="宋体" w:hAnsi="Times New Roman"/>
          <w:b/>
          <w:bCs/>
          <w:i/>
          <w:iCs/>
          <w:color w:val="000000"/>
          <w:sz w:val="20"/>
          <w:szCs w:val="20"/>
        </w:rPr>
        <w:t>Revenue Recognition</w:t>
      </w:r>
      <w:r>
        <w:rPr>
          <w:rFonts w:ascii="Times New Roman" w:eastAsia="宋体" w:hAnsi="Times New Roman"/>
          <w:i/>
          <w:iCs/>
          <w:color w:val="000000"/>
          <w:sz w:val="20"/>
          <w:szCs w:val="20"/>
        </w:rPr>
        <w:t>    </w:t>
      </w:r>
    </w:p>
    <w:p w14:paraId="35D0ACE3" w14:textId="77777777" w:rsidR="00D42204" w:rsidRDefault="004E439D">
      <w:pPr>
        <w:spacing w:before="100"/>
      </w:pPr>
      <w:r>
        <w:rPr>
          <w:rFonts w:ascii="Times New Roman" w:eastAsia="宋体" w:hAnsi="Times New Roman"/>
          <w:i/>
          <w:iCs/>
          <w:color w:val="000000"/>
          <w:sz w:val="20"/>
          <w:szCs w:val="20"/>
        </w:rPr>
        <w:t>Net Sales</w:t>
      </w:r>
    </w:p>
    <w:p w14:paraId="35D0ACE4" w14:textId="77777777" w:rsidR="00D42204" w:rsidRDefault="004E439D">
      <w:pPr>
        <w:spacing w:before="100"/>
      </w:pPr>
      <w:r>
        <w:rPr>
          <w:rFonts w:ascii="Times New Roman" w:eastAsia="宋体" w:hAnsi="Times New Roman"/>
          <w:color w:val="000000"/>
          <w:sz w:val="20"/>
          <w:szCs w:val="20"/>
        </w:rPr>
        <w:t>The Company recognizes sales revenue, net of sales taxes and estimated sales returns, at the time it sells merchandise or services to the cus</w:t>
      </w:r>
      <w:r>
        <w:rPr>
          <w:rFonts w:ascii="Times New Roman" w:eastAsia="宋体" w:hAnsi="Times New Roman"/>
          <w:color w:val="000000"/>
          <w:sz w:val="20"/>
          <w:szCs w:val="20"/>
        </w:rPr>
        <w:t>tomer. eCommerce sales include shipping revenue and are recorded upon delivery to the customer. Estimated sales returns are calculated based on expected returns.</w:t>
      </w:r>
    </w:p>
    <w:p w14:paraId="35D0ACE5" w14:textId="77777777" w:rsidR="00D42204" w:rsidRDefault="004E439D">
      <w:pPr>
        <w:spacing w:before="180"/>
      </w:pPr>
      <w:r>
        <w:rPr>
          <w:rFonts w:ascii="Times New Roman" w:eastAsia="宋体" w:hAnsi="Times New Roman"/>
          <w:i/>
          <w:iCs/>
          <w:color w:val="000000"/>
          <w:sz w:val="20"/>
          <w:szCs w:val="20"/>
        </w:rPr>
        <w:t>Membership Fee Revenue</w:t>
      </w:r>
    </w:p>
    <w:p w14:paraId="35D0ACE6" w14:textId="77777777" w:rsidR="00D42204" w:rsidRDefault="004E439D">
      <w:pPr>
        <w:spacing w:before="100"/>
      </w:pPr>
      <w:r>
        <w:rPr>
          <w:rFonts w:ascii="Times New Roman" w:eastAsia="宋体" w:hAnsi="Times New Roman"/>
          <w:color w:val="000000"/>
          <w:sz w:val="20"/>
          <w:szCs w:val="20"/>
        </w:rPr>
        <w:t>The Company recognizes membership fee revenue both in the U.S. and inte</w:t>
      </w:r>
      <w:r>
        <w:rPr>
          <w:rFonts w:ascii="Times New Roman" w:eastAsia="宋体" w:hAnsi="Times New Roman"/>
          <w:color w:val="000000"/>
          <w:sz w:val="20"/>
          <w:szCs w:val="20"/>
        </w:rPr>
        <w:t>rnationally over the term of the membership, which is typically 12 months. Membership fee revenue was $2.2 billion for fiscal 2022, $1.7 billion for fiscal 2021 and $1.5 billion for fiscal 2020, respectively. Membership fee revenue is included in membershi</w:t>
      </w:r>
      <w:r>
        <w:rPr>
          <w:rFonts w:ascii="Times New Roman" w:eastAsia="宋体" w:hAnsi="Times New Roman"/>
          <w:color w:val="000000"/>
          <w:sz w:val="20"/>
          <w:szCs w:val="20"/>
        </w:rPr>
        <w:t>p and other income in the Company's Consolidated Statements of Income. Deferred membership fee revenue is included in accrued liabilities in the Company's Consolidated Balance Sheets.</w:t>
      </w:r>
    </w:p>
    <w:p w14:paraId="35D0ACE7" w14:textId="77777777" w:rsidR="00D42204" w:rsidRDefault="004E439D">
      <w:pPr>
        <w:spacing w:before="180"/>
      </w:pPr>
      <w:r>
        <w:rPr>
          <w:rFonts w:ascii="Times New Roman" w:eastAsia="宋体" w:hAnsi="Times New Roman"/>
          <w:i/>
          <w:iCs/>
          <w:color w:val="000000"/>
          <w:sz w:val="20"/>
          <w:szCs w:val="20"/>
        </w:rPr>
        <w:t>Gift Cards</w:t>
      </w:r>
    </w:p>
    <w:p w14:paraId="35D0ACE8" w14:textId="77777777" w:rsidR="00D42204" w:rsidRDefault="004E439D">
      <w:pPr>
        <w:spacing w:before="100"/>
      </w:pPr>
      <w:r>
        <w:rPr>
          <w:rFonts w:ascii="Times New Roman" w:eastAsia="宋体" w:hAnsi="Times New Roman"/>
          <w:color w:val="000000"/>
          <w:sz w:val="20"/>
          <w:szCs w:val="20"/>
        </w:rPr>
        <w:t xml:space="preserve">Customer purchases of gift cards are not recognized as sales </w:t>
      </w:r>
      <w:r>
        <w:rPr>
          <w:rFonts w:ascii="Times New Roman" w:eastAsia="宋体" w:hAnsi="Times New Roman"/>
          <w:color w:val="000000"/>
          <w:sz w:val="20"/>
          <w:szCs w:val="20"/>
        </w:rPr>
        <w:t>until the card is redeemed and the customer purchases merchandise using the gift card. Gift cards in the U.S. and some countries do not carry an expiration date; therefore, customers and members can redeem their gift cards for merchandise and services inde</w:t>
      </w:r>
      <w:r>
        <w:rPr>
          <w:rFonts w:ascii="Times New Roman" w:eastAsia="宋体" w:hAnsi="Times New Roman"/>
          <w:color w:val="000000"/>
          <w:sz w:val="20"/>
          <w:szCs w:val="20"/>
        </w:rPr>
        <w:t>finitely. Gift cards in some countries where the Company does business have expiration dates. While gift cards are generally redeemed within 12 months, a certain number of gift cards, both with and without expiration dates, will not be fully redeemed. Mana</w:t>
      </w:r>
      <w:r>
        <w:rPr>
          <w:rFonts w:ascii="Times New Roman" w:eastAsia="宋体" w:hAnsi="Times New Roman"/>
          <w:color w:val="000000"/>
          <w:sz w:val="20"/>
          <w:szCs w:val="20"/>
        </w:rPr>
        <w:t xml:space="preserve">gement estimates unredeemed balances and recognizes revenue for these amounts in membership and other income in the Company's Consolidated Statements of Income over the expected redemption period. </w:t>
      </w:r>
    </w:p>
    <w:p w14:paraId="35D0ACE9" w14:textId="77777777" w:rsidR="00D42204" w:rsidRDefault="004E439D">
      <w:pPr>
        <w:spacing w:before="180"/>
      </w:pPr>
      <w:r>
        <w:rPr>
          <w:rFonts w:ascii="Times New Roman" w:eastAsia="宋体" w:hAnsi="Times New Roman"/>
          <w:i/>
          <w:iCs/>
          <w:color w:val="000000"/>
          <w:sz w:val="20"/>
          <w:szCs w:val="20"/>
        </w:rPr>
        <w:t>Financial and Other Services</w:t>
      </w:r>
    </w:p>
    <w:p w14:paraId="35D0ACEA" w14:textId="77777777" w:rsidR="00D42204" w:rsidRDefault="004E439D">
      <w:pPr>
        <w:spacing w:before="100"/>
      </w:pPr>
      <w:r>
        <w:rPr>
          <w:rFonts w:ascii="Times New Roman" w:eastAsia="宋体" w:hAnsi="Times New Roman"/>
          <w:color w:val="000000"/>
          <w:sz w:val="20"/>
          <w:szCs w:val="20"/>
        </w:rPr>
        <w:t xml:space="preserve">The Company </w:t>
      </w:r>
      <w:r>
        <w:rPr>
          <w:rFonts w:ascii="Times New Roman" w:eastAsia="宋体" w:hAnsi="Times New Roman"/>
          <w:color w:val="000000"/>
          <w:sz w:val="20"/>
          <w:szCs w:val="20"/>
        </w:rPr>
        <w:t>recognizes revenue from service transactions at the time the service is performed. Generally, revenue from services is classified as a component of net sales in the Company's Consolidated Statements of Income.</w:t>
      </w:r>
    </w:p>
    <w:p w14:paraId="35D0ACEB" w14:textId="77777777" w:rsidR="00D42204" w:rsidRDefault="004E439D">
      <w:pPr>
        <w:jc w:val="center"/>
      </w:pPr>
      <w:r>
        <w:rPr>
          <w:rFonts w:ascii="Times New Roman" w:eastAsia="宋体" w:hAnsi="Times New Roman"/>
          <w:color w:val="000000"/>
          <w:sz w:val="20"/>
          <w:szCs w:val="20"/>
        </w:rPr>
        <w:t>62</w:t>
      </w:r>
    </w:p>
    <w:p w14:paraId="35D0ACEC" w14:textId="77777777" w:rsidR="00D42204" w:rsidRDefault="004E439D">
      <w:r>
        <w:pict w14:anchorId="35D0C399">
          <v:rect id="_x0000_i1086" style="width:415.3pt;height:1.5pt" o:hralign="center" o:hrstd="t" o:hr="t" fillcolor="#a0a0a0" stroked="f"/>
        </w:pict>
      </w:r>
    </w:p>
    <w:p w14:paraId="35D0ACED" w14:textId="77777777" w:rsidR="00D42204" w:rsidRDefault="00D42204"/>
    <w:p w14:paraId="35D0ACEE" w14:textId="77777777" w:rsidR="00D42204" w:rsidRDefault="004E439D">
      <w:pPr>
        <w:spacing w:before="180"/>
      </w:pPr>
      <w:r>
        <w:rPr>
          <w:rFonts w:ascii="Times New Roman" w:eastAsia="宋体" w:hAnsi="Times New Roman"/>
          <w:b/>
          <w:bCs/>
          <w:i/>
          <w:iCs/>
          <w:color w:val="000000"/>
          <w:sz w:val="20"/>
          <w:szCs w:val="20"/>
        </w:rPr>
        <w:t>Cost of Sales</w:t>
      </w:r>
    </w:p>
    <w:p w14:paraId="35D0ACEF" w14:textId="77777777" w:rsidR="00D42204" w:rsidRDefault="004E439D">
      <w:pPr>
        <w:spacing w:before="100"/>
      </w:pPr>
      <w:r>
        <w:rPr>
          <w:rFonts w:ascii="Times New Roman" w:eastAsia="宋体" w:hAnsi="Times New Roman"/>
          <w:color w:val="000000"/>
          <w:sz w:val="20"/>
          <w:szCs w:val="20"/>
        </w:rPr>
        <w:t xml:space="preserve">Cost of sales </w:t>
      </w:r>
      <w:r>
        <w:rPr>
          <w:rFonts w:ascii="Times New Roman" w:eastAsia="宋体" w:hAnsi="Times New Roman"/>
          <w:color w:val="000000"/>
          <w:sz w:val="20"/>
          <w:szCs w:val="20"/>
        </w:rPr>
        <w:t>includes actual product cost, the cost of transportation to the Company's distribution facilities, stores and clubs from suppliers, the cost of transportation from the Company's distribution facilities to the stores, clubs and customers and the cost of war</w:t>
      </w:r>
      <w:r>
        <w:rPr>
          <w:rFonts w:ascii="Times New Roman" w:eastAsia="宋体" w:hAnsi="Times New Roman"/>
          <w:color w:val="000000"/>
          <w:sz w:val="20"/>
          <w:szCs w:val="20"/>
        </w:rPr>
        <w:t>ehousing for the Sam's Club segment and import distribution centers. Cost of sales is reduced by supplier payments that are not a reimbursement of specific, incremental and identifiable costs.</w:t>
      </w:r>
    </w:p>
    <w:p w14:paraId="35D0ACF0" w14:textId="77777777" w:rsidR="00D42204" w:rsidRDefault="004E439D">
      <w:pPr>
        <w:spacing w:before="180"/>
      </w:pPr>
      <w:r>
        <w:rPr>
          <w:rFonts w:ascii="Times New Roman" w:eastAsia="宋体" w:hAnsi="Times New Roman"/>
          <w:b/>
          <w:bCs/>
          <w:i/>
          <w:iCs/>
          <w:color w:val="000000"/>
          <w:sz w:val="20"/>
          <w:szCs w:val="20"/>
        </w:rPr>
        <w:t>Payments from Suppliers</w:t>
      </w:r>
    </w:p>
    <w:p w14:paraId="35D0ACF1" w14:textId="77777777" w:rsidR="00D42204" w:rsidRDefault="004E439D">
      <w:pPr>
        <w:spacing w:before="100"/>
      </w:pPr>
      <w:r>
        <w:rPr>
          <w:rFonts w:ascii="Times New Roman" w:eastAsia="宋体" w:hAnsi="Times New Roman"/>
          <w:color w:val="000000"/>
          <w:sz w:val="20"/>
          <w:szCs w:val="20"/>
        </w:rPr>
        <w:t>The Company receives consideration from</w:t>
      </w:r>
      <w:r>
        <w:rPr>
          <w:rFonts w:ascii="Times New Roman" w:eastAsia="宋体" w:hAnsi="Times New Roman"/>
          <w:color w:val="000000"/>
          <w:sz w:val="20"/>
          <w:szCs w:val="20"/>
        </w:rPr>
        <w:t xml:space="preserve"> suppliers for various programs, primarily volume incentives, warehouse allowances and reimbursements for specific programs such as markdowns, margin protection, advertising and supplier-specific fixtures. Payments from suppliers are accounted for as a red</w:t>
      </w:r>
      <w:r>
        <w:rPr>
          <w:rFonts w:ascii="Times New Roman" w:eastAsia="宋体" w:hAnsi="Times New Roman"/>
          <w:color w:val="000000"/>
          <w:sz w:val="20"/>
          <w:szCs w:val="20"/>
        </w:rPr>
        <w:t>uction of cost of sales, except in certain limited situations when the payment is a reimbursement of specific, incremental and identifiable costs, and are recognized in the Company's Consolidated Statements of Income when the related inventory is sold.</w:t>
      </w:r>
    </w:p>
    <w:p w14:paraId="35D0ACF2" w14:textId="77777777" w:rsidR="00D42204" w:rsidRDefault="004E439D">
      <w:pPr>
        <w:spacing w:before="180"/>
      </w:pPr>
      <w:r>
        <w:rPr>
          <w:rFonts w:ascii="Times New Roman" w:eastAsia="宋体" w:hAnsi="Times New Roman"/>
          <w:b/>
          <w:bCs/>
          <w:i/>
          <w:iCs/>
          <w:color w:val="000000"/>
          <w:sz w:val="20"/>
          <w:szCs w:val="20"/>
        </w:rPr>
        <w:t>Ope</w:t>
      </w:r>
      <w:r>
        <w:rPr>
          <w:rFonts w:ascii="Times New Roman" w:eastAsia="宋体" w:hAnsi="Times New Roman"/>
          <w:b/>
          <w:bCs/>
          <w:i/>
          <w:iCs/>
          <w:color w:val="000000"/>
          <w:sz w:val="20"/>
          <w:szCs w:val="20"/>
        </w:rPr>
        <w:t>rating, Selling, General and Administrative Expenses</w:t>
      </w:r>
    </w:p>
    <w:p w14:paraId="35D0ACF3" w14:textId="77777777" w:rsidR="00D42204" w:rsidRDefault="004E439D">
      <w:pPr>
        <w:spacing w:before="100"/>
      </w:pPr>
      <w:r>
        <w:rPr>
          <w:rFonts w:ascii="Times New Roman" w:eastAsia="宋体" w:hAnsi="Times New Roman"/>
          <w:color w:val="000000"/>
          <w:sz w:val="20"/>
          <w:szCs w:val="20"/>
        </w:rPr>
        <w:t>Operating, selling, general and administrative expenses include all operating costs of the Company, except cost of sales, as described above. As a result, the majority of the cost of warehousing and occu</w:t>
      </w:r>
      <w:r>
        <w:rPr>
          <w:rFonts w:ascii="Times New Roman" w:eastAsia="宋体" w:hAnsi="Times New Roman"/>
          <w:color w:val="000000"/>
          <w:sz w:val="20"/>
          <w:szCs w:val="20"/>
        </w:rPr>
        <w:t>pancy for the Walmart U.S. and Walmart International segments' distribution facilities is included in operating, selling, general and administrative expenses. Because the Company only includes a portion of the cost of its Walmart U.S. and Walmart Internati</w:t>
      </w:r>
      <w:r>
        <w:rPr>
          <w:rFonts w:ascii="Times New Roman" w:eastAsia="宋体" w:hAnsi="Times New Roman"/>
          <w:color w:val="000000"/>
          <w:sz w:val="20"/>
          <w:szCs w:val="20"/>
        </w:rPr>
        <w:t>onal segments' distribution facilities in cost of sales, its gross profit and gross profit as a percentage of net sales may not be comparable to those of other retailers that may include all costs related to their distribution facilities in cost of sales a</w:t>
      </w:r>
      <w:r>
        <w:rPr>
          <w:rFonts w:ascii="Times New Roman" w:eastAsia="宋体" w:hAnsi="Times New Roman"/>
          <w:color w:val="000000"/>
          <w:sz w:val="20"/>
          <w:szCs w:val="20"/>
        </w:rPr>
        <w:t>nd in the calculation of gross profit.</w:t>
      </w:r>
    </w:p>
    <w:p w14:paraId="35D0ACF4" w14:textId="77777777" w:rsidR="00D42204" w:rsidRDefault="004E439D">
      <w:pPr>
        <w:spacing w:before="180"/>
      </w:pPr>
      <w:r>
        <w:rPr>
          <w:rFonts w:ascii="Times New Roman" w:eastAsia="宋体" w:hAnsi="Times New Roman"/>
          <w:b/>
          <w:bCs/>
          <w:i/>
          <w:iCs/>
          <w:color w:val="000000"/>
          <w:sz w:val="20"/>
          <w:szCs w:val="20"/>
        </w:rPr>
        <w:t>Advertising Costs</w:t>
      </w:r>
    </w:p>
    <w:p w14:paraId="35D0ACF5" w14:textId="77777777" w:rsidR="00D42204" w:rsidRDefault="004E439D">
      <w:pPr>
        <w:spacing w:before="100"/>
      </w:pPr>
      <w:r>
        <w:rPr>
          <w:rFonts w:ascii="Times New Roman" w:eastAsia="宋体" w:hAnsi="Times New Roman"/>
          <w:color w:val="000000"/>
          <w:sz w:val="20"/>
          <w:szCs w:val="20"/>
        </w:rPr>
        <w:t>Advertising costs are expensed as incurred, consist primarily of digital, television and print advertisements and are recorded in operating, selling, general and administrative expenses in the Compan</w:t>
      </w:r>
      <w:r>
        <w:rPr>
          <w:rFonts w:ascii="Times New Roman" w:eastAsia="宋体" w:hAnsi="Times New Roman"/>
          <w:color w:val="000000"/>
          <w:sz w:val="20"/>
          <w:szCs w:val="20"/>
        </w:rPr>
        <w:t>y's Consolidated Statements of Income. Advertising costs were $3.9 billion, $3.2 billion and $3.7 billion for fiscal 2022, 2021 and 2020, respectively.</w:t>
      </w:r>
    </w:p>
    <w:p w14:paraId="35D0ACF6" w14:textId="77777777" w:rsidR="00D42204" w:rsidRDefault="004E439D">
      <w:pPr>
        <w:spacing w:before="180"/>
      </w:pPr>
      <w:r>
        <w:rPr>
          <w:rFonts w:ascii="Times New Roman" w:eastAsia="宋体" w:hAnsi="Times New Roman"/>
          <w:b/>
          <w:bCs/>
          <w:i/>
          <w:iCs/>
          <w:color w:val="000000"/>
          <w:sz w:val="20"/>
          <w:szCs w:val="20"/>
        </w:rPr>
        <w:t>Currency Translation</w:t>
      </w:r>
    </w:p>
    <w:p w14:paraId="35D0ACF7" w14:textId="77777777" w:rsidR="00D42204" w:rsidRDefault="004E439D">
      <w:pPr>
        <w:spacing w:before="100"/>
      </w:pPr>
      <w:r>
        <w:rPr>
          <w:rFonts w:ascii="Times New Roman" w:eastAsia="宋体" w:hAnsi="Times New Roman"/>
          <w:color w:val="000000"/>
          <w:sz w:val="20"/>
          <w:szCs w:val="20"/>
        </w:rPr>
        <w:t>The assets and liabilities of all international subsidiaries are translated from th</w:t>
      </w:r>
      <w:r>
        <w:rPr>
          <w:rFonts w:ascii="Times New Roman" w:eastAsia="宋体" w:hAnsi="Times New Roman"/>
          <w:color w:val="000000"/>
          <w:sz w:val="20"/>
          <w:szCs w:val="20"/>
        </w:rPr>
        <w:t>e respective local currency to the U.S. dollar using exchange rates at the balance sheet date. Related translation adjustments are recorded as a component of accumulated other comprehensive loss. The Company's Consolidated Statements of Income of all inter</w:t>
      </w:r>
      <w:r>
        <w:rPr>
          <w:rFonts w:ascii="Times New Roman" w:eastAsia="宋体" w:hAnsi="Times New Roman"/>
          <w:color w:val="000000"/>
          <w:sz w:val="20"/>
          <w:szCs w:val="20"/>
        </w:rPr>
        <w:t>national subsidiaries are translated from the respective local currencies to the U.S. dollar using average exchange rates for the period covered by the income statements.</w:t>
      </w:r>
    </w:p>
    <w:p w14:paraId="35D0ACF8" w14:textId="77777777" w:rsidR="00D42204" w:rsidRDefault="004E439D">
      <w:pPr>
        <w:spacing w:before="180"/>
      </w:pPr>
      <w:r>
        <w:rPr>
          <w:rFonts w:ascii="Times New Roman" w:eastAsia="宋体" w:hAnsi="Times New Roman"/>
          <w:b/>
          <w:bCs/>
          <w:color w:val="000000"/>
          <w:sz w:val="20"/>
          <w:szCs w:val="20"/>
        </w:rPr>
        <w:t>Note 2. Net Income Per Common Share</w:t>
      </w:r>
    </w:p>
    <w:p w14:paraId="35D0ACF9" w14:textId="77777777" w:rsidR="00D42204" w:rsidRDefault="004E439D">
      <w:pPr>
        <w:spacing w:before="100"/>
      </w:pPr>
      <w:r>
        <w:rPr>
          <w:rFonts w:ascii="Times New Roman" w:eastAsia="宋体" w:hAnsi="Times New Roman"/>
          <w:color w:val="000000"/>
          <w:sz w:val="20"/>
          <w:szCs w:val="20"/>
        </w:rPr>
        <w:t>Basic net income per common share attributable to</w:t>
      </w:r>
      <w:r>
        <w:rPr>
          <w:rFonts w:ascii="Times New Roman" w:eastAsia="宋体" w:hAnsi="Times New Roman"/>
          <w:color w:val="000000"/>
          <w:sz w:val="20"/>
          <w:szCs w:val="20"/>
        </w:rPr>
        <w:t xml:space="preserve"> Walmart is based on the weighted-average common shares outstanding during the relevant period. Diluted net income per common share attributable to Walmart is based on the weighted-average common shares outstanding during the relevant period adjusted for t</w:t>
      </w:r>
      <w:r>
        <w:rPr>
          <w:rFonts w:ascii="Times New Roman" w:eastAsia="宋体" w:hAnsi="Times New Roman"/>
          <w:color w:val="000000"/>
          <w:sz w:val="20"/>
          <w:szCs w:val="20"/>
        </w:rPr>
        <w:t>he dilutive effect of share-based awards. The Company did not have significant share-based awards outstanding that were antidilutive and not included in the calculation of diluted net income per common share attributable to Walmart for fiscal 2022, 2021 an</w:t>
      </w:r>
      <w:r>
        <w:rPr>
          <w:rFonts w:ascii="Times New Roman" w:eastAsia="宋体" w:hAnsi="Times New Roman"/>
          <w:color w:val="000000"/>
          <w:sz w:val="20"/>
          <w:szCs w:val="20"/>
        </w:rPr>
        <w:t>d 2020.</w:t>
      </w:r>
    </w:p>
    <w:p w14:paraId="35D0ACFA" w14:textId="77777777" w:rsidR="00D42204" w:rsidRDefault="004E439D">
      <w:pPr>
        <w:spacing w:before="100"/>
      </w:pPr>
      <w:r>
        <w:rPr>
          <w:rFonts w:ascii="Times New Roman" w:eastAsia="宋体" w:hAnsi="Times New Roman"/>
          <w:color w:val="000000"/>
          <w:sz w:val="20"/>
          <w:szCs w:val="20"/>
        </w:rPr>
        <w:t>The following table provides a reconciliation of the numerators and denominators used to determine basic and diluted net income per common share attributable to Walmart:</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4919"/>
        <w:gridCol w:w="40"/>
        <w:gridCol w:w="36"/>
        <w:gridCol w:w="36"/>
        <w:gridCol w:w="36"/>
        <w:gridCol w:w="100"/>
        <w:gridCol w:w="867"/>
        <w:gridCol w:w="36"/>
        <w:gridCol w:w="36"/>
        <w:gridCol w:w="36"/>
        <w:gridCol w:w="36"/>
        <w:gridCol w:w="100"/>
        <w:gridCol w:w="867"/>
        <w:gridCol w:w="36"/>
        <w:gridCol w:w="36"/>
        <w:gridCol w:w="36"/>
        <w:gridCol w:w="36"/>
        <w:gridCol w:w="100"/>
        <w:gridCol w:w="869"/>
        <w:gridCol w:w="36"/>
      </w:tblGrid>
      <w:tr w:rsidR="00D42204" w14:paraId="35D0AD10" w14:textId="77777777">
        <w:trPr>
          <w:jc w:val="center"/>
        </w:trPr>
        <w:tc>
          <w:tcPr>
            <w:tcW w:w="50" w:type="pct"/>
            <w:shd w:val="clear" w:color="auto" w:fill="auto"/>
            <w:vAlign w:val="bottom"/>
          </w:tcPr>
          <w:p w14:paraId="35D0ACFB" w14:textId="77777777" w:rsidR="00D42204" w:rsidRDefault="00D42204">
            <w:pPr>
              <w:rPr>
                <w:rFonts w:ascii="宋体"/>
              </w:rPr>
            </w:pPr>
          </w:p>
        </w:tc>
        <w:tc>
          <w:tcPr>
            <w:tcW w:w="2974" w:type="pct"/>
            <w:shd w:val="clear" w:color="auto" w:fill="auto"/>
            <w:vAlign w:val="bottom"/>
          </w:tcPr>
          <w:p w14:paraId="35D0ACFC" w14:textId="77777777" w:rsidR="00D42204" w:rsidRDefault="00D42204">
            <w:pPr>
              <w:rPr>
                <w:rFonts w:ascii="宋体"/>
              </w:rPr>
            </w:pPr>
          </w:p>
        </w:tc>
        <w:tc>
          <w:tcPr>
            <w:tcW w:w="5" w:type="pct"/>
            <w:shd w:val="clear" w:color="auto" w:fill="auto"/>
            <w:vAlign w:val="bottom"/>
          </w:tcPr>
          <w:p w14:paraId="35D0ACFD" w14:textId="77777777" w:rsidR="00D42204" w:rsidRDefault="00D42204">
            <w:pPr>
              <w:rPr>
                <w:rFonts w:ascii="宋体"/>
              </w:rPr>
            </w:pPr>
          </w:p>
        </w:tc>
        <w:tc>
          <w:tcPr>
            <w:tcW w:w="5" w:type="pct"/>
            <w:shd w:val="clear" w:color="auto" w:fill="auto"/>
            <w:vAlign w:val="bottom"/>
          </w:tcPr>
          <w:p w14:paraId="35D0ACFE" w14:textId="77777777" w:rsidR="00D42204" w:rsidRDefault="00D42204">
            <w:pPr>
              <w:rPr>
                <w:rFonts w:ascii="宋体"/>
              </w:rPr>
            </w:pPr>
          </w:p>
        </w:tc>
        <w:tc>
          <w:tcPr>
            <w:tcW w:w="41" w:type="pct"/>
            <w:shd w:val="clear" w:color="auto" w:fill="auto"/>
            <w:vAlign w:val="bottom"/>
          </w:tcPr>
          <w:p w14:paraId="35D0ACFF" w14:textId="77777777" w:rsidR="00D42204" w:rsidRDefault="00D42204">
            <w:pPr>
              <w:rPr>
                <w:rFonts w:ascii="宋体"/>
              </w:rPr>
            </w:pPr>
          </w:p>
        </w:tc>
        <w:tc>
          <w:tcPr>
            <w:tcW w:w="5" w:type="pct"/>
            <w:shd w:val="clear" w:color="auto" w:fill="auto"/>
            <w:vAlign w:val="bottom"/>
          </w:tcPr>
          <w:p w14:paraId="35D0AD00" w14:textId="77777777" w:rsidR="00D42204" w:rsidRDefault="00D42204">
            <w:pPr>
              <w:rPr>
                <w:rFonts w:ascii="宋体"/>
              </w:rPr>
            </w:pPr>
          </w:p>
        </w:tc>
        <w:tc>
          <w:tcPr>
            <w:tcW w:w="50" w:type="pct"/>
            <w:shd w:val="clear" w:color="auto" w:fill="auto"/>
            <w:vAlign w:val="bottom"/>
          </w:tcPr>
          <w:p w14:paraId="35D0AD01" w14:textId="77777777" w:rsidR="00D42204" w:rsidRDefault="00D42204">
            <w:pPr>
              <w:rPr>
                <w:rFonts w:ascii="宋体"/>
              </w:rPr>
            </w:pPr>
          </w:p>
        </w:tc>
        <w:tc>
          <w:tcPr>
            <w:tcW w:w="550" w:type="pct"/>
            <w:shd w:val="clear" w:color="auto" w:fill="auto"/>
            <w:vAlign w:val="bottom"/>
          </w:tcPr>
          <w:p w14:paraId="35D0AD02" w14:textId="77777777" w:rsidR="00D42204" w:rsidRDefault="00D42204">
            <w:pPr>
              <w:rPr>
                <w:rFonts w:ascii="宋体"/>
              </w:rPr>
            </w:pPr>
          </w:p>
        </w:tc>
        <w:tc>
          <w:tcPr>
            <w:tcW w:w="5" w:type="pct"/>
            <w:shd w:val="clear" w:color="auto" w:fill="auto"/>
            <w:vAlign w:val="bottom"/>
          </w:tcPr>
          <w:p w14:paraId="35D0AD03" w14:textId="77777777" w:rsidR="00D42204" w:rsidRDefault="00D42204">
            <w:pPr>
              <w:rPr>
                <w:rFonts w:ascii="宋体"/>
              </w:rPr>
            </w:pPr>
          </w:p>
        </w:tc>
        <w:tc>
          <w:tcPr>
            <w:tcW w:w="5" w:type="pct"/>
            <w:shd w:val="clear" w:color="auto" w:fill="auto"/>
            <w:vAlign w:val="bottom"/>
          </w:tcPr>
          <w:p w14:paraId="35D0AD04" w14:textId="77777777" w:rsidR="00D42204" w:rsidRDefault="00D42204">
            <w:pPr>
              <w:rPr>
                <w:rFonts w:ascii="宋体"/>
              </w:rPr>
            </w:pPr>
          </w:p>
        </w:tc>
        <w:tc>
          <w:tcPr>
            <w:tcW w:w="41" w:type="pct"/>
            <w:shd w:val="clear" w:color="auto" w:fill="auto"/>
            <w:vAlign w:val="bottom"/>
          </w:tcPr>
          <w:p w14:paraId="35D0AD05" w14:textId="77777777" w:rsidR="00D42204" w:rsidRDefault="00D42204">
            <w:pPr>
              <w:rPr>
                <w:rFonts w:ascii="宋体"/>
              </w:rPr>
            </w:pPr>
          </w:p>
        </w:tc>
        <w:tc>
          <w:tcPr>
            <w:tcW w:w="5" w:type="pct"/>
            <w:shd w:val="clear" w:color="auto" w:fill="auto"/>
            <w:vAlign w:val="bottom"/>
          </w:tcPr>
          <w:p w14:paraId="35D0AD06" w14:textId="77777777" w:rsidR="00D42204" w:rsidRDefault="00D42204">
            <w:pPr>
              <w:rPr>
                <w:rFonts w:ascii="宋体"/>
              </w:rPr>
            </w:pPr>
          </w:p>
        </w:tc>
        <w:tc>
          <w:tcPr>
            <w:tcW w:w="50" w:type="pct"/>
            <w:shd w:val="clear" w:color="auto" w:fill="auto"/>
            <w:vAlign w:val="bottom"/>
          </w:tcPr>
          <w:p w14:paraId="35D0AD07" w14:textId="77777777" w:rsidR="00D42204" w:rsidRDefault="00D42204">
            <w:pPr>
              <w:rPr>
                <w:rFonts w:ascii="宋体"/>
              </w:rPr>
            </w:pPr>
          </w:p>
        </w:tc>
        <w:tc>
          <w:tcPr>
            <w:tcW w:w="550" w:type="pct"/>
            <w:shd w:val="clear" w:color="auto" w:fill="auto"/>
            <w:vAlign w:val="bottom"/>
          </w:tcPr>
          <w:p w14:paraId="35D0AD08" w14:textId="77777777" w:rsidR="00D42204" w:rsidRDefault="00D42204">
            <w:pPr>
              <w:rPr>
                <w:rFonts w:ascii="宋体"/>
              </w:rPr>
            </w:pPr>
          </w:p>
        </w:tc>
        <w:tc>
          <w:tcPr>
            <w:tcW w:w="5" w:type="pct"/>
            <w:shd w:val="clear" w:color="auto" w:fill="auto"/>
            <w:vAlign w:val="bottom"/>
          </w:tcPr>
          <w:p w14:paraId="35D0AD09" w14:textId="77777777" w:rsidR="00D42204" w:rsidRDefault="00D42204">
            <w:pPr>
              <w:rPr>
                <w:rFonts w:ascii="宋体"/>
              </w:rPr>
            </w:pPr>
          </w:p>
        </w:tc>
        <w:tc>
          <w:tcPr>
            <w:tcW w:w="5" w:type="pct"/>
            <w:shd w:val="clear" w:color="auto" w:fill="auto"/>
            <w:vAlign w:val="bottom"/>
          </w:tcPr>
          <w:p w14:paraId="35D0AD0A" w14:textId="77777777" w:rsidR="00D42204" w:rsidRDefault="00D42204">
            <w:pPr>
              <w:rPr>
                <w:rFonts w:ascii="宋体"/>
              </w:rPr>
            </w:pPr>
          </w:p>
        </w:tc>
        <w:tc>
          <w:tcPr>
            <w:tcW w:w="41" w:type="pct"/>
            <w:shd w:val="clear" w:color="auto" w:fill="auto"/>
            <w:vAlign w:val="bottom"/>
          </w:tcPr>
          <w:p w14:paraId="35D0AD0B" w14:textId="77777777" w:rsidR="00D42204" w:rsidRDefault="00D42204">
            <w:pPr>
              <w:rPr>
                <w:rFonts w:ascii="宋体"/>
              </w:rPr>
            </w:pPr>
          </w:p>
        </w:tc>
        <w:tc>
          <w:tcPr>
            <w:tcW w:w="5" w:type="pct"/>
            <w:shd w:val="clear" w:color="auto" w:fill="auto"/>
            <w:vAlign w:val="bottom"/>
          </w:tcPr>
          <w:p w14:paraId="35D0AD0C" w14:textId="77777777" w:rsidR="00D42204" w:rsidRDefault="00D42204">
            <w:pPr>
              <w:rPr>
                <w:rFonts w:ascii="宋体"/>
              </w:rPr>
            </w:pPr>
          </w:p>
        </w:tc>
        <w:tc>
          <w:tcPr>
            <w:tcW w:w="50" w:type="pct"/>
            <w:shd w:val="clear" w:color="auto" w:fill="auto"/>
            <w:vAlign w:val="bottom"/>
          </w:tcPr>
          <w:p w14:paraId="35D0AD0D" w14:textId="77777777" w:rsidR="00D42204" w:rsidRDefault="00D42204">
            <w:pPr>
              <w:rPr>
                <w:rFonts w:ascii="宋体"/>
              </w:rPr>
            </w:pPr>
          </w:p>
        </w:tc>
        <w:tc>
          <w:tcPr>
            <w:tcW w:w="551" w:type="pct"/>
            <w:shd w:val="clear" w:color="auto" w:fill="auto"/>
            <w:vAlign w:val="bottom"/>
          </w:tcPr>
          <w:p w14:paraId="35D0AD0E" w14:textId="77777777" w:rsidR="00D42204" w:rsidRDefault="00D42204">
            <w:pPr>
              <w:rPr>
                <w:rFonts w:ascii="宋体"/>
              </w:rPr>
            </w:pPr>
          </w:p>
        </w:tc>
        <w:tc>
          <w:tcPr>
            <w:tcW w:w="5" w:type="pct"/>
            <w:shd w:val="clear" w:color="auto" w:fill="auto"/>
            <w:vAlign w:val="bottom"/>
          </w:tcPr>
          <w:p w14:paraId="35D0AD0F" w14:textId="77777777" w:rsidR="00D42204" w:rsidRDefault="00D42204">
            <w:pPr>
              <w:rPr>
                <w:rFonts w:ascii="宋体"/>
              </w:rPr>
            </w:pPr>
          </w:p>
        </w:tc>
      </w:tr>
      <w:tr w:rsidR="00D42204" w14:paraId="35D0AD14" w14:textId="77777777">
        <w:trPr>
          <w:jc w:val="center"/>
        </w:trPr>
        <w:tc>
          <w:tcPr>
            <w:tcW w:w="0" w:type="auto"/>
            <w:gridSpan w:val="3"/>
            <w:shd w:val="clear" w:color="auto" w:fill="auto"/>
            <w:tcMar>
              <w:top w:w="0" w:type="dxa"/>
              <w:left w:w="20" w:type="dxa"/>
              <w:bottom w:w="0" w:type="dxa"/>
              <w:right w:w="20" w:type="dxa"/>
            </w:tcMar>
            <w:vAlign w:val="bottom"/>
          </w:tcPr>
          <w:p w14:paraId="35D0AD11"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D12"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AD13" w14:textId="77777777" w:rsidR="00D42204" w:rsidRDefault="004E439D">
            <w:pPr>
              <w:jc w:val="center"/>
              <w:textAlignment w:val="bottom"/>
            </w:pPr>
            <w:r>
              <w:rPr>
                <w:rFonts w:ascii="Times New Roman" w:eastAsia="宋体" w:hAnsi="Times New Roman"/>
                <w:b/>
                <w:bCs/>
                <w:color w:val="000000"/>
                <w:sz w:val="16"/>
                <w:szCs w:val="16"/>
              </w:rPr>
              <w:t>Fis</w:t>
            </w:r>
            <w:r>
              <w:rPr>
                <w:rFonts w:ascii="Times New Roman" w:eastAsia="宋体" w:hAnsi="Times New Roman"/>
                <w:b/>
                <w:bCs/>
                <w:color w:val="000000"/>
                <w:sz w:val="16"/>
                <w:szCs w:val="16"/>
              </w:rPr>
              <w:t>cal Years Ended January 31,</w:t>
            </w:r>
          </w:p>
        </w:tc>
      </w:tr>
      <w:tr w:rsidR="00D42204" w14:paraId="35D0AD1C" w14:textId="77777777">
        <w:trPr>
          <w:jc w:val="center"/>
        </w:trPr>
        <w:tc>
          <w:tcPr>
            <w:tcW w:w="0" w:type="auto"/>
            <w:gridSpan w:val="3"/>
            <w:shd w:val="clear" w:color="auto" w:fill="auto"/>
            <w:tcMar>
              <w:top w:w="40" w:type="dxa"/>
              <w:left w:w="20" w:type="dxa"/>
              <w:bottom w:w="40" w:type="dxa"/>
              <w:right w:w="20" w:type="dxa"/>
            </w:tcMar>
            <w:vAlign w:val="bottom"/>
          </w:tcPr>
          <w:p w14:paraId="35D0AD15" w14:textId="77777777" w:rsidR="00D42204" w:rsidRDefault="004E439D">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vAlign w:val="bottom"/>
          </w:tcPr>
          <w:p w14:paraId="35D0AD16"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D17"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D18"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D19"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D1A"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D1B"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AD24" w14:textId="77777777">
        <w:trPr>
          <w:jc w:val="center"/>
        </w:trPr>
        <w:tc>
          <w:tcPr>
            <w:tcW w:w="0" w:type="auto"/>
            <w:gridSpan w:val="3"/>
            <w:shd w:val="clear" w:color="auto" w:fill="CCEEFF"/>
            <w:tcMar>
              <w:top w:w="40" w:type="dxa"/>
              <w:left w:w="20" w:type="dxa"/>
              <w:bottom w:w="40" w:type="dxa"/>
              <w:right w:w="20" w:type="dxa"/>
            </w:tcMar>
            <w:vAlign w:val="center"/>
          </w:tcPr>
          <w:p w14:paraId="35D0AD1D" w14:textId="77777777" w:rsidR="00D42204" w:rsidRDefault="004E439D">
            <w:pPr>
              <w:textAlignment w:val="center"/>
            </w:pPr>
            <w:r>
              <w:rPr>
                <w:rFonts w:ascii="Times New Roman" w:eastAsia="宋体" w:hAnsi="Times New Roman"/>
                <w:b/>
                <w:bCs/>
                <w:color w:val="000000"/>
                <w:sz w:val="16"/>
                <w:szCs w:val="16"/>
              </w:rPr>
              <w:t>Numerator</w:t>
            </w:r>
          </w:p>
        </w:tc>
        <w:tc>
          <w:tcPr>
            <w:tcW w:w="0" w:type="auto"/>
            <w:gridSpan w:val="3"/>
            <w:shd w:val="clear" w:color="auto" w:fill="CCEEFF"/>
            <w:tcMar>
              <w:top w:w="0" w:type="dxa"/>
              <w:left w:w="20" w:type="dxa"/>
              <w:bottom w:w="0" w:type="dxa"/>
              <w:right w:w="20" w:type="dxa"/>
            </w:tcMar>
            <w:vAlign w:val="bottom"/>
          </w:tcPr>
          <w:p w14:paraId="35D0AD1E"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D1F"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D20"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D21"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D22"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AD23" w14:textId="77777777" w:rsidR="00D42204" w:rsidRDefault="00D42204">
            <w:pPr>
              <w:rPr>
                <w:rFonts w:ascii="宋体"/>
              </w:rPr>
            </w:pPr>
          </w:p>
        </w:tc>
      </w:tr>
      <w:tr w:rsidR="00D42204" w14:paraId="35D0AD32" w14:textId="77777777">
        <w:trPr>
          <w:jc w:val="center"/>
        </w:trPr>
        <w:tc>
          <w:tcPr>
            <w:tcW w:w="0" w:type="auto"/>
            <w:gridSpan w:val="3"/>
            <w:shd w:val="clear" w:color="auto" w:fill="FFFFFF"/>
            <w:tcMar>
              <w:top w:w="40" w:type="dxa"/>
              <w:left w:w="380" w:type="dxa"/>
              <w:bottom w:w="40" w:type="dxa"/>
              <w:right w:w="20" w:type="dxa"/>
            </w:tcMar>
            <w:vAlign w:val="center"/>
          </w:tcPr>
          <w:p w14:paraId="35D0AD25" w14:textId="77777777" w:rsidR="00D42204" w:rsidRDefault="004E439D">
            <w:pPr>
              <w:textAlignment w:val="center"/>
            </w:pPr>
            <w:r>
              <w:rPr>
                <w:rFonts w:ascii="Times New Roman" w:eastAsia="宋体" w:hAnsi="Times New Roman"/>
                <w:color w:val="000000"/>
                <w:sz w:val="16"/>
                <w:szCs w:val="16"/>
              </w:rPr>
              <w:t>Consolidated net income</w:t>
            </w:r>
          </w:p>
        </w:tc>
        <w:tc>
          <w:tcPr>
            <w:tcW w:w="0" w:type="auto"/>
            <w:gridSpan w:val="3"/>
            <w:shd w:val="clear" w:color="auto" w:fill="FFFFFF"/>
            <w:tcMar>
              <w:top w:w="0" w:type="dxa"/>
              <w:left w:w="20" w:type="dxa"/>
              <w:bottom w:w="0" w:type="dxa"/>
              <w:right w:w="20" w:type="dxa"/>
            </w:tcMar>
            <w:vAlign w:val="bottom"/>
          </w:tcPr>
          <w:p w14:paraId="35D0AD26" w14:textId="77777777" w:rsidR="00D42204" w:rsidRDefault="00D42204">
            <w:pPr>
              <w:rPr>
                <w:rFonts w:ascii="宋体"/>
              </w:rPr>
            </w:pPr>
          </w:p>
        </w:tc>
        <w:tc>
          <w:tcPr>
            <w:tcW w:w="0" w:type="auto"/>
            <w:shd w:val="clear" w:color="auto" w:fill="FFFFFF"/>
            <w:tcMar>
              <w:top w:w="40" w:type="dxa"/>
              <w:left w:w="20" w:type="dxa"/>
              <w:bottom w:w="40" w:type="dxa"/>
              <w:right w:w="0" w:type="dxa"/>
            </w:tcMar>
            <w:vAlign w:val="bottom"/>
          </w:tcPr>
          <w:p w14:paraId="35D0AD27" w14:textId="77777777" w:rsidR="00D42204" w:rsidRDefault="004E439D">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35D0AD28" w14:textId="77777777" w:rsidR="00D42204" w:rsidRDefault="004E439D">
            <w:pPr>
              <w:jc w:val="right"/>
              <w:textAlignment w:val="bottom"/>
            </w:pPr>
            <w:r>
              <w:rPr>
                <w:rFonts w:ascii="Times New Roman" w:eastAsia="宋体" w:hAnsi="Times New Roman"/>
                <w:color w:val="000000"/>
                <w:sz w:val="16"/>
                <w:szCs w:val="16"/>
              </w:rPr>
              <w:t>13,940 </w:t>
            </w:r>
          </w:p>
        </w:tc>
        <w:tc>
          <w:tcPr>
            <w:tcW w:w="0" w:type="auto"/>
            <w:shd w:val="clear" w:color="auto" w:fill="FFFFFF"/>
            <w:tcMar>
              <w:top w:w="40" w:type="dxa"/>
              <w:left w:w="0" w:type="dxa"/>
              <w:bottom w:w="40" w:type="dxa"/>
              <w:right w:w="20" w:type="dxa"/>
            </w:tcMar>
            <w:vAlign w:val="bottom"/>
          </w:tcPr>
          <w:p w14:paraId="35D0AD2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D2A" w14:textId="77777777" w:rsidR="00D42204" w:rsidRDefault="00D42204">
            <w:pPr>
              <w:rPr>
                <w:rFonts w:ascii="宋体"/>
              </w:rPr>
            </w:pPr>
          </w:p>
        </w:tc>
        <w:tc>
          <w:tcPr>
            <w:tcW w:w="0" w:type="auto"/>
            <w:shd w:val="clear" w:color="auto" w:fill="FFFFFF"/>
            <w:tcMar>
              <w:top w:w="40" w:type="dxa"/>
              <w:left w:w="20" w:type="dxa"/>
              <w:bottom w:w="40" w:type="dxa"/>
              <w:right w:w="0" w:type="dxa"/>
            </w:tcMar>
            <w:vAlign w:val="bottom"/>
          </w:tcPr>
          <w:p w14:paraId="35D0AD2B" w14:textId="77777777" w:rsidR="00D42204" w:rsidRDefault="004E439D">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35D0AD2C" w14:textId="77777777" w:rsidR="00D42204" w:rsidRDefault="004E439D">
            <w:pPr>
              <w:jc w:val="right"/>
              <w:textAlignment w:val="bottom"/>
            </w:pPr>
            <w:r>
              <w:rPr>
                <w:rFonts w:ascii="Times New Roman" w:eastAsia="宋体" w:hAnsi="Times New Roman"/>
                <w:color w:val="000000"/>
                <w:sz w:val="16"/>
                <w:szCs w:val="16"/>
              </w:rPr>
              <w:t>13,706 </w:t>
            </w:r>
          </w:p>
        </w:tc>
        <w:tc>
          <w:tcPr>
            <w:tcW w:w="0" w:type="auto"/>
            <w:shd w:val="clear" w:color="auto" w:fill="FFFFFF"/>
            <w:tcMar>
              <w:top w:w="40" w:type="dxa"/>
              <w:left w:w="0" w:type="dxa"/>
              <w:bottom w:w="40" w:type="dxa"/>
              <w:right w:w="20" w:type="dxa"/>
            </w:tcMar>
            <w:vAlign w:val="bottom"/>
          </w:tcPr>
          <w:p w14:paraId="35D0AD2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D2E" w14:textId="77777777" w:rsidR="00D42204" w:rsidRDefault="00D42204">
            <w:pPr>
              <w:rPr>
                <w:rFonts w:ascii="宋体"/>
              </w:rPr>
            </w:pPr>
          </w:p>
        </w:tc>
        <w:tc>
          <w:tcPr>
            <w:tcW w:w="0" w:type="auto"/>
            <w:shd w:val="clear" w:color="auto" w:fill="FFFFFF"/>
            <w:tcMar>
              <w:top w:w="40" w:type="dxa"/>
              <w:left w:w="20" w:type="dxa"/>
              <w:bottom w:w="40" w:type="dxa"/>
              <w:right w:w="0" w:type="dxa"/>
            </w:tcMar>
            <w:vAlign w:val="bottom"/>
          </w:tcPr>
          <w:p w14:paraId="35D0AD2F" w14:textId="77777777" w:rsidR="00D42204" w:rsidRDefault="004E439D">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35D0AD30" w14:textId="77777777" w:rsidR="00D42204" w:rsidRDefault="004E439D">
            <w:pPr>
              <w:jc w:val="right"/>
              <w:textAlignment w:val="bottom"/>
            </w:pPr>
            <w:r>
              <w:rPr>
                <w:rFonts w:ascii="Times New Roman" w:eastAsia="宋体" w:hAnsi="Times New Roman"/>
                <w:color w:val="000000"/>
                <w:sz w:val="16"/>
                <w:szCs w:val="16"/>
              </w:rPr>
              <w:t>15,201 </w:t>
            </w:r>
          </w:p>
        </w:tc>
        <w:tc>
          <w:tcPr>
            <w:tcW w:w="0" w:type="auto"/>
            <w:shd w:val="clear" w:color="auto" w:fill="FFFFFF"/>
            <w:tcMar>
              <w:top w:w="40" w:type="dxa"/>
              <w:left w:w="0" w:type="dxa"/>
              <w:bottom w:w="40" w:type="dxa"/>
              <w:right w:w="20" w:type="dxa"/>
            </w:tcMar>
            <w:vAlign w:val="bottom"/>
          </w:tcPr>
          <w:p w14:paraId="35D0AD31" w14:textId="77777777" w:rsidR="00D42204" w:rsidRDefault="00D42204">
            <w:pPr>
              <w:jc w:val="right"/>
              <w:rPr>
                <w:rFonts w:ascii="宋体"/>
              </w:rPr>
            </w:pPr>
          </w:p>
        </w:tc>
      </w:tr>
      <w:tr w:rsidR="00D42204" w14:paraId="35D0AD3D" w14:textId="77777777">
        <w:trPr>
          <w:jc w:val="center"/>
        </w:trPr>
        <w:tc>
          <w:tcPr>
            <w:tcW w:w="0" w:type="auto"/>
            <w:gridSpan w:val="3"/>
            <w:shd w:val="clear" w:color="auto" w:fill="CCEEFF"/>
            <w:tcMar>
              <w:top w:w="40" w:type="dxa"/>
              <w:left w:w="380" w:type="dxa"/>
              <w:bottom w:w="40" w:type="dxa"/>
              <w:right w:w="20" w:type="dxa"/>
            </w:tcMar>
            <w:vAlign w:val="center"/>
          </w:tcPr>
          <w:p w14:paraId="35D0AD33" w14:textId="77777777" w:rsidR="00D42204" w:rsidRDefault="004E439D">
            <w:pPr>
              <w:textAlignment w:val="center"/>
            </w:pPr>
            <w:r>
              <w:rPr>
                <w:rFonts w:ascii="Times New Roman" w:eastAsia="宋体" w:hAnsi="Times New Roman"/>
                <w:color w:val="000000"/>
                <w:sz w:val="16"/>
                <w:szCs w:val="16"/>
              </w:rPr>
              <w:t>Consolidated net income attributable to noncontrolling interest</w:t>
            </w:r>
          </w:p>
        </w:tc>
        <w:tc>
          <w:tcPr>
            <w:tcW w:w="0" w:type="auto"/>
            <w:gridSpan w:val="3"/>
            <w:shd w:val="clear" w:color="auto" w:fill="CCEEFF"/>
            <w:tcMar>
              <w:top w:w="0" w:type="dxa"/>
              <w:left w:w="20" w:type="dxa"/>
              <w:bottom w:w="0" w:type="dxa"/>
              <w:right w:w="20" w:type="dxa"/>
            </w:tcMar>
            <w:vAlign w:val="bottom"/>
          </w:tcPr>
          <w:p w14:paraId="35D0AD3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D35" w14:textId="77777777" w:rsidR="00D42204" w:rsidRDefault="004E439D">
            <w:pPr>
              <w:jc w:val="right"/>
              <w:textAlignment w:val="center"/>
            </w:pPr>
            <w:r>
              <w:rPr>
                <w:rFonts w:ascii="Times New Roman" w:eastAsia="宋体" w:hAnsi="Times New Roman"/>
                <w:color w:val="000000"/>
                <w:sz w:val="16"/>
                <w:szCs w:val="16"/>
              </w:rPr>
              <w:t>(267)</w:t>
            </w:r>
          </w:p>
        </w:tc>
        <w:tc>
          <w:tcPr>
            <w:tcW w:w="0" w:type="auto"/>
            <w:shd w:val="clear" w:color="auto" w:fill="CCEEFF"/>
            <w:tcMar>
              <w:top w:w="40" w:type="dxa"/>
              <w:left w:w="0" w:type="dxa"/>
              <w:bottom w:w="40" w:type="dxa"/>
              <w:right w:w="20" w:type="dxa"/>
            </w:tcMar>
            <w:vAlign w:val="center"/>
          </w:tcPr>
          <w:p w14:paraId="35D0AD3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D3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D38" w14:textId="77777777" w:rsidR="00D42204" w:rsidRDefault="004E439D">
            <w:pPr>
              <w:jc w:val="right"/>
              <w:textAlignment w:val="center"/>
            </w:pPr>
            <w:r>
              <w:rPr>
                <w:rFonts w:ascii="Times New Roman" w:eastAsia="宋体" w:hAnsi="Times New Roman"/>
                <w:color w:val="000000"/>
                <w:sz w:val="16"/>
                <w:szCs w:val="16"/>
              </w:rPr>
              <w:t>(196)</w:t>
            </w:r>
          </w:p>
        </w:tc>
        <w:tc>
          <w:tcPr>
            <w:tcW w:w="0" w:type="auto"/>
            <w:shd w:val="clear" w:color="auto" w:fill="CCEEFF"/>
            <w:tcMar>
              <w:top w:w="40" w:type="dxa"/>
              <w:left w:w="0" w:type="dxa"/>
              <w:bottom w:w="40" w:type="dxa"/>
              <w:right w:w="20" w:type="dxa"/>
            </w:tcMar>
            <w:vAlign w:val="center"/>
          </w:tcPr>
          <w:p w14:paraId="35D0AD3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D3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D3B" w14:textId="77777777" w:rsidR="00D42204" w:rsidRDefault="004E439D">
            <w:pPr>
              <w:jc w:val="right"/>
              <w:textAlignment w:val="center"/>
            </w:pPr>
            <w:r>
              <w:rPr>
                <w:rFonts w:ascii="Times New Roman" w:eastAsia="宋体" w:hAnsi="Times New Roman"/>
                <w:color w:val="000000"/>
                <w:sz w:val="16"/>
                <w:szCs w:val="16"/>
              </w:rPr>
              <w:t>(320)</w:t>
            </w:r>
          </w:p>
        </w:tc>
        <w:tc>
          <w:tcPr>
            <w:tcW w:w="0" w:type="auto"/>
            <w:shd w:val="clear" w:color="auto" w:fill="CCEEFF"/>
            <w:tcMar>
              <w:top w:w="40" w:type="dxa"/>
              <w:left w:w="0" w:type="dxa"/>
              <w:bottom w:w="40" w:type="dxa"/>
              <w:right w:w="20" w:type="dxa"/>
            </w:tcMar>
            <w:vAlign w:val="center"/>
          </w:tcPr>
          <w:p w14:paraId="35D0AD3C" w14:textId="77777777" w:rsidR="00D42204" w:rsidRDefault="00D42204">
            <w:pPr>
              <w:jc w:val="right"/>
              <w:rPr>
                <w:rFonts w:ascii="宋体"/>
              </w:rPr>
            </w:pPr>
          </w:p>
        </w:tc>
      </w:tr>
      <w:tr w:rsidR="00D42204" w14:paraId="35D0AD4B" w14:textId="77777777">
        <w:trPr>
          <w:jc w:val="center"/>
        </w:trPr>
        <w:tc>
          <w:tcPr>
            <w:tcW w:w="0" w:type="auto"/>
            <w:gridSpan w:val="3"/>
            <w:shd w:val="clear" w:color="auto" w:fill="FFFFFF"/>
            <w:tcMar>
              <w:top w:w="40" w:type="dxa"/>
              <w:left w:w="380" w:type="dxa"/>
              <w:bottom w:w="40" w:type="dxa"/>
              <w:right w:w="20" w:type="dxa"/>
            </w:tcMar>
            <w:vAlign w:val="center"/>
          </w:tcPr>
          <w:p w14:paraId="35D0AD3E" w14:textId="77777777" w:rsidR="00D42204" w:rsidRDefault="004E439D">
            <w:pPr>
              <w:textAlignment w:val="center"/>
            </w:pPr>
            <w:r>
              <w:rPr>
                <w:rFonts w:ascii="Times New Roman" w:eastAsia="宋体" w:hAnsi="Times New Roman"/>
                <w:color w:val="000000"/>
                <w:sz w:val="16"/>
                <w:szCs w:val="16"/>
              </w:rPr>
              <w:t>Consolidated net income attributable to Walmart</w:t>
            </w:r>
          </w:p>
        </w:tc>
        <w:tc>
          <w:tcPr>
            <w:tcW w:w="0" w:type="auto"/>
            <w:gridSpan w:val="3"/>
            <w:shd w:val="clear" w:color="auto" w:fill="FFFFFF"/>
            <w:tcMar>
              <w:top w:w="0" w:type="dxa"/>
              <w:left w:w="20" w:type="dxa"/>
              <w:bottom w:w="0" w:type="dxa"/>
              <w:right w:w="20" w:type="dxa"/>
            </w:tcMar>
            <w:vAlign w:val="bottom"/>
          </w:tcPr>
          <w:p w14:paraId="35D0AD3F" w14:textId="77777777" w:rsidR="00D42204" w:rsidRDefault="00D4220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5D0AD40"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5D0AD41" w14:textId="77777777" w:rsidR="00D42204" w:rsidRDefault="004E439D">
            <w:pPr>
              <w:jc w:val="right"/>
              <w:textAlignment w:val="bottom"/>
            </w:pPr>
            <w:r>
              <w:rPr>
                <w:rFonts w:ascii="Times New Roman" w:eastAsia="宋体" w:hAnsi="Times New Roman"/>
                <w:color w:val="000000"/>
                <w:sz w:val="16"/>
                <w:szCs w:val="16"/>
              </w:rPr>
              <w:t>13,673 </w:t>
            </w:r>
          </w:p>
        </w:tc>
        <w:tc>
          <w:tcPr>
            <w:tcW w:w="0" w:type="auto"/>
            <w:tcBorders>
              <w:top w:val="single" w:sz="8" w:space="0" w:color="000000"/>
            </w:tcBorders>
            <w:shd w:val="clear" w:color="auto" w:fill="FFFFFF"/>
            <w:tcMar>
              <w:top w:w="40" w:type="dxa"/>
              <w:left w:w="0" w:type="dxa"/>
              <w:bottom w:w="40" w:type="dxa"/>
              <w:right w:w="20" w:type="dxa"/>
            </w:tcMar>
            <w:vAlign w:val="bottom"/>
          </w:tcPr>
          <w:p w14:paraId="35D0AD4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D43" w14:textId="77777777" w:rsidR="00D42204" w:rsidRDefault="00D4220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5D0AD44"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5D0AD45" w14:textId="77777777" w:rsidR="00D42204" w:rsidRDefault="004E439D">
            <w:pPr>
              <w:jc w:val="right"/>
              <w:textAlignment w:val="bottom"/>
            </w:pPr>
            <w:r>
              <w:rPr>
                <w:rFonts w:ascii="Times New Roman" w:eastAsia="宋体" w:hAnsi="Times New Roman"/>
                <w:color w:val="000000"/>
                <w:sz w:val="16"/>
                <w:szCs w:val="16"/>
              </w:rPr>
              <w:t>13,510 </w:t>
            </w:r>
          </w:p>
        </w:tc>
        <w:tc>
          <w:tcPr>
            <w:tcW w:w="0" w:type="auto"/>
            <w:tcBorders>
              <w:top w:val="single" w:sz="8" w:space="0" w:color="000000"/>
            </w:tcBorders>
            <w:shd w:val="clear" w:color="auto" w:fill="FFFFFF"/>
            <w:tcMar>
              <w:top w:w="40" w:type="dxa"/>
              <w:left w:w="0" w:type="dxa"/>
              <w:bottom w:w="40" w:type="dxa"/>
              <w:right w:w="20" w:type="dxa"/>
            </w:tcMar>
            <w:vAlign w:val="bottom"/>
          </w:tcPr>
          <w:p w14:paraId="35D0AD4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D47" w14:textId="77777777" w:rsidR="00D42204" w:rsidRDefault="00D4220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35D0AD48"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35D0AD49" w14:textId="77777777" w:rsidR="00D42204" w:rsidRDefault="004E439D">
            <w:pPr>
              <w:jc w:val="right"/>
              <w:textAlignment w:val="bottom"/>
            </w:pPr>
            <w:r>
              <w:rPr>
                <w:rFonts w:ascii="Times New Roman" w:eastAsia="宋体" w:hAnsi="Times New Roman"/>
                <w:color w:val="000000"/>
                <w:sz w:val="16"/>
                <w:szCs w:val="16"/>
              </w:rPr>
              <w:t>14,881 </w:t>
            </w:r>
          </w:p>
        </w:tc>
        <w:tc>
          <w:tcPr>
            <w:tcW w:w="0" w:type="auto"/>
            <w:tcBorders>
              <w:top w:val="single" w:sz="8" w:space="0" w:color="000000"/>
            </w:tcBorders>
            <w:shd w:val="clear" w:color="auto" w:fill="FFFFFF"/>
            <w:tcMar>
              <w:top w:w="40" w:type="dxa"/>
              <w:left w:w="0" w:type="dxa"/>
              <w:bottom w:w="40" w:type="dxa"/>
              <w:right w:w="20" w:type="dxa"/>
            </w:tcMar>
            <w:vAlign w:val="bottom"/>
          </w:tcPr>
          <w:p w14:paraId="35D0AD4A" w14:textId="77777777" w:rsidR="00D42204" w:rsidRDefault="00D42204">
            <w:pPr>
              <w:jc w:val="right"/>
              <w:rPr>
                <w:rFonts w:ascii="宋体"/>
              </w:rPr>
            </w:pPr>
          </w:p>
        </w:tc>
      </w:tr>
      <w:tr w:rsidR="00D42204" w14:paraId="35D0AD53" w14:textId="77777777">
        <w:trPr>
          <w:trHeight w:val="220"/>
          <w:jc w:val="center"/>
        </w:trPr>
        <w:tc>
          <w:tcPr>
            <w:tcW w:w="0" w:type="auto"/>
            <w:gridSpan w:val="3"/>
            <w:shd w:val="clear" w:color="auto" w:fill="CCEEFF"/>
            <w:tcMar>
              <w:top w:w="0" w:type="dxa"/>
              <w:left w:w="20" w:type="dxa"/>
              <w:bottom w:w="0" w:type="dxa"/>
              <w:right w:w="20" w:type="dxa"/>
            </w:tcMar>
            <w:vAlign w:val="bottom"/>
          </w:tcPr>
          <w:p w14:paraId="35D0AD4C"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D4D" w14:textId="77777777" w:rsidR="00D42204" w:rsidRDefault="00D4220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5D0AD4E"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D4F" w14:textId="77777777" w:rsidR="00D42204" w:rsidRDefault="00D4220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5D0AD50"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D51" w14:textId="77777777" w:rsidR="00D42204" w:rsidRDefault="00D4220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5D0AD52" w14:textId="77777777" w:rsidR="00D42204" w:rsidRDefault="00D42204">
            <w:pPr>
              <w:rPr>
                <w:rFonts w:ascii="宋体"/>
              </w:rPr>
            </w:pPr>
          </w:p>
        </w:tc>
      </w:tr>
      <w:tr w:rsidR="00D42204" w14:paraId="35D0AD5B" w14:textId="77777777">
        <w:trPr>
          <w:jc w:val="center"/>
        </w:trPr>
        <w:tc>
          <w:tcPr>
            <w:tcW w:w="0" w:type="auto"/>
            <w:gridSpan w:val="3"/>
            <w:shd w:val="clear" w:color="auto" w:fill="FFFFFF"/>
            <w:tcMar>
              <w:top w:w="40" w:type="dxa"/>
              <w:left w:w="20" w:type="dxa"/>
              <w:bottom w:w="40" w:type="dxa"/>
              <w:right w:w="20" w:type="dxa"/>
            </w:tcMar>
            <w:vAlign w:val="center"/>
          </w:tcPr>
          <w:p w14:paraId="35D0AD54" w14:textId="77777777" w:rsidR="00D42204" w:rsidRDefault="004E439D">
            <w:pPr>
              <w:textAlignment w:val="center"/>
            </w:pPr>
            <w:r>
              <w:rPr>
                <w:rFonts w:ascii="Times New Roman" w:eastAsia="宋体" w:hAnsi="Times New Roman"/>
                <w:b/>
                <w:bCs/>
                <w:color w:val="000000"/>
                <w:sz w:val="16"/>
                <w:szCs w:val="16"/>
              </w:rPr>
              <w:t>Denominator</w:t>
            </w:r>
          </w:p>
        </w:tc>
        <w:tc>
          <w:tcPr>
            <w:tcW w:w="0" w:type="auto"/>
            <w:gridSpan w:val="3"/>
            <w:shd w:val="clear" w:color="auto" w:fill="FFFFFF"/>
            <w:tcMar>
              <w:top w:w="0" w:type="dxa"/>
              <w:left w:w="20" w:type="dxa"/>
              <w:bottom w:w="0" w:type="dxa"/>
              <w:right w:w="20" w:type="dxa"/>
            </w:tcMar>
            <w:vAlign w:val="bottom"/>
          </w:tcPr>
          <w:p w14:paraId="35D0AD55"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D56"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D57"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D58"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D59"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D5A" w14:textId="77777777" w:rsidR="00D42204" w:rsidRDefault="00D42204">
            <w:pPr>
              <w:rPr>
                <w:rFonts w:ascii="宋体"/>
              </w:rPr>
            </w:pPr>
          </w:p>
        </w:tc>
      </w:tr>
      <w:tr w:rsidR="00D42204" w14:paraId="35D0AD66" w14:textId="77777777">
        <w:trPr>
          <w:jc w:val="center"/>
        </w:trPr>
        <w:tc>
          <w:tcPr>
            <w:tcW w:w="0" w:type="auto"/>
            <w:gridSpan w:val="3"/>
            <w:shd w:val="clear" w:color="auto" w:fill="CCEEFF"/>
            <w:tcMar>
              <w:top w:w="40" w:type="dxa"/>
              <w:left w:w="380" w:type="dxa"/>
              <w:bottom w:w="40" w:type="dxa"/>
              <w:right w:w="20" w:type="dxa"/>
            </w:tcMar>
            <w:vAlign w:val="center"/>
          </w:tcPr>
          <w:p w14:paraId="35D0AD5C" w14:textId="77777777" w:rsidR="00D42204" w:rsidRDefault="004E439D">
            <w:pPr>
              <w:textAlignment w:val="center"/>
            </w:pPr>
            <w:r>
              <w:rPr>
                <w:rFonts w:ascii="Times New Roman" w:eastAsia="宋体" w:hAnsi="Times New Roman"/>
                <w:color w:val="000000"/>
                <w:sz w:val="16"/>
                <w:szCs w:val="16"/>
              </w:rPr>
              <w:t>Weighted-average common shares outstanding, basic</w:t>
            </w:r>
          </w:p>
        </w:tc>
        <w:tc>
          <w:tcPr>
            <w:tcW w:w="0" w:type="auto"/>
            <w:gridSpan w:val="3"/>
            <w:shd w:val="clear" w:color="auto" w:fill="CCEEFF"/>
            <w:tcMar>
              <w:top w:w="0" w:type="dxa"/>
              <w:left w:w="20" w:type="dxa"/>
              <w:bottom w:w="0" w:type="dxa"/>
              <w:right w:w="20" w:type="dxa"/>
            </w:tcMar>
            <w:vAlign w:val="bottom"/>
          </w:tcPr>
          <w:p w14:paraId="35D0AD5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D5E" w14:textId="77777777" w:rsidR="00D42204" w:rsidRDefault="004E439D">
            <w:pPr>
              <w:jc w:val="right"/>
              <w:textAlignment w:val="center"/>
            </w:pPr>
            <w:r>
              <w:rPr>
                <w:rFonts w:ascii="Times New Roman" w:eastAsia="宋体" w:hAnsi="Times New Roman"/>
                <w:color w:val="000000"/>
                <w:sz w:val="16"/>
                <w:szCs w:val="16"/>
              </w:rPr>
              <w:t>2,792 </w:t>
            </w:r>
          </w:p>
        </w:tc>
        <w:tc>
          <w:tcPr>
            <w:tcW w:w="0" w:type="auto"/>
            <w:shd w:val="clear" w:color="auto" w:fill="CCEEFF"/>
            <w:tcMar>
              <w:top w:w="40" w:type="dxa"/>
              <w:left w:w="0" w:type="dxa"/>
              <w:bottom w:w="40" w:type="dxa"/>
              <w:right w:w="20" w:type="dxa"/>
            </w:tcMar>
            <w:vAlign w:val="center"/>
          </w:tcPr>
          <w:p w14:paraId="35D0AD5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D6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D61" w14:textId="77777777" w:rsidR="00D42204" w:rsidRDefault="004E439D">
            <w:pPr>
              <w:jc w:val="right"/>
              <w:textAlignment w:val="center"/>
            </w:pPr>
            <w:r>
              <w:rPr>
                <w:rFonts w:ascii="Times New Roman" w:eastAsia="宋体" w:hAnsi="Times New Roman"/>
                <w:color w:val="000000"/>
                <w:sz w:val="16"/>
                <w:szCs w:val="16"/>
              </w:rPr>
              <w:t>2,831 </w:t>
            </w:r>
          </w:p>
        </w:tc>
        <w:tc>
          <w:tcPr>
            <w:tcW w:w="0" w:type="auto"/>
            <w:shd w:val="clear" w:color="auto" w:fill="CCEEFF"/>
            <w:tcMar>
              <w:top w:w="40" w:type="dxa"/>
              <w:left w:w="0" w:type="dxa"/>
              <w:bottom w:w="40" w:type="dxa"/>
              <w:right w:w="20" w:type="dxa"/>
            </w:tcMar>
            <w:vAlign w:val="center"/>
          </w:tcPr>
          <w:p w14:paraId="35D0AD6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D6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D64" w14:textId="77777777" w:rsidR="00D42204" w:rsidRDefault="004E439D">
            <w:pPr>
              <w:jc w:val="right"/>
              <w:textAlignment w:val="center"/>
            </w:pPr>
            <w:r>
              <w:rPr>
                <w:rFonts w:ascii="Times New Roman" w:eastAsia="宋体" w:hAnsi="Times New Roman"/>
                <w:color w:val="000000"/>
                <w:sz w:val="16"/>
                <w:szCs w:val="16"/>
              </w:rPr>
              <w:t>2,850 </w:t>
            </w:r>
          </w:p>
        </w:tc>
        <w:tc>
          <w:tcPr>
            <w:tcW w:w="0" w:type="auto"/>
            <w:shd w:val="clear" w:color="auto" w:fill="CCEEFF"/>
            <w:tcMar>
              <w:top w:w="40" w:type="dxa"/>
              <w:left w:w="0" w:type="dxa"/>
              <w:bottom w:w="40" w:type="dxa"/>
              <w:right w:w="20" w:type="dxa"/>
            </w:tcMar>
            <w:vAlign w:val="center"/>
          </w:tcPr>
          <w:p w14:paraId="35D0AD65" w14:textId="77777777" w:rsidR="00D42204" w:rsidRDefault="00D42204">
            <w:pPr>
              <w:jc w:val="right"/>
              <w:rPr>
                <w:rFonts w:ascii="宋体"/>
              </w:rPr>
            </w:pPr>
          </w:p>
        </w:tc>
      </w:tr>
      <w:tr w:rsidR="00D42204" w14:paraId="35D0AD71" w14:textId="77777777">
        <w:trPr>
          <w:jc w:val="center"/>
        </w:trPr>
        <w:tc>
          <w:tcPr>
            <w:tcW w:w="0" w:type="auto"/>
            <w:gridSpan w:val="3"/>
            <w:shd w:val="clear" w:color="auto" w:fill="FFFFFF"/>
            <w:tcMar>
              <w:top w:w="40" w:type="dxa"/>
              <w:left w:w="380" w:type="dxa"/>
              <w:bottom w:w="40" w:type="dxa"/>
              <w:right w:w="20" w:type="dxa"/>
            </w:tcMar>
            <w:vAlign w:val="center"/>
          </w:tcPr>
          <w:p w14:paraId="35D0AD67" w14:textId="77777777" w:rsidR="00D42204" w:rsidRDefault="004E439D">
            <w:pPr>
              <w:textAlignment w:val="center"/>
            </w:pPr>
            <w:r>
              <w:rPr>
                <w:rFonts w:ascii="Times New Roman" w:eastAsia="宋体" w:hAnsi="Times New Roman"/>
                <w:color w:val="000000"/>
                <w:sz w:val="16"/>
                <w:szCs w:val="16"/>
              </w:rPr>
              <w:t>Dilutive impact of stock options and other share-based awards</w:t>
            </w:r>
          </w:p>
        </w:tc>
        <w:tc>
          <w:tcPr>
            <w:tcW w:w="0" w:type="auto"/>
            <w:gridSpan w:val="3"/>
            <w:shd w:val="clear" w:color="auto" w:fill="FFFFFF"/>
            <w:tcMar>
              <w:top w:w="0" w:type="dxa"/>
              <w:left w:w="20" w:type="dxa"/>
              <w:bottom w:w="0" w:type="dxa"/>
              <w:right w:w="20" w:type="dxa"/>
            </w:tcMar>
            <w:vAlign w:val="bottom"/>
          </w:tcPr>
          <w:p w14:paraId="35D0AD6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AD69" w14:textId="77777777" w:rsidR="00D42204" w:rsidRDefault="004E439D">
            <w:pPr>
              <w:jc w:val="right"/>
              <w:textAlignment w:val="bottom"/>
            </w:pPr>
            <w:r>
              <w:rPr>
                <w:rFonts w:ascii="Times New Roman" w:eastAsia="宋体" w:hAnsi="Times New Roman"/>
                <w:color w:val="000000"/>
                <w:sz w:val="16"/>
                <w:szCs w:val="16"/>
              </w:rPr>
              <w:t>13 </w:t>
            </w:r>
          </w:p>
        </w:tc>
        <w:tc>
          <w:tcPr>
            <w:tcW w:w="0" w:type="auto"/>
            <w:shd w:val="clear" w:color="auto" w:fill="FFFFFF"/>
            <w:tcMar>
              <w:top w:w="40" w:type="dxa"/>
              <w:left w:w="0" w:type="dxa"/>
              <w:bottom w:w="40" w:type="dxa"/>
              <w:right w:w="20" w:type="dxa"/>
            </w:tcMar>
            <w:vAlign w:val="bottom"/>
          </w:tcPr>
          <w:p w14:paraId="35D0AD6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D6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AD6C" w14:textId="77777777" w:rsidR="00D42204" w:rsidRDefault="004E439D">
            <w:pPr>
              <w:jc w:val="right"/>
              <w:textAlignment w:val="bottom"/>
            </w:pPr>
            <w:r>
              <w:rPr>
                <w:rFonts w:ascii="Times New Roman" w:eastAsia="宋体" w:hAnsi="Times New Roman"/>
                <w:color w:val="000000"/>
                <w:sz w:val="16"/>
                <w:szCs w:val="16"/>
              </w:rPr>
              <w:t>16 </w:t>
            </w:r>
          </w:p>
        </w:tc>
        <w:tc>
          <w:tcPr>
            <w:tcW w:w="0" w:type="auto"/>
            <w:shd w:val="clear" w:color="auto" w:fill="FFFFFF"/>
            <w:tcMar>
              <w:top w:w="40" w:type="dxa"/>
              <w:left w:w="0" w:type="dxa"/>
              <w:bottom w:w="40" w:type="dxa"/>
              <w:right w:w="20" w:type="dxa"/>
            </w:tcMar>
            <w:vAlign w:val="bottom"/>
          </w:tcPr>
          <w:p w14:paraId="35D0AD6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D6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AD6F" w14:textId="77777777" w:rsidR="00D42204" w:rsidRDefault="004E439D">
            <w:pPr>
              <w:jc w:val="right"/>
              <w:textAlignment w:val="bottom"/>
            </w:pPr>
            <w:r>
              <w:rPr>
                <w:rFonts w:ascii="Times New Roman" w:eastAsia="宋体" w:hAnsi="Times New Roman"/>
                <w:color w:val="000000"/>
                <w:sz w:val="16"/>
                <w:szCs w:val="16"/>
              </w:rPr>
              <w:t>18 </w:t>
            </w:r>
          </w:p>
        </w:tc>
        <w:tc>
          <w:tcPr>
            <w:tcW w:w="0" w:type="auto"/>
            <w:shd w:val="clear" w:color="auto" w:fill="FFFFFF"/>
            <w:tcMar>
              <w:top w:w="40" w:type="dxa"/>
              <w:left w:w="0" w:type="dxa"/>
              <w:bottom w:w="40" w:type="dxa"/>
              <w:right w:w="20" w:type="dxa"/>
            </w:tcMar>
            <w:vAlign w:val="bottom"/>
          </w:tcPr>
          <w:p w14:paraId="35D0AD70" w14:textId="77777777" w:rsidR="00D42204" w:rsidRDefault="00D42204">
            <w:pPr>
              <w:jc w:val="right"/>
              <w:rPr>
                <w:rFonts w:ascii="宋体"/>
              </w:rPr>
            </w:pPr>
          </w:p>
        </w:tc>
      </w:tr>
      <w:tr w:rsidR="00D42204" w14:paraId="35D0AD7C" w14:textId="77777777">
        <w:trPr>
          <w:jc w:val="center"/>
        </w:trPr>
        <w:tc>
          <w:tcPr>
            <w:tcW w:w="0" w:type="auto"/>
            <w:gridSpan w:val="3"/>
            <w:shd w:val="clear" w:color="auto" w:fill="CCEEFF"/>
            <w:tcMar>
              <w:top w:w="40" w:type="dxa"/>
              <w:left w:w="380" w:type="dxa"/>
              <w:bottom w:w="40" w:type="dxa"/>
              <w:right w:w="20" w:type="dxa"/>
            </w:tcMar>
            <w:vAlign w:val="center"/>
          </w:tcPr>
          <w:p w14:paraId="35D0AD72" w14:textId="77777777" w:rsidR="00D42204" w:rsidRDefault="004E439D">
            <w:pPr>
              <w:textAlignment w:val="center"/>
            </w:pPr>
            <w:r>
              <w:rPr>
                <w:rFonts w:ascii="Times New Roman" w:eastAsia="宋体" w:hAnsi="Times New Roman"/>
                <w:color w:val="000000"/>
                <w:sz w:val="16"/>
                <w:szCs w:val="16"/>
              </w:rPr>
              <w:t>Weighted-average common shares outstanding, diluted</w:t>
            </w:r>
          </w:p>
        </w:tc>
        <w:tc>
          <w:tcPr>
            <w:tcW w:w="0" w:type="auto"/>
            <w:gridSpan w:val="3"/>
            <w:shd w:val="clear" w:color="auto" w:fill="CCEEFF"/>
            <w:tcMar>
              <w:top w:w="0" w:type="dxa"/>
              <w:left w:w="20" w:type="dxa"/>
              <w:bottom w:w="0" w:type="dxa"/>
              <w:right w:w="20" w:type="dxa"/>
            </w:tcMar>
            <w:vAlign w:val="bottom"/>
          </w:tcPr>
          <w:p w14:paraId="35D0AD73"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D74" w14:textId="77777777" w:rsidR="00D42204" w:rsidRDefault="004E439D">
            <w:pPr>
              <w:jc w:val="right"/>
              <w:textAlignment w:val="center"/>
            </w:pPr>
            <w:r>
              <w:rPr>
                <w:rFonts w:ascii="Times New Roman" w:eastAsia="宋体" w:hAnsi="Times New Roman"/>
                <w:color w:val="000000"/>
                <w:sz w:val="16"/>
                <w:szCs w:val="16"/>
              </w:rPr>
              <w:t>2,805 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D7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D76"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D77" w14:textId="77777777" w:rsidR="00D42204" w:rsidRDefault="004E439D">
            <w:pPr>
              <w:jc w:val="right"/>
              <w:textAlignment w:val="center"/>
            </w:pPr>
            <w:r>
              <w:rPr>
                <w:rFonts w:ascii="Times New Roman" w:eastAsia="宋体" w:hAnsi="Times New Roman"/>
                <w:color w:val="000000"/>
                <w:sz w:val="16"/>
                <w:szCs w:val="16"/>
              </w:rPr>
              <w:t>2,847 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D7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D79"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D7A" w14:textId="77777777" w:rsidR="00D42204" w:rsidRDefault="004E439D">
            <w:pPr>
              <w:jc w:val="right"/>
              <w:textAlignment w:val="center"/>
            </w:pPr>
            <w:r>
              <w:rPr>
                <w:rFonts w:ascii="Times New Roman" w:eastAsia="宋体" w:hAnsi="Times New Roman"/>
                <w:color w:val="000000"/>
                <w:sz w:val="16"/>
                <w:szCs w:val="16"/>
              </w:rPr>
              <w:t>2,868 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D7B" w14:textId="77777777" w:rsidR="00D42204" w:rsidRDefault="00D42204">
            <w:pPr>
              <w:jc w:val="right"/>
              <w:rPr>
                <w:rFonts w:ascii="宋体"/>
              </w:rPr>
            </w:pPr>
          </w:p>
        </w:tc>
      </w:tr>
      <w:tr w:rsidR="00D42204" w14:paraId="35D0AD84" w14:textId="77777777">
        <w:trPr>
          <w:trHeight w:val="220"/>
          <w:jc w:val="center"/>
        </w:trPr>
        <w:tc>
          <w:tcPr>
            <w:tcW w:w="0" w:type="auto"/>
            <w:gridSpan w:val="3"/>
            <w:shd w:val="clear" w:color="auto" w:fill="FFFFFF"/>
            <w:tcMar>
              <w:top w:w="0" w:type="dxa"/>
              <w:left w:w="20" w:type="dxa"/>
              <w:bottom w:w="0" w:type="dxa"/>
              <w:right w:w="20" w:type="dxa"/>
            </w:tcMar>
            <w:vAlign w:val="bottom"/>
          </w:tcPr>
          <w:p w14:paraId="35D0AD7D"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D7E" w14:textId="77777777" w:rsidR="00D42204" w:rsidRDefault="00D4220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D0AD7F"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D80" w14:textId="77777777" w:rsidR="00D42204" w:rsidRDefault="00D4220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D0AD81"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AD82" w14:textId="77777777" w:rsidR="00D42204" w:rsidRDefault="00D4220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D0AD83" w14:textId="77777777" w:rsidR="00D42204" w:rsidRDefault="00D42204">
            <w:pPr>
              <w:rPr>
                <w:rFonts w:ascii="宋体"/>
              </w:rPr>
            </w:pPr>
          </w:p>
        </w:tc>
      </w:tr>
      <w:tr w:rsidR="00D42204" w14:paraId="35D0AD8C" w14:textId="77777777">
        <w:trPr>
          <w:jc w:val="center"/>
        </w:trPr>
        <w:tc>
          <w:tcPr>
            <w:tcW w:w="0" w:type="auto"/>
            <w:gridSpan w:val="3"/>
            <w:shd w:val="clear" w:color="auto" w:fill="CCEEFF"/>
            <w:tcMar>
              <w:top w:w="40" w:type="dxa"/>
              <w:left w:w="20" w:type="dxa"/>
              <w:bottom w:w="40" w:type="dxa"/>
              <w:right w:w="20" w:type="dxa"/>
            </w:tcMar>
            <w:vAlign w:val="center"/>
          </w:tcPr>
          <w:p w14:paraId="35D0AD85" w14:textId="77777777" w:rsidR="00D42204" w:rsidRDefault="004E439D">
            <w:pPr>
              <w:textAlignment w:val="center"/>
            </w:pPr>
            <w:r>
              <w:rPr>
                <w:rFonts w:ascii="Times New Roman" w:eastAsia="宋体" w:hAnsi="Times New Roman"/>
                <w:b/>
                <w:bCs/>
                <w:color w:val="000000"/>
                <w:sz w:val="16"/>
                <w:szCs w:val="16"/>
              </w:rPr>
              <w:t>Net income per common share attributable to Walmart</w:t>
            </w:r>
          </w:p>
        </w:tc>
        <w:tc>
          <w:tcPr>
            <w:tcW w:w="0" w:type="auto"/>
            <w:gridSpan w:val="3"/>
            <w:shd w:val="clear" w:color="auto" w:fill="CCEEFF"/>
            <w:tcMar>
              <w:top w:w="0" w:type="dxa"/>
              <w:left w:w="20" w:type="dxa"/>
              <w:bottom w:w="0" w:type="dxa"/>
              <w:right w:w="20" w:type="dxa"/>
            </w:tcMar>
            <w:vAlign w:val="bottom"/>
          </w:tcPr>
          <w:p w14:paraId="35D0AD86"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D87"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D8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D89"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D8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AD8B" w14:textId="77777777" w:rsidR="00D42204" w:rsidRDefault="00D42204">
            <w:pPr>
              <w:rPr>
                <w:rFonts w:ascii="宋体"/>
              </w:rPr>
            </w:pPr>
          </w:p>
        </w:tc>
      </w:tr>
      <w:tr w:rsidR="00D42204" w14:paraId="35D0AD9A" w14:textId="77777777">
        <w:trPr>
          <w:jc w:val="center"/>
        </w:trPr>
        <w:tc>
          <w:tcPr>
            <w:tcW w:w="0" w:type="auto"/>
            <w:gridSpan w:val="3"/>
            <w:shd w:val="clear" w:color="auto" w:fill="FFFFFF"/>
            <w:tcMar>
              <w:top w:w="40" w:type="dxa"/>
              <w:left w:w="380" w:type="dxa"/>
              <w:bottom w:w="40" w:type="dxa"/>
              <w:right w:w="20" w:type="dxa"/>
            </w:tcMar>
            <w:vAlign w:val="center"/>
          </w:tcPr>
          <w:p w14:paraId="35D0AD8D" w14:textId="77777777" w:rsidR="00D42204" w:rsidRDefault="004E439D">
            <w:pPr>
              <w:textAlignment w:val="center"/>
            </w:pPr>
            <w:r>
              <w:rPr>
                <w:rFonts w:ascii="Times New Roman" w:eastAsia="宋体" w:hAnsi="Times New Roman"/>
                <w:color w:val="000000"/>
                <w:sz w:val="16"/>
                <w:szCs w:val="16"/>
              </w:rPr>
              <w:t>Basic</w:t>
            </w:r>
          </w:p>
        </w:tc>
        <w:tc>
          <w:tcPr>
            <w:tcW w:w="0" w:type="auto"/>
            <w:gridSpan w:val="3"/>
            <w:shd w:val="clear" w:color="auto" w:fill="FFFFFF"/>
            <w:tcMar>
              <w:top w:w="0" w:type="dxa"/>
              <w:left w:w="20" w:type="dxa"/>
              <w:bottom w:w="0" w:type="dxa"/>
              <w:right w:w="20" w:type="dxa"/>
            </w:tcMar>
            <w:vAlign w:val="bottom"/>
          </w:tcPr>
          <w:p w14:paraId="35D0AD8E" w14:textId="77777777" w:rsidR="00D42204" w:rsidRDefault="00D42204">
            <w:pPr>
              <w:rPr>
                <w:rFonts w:ascii="宋体"/>
              </w:rPr>
            </w:pPr>
          </w:p>
        </w:tc>
        <w:tc>
          <w:tcPr>
            <w:tcW w:w="0" w:type="auto"/>
            <w:shd w:val="clear" w:color="auto" w:fill="FFFFFF"/>
            <w:tcMar>
              <w:top w:w="40" w:type="dxa"/>
              <w:left w:w="20" w:type="dxa"/>
              <w:bottom w:w="40" w:type="dxa"/>
              <w:right w:w="0" w:type="dxa"/>
            </w:tcMar>
            <w:vAlign w:val="bottom"/>
          </w:tcPr>
          <w:p w14:paraId="35D0AD8F" w14:textId="77777777" w:rsidR="00D42204" w:rsidRDefault="004E439D">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35D0AD90" w14:textId="77777777" w:rsidR="00D42204" w:rsidRDefault="004E439D">
            <w:pPr>
              <w:jc w:val="right"/>
              <w:textAlignment w:val="bottom"/>
            </w:pPr>
            <w:r>
              <w:rPr>
                <w:rFonts w:ascii="Times New Roman" w:eastAsia="宋体" w:hAnsi="Times New Roman"/>
                <w:color w:val="000000"/>
                <w:sz w:val="16"/>
                <w:szCs w:val="16"/>
              </w:rPr>
              <w:t>4.90 </w:t>
            </w:r>
          </w:p>
        </w:tc>
        <w:tc>
          <w:tcPr>
            <w:tcW w:w="0" w:type="auto"/>
            <w:shd w:val="clear" w:color="auto" w:fill="FFFFFF"/>
            <w:tcMar>
              <w:top w:w="40" w:type="dxa"/>
              <w:left w:w="0" w:type="dxa"/>
              <w:bottom w:w="40" w:type="dxa"/>
              <w:right w:w="20" w:type="dxa"/>
            </w:tcMar>
            <w:vAlign w:val="bottom"/>
          </w:tcPr>
          <w:p w14:paraId="35D0AD9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D92" w14:textId="77777777" w:rsidR="00D42204" w:rsidRDefault="00D42204">
            <w:pPr>
              <w:rPr>
                <w:rFonts w:ascii="宋体"/>
              </w:rPr>
            </w:pPr>
          </w:p>
        </w:tc>
        <w:tc>
          <w:tcPr>
            <w:tcW w:w="0" w:type="auto"/>
            <w:shd w:val="clear" w:color="auto" w:fill="FFFFFF"/>
            <w:tcMar>
              <w:top w:w="40" w:type="dxa"/>
              <w:left w:w="20" w:type="dxa"/>
              <w:bottom w:w="40" w:type="dxa"/>
              <w:right w:w="0" w:type="dxa"/>
            </w:tcMar>
            <w:vAlign w:val="bottom"/>
          </w:tcPr>
          <w:p w14:paraId="35D0AD93" w14:textId="77777777" w:rsidR="00D42204" w:rsidRDefault="004E439D">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35D0AD94" w14:textId="77777777" w:rsidR="00D42204" w:rsidRDefault="004E439D">
            <w:pPr>
              <w:jc w:val="right"/>
              <w:textAlignment w:val="bottom"/>
            </w:pPr>
            <w:r>
              <w:rPr>
                <w:rFonts w:ascii="Times New Roman" w:eastAsia="宋体" w:hAnsi="Times New Roman"/>
                <w:color w:val="000000"/>
                <w:sz w:val="16"/>
                <w:szCs w:val="16"/>
              </w:rPr>
              <w:t>4.77 </w:t>
            </w:r>
          </w:p>
        </w:tc>
        <w:tc>
          <w:tcPr>
            <w:tcW w:w="0" w:type="auto"/>
            <w:shd w:val="clear" w:color="auto" w:fill="FFFFFF"/>
            <w:tcMar>
              <w:top w:w="40" w:type="dxa"/>
              <w:left w:w="0" w:type="dxa"/>
              <w:bottom w:w="40" w:type="dxa"/>
              <w:right w:w="20" w:type="dxa"/>
            </w:tcMar>
            <w:vAlign w:val="bottom"/>
          </w:tcPr>
          <w:p w14:paraId="35D0AD9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D96" w14:textId="77777777" w:rsidR="00D42204" w:rsidRDefault="00D42204">
            <w:pPr>
              <w:rPr>
                <w:rFonts w:ascii="宋体"/>
              </w:rPr>
            </w:pPr>
          </w:p>
        </w:tc>
        <w:tc>
          <w:tcPr>
            <w:tcW w:w="0" w:type="auto"/>
            <w:shd w:val="clear" w:color="auto" w:fill="FFFFFF"/>
            <w:tcMar>
              <w:top w:w="40" w:type="dxa"/>
              <w:left w:w="20" w:type="dxa"/>
              <w:bottom w:w="40" w:type="dxa"/>
              <w:right w:w="0" w:type="dxa"/>
            </w:tcMar>
            <w:vAlign w:val="bottom"/>
          </w:tcPr>
          <w:p w14:paraId="35D0AD97" w14:textId="77777777" w:rsidR="00D42204" w:rsidRDefault="004E439D">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35D0AD98" w14:textId="77777777" w:rsidR="00D42204" w:rsidRDefault="004E439D">
            <w:pPr>
              <w:jc w:val="right"/>
              <w:textAlignment w:val="bottom"/>
            </w:pPr>
            <w:r>
              <w:rPr>
                <w:rFonts w:ascii="Times New Roman" w:eastAsia="宋体" w:hAnsi="Times New Roman"/>
                <w:color w:val="000000"/>
                <w:sz w:val="16"/>
                <w:szCs w:val="16"/>
              </w:rPr>
              <w:t>5.22 </w:t>
            </w:r>
          </w:p>
        </w:tc>
        <w:tc>
          <w:tcPr>
            <w:tcW w:w="0" w:type="auto"/>
            <w:shd w:val="clear" w:color="auto" w:fill="FFFFFF"/>
            <w:tcMar>
              <w:top w:w="40" w:type="dxa"/>
              <w:left w:w="0" w:type="dxa"/>
              <w:bottom w:w="40" w:type="dxa"/>
              <w:right w:w="20" w:type="dxa"/>
            </w:tcMar>
            <w:vAlign w:val="bottom"/>
          </w:tcPr>
          <w:p w14:paraId="35D0AD99" w14:textId="77777777" w:rsidR="00D42204" w:rsidRDefault="00D42204">
            <w:pPr>
              <w:jc w:val="right"/>
              <w:rPr>
                <w:rFonts w:ascii="宋体"/>
              </w:rPr>
            </w:pPr>
          </w:p>
        </w:tc>
      </w:tr>
      <w:tr w:rsidR="00D42204" w14:paraId="35D0ADA5" w14:textId="77777777">
        <w:trPr>
          <w:jc w:val="center"/>
        </w:trPr>
        <w:tc>
          <w:tcPr>
            <w:tcW w:w="0" w:type="auto"/>
            <w:gridSpan w:val="3"/>
            <w:shd w:val="clear" w:color="auto" w:fill="CCEEFF"/>
            <w:tcMar>
              <w:top w:w="40" w:type="dxa"/>
              <w:left w:w="380" w:type="dxa"/>
              <w:bottom w:w="40" w:type="dxa"/>
              <w:right w:w="20" w:type="dxa"/>
            </w:tcMar>
            <w:vAlign w:val="center"/>
          </w:tcPr>
          <w:p w14:paraId="35D0AD9B" w14:textId="77777777" w:rsidR="00D42204" w:rsidRDefault="004E439D">
            <w:pPr>
              <w:textAlignment w:val="center"/>
            </w:pPr>
            <w:r>
              <w:rPr>
                <w:rFonts w:ascii="Times New Roman" w:eastAsia="宋体" w:hAnsi="Times New Roman"/>
                <w:color w:val="000000"/>
                <w:sz w:val="16"/>
                <w:szCs w:val="16"/>
              </w:rPr>
              <w:t>Diluted</w:t>
            </w:r>
          </w:p>
        </w:tc>
        <w:tc>
          <w:tcPr>
            <w:tcW w:w="0" w:type="auto"/>
            <w:gridSpan w:val="3"/>
            <w:shd w:val="clear" w:color="auto" w:fill="CCEEFF"/>
            <w:tcMar>
              <w:top w:w="0" w:type="dxa"/>
              <w:left w:w="20" w:type="dxa"/>
              <w:bottom w:w="0" w:type="dxa"/>
              <w:right w:w="20" w:type="dxa"/>
            </w:tcMar>
            <w:vAlign w:val="bottom"/>
          </w:tcPr>
          <w:p w14:paraId="35D0AD9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D9D" w14:textId="77777777" w:rsidR="00D42204" w:rsidRDefault="004E439D">
            <w:pPr>
              <w:jc w:val="right"/>
              <w:textAlignment w:val="bottom"/>
            </w:pPr>
            <w:r>
              <w:rPr>
                <w:rFonts w:ascii="Times New Roman" w:eastAsia="宋体" w:hAnsi="Times New Roman"/>
                <w:color w:val="000000"/>
                <w:sz w:val="16"/>
                <w:szCs w:val="16"/>
              </w:rPr>
              <w:t>4.87 </w:t>
            </w:r>
          </w:p>
        </w:tc>
        <w:tc>
          <w:tcPr>
            <w:tcW w:w="0" w:type="auto"/>
            <w:shd w:val="clear" w:color="auto" w:fill="CCEEFF"/>
            <w:tcMar>
              <w:top w:w="40" w:type="dxa"/>
              <w:left w:w="0" w:type="dxa"/>
              <w:bottom w:w="40" w:type="dxa"/>
              <w:right w:w="20" w:type="dxa"/>
            </w:tcMar>
            <w:vAlign w:val="bottom"/>
          </w:tcPr>
          <w:p w14:paraId="35D0AD9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D9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DA0" w14:textId="77777777" w:rsidR="00D42204" w:rsidRDefault="004E439D">
            <w:pPr>
              <w:jc w:val="right"/>
              <w:textAlignment w:val="bottom"/>
            </w:pPr>
            <w:r>
              <w:rPr>
                <w:rFonts w:ascii="Times New Roman" w:eastAsia="宋体" w:hAnsi="Times New Roman"/>
                <w:color w:val="000000"/>
                <w:sz w:val="16"/>
                <w:szCs w:val="16"/>
              </w:rPr>
              <w:t>4.75 </w:t>
            </w:r>
          </w:p>
        </w:tc>
        <w:tc>
          <w:tcPr>
            <w:tcW w:w="0" w:type="auto"/>
            <w:shd w:val="clear" w:color="auto" w:fill="CCEEFF"/>
            <w:tcMar>
              <w:top w:w="40" w:type="dxa"/>
              <w:left w:w="0" w:type="dxa"/>
              <w:bottom w:w="40" w:type="dxa"/>
              <w:right w:w="20" w:type="dxa"/>
            </w:tcMar>
            <w:vAlign w:val="bottom"/>
          </w:tcPr>
          <w:p w14:paraId="35D0ADA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DA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ADA3" w14:textId="77777777" w:rsidR="00D42204" w:rsidRDefault="004E439D">
            <w:pPr>
              <w:jc w:val="right"/>
              <w:textAlignment w:val="bottom"/>
            </w:pPr>
            <w:r>
              <w:rPr>
                <w:rFonts w:ascii="Times New Roman" w:eastAsia="宋体" w:hAnsi="Times New Roman"/>
                <w:color w:val="000000"/>
                <w:sz w:val="16"/>
                <w:szCs w:val="16"/>
              </w:rPr>
              <w:t>5.19 </w:t>
            </w:r>
          </w:p>
        </w:tc>
        <w:tc>
          <w:tcPr>
            <w:tcW w:w="0" w:type="auto"/>
            <w:shd w:val="clear" w:color="auto" w:fill="CCEEFF"/>
            <w:tcMar>
              <w:top w:w="40" w:type="dxa"/>
              <w:left w:w="0" w:type="dxa"/>
              <w:bottom w:w="40" w:type="dxa"/>
              <w:right w:w="20" w:type="dxa"/>
            </w:tcMar>
            <w:vAlign w:val="bottom"/>
          </w:tcPr>
          <w:p w14:paraId="35D0ADA4" w14:textId="77777777" w:rsidR="00D42204" w:rsidRDefault="00D42204">
            <w:pPr>
              <w:jc w:val="right"/>
              <w:rPr>
                <w:rFonts w:ascii="宋体"/>
              </w:rPr>
            </w:pPr>
          </w:p>
        </w:tc>
      </w:tr>
    </w:tbl>
    <w:p w14:paraId="35D0ADA6" w14:textId="77777777" w:rsidR="00D42204" w:rsidRDefault="004E439D">
      <w:pPr>
        <w:jc w:val="center"/>
      </w:pPr>
      <w:r>
        <w:rPr>
          <w:rFonts w:ascii="Times New Roman" w:eastAsia="宋体" w:hAnsi="Times New Roman"/>
          <w:color w:val="000000"/>
          <w:sz w:val="20"/>
          <w:szCs w:val="20"/>
        </w:rPr>
        <w:t>63</w:t>
      </w:r>
    </w:p>
    <w:p w14:paraId="35D0ADA7" w14:textId="77777777" w:rsidR="00D42204" w:rsidRDefault="004E439D">
      <w:r>
        <w:pict w14:anchorId="35D0C39A">
          <v:rect id="_x0000_i1087" style="width:415.3pt;height:1.5pt" o:hralign="center" o:hrstd="t" o:hr="t" fillcolor="#a0a0a0" stroked="f"/>
        </w:pict>
      </w:r>
    </w:p>
    <w:p w14:paraId="35D0ADA8" w14:textId="77777777" w:rsidR="00D42204" w:rsidRDefault="00D42204"/>
    <w:p w14:paraId="35D0ADA9" w14:textId="77777777" w:rsidR="00D42204" w:rsidRDefault="004E439D">
      <w:pPr>
        <w:spacing w:before="180"/>
      </w:pPr>
      <w:r>
        <w:rPr>
          <w:rFonts w:ascii="Times New Roman" w:eastAsia="宋体" w:hAnsi="Times New Roman"/>
          <w:b/>
          <w:bCs/>
          <w:color w:val="000000"/>
          <w:sz w:val="20"/>
          <w:szCs w:val="20"/>
        </w:rPr>
        <w:t>Note 3. Shareholders' Equity</w:t>
      </w:r>
    </w:p>
    <w:p w14:paraId="35D0ADAA" w14:textId="77777777" w:rsidR="00D42204" w:rsidRDefault="004E439D">
      <w:pPr>
        <w:spacing w:before="100"/>
      </w:pPr>
      <w:r>
        <w:rPr>
          <w:rFonts w:ascii="Times New Roman" w:eastAsia="宋体" w:hAnsi="Times New Roman"/>
          <w:color w:val="000000"/>
          <w:sz w:val="20"/>
          <w:szCs w:val="20"/>
        </w:rPr>
        <w:t xml:space="preserve">The total authorized shares of $0.10 par value common stock is 11.0 billion, of which 2.8 billion were issued and outstanding as of January 31, 2022 and 2021. </w:t>
      </w:r>
    </w:p>
    <w:p w14:paraId="35D0ADAB" w14:textId="77777777" w:rsidR="00D42204" w:rsidRDefault="004E439D">
      <w:pPr>
        <w:spacing w:before="100"/>
      </w:pPr>
      <w:r>
        <w:rPr>
          <w:rFonts w:ascii="Times New Roman" w:eastAsia="宋体" w:hAnsi="Times New Roman"/>
          <w:i/>
          <w:iCs/>
          <w:color w:val="000000"/>
          <w:sz w:val="20"/>
          <w:szCs w:val="20"/>
        </w:rPr>
        <w:t>Sale of Subsidiary Stock</w:t>
      </w:r>
    </w:p>
    <w:p w14:paraId="35D0ADAC" w14:textId="77777777" w:rsidR="00D42204" w:rsidRDefault="004E439D">
      <w:pPr>
        <w:spacing w:before="100"/>
      </w:pPr>
      <w:r>
        <w:rPr>
          <w:rFonts w:ascii="Times New Roman" w:eastAsia="宋体" w:hAnsi="Times New Roman"/>
          <w:color w:val="000000"/>
          <w:sz w:val="20"/>
          <w:szCs w:val="20"/>
        </w:rPr>
        <w:t xml:space="preserve">During fiscal 2022, the Company received $3.2 billion </w:t>
      </w:r>
      <w:r>
        <w:rPr>
          <w:rFonts w:ascii="Times New Roman" w:eastAsia="宋体" w:hAnsi="Times New Roman"/>
          <w:color w:val="000000"/>
          <w:sz w:val="20"/>
          <w:szCs w:val="20"/>
        </w:rPr>
        <w:t>primarily related to a new equity funding for the Company's majority-owned Flipkart subsidiary, which reduced the Company's ownership from approximately 83% as of January 31, 2021 to approximately 75%.</w:t>
      </w:r>
    </w:p>
    <w:p w14:paraId="35D0ADAD" w14:textId="77777777" w:rsidR="00D42204" w:rsidRDefault="004E439D">
      <w:pPr>
        <w:spacing w:before="100"/>
      </w:pPr>
      <w:r>
        <w:rPr>
          <w:rFonts w:ascii="Times New Roman" w:eastAsia="宋体" w:hAnsi="Times New Roman"/>
          <w:i/>
          <w:iCs/>
          <w:color w:val="000000"/>
          <w:sz w:val="20"/>
          <w:szCs w:val="20"/>
        </w:rPr>
        <w:t>Share-Based Compensation</w:t>
      </w:r>
    </w:p>
    <w:p w14:paraId="35D0ADAE" w14:textId="77777777" w:rsidR="00D42204" w:rsidRDefault="004E439D">
      <w:pPr>
        <w:spacing w:before="100"/>
      </w:pPr>
      <w:r>
        <w:rPr>
          <w:rFonts w:ascii="Times New Roman" w:eastAsia="宋体" w:hAnsi="Times New Roman"/>
          <w:color w:val="000000"/>
          <w:sz w:val="20"/>
          <w:szCs w:val="20"/>
        </w:rPr>
        <w:t>The Company has awarded share</w:t>
      </w:r>
      <w:r>
        <w:rPr>
          <w:rFonts w:ascii="Times New Roman" w:eastAsia="宋体" w:hAnsi="Times New Roman"/>
          <w:color w:val="000000"/>
          <w:sz w:val="20"/>
          <w:szCs w:val="20"/>
        </w:rPr>
        <w:t>-based compensation to associates and nonemployee directors of the Company. The compensation expense recognized for all stock incentive plans, including expense associated with plans of the Company's consolidated subsidiaries granted in the subsidiaries' r</w:t>
      </w:r>
      <w:r>
        <w:rPr>
          <w:rFonts w:ascii="Times New Roman" w:eastAsia="宋体" w:hAnsi="Times New Roman"/>
          <w:color w:val="000000"/>
          <w:sz w:val="20"/>
          <w:szCs w:val="20"/>
        </w:rPr>
        <w:t>espective stock, was $1.2 billion, $1.2 billion and $0.9 billion for fiscal 2022, 2021 and 2020, respectively. Share-based compensation expense is generally included in operating, selling, general and administrative expenses in the Company's Consolidated S</w:t>
      </w:r>
      <w:r>
        <w:rPr>
          <w:rFonts w:ascii="Times New Roman" w:eastAsia="宋体" w:hAnsi="Times New Roman"/>
          <w:color w:val="000000"/>
          <w:sz w:val="20"/>
          <w:szCs w:val="20"/>
        </w:rPr>
        <w:t>tatements of Income. The total income tax benefit recognized for share-based compensation was $0.3 billion, $0.3 billion and $0.2 billion for fiscal 2022, 2021 and 2020, respectively. The following table summarizes the Company's share-based compensation ex</w:t>
      </w:r>
      <w:r>
        <w:rPr>
          <w:rFonts w:ascii="Times New Roman" w:eastAsia="宋体" w:hAnsi="Times New Roman"/>
          <w:color w:val="000000"/>
          <w:sz w:val="20"/>
          <w:szCs w:val="20"/>
        </w:rPr>
        <w:t>pense by award type for all plans:</w:t>
      </w:r>
    </w:p>
    <w:tbl>
      <w:tblPr>
        <w:tblW w:w="4971" w:type="pct"/>
        <w:jc w:val="center"/>
        <w:tblCellMar>
          <w:top w:w="15" w:type="dxa"/>
          <w:left w:w="15" w:type="dxa"/>
          <w:bottom w:w="15" w:type="dxa"/>
          <w:right w:w="15" w:type="dxa"/>
        </w:tblCellMar>
        <w:tblLook w:val="04A0" w:firstRow="1" w:lastRow="0" w:firstColumn="1" w:lastColumn="0" w:noHBand="0" w:noVBand="1"/>
      </w:tblPr>
      <w:tblGrid>
        <w:gridCol w:w="44"/>
        <w:gridCol w:w="4833"/>
        <w:gridCol w:w="37"/>
        <w:gridCol w:w="100"/>
        <w:gridCol w:w="929"/>
        <w:gridCol w:w="36"/>
        <w:gridCol w:w="36"/>
        <w:gridCol w:w="36"/>
        <w:gridCol w:w="36"/>
        <w:gridCol w:w="100"/>
        <w:gridCol w:w="910"/>
        <w:gridCol w:w="36"/>
        <w:gridCol w:w="36"/>
        <w:gridCol w:w="36"/>
        <w:gridCol w:w="36"/>
        <w:gridCol w:w="100"/>
        <w:gridCol w:w="911"/>
        <w:gridCol w:w="36"/>
      </w:tblGrid>
      <w:tr w:rsidR="00D42204" w14:paraId="35D0ADC1" w14:textId="77777777">
        <w:trPr>
          <w:jc w:val="center"/>
        </w:trPr>
        <w:tc>
          <w:tcPr>
            <w:tcW w:w="50" w:type="pct"/>
            <w:shd w:val="clear" w:color="auto" w:fill="auto"/>
            <w:vAlign w:val="bottom"/>
          </w:tcPr>
          <w:p w14:paraId="35D0ADAF" w14:textId="77777777" w:rsidR="00D42204" w:rsidRDefault="00D42204">
            <w:pPr>
              <w:rPr>
                <w:rFonts w:ascii="宋体"/>
              </w:rPr>
            </w:pPr>
          </w:p>
        </w:tc>
        <w:tc>
          <w:tcPr>
            <w:tcW w:w="2937" w:type="pct"/>
            <w:shd w:val="clear" w:color="auto" w:fill="auto"/>
            <w:vAlign w:val="bottom"/>
          </w:tcPr>
          <w:p w14:paraId="35D0ADB0" w14:textId="77777777" w:rsidR="00D42204" w:rsidRDefault="00D42204">
            <w:pPr>
              <w:rPr>
                <w:rFonts w:ascii="宋体"/>
              </w:rPr>
            </w:pPr>
          </w:p>
        </w:tc>
        <w:tc>
          <w:tcPr>
            <w:tcW w:w="5" w:type="pct"/>
            <w:shd w:val="clear" w:color="auto" w:fill="auto"/>
            <w:vAlign w:val="bottom"/>
          </w:tcPr>
          <w:p w14:paraId="35D0ADB1" w14:textId="77777777" w:rsidR="00D42204" w:rsidRDefault="00D42204">
            <w:pPr>
              <w:rPr>
                <w:rFonts w:ascii="宋体"/>
              </w:rPr>
            </w:pPr>
          </w:p>
        </w:tc>
        <w:tc>
          <w:tcPr>
            <w:tcW w:w="50" w:type="pct"/>
            <w:shd w:val="clear" w:color="auto" w:fill="auto"/>
            <w:vAlign w:val="bottom"/>
          </w:tcPr>
          <w:p w14:paraId="35D0ADB2" w14:textId="77777777" w:rsidR="00D42204" w:rsidRDefault="00D42204">
            <w:pPr>
              <w:rPr>
                <w:rFonts w:ascii="宋体"/>
              </w:rPr>
            </w:pPr>
          </w:p>
        </w:tc>
        <w:tc>
          <w:tcPr>
            <w:tcW w:w="584" w:type="pct"/>
            <w:shd w:val="clear" w:color="auto" w:fill="auto"/>
            <w:vAlign w:val="bottom"/>
          </w:tcPr>
          <w:p w14:paraId="35D0ADB3" w14:textId="77777777" w:rsidR="00D42204" w:rsidRDefault="00D42204">
            <w:pPr>
              <w:rPr>
                <w:rFonts w:ascii="宋体"/>
              </w:rPr>
            </w:pPr>
          </w:p>
        </w:tc>
        <w:tc>
          <w:tcPr>
            <w:tcW w:w="5" w:type="pct"/>
            <w:shd w:val="clear" w:color="auto" w:fill="auto"/>
            <w:vAlign w:val="bottom"/>
          </w:tcPr>
          <w:p w14:paraId="35D0ADB4" w14:textId="77777777" w:rsidR="00D42204" w:rsidRDefault="00D42204">
            <w:pPr>
              <w:rPr>
                <w:rFonts w:ascii="宋体"/>
              </w:rPr>
            </w:pPr>
          </w:p>
        </w:tc>
        <w:tc>
          <w:tcPr>
            <w:tcW w:w="5" w:type="pct"/>
            <w:shd w:val="clear" w:color="auto" w:fill="auto"/>
            <w:vAlign w:val="bottom"/>
          </w:tcPr>
          <w:p w14:paraId="35D0ADB5" w14:textId="77777777" w:rsidR="00D42204" w:rsidRDefault="00D42204">
            <w:pPr>
              <w:rPr>
                <w:rFonts w:ascii="宋体"/>
              </w:rPr>
            </w:pPr>
          </w:p>
        </w:tc>
        <w:tc>
          <w:tcPr>
            <w:tcW w:w="26" w:type="pct"/>
            <w:shd w:val="clear" w:color="auto" w:fill="auto"/>
            <w:vAlign w:val="bottom"/>
          </w:tcPr>
          <w:p w14:paraId="35D0ADB6" w14:textId="77777777" w:rsidR="00D42204" w:rsidRDefault="00D42204">
            <w:pPr>
              <w:rPr>
                <w:rFonts w:ascii="宋体"/>
              </w:rPr>
            </w:pPr>
          </w:p>
        </w:tc>
        <w:tc>
          <w:tcPr>
            <w:tcW w:w="5" w:type="pct"/>
            <w:shd w:val="clear" w:color="auto" w:fill="auto"/>
            <w:vAlign w:val="bottom"/>
          </w:tcPr>
          <w:p w14:paraId="35D0ADB7" w14:textId="77777777" w:rsidR="00D42204" w:rsidRDefault="00D42204">
            <w:pPr>
              <w:rPr>
                <w:rFonts w:ascii="宋体"/>
              </w:rPr>
            </w:pPr>
          </w:p>
        </w:tc>
        <w:tc>
          <w:tcPr>
            <w:tcW w:w="50" w:type="pct"/>
            <w:shd w:val="clear" w:color="auto" w:fill="auto"/>
            <w:vAlign w:val="bottom"/>
          </w:tcPr>
          <w:p w14:paraId="35D0ADB8" w14:textId="77777777" w:rsidR="00D42204" w:rsidRDefault="00D42204">
            <w:pPr>
              <w:rPr>
                <w:rFonts w:ascii="宋体"/>
              </w:rPr>
            </w:pPr>
          </w:p>
        </w:tc>
        <w:tc>
          <w:tcPr>
            <w:tcW w:w="592" w:type="pct"/>
            <w:shd w:val="clear" w:color="auto" w:fill="auto"/>
            <w:vAlign w:val="bottom"/>
          </w:tcPr>
          <w:p w14:paraId="35D0ADB9" w14:textId="77777777" w:rsidR="00D42204" w:rsidRDefault="00D42204">
            <w:pPr>
              <w:rPr>
                <w:rFonts w:ascii="宋体"/>
              </w:rPr>
            </w:pPr>
          </w:p>
        </w:tc>
        <w:tc>
          <w:tcPr>
            <w:tcW w:w="5" w:type="pct"/>
            <w:shd w:val="clear" w:color="auto" w:fill="auto"/>
            <w:vAlign w:val="bottom"/>
          </w:tcPr>
          <w:p w14:paraId="35D0ADBA" w14:textId="77777777" w:rsidR="00D42204" w:rsidRDefault="00D42204">
            <w:pPr>
              <w:rPr>
                <w:rFonts w:ascii="宋体"/>
              </w:rPr>
            </w:pPr>
          </w:p>
        </w:tc>
        <w:tc>
          <w:tcPr>
            <w:tcW w:w="5" w:type="pct"/>
            <w:shd w:val="clear" w:color="auto" w:fill="auto"/>
            <w:vAlign w:val="bottom"/>
          </w:tcPr>
          <w:p w14:paraId="35D0ADBB" w14:textId="77777777" w:rsidR="00D42204" w:rsidRDefault="00D42204">
            <w:pPr>
              <w:rPr>
                <w:rFonts w:ascii="宋体"/>
              </w:rPr>
            </w:pPr>
          </w:p>
        </w:tc>
        <w:tc>
          <w:tcPr>
            <w:tcW w:w="26" w:type="pct"/>
            <w:shd w:val="clear" w:color="auto" w:fill="auto"/>
            <w:vAlign w:val="bottom"/>
          </w:tcPr>
          <w:p w14:paraId="35D0ADBC" w14:textId="77777777" w:rsidR="00D42204" w:rsidRDefault="00D42204">
            <w:pPr>
              <w:rPr>
                <w:rFonts w:ascii="宋体"/>
              </w:rPr>
            </w:pPr>
          </w:p>
        </w:tc>
        <w:tc>
          <w:tcPr>
            <w:tcW w:w="5" w:type="pct"/>
            <w:shd w:val="clear" w:color="auto" w:fill="auto"/>
            <w:vAlign w:val="bottom"/>
          </w:tcPr>
          <w:p w14:paraId="35D0ADBD" w14:textId="77777777" w:rsidR="00D42204" w:rsidRDefault="00D42204">
            <w:pPr>
              <w:rPr>
                <w:rFonts w:ascii="宋体"/>
              </w:rPr>
            </w:pPr>
          </w:p>
        </w:tc>
        <w:tc>
          <w:tcPr>
            <w:tcW w:w="50" w:type="pct"/>
            <w:shd w:val="clear" w:color="auto" w:fill="auto"/>
            <w:vAlign w:val="bottom"/>
          </w:tcPr>
          <w:p w14:paraId="35D0ADBE" w14:textId="77777777" w:rsidR="00D42204" w:rsidRDefault="00D42204">
            <w:pPr>
              <w:rPr>
                <w:rFonts w:ascii="宋体"/>
              </w:rPr>
            </w:pPr>
          </w:p>
        </w:tc>
        <w:tc>
          <w:tcPr>
            <w:tcW w:w="592" w:type="pct"/>
            <w:shd w:val="clear" w:color="auto" w:fill="auto"/>
            <w:vAlign w:val="bottom"/>
          </w:tcPr>
          <w:p w14:paraId="35D0ADBF" w14:textId="77777777" w:rsidR="00D42204" w:rsidRDefault="00D42204">
            <w:pPr>
              <w:rPr>
                <w:rFonts w:ascii="宋体"/>
              </w:rPr>
            </w:pPr>
          </w:p>
        </w:tc>
        <w:tc>
          <w:tcPr>
            <w:tcW w:w="5" w:type="pct"/>
            <w:shd w:val="clear" w:color="auto" w:fill="auto"/>
            <w:vAlign w:val="bottom"/>
          </w:tcPr>
          <w:p w14:paraId="35D0ADC0" w14:textId="77777777" w:rsidR="00D42204" w:rsidRDefault="00D42204">
            <w:pPr>
              <w:rPr>
                <w:rFonts w:ascii="宋体"/>
              </w:rPr>
            </w:pPr>
          </w:p>
        </w:tc>
      </w:tr>
      <w:tr w:rsidR="00D42204" w14:paraId="35D0ADC4" w14:textId="77777777">
        <w:trPr>
          <w:jc w:val="center"/>
        </w:trPr>
        <w:tc>
          <w:tcPr>
            <w:tcW w:w="0" w:type="auto"/>
            <w:gridSpan w:val="3"/>
            <w:shd w:val="clear" w:color="auto" w:fill="auto"/>
            <w:tcMar>
              <w:top w:w="40" w:type="dxa"/>
              <w:left w:w="20" w:type="dxa"/>
              <w:bottom w:w="40" w:type="dxa"/>
              <w:right w:w="20" w:type="dxa"/>
            </w:tcMar>
            <w:vAlign w:val="bottom"/>
          </w:tcPr>
          <w:p w14:paraId="35D0ADC2" w14:textId="77777777" w:rsidR="00D42204" w:rsidRDefault="004E439D">
            <w:pPr>
              <w:textAlignment w:val="bottom"/>
            </w:pPr>
            <w:r>
              <w:rPr>
                <w:rFonts w:ascii="Times New Roman" w:eastAsia="宋体" w:hAnsi="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14:paraId="35D0ADC3" w14:textId="77777777" w:rsidR="00D42204" w:rsidRDefault="004E439D">
            <w:pPr>
              <w:jc w:val="center"/>
              <w:textAlignment w:val="bottom"/>
            </w:pPr>
            <w:r>
              <w:rPr>
                <w:rFonts w:ascii="Times New Roman" w:eastAsia="宋体" w:hAnsi="Times New Roman"/>
                <w:b/>
                <w:bCs/>
                <w:color w:val="000000"/>
                <w:sz w:val="16"/>
                <w:szCs w:val="16"/>
              </w:rPr>
              <w:t>Fiscal Years Ended January 31,</w:t>
            </w:r>
          </w:p>
        </w:tc>
      </w:tr>
      <w:tr w:rsidR="00D42204" w14:paraId="35D0ADCB" w14:textId="77777777">
        <w:trPr>
          <w:jc w:val="center"/>
        </w:trPr>
        <w:tc>
          <w:tcPr>
            <w:tcW w:w="0" w:type="auto"/>
            <w:gridSpan w:val="3"/>
            <w:shd w:val="clear" w:color="auto" w:fill="auto"/>
            <w:tcMar>
              <w:top w:w="40" w:type="dxa"/>
              <w:left w:w="20" w:type="dxa"/>
              <w:bottom w:w="40" w:type="dxa"/>
              <w:right w:w="20" w:type="dxa"/>
            </w:tcMar>
            <w:vAlign w:val="bottom"/>
          </w:tcPr>
          <w:p w14:paraId="35D0ADC5"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DC6"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DC7"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DC8"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DC9"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DCA"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ADD8" w14:textId="77777777">
        <w:trPr>
          <w:jc w:val="center"/>
        </w:trPr>
        <w:tc>
          <w:tcPr>
            <w:tcW w:w="0" w:type="auto"/>
            <w:gridSpan w:val="3"/>
            <w:shd w:val="clear" w:color="auto" w:fill="CCEEFF"/>
            <w:tcMar>
              <w:top w:w="40" w:type="dxa"/>
              <w:left w:w="20" w:type="dxa"/>
              <w:bottom w:w="40" w:type="dxa"/>
              <w:right w:w="20" w:type="dxa"/>
            </w:tcMar>
            <w:vAlign w:val="center"/>
          </w:tcPr>
          <w:p w14:paraId="35D0ADCC" w14:textId="77777777" w:rsidR="00D42204" w:rsidRDefault="004E439D">
            <w:pPr>
              <w:textAlignment w:val="center"/>
            </w:pPr>
            <w:r>
              <w:rPr>
                <w:rFonts w:ascii="Times New Roman" w:eastAsia="宋体" w:hAnsi="Times New Roman"/>
                <w:color w:val="000000"/>
                <w:sz w:val="16"/>
                <w:szCs w:val="16"/>
              </w:rPr>
              <w:t>Restricted stock units</w:t>
            </w:r>
          </w:p>
        </w:tc>
        <w:tc>
          <w:tcPr>
            <w:tcW w:w="0" w:type="auto"/>
            <w:tcBorders>
              <w:top w:val="single" w:sz="8" w:space="0" w:color="000000"/>
            </w:tcBorders>
            <w:shd w:val="clear" w:color="auto" w:fill="CCEEFF"/>
            <w:tcMar>
              <w:top w:w="40" w:type="dxa"/>
              <w:left w:w="20" w:type="dxa"/>
              <w:bottom w:w="40" w:type="dxa"/>
              <w:right w:w="0" w:type="dxa"/>
            </w:tcMar>
            <w:vAlign w:val="center"/>
          </w:tcPr>
          <w:p w14:paraId="35D0ADCD"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DCE" w14:textId="77777777" w:rsidR="00D42204" w:rsidRDefault="004E439D">
            <w:pPr>
              <w:jc w:val="right"/>
              <w:textAlignment w:val="center"/>
            </w:pPr>
            <w:r>
              <w:rPr>
                <w:rFonts w:ascii="Times New Roman" w:eastAsia="宋体" w:hAnsi="Times New Roman"/>
                <w:color w:val="000000"/>
                <w:sz w:val="16"/>
                <w:szCs w:val="16"/>
              </w:rPr>
              <w:t>659 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DC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DD0"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DD1"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DD2" w14:textId="77777777" w:rsidR="00D42204" w:rsidRDefault="004E439D">
            <w:pPr>
              <w:jc w:val="right"/>
              <w:textAlignment w:val="center"/>
            </w:pPr>
            <w:r>
              <w:rPr>
                <w:rFonts w:ascii="Times New Roman" w:eastAsia="宋体" w:hAnsi="Times New Roman"/>
                <w:color w:val="000000"/>
                <w:sz w:val="16"/>
                <w:szCs w:val="16"/>
              </w:rPr>
              <w:t>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DD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DD4"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DD5"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DD6" w14:textId="77777777" w:rsidR="00D42204" w:rsidRDefault="004E439D">
            <w:pPr>
              <w:jc w:val="right"/>
              <w:textAlignment w:val="center"/>
            </w:pPr>
            <w:r>
              <w:rPr>
                <w:rFonts w:ascii="Times New Roman" w:eastAsia="宋体" w:hAnsi="Times New Roman"/>
                <w:color w:val="000000"/>
                <w:sz w:val="16"/>
                <w:szCs w:val="16"/>
              </w:rPr>
              <w:t>553 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DD7" w14:textId="77777777" w:rsidR="00D42204" w:rsidRDefault="00D42204">
            <w:pPr>
              <w:jc w:val="right"/>
              <w:rPr>
                <w:rFonts w:ascii="宋体"/>
              </w:rPr>
            </w:pPr>
          </w:p>
        </w:tc>
      </w:tr>
      <w:tr w:rsidR="00D42204" w14:paraId="35D0ADE2" w14:textId="77777777">
        <w:trPr>
          <w:jc w:val="center"/>
        </w:trPr>
        <w:tc>
          <w:tcPr>
            <w:tcW w:w="0" w:type="auto"/>
            <w:gridSpan w:val="3"/>
            <w:shd w:val="clear" w:color="auto" w:fill="FFFFFF"/>
            <w:tcMar>
              <w:top w:w="40" w:type="dxa"/>
              <w:left w:w="20" w:type="dxa"/>
              <w:bottom w:w="40" w:type="dxa"/>
              <w:right w:w="20" w:type="dxa"/>
            </w:tcMar>
            <w:vAlign w:val="center"/>
          </w:tcPr>
          <w:p w14:paraId="35D0ADD9" w14:textId="77777777" w:rsidR="00D42204" w:rsidRDefault="004E439D">
            <w:pPr>
              <w:textAlignment w:val="center"/>
            </w:pPr>
            <w:r>
              <w:rPr>
                <w:rFonts w:ascii="Times New Roman" w:eastAsia="宋体" w:hAnsi="Times New Roman"/>
                <w:color w:val="000000"/>
                <w:sz w:val="16"/>
                <w:szCs w:val="16"/>
              </w:rPr>
              <w:t>Restricted stock and performance-based restricted stock units</w:t>
            </w:r>
          </w:p>
        </w:tc>
        <w:tc>
          <w:tcPr>
            <w:tcW w:w="0" w:type="auto"/>
            <w:gridSpan w:val="2"/>
            <w:shd w:val="clear" w:color="auto" w:fill="FFFFFF"/>
            <w:tcMar>
              <w:top w:w="40" w:type="dxa"/>
              <w:left w:w="20" w:type="dxa"/>
              <w:bottom w:w="40" w:type="dxa"/>
              <w:right w:w="0" w:type="dxa"/>
            </w:tcMar>
            <w:vAlign w:val="center"/>
          </w:tcPr>
          <w:p w14:paraId="35D0ADDA" w14:textId="77777777" w:rsidR="00D42204" w:rsidRDefault="004E439D">
            <w:pPr>
              <w:jc w:val="right"/>
              <w:textAlignment w:val="center"/>
            </w:pPr>
            <w:r>
              <w:rPr>
                <w:rFonts w:ascii="Times New Roman" w:eastAsia="宋体" w:hAnsi="Times New Roman"/>
                <w:color w:val="000000"/>
                <w:sz w:val="16"/>
                <w:szCs w:val="16"/>
              </w:rPr>
              <w:t>321 </w:t>
            </w:r>
          </w:p>
        </w:tc>
        <w:tc>
          <w:tcPr>
            <w:tcW w:w="0" w:type="auto"/>
            <w:shd w:val="clear" w:color="auto" w:fill="FFFFFF"/>
            <w:tcMar>
              <w:top w:w="40" w:type="dxa"/>
              <w:left w:w="0" w:type="dxa"/>
              <w:bottom w:w="40" w:type="dxa"/>
              <w:right w:w="20" w:type="dxa"/>
            </w:tcMar>
            <w:vAlign w:val="center"/>
          </w:tcPr>
          <w:p w14:paraId="35D0ADD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DD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DDD" w14:textId="77777777" w:rsidR="00D42204" w:rsidRDefault="004E439D">
            <w:pPr>
              <w:jc w:val="right"/>
              <w:textAlignment w:val="center"/>
            </w:pPr>
            <w:r>
              <w:rPr>
                <w:rFonts w:ascii="Times New Roman" w:eastAsia="宋体" w:hAnsi="Times New Roman"/>
                <w:color w:val="000000"/>
                <w:sz w:val="16"/>
                <w:szCs w:val="16"/>
              </w:rPr>
              <w:t>277 </w:t>
            </w:r>
          </w:p>
        </w:tc>
        <w:tc>
          <w:tcPr>
            <w:tcW w:w="0" w:type="auto"/>
            <w:shd w:val="clear" w:color="auto" w:fill="FFFFFF"/>
            <w:tcMar>
              <w:top w:w="40" w:type="dxa"/>
              <w:left w:w="0" w:type="dxa"/>
              <w:bottom w:w="40" w:type="dxa"/>
              <w:right w:w="20" w:type="dxa"/>
            </w:tcMar>
            <w:vAlign w:val="center"/>
          </w:tcPr>
          <w:p w14:paraId="35D0ADD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DD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DE0" w14:textId="77777777" w:rsidR="00D42204" w:rsidRDefault="004E439D">
            <w:pPr>
              <w:jc w:val="right"/>
              <w:textAlignment w:val="center"/>
            </w:pPr>
            <w:r>
              <w:rPr>
                <w:rFonts w:ascii="Times New Roman" w:eastAsia="宋体" w:hAnsi="Times New Roman"/>
                <w:color w:val="000000"/>
                <w:sz w:val="16"/>
                <w:szCs w:val="16"/>
              </w:rPr>
              <w:t>270 </w:t>
            </w:r>
          </w:p>
        </w:tc>
        <w:tc>
          <w:tcPr>
            <w:tcW w:w="0" w:type="auto"/>
            <w:shd w:val="clear" w:color="auto" w:fill="FFFFFF"/>
            <w:tcMar>
              <w:top w:w="40" w:type="dxa"/>
              <w:left w:w="0" w:type="dxa"/>
              <w:bottom w:w="40" w:type="dxa"/>
              <w:right w:w="20" w:type="dxa"/>
            </w:tcMar>
            <w:vAlign w:val="center"/>
          </w:tcPr>
          <w:p w14:paraId="35D0ADE1" w14:textId="77777777" w:rsidR="00D42204" w:rsidRDefault="00D42204">
            <w:pPr>
              <w:jc w:val="right"/>
              <w:rPr>
                <w:rFonts w:ascii="宋体"/>
              </w:rPr>
            </w:pPr>
          </w:p>
        </w:tc>
      </w:tr>
      <w:tr w:rsidR="00D42204" w14:paraId="35D0ADEC" w14:textId="77777777">
        <w:trPr>
          <w:jc w:val="center"/>
        </w:trPr>
        <w:tc>
          <w:tcPr>
            <w:tcW w:w="0" w:type="auto"/>
            <w:gridSpan w:val="3"/>
            <w:shd w:val="clear" w:color="auto" w:fill="CCEEFF"/>
            <w:tcMar>
              <w:top w:w="40" w:type="dxa"/>
              <w:left w:w="20" w:type="dxa"/>
              <w:bottom w:w="40" w:type="dxa"/>
              <w:right w:w="20" w:type="dxa"/>
            </w:tcMar>
            <w:vAlign w:val="center"/>
          </w:tcPr>
          <w:p w14:paraId="35D0ADE3" w14:textId="77777777" w:rsidR="00D42204" w:rsidRDefault="004E439D">
            <w:pPr>
              <w:textAlignment w:val="center"/>
            </w:pPr>
            <w:r>
              <w:rPr>
                <w:rFonts w:ascii="Times New Roman" w:eastAsia="宋体" w:hAnsi="Times New Roman"/>
                <w:color w:val="000000"/>
                <w:sz w:val="16"/>
                <w:szCs w:val="16"/>
              </w:rPr>
              <w:t>Other</w:t>
            </w:r>
          </w:p>
        </w:tc>
        <w:tc>
          <w:tcPr>
            <w:tcW w:w="0" w:type="auto"/>
            <w:gridSpan w:val="2"/>
            <w:shd w:val="clear" w:color="auto" w:fill="CCEEFF"/>
            <w:tcMar>
              <w:top w:w="40" w:type="dxa"/>
              <w:left w:w="20" w:type="dxa"/>
              <w:bottom w:w="40" w:type="dxa"/>
              <w:right w:w="0" w:type="dxa"/>
            </w:tcMar>
            <w:vAlign w:val="center"/>
          </w:tcPr>
          <w:p w14:paraId="35D0ADE4" w14:textId="77777777" w:rsidR="00D42204" w:rsidRDefault="004E439D">
            <w:pPr>
              <w:jc w:val="right"/>
              <w:textAlignment w:val="center"/>
            </w:pPr>
            <w:r>
              <w:rPr>
                <w:rFonts w:ascii="Times New Roman" w:eastAsia="宋体" w:hAnsi="Times New Roman"/>
                <w:color w:val="000000"/>
                <w:sz w:val="16"/>
                <w:szCs w:val="16"/>
              </w:rPr>
              <w:t>183 </w:t>
            </w:r>
          </w:p>
        </w:tc>
        <w:tc>
          <w:tcPr>
            <w:tcW w:w="0" w:type="auto"/>
            <w:shd w:val="clear" w:color="auto" w:fill="CCEEFF"/>
            <w:tcMar>
              <w:top w:w="40" w:type="dxa"/>
              <w:left w:w="0" w:type="dxa"/>
              <w:bottom w:w="40" w:type="dxa"/>
              <w:right w:w="20" w:type="dxa"/>
            </w:tcMar>
            <w:vAlign w:val="center"/>
          </w:tcPr>
          <w:p w14:paraId="35D0ADE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DE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DE7" w14:textId="77777777" w:rsidR="00D42204" w:rsidRDefault="004E439D">
            <w:pPr>
              <w:jc w:val="right"/>
              <w:textAlignment w:val="center"/>
            </w:pPr>
            <w:r>
              <w:rPr>
                <w:rFonts w:ascii="Times New Roman" w:eastAsia="宋体" w:hAnsi="Times New Roman"/>
                <w:color w:val="000000"/>
                <w:sz w:val="16"/>
                <w:szCs w:val="16"/>
              </w:rPr>
              <w:t>150 </w:t>
            </w:r>
          </w:p>
        </w:tc>
        <w:tc>
          <w:tcPr>
            <w:tcW w:w="0" w:type="auto"/>
            <w:shd w:val="clear" w:color="auto" w:fill="CCEEFF"/>
            <w:tcMar>
              <w:top w:w="40" w:type="dxa"/>
              <w:left w:w="0" w:type="dxa"/>
              <w:bottom w:w="40" w:type="dxa"/>
              <w:right w:w="20" w:type="dxa"/>
            </w:tcMar>
            <w:vAlign w:val="center"/>
          </w:tcPr>
          <w:p w14:paraId="35D0ADE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DE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DEA" w14:textId="77777777" w:rsidR="00D42204" w:rsidRDefault="004E439D">
            <w:pPr>
              <w:jc w:val="right"/>
              <w:textAlignment w:val="center"/>
            </w:pPr>
            <w:r>
              <w:rPr>
                <w:rFonts w:ascii="Times New Roman" w:eastAsia="宋体" w:hAnsi="Times New Roman"/>
                <w:color w:val="000000"/>
                <w:sz w:val="16"/>
                <w:szCs w:val="16"/>
              </w:rPr>
              <w:t>31 </w:t>
            </w:r>
          </w:p>
        </w:tc>
        <w:tc>
          <w:tcPr>
            <w:tcW w:w="0" w:type="auto"/>
            <w:shd w:val="clear" w:color="auto" w:fill="CCEEFF"/>
            <w:tcMar>
              <w:top w:w="40" w:type="dxa"/>
              <w:left w:w="0" w:type="dxa"/>
              <w:bottom w:w="40" w:type="dxa"/>
              <w:right w:w="20" w:type="dxa"/>
            </w:tcMar>
            <w:vAlign w:val="center"/>
          </w:tcPr>
          <w:p w14:paraId="35D0ADEB" w14:textId="77777777" w:rsidR="00D42204" w:rsidRDefault="00D42204">
            <w:pPr>
              <w:jc w:val="right"/>
              <w:rPr>
                <w:rFonts w:ascii="宋体"/>
              </w:rPr>
            </w:pPr>
          </w:p>
        </w:tc>
      </w:tr>
      <w:tr w:rsidR="00D42204" w14:paraId="35D0ADF9" w14:textId="77777777">
        <w:trPr>
          <w:jc w:val="center"/>
        </w:trPr>
        <w:tc>
          <w:tcPr>
            <w:tcW w:w="0" w:type="auto"/>
            <w:gridSpan w:val="3"/>
            <w:shd w:val="clear" w:color="auto" w:fill="FFFFFF"/>
            <w:tcMar>
              <w:top w:w="40" w:type="dxa"/>
              <w:left w:w="20" w:type="dxa"/>
              <w:bottom w:w="40" w:type="dxa"/>
              <w:right w:w="20" w:type="dxa"/>
            </w:tcMar>
            <w:vAlign w:val="center"/>
          </w:tcPr>
          <w:p w14:paraId="35D0ADED" w14:textId="77777777" w:rsidR="00D42204" w:rsidRDefault="004E439D">
            <w:pPr>
              <w:textAlignment w:val="center"/>
            </w:pPr>
            <w:r>
              <w:rPr>
                <w:rFonts w:ascii="Times New Roman" w:eastAsia="宋体" w:hAnsi="Times New Roman"/>
                <w:b/>
                <w:bCs/>
                <w:color w:val="000000"/>
                <w:sz w:val="16"/>
                <w:szCs w:val="16"/>
              </w:rPr>
              <w:t>Share-based compensation expense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DEE"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DEF" w14:textId="77777777" w:rsidR="00D42204" w:rsidRDefault="004E439D">
            <w:pPr>
              <w:jc w:val="right"/>
              <w:textAlignment w:val="center"/>
            </w:pPr>
            <w:r>
              <w:rPr>
                <w:rFonts w:ascii="Times New Roman" w:eastAsia="宋体" w:hAnsi="Times New Roman"/>
                <w:color w:val="000000"/>
                <w:sz w:val="16"/>
                <w:szCs w:val="16"/>
              </w:rPr>
              <w:t>1,163 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DF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DF1"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DF2"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DF3" w14:textId="77777777" w:rsidR="00D42204" w:rsidRDefault="004E439D">
            <w:pPr>
              <w:jc w:val="right"/>
              <w:textAlignment w:val="center"/>
            </w:pPr>
            <w:r>
              <w:rPr>
                <w:rFonts w:ascii="Times New Roman" w:eastAsia="宋体" w:hAnsi="Times New Roman"/>
                <w:color w:val="000000"/>
                <w:sz w:val="16"/>
                <w:szCs w:val="16"/>
              </w:rPr>
              <w:t>1,169 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DF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DF5"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DF6"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DF7" w14:textId="77777777" w:rsidR="00D42204" w:rsidRDefault="004E439D">
            <w:pPr>
              <w:jc w:val="right"/>
              <w:textAlignment w:val="center"/>
            </w:pPr>
            <w:r>
              <w:rPr>
                <w:rFonts w:ascii="Times New Roman" w:eastAsia="宋体" w:hAnsi="Times New Roman"/>
                <w:color w:val="000000"/>
                <w:sz w:val="16"/>
                <w:szCs w:val="16"/>
              </w:rPr>
              <w:t>854 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DF8" w14:textId="77777777" w:rsidR="00D42204" w:rsidRDefault="00D42204">
            <w:pPr>
              <w:jc w:val="right"/>
              <w:rPr>
                <w:rFonts w:ascii="宋体"/>
              </w:rPr>
            </w:pPr>
          </w:p>
        </w:tc>
      </w:tr>
    </w:tbl>
    <w:p w14:paraId="35D0ADFA" w14:textId="77777777" w:rsidR="00D42204" w:rsidRDefault="004E439D">
      <w:pPr>
        <w:spacing w:before="80"/>
      </w:pPr>
      <w:r>
        <w:rPr>
          <w:rFonts w:ascii="Times New Roman" w:eastAsia="宋体" w:hAnsi="Times New Roman"/>
          <w:color w:val="000000"/>
          <w:sz w:val="20"/>
          <w:szCs w:val="20"/>
        </w:rPr>
        <w:t>The Walmart Inc. Stock Incentive Plan of 2015 (the "Plan"), as subsequently amended and restated, was established to grant stock options, restricted (non-vested) stock, restricted stock un</w:t>
      </w:r>
      <w:r>
        <w:rPr>
          <w:rFonts w:ascii="Times New Roman" w:eastAsia="宋体" w:hAnsi="Times New Roman"/>
          <w:color w:val="000000"/>
          <w:sz w:val="20"/>
          <w:szCs w:val="20"/>
        </w:rPr>
        <w:t xml:space="preserve">its, performance share units and other equity compensation awards for which 260 million shares of Walmart common stock issued or to be issued under the Plan have been registered under the Securities Act of 1933. The Company believes that such awards serve </w:t>
      </w:r>
      <w:r>
        <w:rPr>
          <w:rFonts w:ascii="Times New Roman" w:eastAsia="宋体" w:hAnsi="Times New Roman"/>
          <w:color w:val="000000"/>
          <w:sz w:val="20"/>
          <w:szCs w:val="20"/>
        </w:rPr>
        <w:t>to align the interests of its associates with those of its shareholders.</w:t>
      </w:r>
    </w:p>
    <w:p w14:paraId="35D0ADFB" w14:textId="77777777" w:rsidR="00D42204" w:rsidRDefault="004E439D">
      <w:pPr>
        <w:spacing w:before="100"/>
      </w:pPr>
      <w:r>
        <w:rPr>
          <w:rFonts w:ascii="Times New Roman" w:eastAsia="宋体" w:hAnsi="Times New Roman"/>
          <w:color w:val="000000"/>
          <w:sz w:val="20"/>
          <w:szCs w:val="20"/>
        </w:rPr>
        <w:t>The Plan's award types are summarized as follows:</w:t>
      </w:r>
    </w:p>
    <w:p w14:paraId="35D0ADFC" w14:textId="77777777" w:rsidR="00D42204" w:rsidRDefault="004E439D">
      <w:pPr>
        <w:spacing w:before="60"/>
        <w:ind w:hanging="270"/>
      </w:pP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Restricted Stock Units. </w:t>
      </w:r>
      <w:r>
        <w:rPr>
          <w:rFonts w:ascii="Times New Roman" w:eastAsia="宋体" w:hAnsi="Times New Roman"/>
          <w:color w:val="000000"/>
          <w:sz w:val="20"/>
          <w:szCs w:val="20"/>
        </w:rPr>
        <w:t>Restricted stock units provide rights to Company stock after a specified service period. Beginning in fiscal</w:t>
      </w:r>
      <w:r>
        <w:rPr>
          <w:rFonts w:ascii="Times New Roman" w:eastAsia="宋体" w:hAnsi="Times New Roman"/>
          <w:color w:val="000000"/>
          <w:sz w:val="20"/>
          <w:szCs w:val="20"/>
        </w:rPr>
        <w:t xml:space="preserve"> 2020, restricted stock units generally vest at a rate of 25% each year over a four year period from the date of the grant. Prior to fiscal 2020, 50% of restricted stock units generally vested three years from the grant date and the remaining 50% were vest</w:t>
      </w:r>
      <w:r>
        <w:rPr>
          <w:rFonts w:ascii="Times New Roman" w:eastAsia="宋体" w:hAnsi="Times New Roman"/>
          <w:color w:val="000000"/>
          <w:sz w:val="20"/>
          <w:szCs w:val="20"/>
        </w:rPr>
        <w:t>ed five years from the grant date. The fair value of each restricted stock unit is determined on the date of grant using the stock price discounted for the expected dividend yield through the vesting period and is recognized ratably over the vesting period</w:t>
      </w:r>
      <w:r>
        <w:rPr>
          <w:rFonts w:ascii="Times New Roman" w:eastAsia="宋体" w:hAnsi="Times New Roman"/>
          <w:color w:val="000000"/>
          <w:sz w:val="20"/>
          <w:szCs w:val="20"/>
        </w:rPr>
        <w:t>. The expected dividend yield is based on the anticipated dividends over the vesting period. The weighted-average discount for the dividend yield used to determine the fair value of restricted stock units granted in fiscal 2022, 2021 and 2020 was 3.8%, 4.4</w:t>
      </w:r>
      <w:r>
        <w:rPr>
          <w:rFonts w:ascii="Times New Roman" w:eastAsia="宋体" w:hAnsi="Times New Roman"/>
          <w:color w:val="000000"/>
          <w:sz w:val="20"/>
          <w:szCs w:val="20"/>
        </w:rPr>
        <w:t>% and 4.9%, respectively.</w:t>
      </w:r>
    </w:p>
    <w:p w14:paraId="35D0ADFD" w14:textId="77777777" w:rsidR="00D42204" w:rsidRDefault="004E439D">
      <w:pPr>
        <w:spacing w:before="60"/>
        <w:ind w:hanging="270"/>
      </w:pPr>
      <w:r>
        <w:rPr>
          <w:rFonts w:ascii="Times New Roman" w:eastAsia="宋体" w:hAnsi="Times New Roman"/>
          <w:i/>
          <w:iCs/>
          <w:color w:val="000000"/>
          <w:sz w:val="20"/>
          <w:szCs w:val="20"/>
        </w:rPr>
        <w:t xml:space="preserve">•Restricted Stock and Performance-based Restricted Stock Units. </w:t>
      </w:r>
      <w:r>
        <w:rPr>
          <w:rFonts w:ascii="Times New Roman" w:eastAsia="宋体" w:hAnsi="Times New Roman"/>
          <w:color w:val="000000"/>
          <w:sz w:val="20"/>
          <w:szCs w:val="20"/>
        </w:rPr>
        <w:t>Restricted stock awards are for shares that vest based on the passage of time and include restrictions related to employment. Performance-based restricted stock units</w:t>
      </w:r>
      <w:r>
        <w:rPr>
          <w:rFonts w:ascii="Times New Roman" w:eastAsia="宋体" w:hAnsi="Times New Roman"/>
          <w:color w:val="000000"/>
          <w:sz w:val="20"/>
          <w:szCs w:val="20"/>
        </w:rPr>
        <w:t xml:space="preserve"> vest based on the passage of time and achievement of performance criteria and generally range from 0% to 150% of the original award amount. Vesting periods for these awards are generally between one and three years. Restricted stock and performance-based </w:t>
      </w:r>
      <w:r>
        <w:rPr>
          <w:rFonts w:ascii="Times New Roman" w:eastAsia="宋体" w:hAnsi="Times New Roman"/>
          <w:color w:val="000000"/>
          <w:sz w:val="20"/>
          <w:szCs w:val="20"/>
        </w:rPr>
        <w:t>restricted stock units may be settled or deferred in stock and are accounted for as equity in the Company's Consolidated Balance Sheets. The fair value of restricted stock awards is determined on the date of grant and is expensed ratably over the vesting p</w:t>
      </w:r>
      <w:r>
        <w:rPr>
          <w:rFonts w:ascii="Times New Roman" w:eastAsia="宋体" w:hAnsi="Times New Roman"/>
          <w:color w:val="000000"/>
          <w:sz w:val="20"/>
          <w:szCs w:val="20"/>
        </w:rPr>
        <w:t>eriod. The fair value of performance-based restricted stock units is determined on the date of grant using the Company's stock price discounted for the expected dividend yield through the vesting period and is recognized over the vesting period. The weight</w:t>
      </w:r>
      <w:r>
        <w:rPr>
          <w:rFonts w:ascii="Times New Roman" w:eastAsia="宋体" w:hAnsi="Times New Roman"/>
          <w:color w:val="000000"/>
          <w:sz w:val="20"/>
          <w:szCs w:val="20"/>
        </w:rPr>
        <w:t>ed-average discount for the dividend yield used to determine the fair value of performance-based restricted stock units in fiscal 2022, 2021 and 2020 was 4.2%, 4.5% and 5.1%, respectively.</w:t>
      </w:r>
    </w:p>
    <w:p w14:paraId="35D0ADFE" w14:textId="77777777" w:rsidR="00D42204" w:rsidRDefault="004E439D">
      <w:pPr>
        <w:spacing w:before="100"/>
      </w:pPr>
      <w:r>
        <w:rPr>
          <w:rFonts w:ascii="Times New Roman" w:eastAsia="宋体" w:hAnsi="Times New Roman"/>
          <w:color w:val="000000"/>
          <w:sz w:val="20"/>
          <w:szCs w:val="20"/>
        </w:rPr>
        <w:t>In addition to the Plan, Flipkart has certain share-based compensat</w:t>
      </w:r>
      <w:r>
        <w:rPr>
          <w:rFonts w:ascii="Times New Roman" w:eastAsia="宋体" w:hAnsi="Times New Roman"/>
          <w:color w:val="000000"/>
          <w:sz w:val="20"/>
          <w:szCs w:val="20"/>
        </w:rPr>
        <w:t xml:space="preserve">ion plans for associates under which options to acquire Flipkart common shares may be issued. Share-based compensation expense associated with these plans is included in the Other line in the table above. </w:t>
      </w:r>
    </w:p>
    <w:p w14:paraId="35D0ADFF" w14:textId="77777777" w:rsidR="00D42204" w:rsidRDefault="004E439D">
      <w:pPr>
        <w:jc w:val="center"/>
      </w:pPr>
      <w:r>
        <w:rPr>
          <w:rFonts w:ascii="Times New Roman" w:eastAsia="宋体" w:hAnsi="Times New Roman"/>
          <w:color w:val="000000"/>
          <w:sz w:val="20"/>
          <w:szCs w:val="20"/>
        </w:rPr>
        <w:t>64</w:t>
      </w:r>
    </w:p>
    <w:p w14:paraId="35D0AE00" w14:textId="77777777" w:rsidR="00D42204" w:rsidRDefault="004E439D">
      <w:r>
        <w:pict w14:anchorId="35D0C39B">
          <v:rect id="_x0000_i1088" style="width:415.3pt;height:1.5pt" o:hralign="center" o:hrstd="t" o:hr="t" fillcolor="#a0a0a0" stroked="f"/>
        </w:pict>
      </w:r>
    </w:p>
    <w:p w14:paraId="35D0AE01" w14:textId="77777777" w:rsidR="00D42204" w:rsidRDefault="00D42204"/>
    <w:p w14:paraId="35D0AE02" w14:textId="77777777" w:rsidR="00D42204" w:rsidRDefault="004E439D">
      <w:pPr>
        <w:spacing w:before="100"/>
      </w:pPr>
      <w:r>
        <w:rPr>
          <w:rFonts w:ascii="Times New Roman" w:eastAsia="宋体" w:hAnsi="Times New Roman"/>
          <w:color w:val="000000"/>
          <w:sz w:val="20"/>
          <w:szCs w:val="20"/>
        </w:rPr>
        <w:t xml:space="preserve">The following table shows the </w:t>
      </w:r>
      <w:r>
        <w:rPr>
          <w:rFonts w:ascii="Times New Roman" w:eastAsia="宋体" w:hAnsi="Times New Roman"/>
          <w:color w:val="000000"/>
          <w:sz w:val="20"/>
          <w:szCs w:val="20"/>
        </w:rPr>
        <w:t>activity for restricted stock units and restricted stock and performance-based restricted stock units during fiscal 2022:</w:t>
      </w:r>
    </w:p>
    <w:tbl>
      <w:tblPr>
        <w:tblW w:w="5000" w:type="pct"/>
        <w:tblCellMar>
          <w:top w:w="15" w:type="dxa"/>
          <w:left w:w="15" w:type="dxa"/>
          <w:bottom w:w="15" w:type="dxa"/>
          <w:right w:w="15" w:type="dxa"/>
        </w:tblCellMar>
        <w:tblLook w:val="04A0" w:firstRow="1" w:lastRow="0" w:firstColumn="1" w:lastColumn="0" w:noHBand="0" w:noVBand="1"/>
      </w:tblPr>
      <w:tblGrid>
        <w:gridCol w:w="40"/>
        <w:gridCol w:w="3341"/>
        <w:gridCol w:w="39"/>
        <w:gridCol w:w="36"/>
        <w:gridCol w:w="36"/>
        <w:gridCol w:w="36"/>
        <w:gridCol w:w="38"/>
        <w:gridCol w:w="849"/>
        <w:gridCol w:w="36"/>
        <w:gridCol w:w="36"/>
        <w:gridCol w:w="36"/>
        <w:gridCol w:w="36"/>
        <w:gridCol w:w="101"/>
        <w:gridCol w:w="1213"/>
        <w:gridCol w:w="36"/>
        <w:gridCol w:w="36"/>
        <w:gridCol w:w="36"/>
        <w:gridCol w:w="36"/>
        <w:gridCol w:w="50"/>
        <w:gridCol w:w="771"/>
        <w:gridCol w:w="37"/>
        <w:gridCol w:w="37"/>
        <w:gridCol w:w="37"/>
        <w:gridCol w:w="36"/>
        <w:gridCol w:w="101"/>
        <w:gridCol w:w="1213"/>
        <w:gridCol w:w="37"/>
      </w:tblGrid>
      <w:tr w:rsidR="00D42204" w14:paraId="35D0AE1E" w14:textId="77777777">
        <w:tc>
          <w:tcPr>
            <w:tcW w:w="50" w:type="pct"/>
            <w:shd w:val="clear" w:color="auto" w:fill="auto"/>
            <w:vAlign w:val="bottom"/>
          </w:tcPr>
          <w:p w14:paraId="35D0AE03" w14:textId="77777777" w:rsidR="00D42204" w:rsidRDefault="00D42204">
            <w:pPr>
              <w:rPr>
                <w:rFonts w:ascii="宋体"/>
              </w:rPr>
            </w:pPr>
          </w:p>
        </w:tc>
        <w:tc>
          <w:tcPr>
            <w:tcW w:w="2079" w:type="pct"/>
            <w:shd w:val="clear" w:color="auto" w:fill="auto"/>
            <w:vAlign w:val="bottom"/>
          </w:tcPr>
          <w:p w14:paraId="35D0AE04" w14:textId="77777777" w:rsidR="00D42204" w:rsidRDefault="00D42204">
            <w:pPr>
              <w:rPr>
                <w:rFonts w:ascii="宋体"/>
              </w:rPr>
            </w:pPr>
          </w:p>
        </w:tc>
        <w:tc>
          <w:tcPr>
            <w:tcW w:w="5" w:type="pct"/>
            <w:shd w:val="clear" w:color="auto" w:fill="auto"/>
            <w:vAlign w:val="bottom"/>
          </w:tcPr>
          <w:p w14:paraId="35D0AE05" w14:textId="77777777" w:rsidR="00D42204" w:rsidRDefault="00D42204">
            <w:pPr>
              <w:rPr>
                <w:rFonts w:ascii="宋体"/>
              </w:rPr>
            </w:pPr>
          </w:p>
        </w:tc>
        <w:tc>
          <w:tcPr>
            <w:tcW w:w="5" w:type="pct"/>
            <w:shd w:val="clear" w:color="auto" w:fill="auto"/>
            <w:vAlign w:val="bottom"/>
          </w:tcPr>
          <w:p w14:paraId="35D0AE06" w14:textId="77777777" w:rsidR="00D42204" w:rsidRDefault="00D42204">
            <w:pPr>
              <w:rPr>
                <w:rFonts w:ascii="宋体"/>
              </w:rPr>
            </w:pPr>
          </w:p>
        </w:tc>
        <w:tc>
          <w:tcPr>
            <w:tcW w:w="26" w:type="pct"/>
            <w:shd w:val="clear" w:color="auto" w:fill="auto"/>
            <w:vAlign w:val="bottom"/>
          </w:tcPr>
          <w:p w14:paraId="35D0AE07" w14:textId="77777777" w:rsidR="00D42204" w:rsidRDefault="00D42204">
            <w:pPr>
              <w:rPr>
                <w:rFonts w:ascii="宋体"/>
              </w:rPr>
            </w:pPr>
          </w:p>
        </w:tc>
        <w:tc>
          <w:tcPr>
            <w:tcW w:w="5" w:type="pct"/>
            <w:shd w:val="clear" w:color="auto" w:fill="auto"/>
            <w:vAlign w:val="bottom"/>
          </w:tcPr>
          <w:p w14:paraId="35D0AE08" w14:textId="77777777" w:rsidR="00D42204" w:rsidRDefault="00D42204">
            <w:pPr>
              <w:rPr>
                <w:rFonts w:ascii="宋体"/>
              </w:rPr>
            </w:pPr>
          </w:p>
        </w:tc>
        <w:tc>
          <w:tcPr>
            <w:tcW w:w="50" w:type="pct"/>
            <w:shd w:val="clear" w:color="auto" w:fill="auto"/>
            <w:vAlign w:val="bottom"/>
          </w:tcPr>
          <w:p w14:paraId="35D0AE09" w14:textId="77777777" w:rsidR="00D42204" w:rsidRDefault="00D42204">
            <w:pPr>
              <w:rPr>
                <w:rFonts w:ascii="宋体"/>
              </w:rPr>
            </w:pPr>
          </w:p>
        </w:tc>
        <w:tc>
          <w:tcPr>
            <w:tcW w:w="624" w:type="pct"/>
            <w:shd w:val="clear" w:color="auto" w:fill="auto"/>
            <w:vAlign w:val="bottom"/>
          </w:tcPr>
          <w:p w14:paraId="35D0AE0A" w14:textId="77777777" w:rsidR="00D42204" w:rsidRDefault="00D42204">
            <w:pPr>
              <w:rPr>
                <w:rFonts w:ascii="宋体"/>
              </w:rPr>
            </w:pPr>
          </w:p>
        </w:tc>
        <w:tc>
          <w:tcPr>
            <w:tcW w:w="5" w:type="pct"/>
            <w:shd w:val="clear" w:color="auto" w:fill="auto"/>
            <w:vAlign w:val="bottom"/>
          </w:tcPr>
          <w:p w14:paraId="35D0AE0B" w14:textId="77777777" w:rsidR="00D42204" w:rsidRDefault="00D42204">
            <w:pPr>
              <w:rPr>
                <w:rFonts w:ascii="宋体"/>
              </w:rPr>
            </w:pPr>
          </w:p>
        </w:tc>
        <w:tc>
          <w:tcPr>
            <w:tcW w:w="5" w:type="pct"/>
            <w:shd w:val="clear" w:color="auto" w:fill="auto"/>
            <w:vAlign w:val="bottom"/>
          </w:tcPr>
          <w:p w14:paraId="35D0AE0C" w14:textId="77777777" w:rsidR="00D42204" w:rsidRDefault="00D42204">
            <w:pPr>
              <w:rPr>
                <w:rFonts w:ascii="宋体"/>
              </w:rPr>
            </w:pPr>
          </w:p>
        </w:tc>
        <w:tc>
          <w:tcPr>
            <w:tcW w:w="26" w:type="pct"/>
            <w:shd w:val="clear" w:color="auto" w:fill="auto"/>
            <w:vAlign w:val="bottom"/>
          </w:tcPr>
          <w:p w14:paraId="35D0AE0D" w14:textId="77777777" w:rsidR="00D42204" w:rsidRDefault="00D42204">
            <w:pPr>
              <w:rPr>
                <w:rFonts w:ascii="宋体"/>
              </w:rPr>
            </w:pPr>
          </w:p>
        </w:tc>
        <w:tc>
          <w:tcPr>
            <w:tcW w:w="5" w:type="pct"/>
            <w:shd w:val="clear" w:color="auto" w:fill="auto"/>
            <w:vAlign w:val="bottom"/>
          </w:tcPr>
          <w:p w14:paraId="35D0AE0E" w14:textId="77777777" w:rsidR="00D42204" w:rsidRDefault="00D42204">
            <w:pPr>
              <w:rPr>
                <w:rFonts w:ascii="宋体"/>
              </w:rPr>
            </w:pPr>
          </w:p>
        </w:tc>
        <w:tc>
          <w:tcPr>
            <w:tcW w:w="50" w:type="pct"/>
            <w:shd w:val="clear" w:color="auto" w:fill="auto"/>
            <w:vAlign w:val="bottom"/>
          </w:tcPr>
          <w:p w14:paraId="35D0AE0F" w14:textId="77777777" w:rsidR="00D42204" w:rsidRDefault="00D42204">
            <w:pPr>
              <w:rPr>
                <w:rFonts w:ascii="宋体"/>
              </w:rPr>
            </w:pPr>
          </w:p>
        </w:tc>
        <w:tc>
          <w:tcPr>
            <w:tcW w:w="624" w:type="pct"/>
            <w:shd w:val="clear" w:color="auto" w:fill="auto"/>
            <w:vAlign w:val="bottom"/>
          </w:tcPr>
          <w:p w14:paraId="35D0AE10" w14:textId="77777777" w:rsidR="00D42204" w:rsidRDefault="00D42204">
            <w:pPr>
              <w:rPr>
                <w:rFonts w:ascii="宋体"/>
              </w:rPr>
            </w:pPr>
          </w:p>
        </w:tc>
        <w:tc>
          <w:tcPr>
            <w:tcW w:w="5" w:type="pct"/>
            <w:shd w:val="clear" w:color="auto" w:fill="auto"/>
            <w:vAlign w:val="bottom"/>
          </w:tcPr>
          <w:p w14:paraId="35D0AE11" w14:textId="77777777" w:rsidR="00D42204" w:rsidRDefault="00D42204">
            <w:pPr>
              <w:rPr>
                <w:rFonts w:ascii="宋体"/>
              </w:rPr>
            </w:pPr>
          </w:p>
        </w:tc>
        <w:tc>
          <w:tcPr>
            <w:tcW w:w="5" w:type="pct"/>
            <w:shd w:val="clear" w:color="auto" w:fill="auto"/>
            <w:vAlign w:val="bottom"/>
          </w:tcPr>
          <w:p w14:paraId="35D0AE12" w14:textId="77777777" w:rsidR="00D42204" w:rsidRDefault="00D42204">
            <w:pPr>
              <w:rPr>
                <w:rFonts w:ascii="宋体"/>
              </w:rPr>
            </w:pPr>
          </w:p>
        </w:tc>
        <w:tc>
          <w:tcPr>
            <w:tcW w:w="26" w:type="pct"/>
            <w:shd w:val="clear" w:color="auto" w:fill="auto"/>
            <w:vAlign w:val="bottom"/>
          </w:tcPr>
          <w:p w14:paraId="35D0AE13" w14:textId="77777777" w:rsidR="00D42204" w:rsidRDefault="00D42204">
            <w:pPr>
              <w:rPr>
                <w:rFonts w:ascii="宋体"/>
              </w:rPr>
            </w:pPr>
          </w:p>
        </w:tc>
        <w:tc>
          <w:tcPr>
            <w:tcW w:w="5" w:type="pct"/>
            <w:shd w:val="clear" w:color="auto" w:fill="auto"/>
            <w:vAlign w:val="bottom"/>
          </w:tcPr>
          <w:p w14:paraId="35D0AE14" w14:textId="77777777" w:rsidR="00D42204" w:rsidRDefault="00D42204">
            <w:pPr>
              <w:rPr>
                <w:rFonts w:ascii="宋体"/>
              </w:rPr>
            </w:pPr>
          </w:p>
        </w:tc>
        <w:tc>
          <w:tcPr>
            <w:tcW w:w="50" w:type="pct"/>
            <w:shd w:val="clear" w:color="auto" w:fill="auto"/>
            <w:vAlign w:val="bottom"/>
          </w:tcPr>
          <w:p w14:paraId="35D0AE15" w14:textId="77777777" w:rsidR="00D42204" w:rsidRDefault="00D42204">
            <w:pPr>
              <w:rPr>
                <w:rFonts w:ascii="宋体"/>
              </w:rPr>
            </w:pPr>
          </w:p>
        </w:tc>
        <w:tc>
          <w:tcPr>
            <w:tcW w:w="624" w:type="pct"/>
            <w:shd w:val="clear" w:color="auto" w:fill="auto"/>
            <w:vAlign w:val="bottom"/>
          </w:tcPr>
          <w:p w14:paraId="35D0AE16" w14:textId="77777777" w:rsidR="00D42204" w:rsidRDefault="00D42204">
            <w:pPr>
              <w:rPr>
                <w:rFonts w:ascii="宋体"/>
              </w:rPr>
            </w:pPr>
          </w:p>
        </w:tc>
        <w:tc>
          <w:tcPr>
            <w:tcW w:w="5" w:type="pct"/>
            <w:shd w:val="clear" w:color="auto" w:fill="auto"/>
            <w:vAlign w:val="bottom"/>
          </w:tcPr>
          <w:p w14:paraId="35D0AE17" w14:textId="77777777" w:rsidR="00D42204" w:rsidRDefault="00D42204">
            <w:pPr>
              <w:rPr>
                <w:rFonts w:ascii="宋体"/>
              </w:rPr>
            </w:pPr>
          </w:p>
        </w:tc>
        <w:tc>
          <w:tcPr>
            <w:tcW w:w="5" w:type="pct"/>
            <w:shd w:val="clear" w:color="auto" w:fill="auto"/>
            <w:vAlign w:val="bottom"/>
          </w:tcPr>
          <w:p w14:paraId="35D0AE18" w14:textId="77777777" w:rsidR="00D42204" w:rsidRDefault="00D42204">
            <w:pPr>
              <w:rPr>
                <w:rFonts w:ascii="宋体"/>
              </w:rPr>
            </w:pPr>
          </w:p>
        </w:tc>
        <w:tc>
          <w:tcPr>
            <w:tcW w:w="26" w:type="pct"/>
            <w:shd w:val="clear" w:color="auto" w:fill="auto"/>
            <w:vAlign w:val="bottom"/>
          </w:tcPr>
          <w:p w14:paraId="35D0AE19" w14:textId="77777777" w:rsidR="00D42204" w:rsidRDefault="00D42204">
            <w:pPr>
              <w:rPr>
                <w:rFonts w:ascii="宋体"/>
              </w:rPr>
            </w:pPr>
          </w:p>
        </w:tc>
        <w:tc>
          <w:tcPr>
            <w:tcW w:w="5" w:type="pct"/>
            <w:shd w:val="clear" w:color="auto" w:fill="auto"/>
            <w:vAlign w:val="bottom"/>
          </w:tcPr>
          <w:p w14:paraId="35D0AE1A" w14:textId="77777777" w:rsidR="00D42204" w:rsidRDefault="00D42204">
            <w:pPr>
              <w:rPr>
                <w:rFonts w:ascii="宋体"/>
              </w:rPr>
            </w:pPr>
          </w:p>
        </w:tc>
        <w:tc>
          <w:tcPr>
            <w:tcW w:w="50" w:type="pct"/>
            <w:shd w:val="clear" w:color="auto" w:fill="auto"/>
            <w:vAlign w:val="bottom"/>
          </w:tcPr>
          <w:p w14:paraId="35D0AE1B" w14:textId="77777777" w:rsidR="00D42204" w:rsidRDefault="00D42204">
            <w:pPr>
              <w:rPr>
                <w:rFonts w:ascii="宋体"/>
              </w:rPr>
            </w:pPr>
          </w:p>
        </w:tc>
        <w:tc>
          <w:tcPr>
            <w:tcW w:w="625" w:type="pct"/>
            <w:shd w:val="clear" w:color="auto" w:fill="auto"/>
            <w:vAlign w:val="bottom"/>
          </w:tcPr>
          <w:p w14:paraId="35D0AE1C" w14:textId="77777777" w:rsidR="00D42204" w:rsidRDefault="00D42204">
            <w:pPr>
              <w:rPr>
                <w:rFonts w:ascii="宋体"/>
              </w:rPr>
            </w:pPr>
          </w:p>
        </w:tc>
        <w:tc>
          <w:tcPr>
            <w:tcW w:w="5" w:type="pct"/>
            <w:shd w:val="clear" w:color="auto" w:fill="auto"/>
            <w:vAlign w:val="bottom"/>
          </w:tcPr>
          <w:p w14:paraId="35D0AE1D" w14:textId="77777777" w:rsidR="00D42204" w:rsidRDefault="00D42204">
            <w:pPr>
              <w:rPr>
                <w:rFonts w:ascii="宋体"/>
              </w:rPr>
            </w:pPr>
          </w:p>
        </w:tc>
      </w:tr>
      <w:tr w:rsidR="00D42204" w14:paraId="35D0AE24" w14:textId="77777777">
        <w:tc>
          <w:tcPr>
            <w:tcW w:w="0" w:type="auto"/>
            <w:gridSpan w:val="3"/>
            <w:shd w:val="clear" w:color="auto" w:fill="auto"/>
            <w:tcMar>
              <w:top w:w="0" w:type="dxa"/>
              <w:left w:w="20" w:type="dxa"/>
              <w:bottom w:w="0" w:type="dxa"/>
              <w:right w:w="20" w:type="dxa"/>
            </w:tcMar>
            <w:vAlign w:val="bottom"/>
          </w:tcPr>
          <w:p w14:paraId="35D0AE1F"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E20" w14:textId="77777777" w:rsidR="00D42204" w:rsidRDefault="00D42204">
            <w:pPr>
              <w:rPr>
                <w:rFonts w:ascii="宋体"/>
              </w:rPr>
            </w:pPr>
          </w:p>
        </w:tc>
        <w:tc>
          <w:tcPr>
            <w:tcW w:w="0" w:type="auto"/>
            <w:gridSpan w:val="9"/>
            <w:shd w:val="clear" w:color="auto" w:fill="auto"/>
            <w:tcMar>
              <w:top w:w="40" w:type="dxa"/>
              <w:left w:w="20" w:type="dxa"/>
              <w:bottom w:w="40" w:type="dxa"/>
              <w:right w:w="20" w:type="dxa"/>
            </w:tcMar>
            <w:vAlign w:val="bottom"/>
          </w:tcPr>
          <w:p w14:paraId="35D0AE21" w14:textId="77777777" w:rsidR="00D42204" w:rsidRDefault="004E439D">
            <w:pPr>
              <w:jc w:val="center"/>
              <w:textAlignment w:val="bottom"/>
            </w:pPr>
            <w:r>
              <w:rPr>
                <w:rFonts w:ascii="Times New Roman" w:eastAsia="宋体" w:hAnsi="Times New Roman"/>
                <w:b/>
                <w:bCs/>
                <w:color w:val="000000"/>
                <w:sz w:val="16"/>
                <w:szCs w:val="16"/>
              </w:rPr>
              <w:t>Restricted Stock Units</w:t>
            </w:r>
          </w:p>
        </w:tc>
        <w:tc>
          <w:tcPr>
            <w:tcW w:w="0" w:type="auto"/>
            <w:gridSpan w:val="3"/>
            <w:shd w:val="clear" w:color="auto" w:fill="auto"/>
            <w:tcMar>
              <w:top w:w="0" w:type="dxa"/>
              <w:left w:w="20" w:type="dxa"/>
              <w:bottom w:w="0" w:type="dxa"/>
              <w:right w:w="20" w:type="dxa"/>
            </w:tcMar>
            <w:vAlign w:val="bottom"/>
          </w:tcPr>
          <w:p w14:paraId="35D0AE22" w14:textId="77777777" w:rsidR="00D42204" w:rsidRDefault="00D42204">
            <w:pPr>
              <w:rPr>
                <w:rFonts w:ascii="宋体"/>
              </w:rPr>
            </w:pPr>
          </w:p>
        </w:tc>
        <w:tc>
          <w:tcPr>
            <w:tcW w:w="0" w:type="auto"/>
            <w:gridSpan w:val="9"/>
            <w:shd w:val="clear" w:color="auto" w:fill="auto"/>
            <w:tcMar>
              <w:top w:w="40" w:type="dxa"/>
              <w:left w:w="20" w:type="dxa"/>
              <w:bottom w:w="40" w:type="dxa"/>
              <w:right w:w="20" w:type="dxa"/>
            </w:tcMar>
            <w:vAlign w:val="bottom"/>
          </w:tcPr>
          <w:p w14:paraId="35D0AE23" w14:textId="77777777" w:rsidR="00D42204" w:rsidRDefault="004E439D">
            <w:pPr>
              <w:jc w:val="center"/>
              <w:textAlignment w:val="bottom"/>
            </w:pPr>
            <w:r>
              <w:rPr>
                <w:rFonts w:ascii="Times New Roman" w:eastAsia="宋体" w:hAnsi="Times New Roman"/>
                <w:b/>
                <w:bCs/>
                <w:color w:val="000000"/>
                <w:sz w:val="16"/>
                <w:szCs w:val="16"/>
              </w:rPr>
              <w:t xml:space="preserve">Restricted Stock and </w:t>
            </w:r>
            <w:r>
              <w:rPr>
                <w:rFonts w:ascii="Times New Roman" w:eastAsia="宋体" w:hAnsi="Times New Roman"/>
                <w:b/>
                <w:bCs/>
                <w:color w:val="000000"/>
                <w:sz w:val="16"/>
                <w:szCs w:val="16"/>
              </w:rPr>
              <w:br/>
              <w:t>Performance-based Restricted Stock Units</w:t>
            </w:r>
          </w:p>
        </w:tc>
      </w:tr>
      <w:tr w:rsidR="00D42204" w14:paraId="35D0AE2E" w14:textId="77777777">
        <w:tc>
          <w:tcPr>
            <w:tcW w:w="0" w:type="auto"/>
            <w:gridSpan w:val="3"/>
            <w:shd w:val="clear" w:color="auto" w:fill="auto"/>
            <w:tcMar>
              <w:top w:w="40" w:type="dxa"/>
              <w:left w:w="20" w:type="dxa"/>
              <w:bottom w:w="40" w:type="dxa"/>
              <w:right w:w="20" w:type="dxa"/>
            </w:tcMar>
            <w:vAlign w:val="bottom"/>
          </w:tcPr>
          <w:p w14:paraId="35D0AE25" w14:textId="77777777" w:rsidR="00D42204" w:rsidRDefault="004E439D">
            <w:pPr>
              <w:textAlignment w:val="bottom"/>
            </w:pPr>
            <w:r>
              <w:rPr>
                <w:rFonts w:ascii="Times New Roman" w:eastAsia="宋体" w:hAnsi="Times New Roman"/>
                <w:i/>
                <w:iCs/>
                <w:color w:val="000000"/>
                <w:sz w:val="16"/>
                <w:szCs w:val="16"/>
              </w:rPr>
              <w:t>(Shares in thousands)</w:t>
            </w:r>
          </w:p>
        </w:tc>
        <w:tc>
          <w:tcPr>
            <w:tcW w:w="0" w:type="auto"/>
            <w:gridSpan w:val="3"/>
            <w:shd w:val="clear" w:color="auto" w:fill="auto"/>
            <w:tcMar>
              <w:top w:w="0" w:type="dxa"/>
              <w:left w:w="20" w:type="dxa"/>
              <w:bottom w:w="0" w:type="dxa"/>
              <w:right w:w="20" w:type="dxa"/>
            </w:tcMar>
            <w:vAlign w:val="bottom"/>
          </w:tcPr>
          <w:p w14:paraId="35D0AE26"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E27" w14:textId="77777777" w:rsidR="00D42204" w:rsidRDefault="004E439D">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E28"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E29" w14:textId="77777777" w:rsidR="00D42204" w:rsidRDefault="004E439D">
            <w:pPr>
              <w:jc w:val="center"/>
              <w:textAlignment w:val="bottom"/>
            </w:pPr>
            <w:r>
              <w:rPr>
                <w:rFonts w:ascii="Times New Roman" w:eastAsia="宋体" w:hAnsi="Times New Roman"/>
                <w:b/>
                <w:bCs/>
                <w:color w:val="000000"/>
                <w:sz w:val="16"/>
                <w:szCs w:val="16"/>
              </w:rPr>
              <w:t>Weighted-Average Grant-Date Fair Value Per Share</w:t>
            </w:r>
          </w:p>
        </w:tc>
        <w:tc>
          <w:tcPr>
            <w:tcW w:w="0" w:type="auto"/>
            <w:gridSpan w:val="3"/>
            <w:shd w:val="clear" w:color="auto" w:fill="auto"/>
            <w:tcMar>
              <w:top w:w="0" w:type="dxa"/>
              <w:left w:w="20" w:type="dxa"/>
              <w:bottom w:w="0" w:type="dxa"/>
              <w:right w:w="20" w:type="dxa"/>
            </w:tcMar>
            <w:vAlign w:val="bottom"/>
          </w:tcPr>
          <w:p w14:paraId="35D0AE2A"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E2B" w14:textId="77777777" w:rsidR="00D42204" w:rsidRDefault="004E439D">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E2C"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E2D" w14:textId="77777777" w:rsidR="00D42204" w:rsidRDefault="004E439D">
            <w:pPr>
              <w:jc w:val="center"/>
              <w:textAlignment w:val="bottom"/>
            </w:pPr>
            <w:r>
              <w:rPr>
                <w:rFonts w:ascii="Times New Roman" w:eastAsia="宋体" w:hAnsi="Times New Roman"/>
                <w:b/>
                <w:bCs/>
                <w:color w:val="000000"/>
                <w:sz w:val="16"/>
                <w:szCs w:val="16"/>
              </w:rPr>
              <w:t>Weighted-Average Grant-Date Fair Value Per Share</w:t>
            </w:r>
          </w:p>
        </w:tc>
      </w:tr>
      <w:tr w:rsidR="00D42204" w14:paraId="35D0AE3E" w14:textId="77777777">
        <w:tc>
          <w:tcPr>
            <w:tcW w:w="0" w:type="auto"/>
            <w:gridSpan w:val="3"/>
            <w:shd w:val="clear" w:color="auto" w:fill="CCEEFF"/>
            <w:tcMar>
              <w:top w:w="40" w:type="dxa"/>
              <w:left w:w="20" w:type="dxa"/>
              <w:bottom w:w="40" w:type="dxa"/>
              <w:right w:w="20" w:type="dxa"/>
            </w:tcMar>
            <w:vAlign w:val="center"/>
          </w:tcPr>
          <w:p w14:paraId="35D0AE2F" w14:textId="77777777" w:rsidR="00D42204" w:rsidRDefault="004E439D">
            <w:pPr>
              <w:textAlignment w:val="center"/>
            </w:pPr>
            <w:r>
              <w:rPr>
                <w:rFonts w:ascii="Times New Roman" w:eastAsia="宋体" w:hAnsi="Times New Roman"/>
                <w:color w:val="000000"/>
                <w:sz w:val="16"/>
                <w:szCs w:val="16"/>
              </w:rPr>
              <w:t>Outstanding as of February 1, 2021</w:t>
            </w:r>
          </w:p>
        </w:tc>
        <w:tc>
          <w:tcPr>
            <w:tcW w:w="0" w:type="auto"/>
            <w:gridSpan w:val="3"/>
            <w:shd w:val="clear" w:color="auto" w:fill="CCEEFF"/>
            <w:tcMar>
              <w:top w:w="0" w:type="dxa"/>
              <w:left w:w="20" w:type="dxa"/>
              <w:bottom w:w="0" w:type="dxa"/>
              <w:right w:w="20" w:type="dxa"/>
            </w:tcMar>
            <w:vAlign w:val="bottom"/>
          </w:tcPr>
          <w:p w14:paraId="35D0AE30"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E31" w14:textId="77777777" w:rsidR="00D42204" w:rsidRDefault="004E439D">
            <w:pPr>
              <w:jc w:val="right"/>
              <w:textAlignment w:val="center"/>
            </w:pPr>
            <w:r>
              <w:rPr>
                <w:rFonts w:ascii="Times New Roman" w:eastAsia="宋体" w:hAnsi="Times New Roman"/>
                <w:color w:val="000000"/>
                <w:sz w:val="16"/>
                <w:szCs w:val="16"/>
              </w:rPr>
              <w:t>19,900 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E3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E33"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E34"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E35" w14:textId="77777777" w:rsidR="00D42204" w:rsidRDefault="004E439D">
            <w:pPr>
              <w:jc w:val="right"/>
              <w:textAlignment w:val="center"/>
            </w:pPr>
            <w:r>
              <w:rPr>
                <w:rFonts w:ascii="Times New Roman" w:eastAsia="宋体" w:hAnsi="Times New Roman"/>
                <w:color w:val="000000"/>
                <w:sz w:val="16"/>
                <w:szCs w:val="16"/>
              </w:rPr>
              <w:t>92.13 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E3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E37"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E38" w14:textId="77777777" w:rsidR="00D42204" w:rsidRDefault="004E439D">
            <w:pPr>
              <w:jc w:val="right"/>
              <w:textAlignment w:val="center"/>
            </w:pPr>
            <w:r>
              <w:rPr>
                <w:rFonts w:ascii="Times New Roman" w:eastAsia="宋体" w:hAnsi="Times New Roman"/>
                <w:color w:val="000000"/>
                <w:sz w:val="16"/>
                <w:szCs w:val="16"/>
              </w:rPr>
              <w:t>5,413 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E3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E3A"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E3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E3C" w14:textId="77777777" w:rsidR="00D42204" w:rsidRDefault="004E439D">
            <w:pPr>
              <w:jc w:val="right"/>
              <w:textAlignment w:val="center"/>
            </w:pPr>
            <w:r>
              <w:rPr>
                <w:rFonts w:ascii="Times New Roman" w:eastAsia="宋体" w:hAnsi="Times New Roman"/>
                <w:color w:val="000000"/>
                <w:sz w:val="16"/>
                <w:szCs w:val="16"/>
              </w:rPr>
              <w:t>108.72 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E3D" w14:textId="77777777" w:rsidR="00D42204" w:rsidRDefault="00D42204">
            <w:pPr>
              <w:jc w:val="right"/>
              <w:rPr>
                <w:rFonts w:ascii="宋体"/>
              </w:rPr>
            </w:pPr>
          </w:p>
        </w:tc>
      </w:tr>
      <w:tr w:rsidR="00D42204" w14:paraId="35D0AE4C" w14:textId="77777777">
        <w:tc>
          <w:tcPr>
            <w:tcW w:w="0" w:type="auto"/>
            <w:gridSpan w:val="3"/>
            <w:shd w:val="clear" w:color="auto" w:fill="FFFFFF"/>
            <w:tcMar>
              <w:top w:w="40" w:type="dxa"/>
              <w:left w:w="380" w:type="dxa"/>
              <w:bottom w:w="40" w:type="dxa"/>
              <w:right w:w="20" w:type="dxa"/>
            </w:tcMar>
            <w:vAlign w:val="center"/>
          </w:tcPr>
          <w:p w14:paraId="35D0AE3F" w14:textId="77777777" w:rsidR="00D42204" w:rsidRDefault="004E439D">
            <w:pPr>
              <w:textAlignment w:val="center"/>
            </w:pPr>
            <w:r>
              <w:rPr>
                <w:rFonts w:ascii="Times New Roman" w:eastAsia="宋体" w:hAnsi="Times New Roman"/>
                <w:color w:val="000000"/>
                <w:sz w:val="16"/>
                <w:szCs w:val="16"/>
              </w:rPr>
              <w:t>Granted</w:t>
            </w:r>
          </w:p>
        </w:tc>
        <w:tc>
          <w:tcPr>
            <w:tcW w:w="0" w:type="auto"/>
            <w:gridSpan w:val="3"/>
            <w:shd w:val="clear" w:color="auto" w:fill="FFFFFF"/>
            <w:tcMar>
              <w:top w:w="0" w:type="dxa"/>
              <w:left w:w="20" w:type="dxa"/>
              <w:bottom w:w="0" w:type="dxa"/>
              <w:right w:w="20" w:type="dxa"/>
            </w:tcMar>
            <w:vAlign w:val="bottom"/>
          </w:tcPr>
          <w:p w14:paraId="35D0AE4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E41" w14:textId="77777777" w:rsidR="00D42204" w:rsidRDefault="004E439D">
            <w:pPr>
              <w:jc w:val="right"/>
              <w:textAlignment w:val="center"/>
            </w:pPr>
            <w:r>
              <w:rPr>
                <w:rFonts w:ascii="Times New Roman" w:eastAsia="宋体" w:hAnsi="Times New Roman"/>
                <w:color w:val="000000"/>
                <w:sz w:val="16"/>
                <w:szCs w:val="16"/>
              </w:rPr>
              <w:t>8,219 </w:t>
            </w:r>
          </w:p>
        </w:tc>
        <w:tc>
          <w:tcPr>
            <w:tcW w:w="0" w:type="auto"/>
            <w:shd w:val="clear" w:color="auto" w:fill="FFFFFF"/>
            <w:tcMar>
              <w:top w:w="40" w:type="dxa"/>
              <w:left w:w="0" w:type="dxa"/>
              <w:bottom w:w="40" w:type="dxa"/>
              <w:right w:w="20" w:type="dxa"/>
            </w:tcMar>
            <w:vAlign w:val="center"/>
          </w:tcPr>
          <w:p w14:paraId="35D0AE4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E4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E44" w14:textId="77777777" w:rsidR="00D42204" w:rsidRDefault="004E439D">
            <w:pPr>
              <w:jc w:val="right"/>
              <w:textAlignment w:val="center"/>
            </w:pPr>
            <w:r>
              <w:rPr>
                <w:rFonts w:ascii="Times New Roman" w:eastAsia="宋体" w:hAnsi="Times New Roman"/>
                <w:color w:val="000000"/>
                <w:sz w:val="16"/>
                <w:szCs w:val="16"/>
              </w:rPr>
              <w:t>131.90 </w:t>
            </w:r>
          </w:p>
        </w:tc>
        <w:tc>
          <w:tcPr>
            <w:tcW w:w="0" w:type="auto"/>
            <w:shd w:val="clear" w:color="auto" w:fill="FFFFFF"/>
            <w:tcMar>
              <w:top w:w="40" w:type="dxa"/>
              <w:left w:w="0" w:type="dxa"/>
              <w:bottom w:w="40" w:type="dxa"/>
              <w:right w:w="20" w:type="dxa"/>
            </w:tcMar>
            <w:vAlign w:val="center"/>
          </w:tcPr>
          <w:p w14:paraId="35D0AE4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E4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E47" w14:textId="77777777" w:rsidR="00D42204" w:rsidRDefault="004E439D">
            <w:pPr>
              <w:jc w:val="right"/>
              <w:textAlignment w:val="center"/>
            </w:pPr>
            <w:r>
              <w:rPr>
                <w:rFonts w:ascii="Times New Roman" w:eastAsia="宋体" w:hAnsi="Times New Roman"/>
                <w:color w:val="000000"/>
                <w:sz w:val="16"/>
                <w:szCs w:val="16"/>
              </w:rPr>
              <w:t>3,057 </w:t>
            </w:r>
          </w:p>
        </w:tc>
        <w:tc>
          <w:tcPr>
            <w:tcW w:w="0" w:type="auto"/>
            <w:shd w:val="clear" w:color="auto" w:fill="FFFFFF"/>
            <w:tcMar>
              <w:top w:w="40" w:type="dxa"/>
              <w:left w:w="0" w:type="dxa"/>
              <w:bottom w:w="40" w:type="dxa"/>
              <w:right w:w="20" w:type="dxa"/>
            </w:tcMar>
            <w:vAlign w:val="center"/>
          </w:tcPr>
          <w:p w14:paraId="35D0AE4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E4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E4A" w14:textId="77777777" w:rsidR="00D42204" w:rsidRDefault="004E439D">
            <w:pPr>
              <w:jc w:val="right"/>
              <w:textAlignment w:val="center"/>
            </w:pPr>
            <w:r>
              <w:rPr>
                <w:rFonts w:ascii="Times New Roman" w:eastAsia="宋体" w:hAnsi="Times New Roman"/>
                <w:color w:val="000000"/>
                <w:sz w:val="16"/>
                <w:szCs w:val="16"/>
              </w:rPr>
              <w:t>135.48 </w:t>
            </w:r>
          </w:p>
        </w:tc>
        <w:tc>
          <w:tcPr>
            <w:tcW w:w="0" w:type="auto"/>
            <w:shd w:val="clear" w:color="auto" w:fill="FFFFFF"/>
            <w:tcMar>
              <w:top w:w="40" w:type="dxa"/>
              <w:left w:w="0" w:type="dxa"/>
              <w:bottom w:w="40" w:type="dxa"/>
              <w:right w:w="20" w:type="dxa"/>
            </w:tcMar>
            <w:vAlign w:val="center"/>
          </w:tcPr>
          <w:p w14:paraId="35D0AE4B" w14:textId="77777777" w:rsidR="00D42204" w:rsidRDefault="00D42204">
            <w:pPr>
              <w:jc w:val="right"/>
              <w:rPr>
                <w:rFonts w:ascii="宋体"/>
              </w:rPr>
            </w:pPr>
          </w:p>
        </w:tc>
      </w:tr>
      <w:tr w:rsidR="00D42204" w14:paraId="35D0AE5A" w14:textId="77777777">
        <w:tc>
          <w:tcPr>
            <w:tcW w:w="0" w:type="auto"/>
            <w:gridSpan w:val="3"/>
            <w:shd w:val="clear" w:color="auto" w:fill="CCEEFF"/>
            <w:tcMar>
              <w:top w:w="40" w:type="dxa"/>
              <w:left w:w="20" w:type="dxa"/>
              <w:bottom w:w="40" w:type="dxa"/>
              <w:right w:w="20" w:type="dxa"/>
            </w:tcMar>
            <w:vAlign w:val="center"/>
          </w:tcPr>
          <w:p w14:paraId="35D0AE4D" w14:textId="77777777" w:rsidR="00D42204" w:rsidRDefault="004E439D">
            <w:pPr>
              <w:textAlignment w:val="center"/>
            </w:pPr>
            <w:r>
              <w:rPr>
                <w:rFonts w:ascii="Times New Roman" w:eastAsia="宋体" w:hAnsi="Times New Roman"/>
                <w:color w:val="000000"/>
                <w:sz w:val="16"/>
                <w:szCs w:val="16"/>
              </w:rPr>
              <w:t>Adjustment for performance achievement</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35D0AE4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E4F"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E5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E5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E52"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E5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E5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E55" w14:textId="77777777" w:rsidR="00D42204" w:rsidRDefault="004E439D">
            <w:pPr>
              <w:jc w:val="right"/>
              <w:textAlignment w:val="center"/>
            </w:pPr>
            <w:r>
              <w:rPr>
                <w:rFonts w:ascii="Times New Roman" w:eastAsia="宋体" w:hAnsi="Times New Roman"/>
                <w:color w:val="000000"/>
                <w:sz w:val="16"/>
                <w:szCs w:val="16"/>
              </w:rPr>
              <w:t>920 </w:t>
            </w:r>
          </w:p>
        </w:tc>
        <w:tc>
          <w:tcPr>
            <w:tcW w:w="0" w:type="auto"/>
            <w:shd w:val="clear" w:color="auto" w:fill="CCEEFF"/>
            <w:tcMar>
              <w:top w:w="40" w:type="dxa"/>
              <w:left w:w="0" w:type="dxa"/>
              <w:bottom w:w="40" w:type="dxa"/>
              <w:right w:w="20" w:type="dxa"/>
            </w:tcMar>
            <w:vAlign w:val="center"/>
          </w:tcPr>
          <w:p w14:paraId="35D0AE5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E5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E58" w14:textId="77777777" w:rsidR="00D42204" w:rsidRDefault="004E439D">
            <w:pPr>
              <w:jc w:val="right"/>
              <w:textAlignment w:val="center"/>
            </w:pPr>
            <w:r>
              <w:rPr>
                <w:rFonts w:ascii="Times New Roman" w:eastAsia="宋体" w:hAnsi="Times New Roman"/>
                <w:color w:val="000000"/>
                <w:sz w:val="16"/>
                <w:szCs w:val="16"/>
              </w:rPr>
              <w:t>107.67 </w:t>
            </w:r>
          </w:p>
        </w:tc>
        <w:tc>
          <w:tcPr>
            <w:tcW w:w="0" w:type="auto"/>
            <w:shd w:val="clear" w:color="auto" w:fill="CCEEFF"/>
            <w:tcMar>
              <w:top w:w="40" w:type="dxa"/>
              <w:left w:w="0" w:type="dxa"/>
              <w:bottom w:w="40" w:type="dxa"/>
              <w:right w:w="20" w:type="dxa"/>
            </w:tcMar>
            <w:vAlign w:val="center"/>
          </w:tcPr>
          <w:p w14:paraId="35D0AE59" w14:textId="77777777" w:rsidR="00D42204" w:rsidRDefault="00D42204">
            <w:pPr>
              <w:jc w:val="right"/>
              <w:rPr>
                <w:rFonts w:ascii="宋体"/>
              </w:rPr>
            </w:pPr>
          </w:p>
        </w:tc>
      </w:tr>
      <w:tr w:rsidR="00D42204" w14:paraId="35D0AE68" w14:textId="77777777">
        <w:tc>
          <w:tcPr>
            <w:tcW w:w="0" w:type="auto"/>
            <w:gridSpan w:val="3"/>
            <w:shd w:val="clear" w:color="auto" w:fill="FFFFFF"/>
            <w:tcMar>
              <w:top w:w="40" w:type="dxa"/>
              <w:left w:w="380" w:type="dxa"/>
              <w:bottom w:w="40" w:type="dxa"/>
              <w:right w:w="20" w:type="dxa"/>
            </w:tcMar>
            <w:vAlign w:val="center"/>
          </w:tcPr>
          <w:p w14:paraId="35D0AE5B" w14:textId="77777777" w:rsidR="00D42204" w:rsidRDefault="004E439D">
            <w:pPr>
              <w:textAlignment w:val="center"/>
            </w:pPr>
            <w:r>
              <w:rPr>
                <w:rFonts w:ascii="Times New Roman" w:eastAsia="宋体" w:hAnsi="Times New Roman"/>
                <w:color w:val="000000"/>
                <w:sz w:val="16"/>
                <w:szCs w:val="16"/>
              </w:rPr>
              <w:t>Vested/exercised</w:t>
            </w:r>
          </w:p>
        </w:tc>
        <w:tc>
          <w:tcPr>
            <w:tcW w:w="0" w:type="auto"/>
            <w:gridSpan w:val="3"/>
            <w:shd w:val="clear" w:color="auto" w:fill="FFFFFF"/>
            <w:tcMar>
              <w:top w:w="0" w:type="dxa"/>
              <w:left w:w="20" w:type="dxa"/>
              <w:bottom w:w="0" w:type="dxa"/>
              <w:right w:w="20" w:type="dxa"/>
            </w:tcMar>
            <w:vAlign w:val="bottom"/>
          </w:tcPr>
          <w:p w14:paraId="35D0AE5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E5D" w14:textId="77777777" w:rsidR="00D42204" w:rsidRDefault="004E439D">
            <w:pPr>
              <w:jc w:val="right"/>
              <w:textAlignment w:val="center"/>
            </w:pPr>
            <w:r>
              <w:rPr>
                <w:rFonts w:ascii="Times New Roman" w:eastAsia="宋体" w:hAnsi="Times New Roman"/>
                <w:color w:val="000000"/>
                <w:sz w:val="16"/>
                <w:szCs w:val="16"/>
              </w:rPr>
              <w:t>(8,051)</w:t>
            </w:r>
          </w:p>
        </w:tc>
        <w:tc>
          <w:tcPr>
            <w:tcW w:w="0" w:type="auto"/>
            <w:shd w:val="clear" w:color="auto" w:fill="FFFFFF"/>
            <w:tcMar>
              <w:top w:w="40" w:type="dxa"/>
              <w:left w:w="0" w:type="dxa"/>
              <w:bottom w:w="40" w:type="dxa"/>
              <w:right w:w="20" w:type="dxa"/>
            </w:tcMar>
            <w:vAlign w:val="center"/>
          </w:tcPr>
          <w:p w14:paraId="35D0AE5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E5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E60" w14:textId="77777777" w:rsidR="00D42204" w:rsidRDefault="004E439D">
            <w:pPr>
              <w:jc w:val="right"/>
              <w:textAlignment w:val="center"/>
            </w:pPr>
            <w:r>
              <w:rPr>
                <w:rFonts w:ascii="Times New Roman" w:eastAsia="宋体" w:hAnsi="Times New Roman"/>
                <w:color w:val="000000"/>
                <w:sz w:val="16"/>
                <w:szCs w:val="16"/>
              </w:rPr>
              <w:t>85.21 </w:t>
            </w:r>
          </w:p>
        </w:tc>
        <w:tc>
          <w:tcPr>
            <w:tcW w:w="0" w:type="auto"/>
            <w:shd w:val="clear" w:color="auto" w:fill="FFFFFF"/>
            <w:tcMar>
              <w:top w:w="40" w:type="dxa"/>
              <w:left w:w="0" w:type="dxa"/>
              <w:bottom w:w="40" w:type="dxa"/>
              <w:right w:w="20" w:type="dxa"/>
            </w:tcMar>
            <w:vAlign w:val="center"/>
          </w:tcPr>
          <w:p w14:paraId="35D0AE6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E6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E63" w14:textId="77777777" w:rsidR="00D42204" w:rsidRDefault="004E439D">
            <w:pPr>
              <w:jc w:val="right"/>
              <w:textAlignment w:val="center"/>
            </w:pPr>
            <w:r>
              <w:rPr>
                <w:rFonts w:ascii="Times New Roman" w:eastAsia="宋体" w:hAnsi="Times New Roman"/>
                <w:color w:val="000000"/>
                <w:sz w:val="16"/>
                <w:szCs w:val="16"/>
              </w:rPr>
              <w:t>(2,614)</w:t>
            </w:r>
          </w:p>
        </w:tc>
        <w:tc>
          <w:tcPr>
            <w:tcW w:w="0" w:type="auto"/>
            <w:shd w:val="clear" w:color="auto" w:fill="FFFFFF"/>
            <w:tcMar>
              <w:top w:w="40" w:type="dxa"/>
              <w:left w:w="0" w:type="dxa"/>
              <w:bottom w:w="40" w:type="dxa"/>
              <w:right w:w="20" w:type="dxa"/>
            </w:tcMar>
            <w:vAlign w:val="center"/>
          </w:tcPr>
          <w:p w14:paraId="35D0AE6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E6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E66" w14:textId="77777777" w:rsidR="00D42204" w:rsidRDefault="004E439D">
            <w:pPr>
              <w:jc w:val="right"/>
              <w:textAlignment w:val="center"/>
            </w:pPr>
            <w:r>
              <w:rPr>
                <w:rFonts w:ascii="Times New Roman" w:eastAsia="宋体" w:hAnsi="Times New Roman"/>
                <w:color w:val="000000"/>
                <w:sz w:val="16"/>
                <w:szCs w:val="16"/>
              </w:rPr>
              <w:t>100.30 </w:t>
            </w:r>
          </w:p>
        </w:tc>
        <w:tc>
          <w:tcPr>
            <w:tcW w:w="0" w:type="auto"/>
            <w:shd w:val="clear" w:color="auto" w:fill="FFFFFF"/>
            <w:tcMar>
              <w:top w:w="40" w:type="dxa"/>
              <w:left w:w="0" w:type="dxa"/>
              <w:bottom w:w="40" w:type="dxa"/>
              <w:right w:w="20" w:type="dxa"/>
            </w:tcMar>
            <w:vAlign w:val="center"/>
          </w:tcPr>
          <w:p w14:paraId="35D0AE67" w14:textId="77777777" w:rsidR="00D42204" w:rsidRDefault="00D42204">
            <w:pPr>
              <w:jc w:val="right"/>
              <w:rPr>
                <w:rFonts w:ascii="宋体"/>
              </w:rPr>
            </w:pPr>
          </w:p>
        </w:tc>
      </w:tr>
      <w:tr w:rsidR="00D42204" w14:paraId="35D0AE76" w14:textId="77777777">
        <w:tc>
          <w:tcPr>
            <w:tcW w:w="0" w:type="auto"/>
            <w:gridSpan w:val="3"/>
            <w:shd w:val="clear" w:color="auto" w:fill="CCEEFF"/>
            <w:tcMar>
              <w:top w:w="40" w:type="dxa"/>
              <w:left w:w="380" w:type="dxa"/>
              <w:bottom w:w="40" w:type="dxa"/>
              <w:right w:w="20" w:type="dxa"/>
            </w:tcMar>
            <w:vAlign w:val="center"/>
          </w:tcPr>
          <w:p w14:paraId="35D0AE69" w14:textId="77777777" w:rsidR="00D42204" w:rsidRDefault="004E439D">
            <w:pPr>
              <w:textAlignment w:val="center"/>
            </w:pPr>
            <w:r>
              <w:rPr>
                <w:rFonts w:ascii="Times New Roman" w:eastAsia="宋体" w:hAnsi="Times New Roman"/>
                <w:color w:val="000000"/>
                <w:sz w:val="16"/>
                <w:szCs w:val="16"/>
              </w:rPr>
              <w:t xml:space="preserve">Forfeited </w:t>
            </w:r>
          </w:p>
        </w:tc>
        <w:tc>
          <w:tcPr>
            <w:tcW w:w="0" w:type="auto"/>
            <w:gridSpan w:val="3"/>
            <w:shd w:val="clear" w:color="auto" w:fill="CCEEFF"/>
            <w:tcMar>
              <w:top w:w="0" w:type="dxa"/>
              <w:left w:w="20" w:type="dxa"/>
              <w:bottom w:w="0" w:type="dxa"/>
              <w:right w:w="20" w:type="dxa"/>
            </w:tcMar>
            <w:vAlign w:val="bottom"/>
          </w:tcPr>
          <w:p w14:paraId="35D0AE6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E6B" w14:textId="77777777" w:rsidR="00D42204" w:rsidRDefault="004E439D">
            <w:pPr>
              <w:jc w:val="right"/>
              <w:textAlignment w:val="center"/>
            </w:pPr>
            <w:r>
              <w:rPr>
                <w:rFonts w:ascii="Times New Roman" w:eastAsia="宋体" w:hAnsi="Times New Roman"/>
                <w:color w:val="000000"/>
                <w:sz w:val="16"/>
                <w:szCs w:val="16"/>
              </w:rPr>
              <w:t>(2,785)</w:t>
            </w:r>
          </w:p>
        </w:tc>
        <w:tc>
          <w:tcPr>
            <w:tcW w:w="0" w:type="auto"/>
            <w:shd w:val="clear" w:color="auto" w:fill="CCEEFF"/>
            <w:tcMar>
              <w:top w:w="40" w:type="dxa"/>
              <w:left w:w="0" w:type="dxa"/>
              <w:bottom w:w="40" w:type="dxa"/>
              <w:right w:w="20" w:type="dxa"/>
            </w:tcMar>
            <w:vAlign w:val="center"/>
          </w:tcPr>
          <w:p w14:paraId="35D0AE6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E6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E6E" w14:textId="77777777" w:rsidR="00D42204" w:rsidRDefault="004E439D">
            <w:pPr>
              <w:jc w:val="right"/>
              <w:textAlignment w:val="center"/>
            </w:pPr>
            <w:r>
              <w:rPr>
                <w:rFonts w:ascii="Times New Roman" w:eastAsia="宋体" w:hAnsi="Times New Roman"/>
                <w:color w:val="000000"/>
                <w:sz w:val="16"/>
                <w:szCs w:val="16"/>
              </w:rPr>
              <w:t>110.65 </w:t>
            </w:r>
          </w:p>
        </w:tc>
        <w:tc>
          <w:tcPr>
            <w:tcW w:w="0" w:type="auto"/>
            <w:shd w:val="clear" w:color="auto" w:fill="CCEEFF"/>
            <w:tcMar>
              <w:top w:w="40" w:type="dxa"/>
              <w:left w:w="0" w:type="dxa"/>
              <w:bottom w:w="40" w:type="dxa"/>
              <w:right w:w="20" w:type="dxa"/>
            </w:tcMar>
            <w:vAlign w:val="center"/>
          </w:tcPr>
          <w:p w14:paraId="35D0AE6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E7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E71" w14:textId="77777777" w:rsidR="00D42204" w:rsidRDefault="004E439D">
            <w:pPr>
              <w:jc w:val="right"/>
              <w:textAlignment w:val="center"/>
            </w:pPr>
            <w:r>
              <w:rPr>
                <w:rFonts w:ascii="Times New Roman" w:eastAsia="宋体" w:hAnsi="Times New Roman"/>
                <w:color w:val="000000"/>
                <w:sz w:val="16"/>
                <w:szCs w:val="16"/>
              </w:rPr>
              <w:t>(636)</w:t>
            </w:r>
          </w:p>
        </w:tc>
        <w:tc>
          <w:tcPr>
            <w:tcW w:w="0" w:type="auto"/>
            <w:shd w:val="clear" w:color="auto" w:fill="CCEEFF"/>
            <w:tcMar>
              <w:top w:w="40" w:type="dxa"/>
              <w:left w:w="0" w:type="dxa"/>
              <w:bottom w:w="40" w:type="dxa"/>
              <w:right w:w="20" w:type="dxa"/>
            </w:tcMar>
            <w:vAlign w:val="center"/>
          </w:tcPr>
          <w:p w14:paraId="35D0AE7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E7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E74" w14:textId="77777777" w:rsidR="00D42204" w:rsidRDefault="004E439D">
            <w:pPr>
              <w:jc w:val="right"/>
              <w:textAlignment w:val="center"/>
            </w:pPr>
            <w:r>
              <w:rPr>
                <w:rFonts w:ascii="Times New Roman" w:eastAsia="宋体" w:hAnsi="Times New Roman"/>
                <w:color w:val="000000"/>
                <w:sz w:val="16"/>
                <w:szCs w:val="16"/>
              </w:rPr>
              <w:t>110.95 </w:t>
            </w:r>
          </w:p>
        </w:tc>
        <w:tc>
          <w:tcPr>
            <w:tcW w:w="0" w:type="auto"/>
            <w:shd w:val="clear" w:color="auto" w:fill="CCEEFF"/>
            <w:tcMar>
              <w:top w:w="40" w:type="dxa"/>
              <w:left w:w="0" w:type="dxa"/>
              <w:bottom w:w="40" w:type="dxa"/>
              <w:right w:w="20" w:type="dxa"/>
            </w:tcMar>
            <w:vAlign w:val="center"/>
          </w:tcPr>
          <w:p w14:paraId="35D0AE75" w14:textId="77777777" w:rsidR="00D42204" w:rsidRDefault="00D42204">
            <w:pPr>
              <w:jc w:val="right"/>
              <w:rPr>
                <w:rFonts w:ascii="宋体"/>
              </w:rPr>
            </w:pPr>
          </w:p>
        </w:tc>
      </w:tr>
      <w:tr w:rsidR="00D42204" w14:paraId="35D0AE86" w14:textId="77777777">
        <w:tc>
          <w:tcPr>
            <w:tcW w:w="0" w:type="auto"/>
            <w:gridSpan w:val="3"/>
            <w:shd w:val="clear" w:color="auto" w:fill="FFFFFF"/>
            <w:tcMar>
              <w:top w:w="40" w:type="dxa"/>
              <w:left w:w="20" w:type="dxa"/>
              <w:bottom w:w="40" w:type="dxa"/>
              <w:right w:w="20" w:type="dxa"/>
            </w:tcMar>
            <w:vAlign w:val="center"/>
          </w:tcPr>
          <w:p w14:paraId="35D0AE77" w14:textId="77777777" w:rsidR="00D42204" w:rsidRDefault="004E439D">
            <w:pPr>
              <w:textAlignment w:val="center"/>
            </w:pPr>
            <w:r>
              <w:rPr>
                <w:rFonts w:ascii="Times New Roman" w:eastAsia="宋体" w:hAnsi="Times New Roman"/>
                <w:b/>
                <w:bCs/>
                <w:color w:val="000000"/>
                <w:sz w:val="16"/>
                <w:szCs w:val="16"/>
              </w:rPr>
              <w:t>Outstanding as of January 31, 2022</w:t>
            </w:r>
          </w:p>
        </w:tc>
        <w:tc>
          <w:tcPr>
            <w:tcW w:w="0" w:type="auto"/>
            <w:gridSpan w:val="3"/>
            <w:shd w:val="clear" w:color="auto" w:fill="FFFFFF"/>
            <w:tcMar>
              <w:top w:w="0" w:type="dxa"/>
              <w:left w:w="20" w:type="dxa"/>
              <w:bottom w:w="0" w:type="dxa"/>
              <w:right w:w="20" w:type="dxa"/>
            </w:tcMar>
            <w:vAlign w:val="bottom"/>
          </w:tcPr>
          <w:p w14:paraId="35D0AE78" w14:textId="77777777" w:rsidR="00D42204" w:rsidRDefault="00D4220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E79" w14:textId="77777777" w:rsidR="00D42204" w:rsidRDefault="004E439D">
            <w:pPr>
              <w:jc w:val="right"/>
              <w:textAlignment w:val="center"/>
            </w:pPr>
            <w:r>
              <w:rPr>
                <w:rFonts w:ascii="Times New Roman" w:eastAsia="宋体" w:hAnsi="Times New Roman"/>
                <w:color w:val="000000"/>
                <w:sz w:val="16"/>
                <w:szCs w:val="16"/>
              </w:rPr>
              <w:t>17,283 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E7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E7B"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E7C"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E7D" w14:textId="77777777" w:rsidR="00D42204" w:rsidRDefault="004E439D">
            <w:pPr>
              <w:jc w:val="right"/>
              <w:textAlignment w:val="center"/>
            </w:pPr>
            <w:r>
              <w:rPr>
                <w:rFonts w:ascii="Times New Roman" w:eastAsia="宋体" w:hAnsi="Times New Roman"/>
                <w:color w:val="000000"/>
                <w:sz w:val="16"/>
                <w:szCs w:val="16"/>
              </w:rPr>
              <w:t>111.42 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E7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E7F" w14:textId="77777777" w:rsidR="00D42204" w:rsidRDefault="00D4220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E80" w14:textId="77777777" w:rsidR="00D42204" w:rsidRDefault="004E439D">
            <w:pPr>
              <w:jc w:val="right"/>
              <w:textAlignment w:val="center"/>
            </w:pPr>
            <w:r>
              <w:rPr>
                <w:rFonts w:ascii="Times New Roman" w:eastAsia="宋体" w:hAnsi="Times New Roman"/>
                <w:color w:val="000000"/>
                <w:sz w:val="16"/>
                <w:szCs w:val="16"/>
              </w:rPr>
              <w:t>6,140 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E8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E82"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AE83"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AE84" w14:textId="77777777" w:rsidR="00D42204" w:rsidRDefault="004E439D">
            <w:pPr>
              <w:jc w:val="right"/>
              <w:textAlignment w:val="center"/>
            </w:pPr>
            <w:r>
              <w:rPr>
                <w:rFonts w:ascii="Times New Roman" w:eastAsia="宋体" w:hAnsi="Times New Roman"/>
                <w:color w:val="000000"/>
                <w:sz w:val="16"/>
                <w:szCs w:val="16"/>
              </w:rPr>
              <w:t>125.25 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AE85" w14:textId="77777777" w:rsidR="00D42204" w:rsidRDefault="00D42204">
            <w:pPr>
              <w:jc w:val="right"/>
              <w:rPr>
                <w:rFonts w:ascii="宋体"/>
              </w:rPr>
            </w:pPr>
          </w:p>
        </w:tc>
      </w:tr>
    </w:tbl>
    <w:p w14:paraId="35D0AE87" w14:textId="77777777" w:rsidR="00D42204" w:rsidRDefault="004E439D">
      <w:pPr>
        <w:ind w:hanging="36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Represents the adjustment to previously granted performance share units for performance achievement. </w:t>
      </w:r>
    </w:p>
    <w:p w14:paraId="35D0AE88" w14:textId="77777777" w:rsidR="00D42204" w:rsidRDefault="004E439D">
      <w:pPr>
        <w:spacing w:before="180"/>
      </w:pPr>
      <w:r>
        <w:rPr>
          <w:rFonts w:ascii="Times New Roman" w:eastAsia="宋体" w:hAnsi="Times New Roman"/>
          <w:color w:val="000000"/>
          <w:sz w:val="20"/>
          <w:szCs w:val="20"/>
        </w:rPr>
        <w:t xml:space="preserve">The following table includes additional information related to restricted stock units and </w:t>
      </w:r>
      <w:r>
        <w:rPr>
          <w:rFonts w:ascii="Times New Roman" w:eastAsia="宋体" w:hAnsi="Times New Roman"/>
          <w:color w:val="000000"/>
          <w:sz w:val="20"/>
          <w:szCs w:val="20"/>
        </w:rPr>
        <w:t>restricted stock and performance-based restricted stock units:</w:t>
      </w:r>
      <w:r>
        <w:rPr>
          <w:rFonts w:ascii="Times New Roman" w:eastAsia="宋体" w:hAnsi="Times New Roman"/>
          <w:color w:val="000000"/>
          <w:sz w:val="18"/>
          <w:szCs w:val="18"/>
        </w:rPr>
        <w:t> </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576"/>
        <w:gridCol w:w="37"/>
        <w:gridCol w:w="36"/>
        <w:gridCol w:w="36"/>
        <w:gridCol w:w="36"/>
        <w:gridCol w:w="101"/>
        <w:gridCol w:w="649"/>
        <w:gridCol w:w="36"/>
        <w:gridCol w:w="36"/>
        <w:gridCol w:w="36"/>
        <w:gridCol w:w="36"/>
        <w:gridCol w:w="101"/>
        <w:gridCol w:w="649"/>
        <w:gridCol w:w="36"/>
        <w:gridCol w:w="36"/>
        <w:gridCol w:w="36"/>
        <w:gridCol w:w="36"/>
        <w:gridCol w:w="101"/>
        <w:gridCol w:w="649"/>
        <w:gridCol w:w="36"/>
      </w:tblGrid>
      <w:tr w:rsidR="00D42204" w14:paraId="35D0AE9E" w14:textId="77777777">
        <w:trPr>
          <w:jc w:val="center"/>
        </w:trPr>
        <w:tc>
          <w:tcPr>
            <w:tcW w:w="50" w:type="pct"/>
            <w:shd w:val="clear" w:color="auto" w:fill="auto"/>
            <w:vAlign w:val="bottom"/>
          </w:tcPr>
          <w:p w14:paraId="35D0AE89" w14:textId="77777777" w:rsidR="00D42204" w:rsidRDefault="00D42204">
            <w:pPr>
              <w:rPr>
                <w:rFonts w:ascii="宋体"/>
              </w:rPr>
            </w:pPr>
          </w:p>
        </w:tc>
        <w:tc>
          <w:tcPr>
            <w:tcW w:w="3366" w:type="pct"/>
            <w:shd w:val="clear" w:color="auto" w:fill="auto"/>
            <w:vAlign w:val="bottom"/>
          </w:tcPr>
          <w:p w14:paraId="35D0AE8A" w14:textId="77777777" w:rsidR="00D42204" w:rsidRDefault="00D42204">
            <w:pPr>
              <w:rPr>
                <w:rFonts w:ascii="宋体"/>
              </w:rPr>
            </w:pPr>
          </w:p>
        </w:tc>
        <w:tc>
          <w:tcPr>
            <w:tcW w:w="5" w:type="pct"/>
            <w:shd w:val="clear" w:color="auto" w:fill="auto"/>
            <w:vAlign w:val="bottom"/>
          </w:tcPr>
          <w:p w14:paraId="35D0AE8B" w14:textId="77777777" w:rsidR="00D42204" w:rsidRDefault="00D42204">
            <w:pPr>
              <w:rPr>
                <w:rFonts w:ascii="宋体"/>
              </w:rPr>
            </w:pPr>
          </w:p>
        </w:tc>
        <w:tc>
          <w:tcPr>
            <w:tcW w:w="5" w:type="pct"/>
            <w:shd w:val="clear" w:color="auto" w:fill="auto"/>
            <w:vAlign w:val="bottom"/>
          </w:tcPr>
          <w:p w14:paraId="35D0AE8C" w14:textId="77777777" w:rsidR="00D42204" w:rsidRDefault="00D42204">
            <w:pPr>
              <w:rPr>
                <w:rFonts w:ascii="宋体"/>
              </w:rPr>
            </w:pPr>
          </w:p>
        </w:tc>
        <w:tc>
          <w:tcPr>
            <w:tcW w:w="26" w:type="pct"/>
            <w:shd w:val="clear" w:color="auto" w:fill="auto"/>
            <w:vAlign w:val="bottom"/>
          </w:tcPr>
          <w:p w14:paraId="35D0AE8D" w14:textId="77777777" w:rsidR="00D42204" w:rsidRDefault="00D42204">
            <w:pPr>
              <w:rPr>
                <w:rFonts w:ascii="宋体"/>
              </w:rPr>
            </w:pPr>
          </w:p>
        </w:tc>
        <w:tc>
          <w:tcPr>
            <w:tcW w:w="5" w:type="pct"/>
            <w:shd w:val="clear" w:color="auto" w:fill="auto"/>
            <w:vAlign w:val="bottom"/>
          </w:tcPr>
          <w:p w14:paraId="35D0AE8E" w14:textId="77777777" w:rsidR="00D42204" w:rsidRDefault="00D42204">
            <w:pPr>
              <w:rPr>
                <w:rFonts w:ascii="宋体"/>
              </w:rPr>
            </w:pPr>
          </w:p>
        </w:tc>
        <w:tc>
          <w:tcPr>
            <w:tcW w:w="50" w:type="pct"/>
            <w:shd w:val="clear" w:color="auto" w:fill="auto"/>
            <w:vAlign w:val="bottom"/>
          </w:tcPr>
          <w:p w14:paraId="35D0AE8F" w14:textId="77777777" w:rsidR="00D42204" w:rsidRDefault="00D42204">
            <w:pPr>
              <w:rPr>
                <w:rFonts w:ascii="宋体"/>
              </w:rPr>
            </w:pPr>
          </w:p>
        </w:tc>
        <w:tc>
          <w:tcPr>
            <w:tcW w:w="434" w:type="pct"/>
            <w:shd w:val="clear" w:color="auto" w:fill="auto"/>
            <w:vAlign w:val="bottom"/>
          </w:tcPr>
          <w:p w14:paraId="35D0AE90" w14:textId="77777777" w:rsidR="00D42204" w:rsidRDefault="00D42204">
            <w:pPr>
              <w:rPr>
                <w:rFonts w:ascii="宋体"/>
              </w:rPr>
            </w:pPr>
          </w:p>
        </w:tc>
        <w:tc>
          <w:tcPr>
            <w:tcW w:w="5" w:type="pct"/>
            <w:shd w:val="clear" w:color="auto" w:fill="auto"/>
            <w:vAlign w:val="bottom"/>
          </w:tcPr>
          <w:p w14:paraId="35D0AE91" w14:textId="77777777" w:rsidR="00D42204" w:rsidRDefault="00D42204">
            <w:pPr>
              <w:rPr>
                <w:rFonts w:ascii="宋体"/>
              </w:rPr>
            </w:pPr>
          </w:p>
        </w:tc>
        <w:tc>
          <w:tcPr>
            <w:tcW w:w="5" w:type="pct"/>
            <w:shd w:val="clear" w:color="auto" w:fill="auto"/>
            <w:vAlign w:val="bottom"/>
          </w:tcPr>
          <w:p w14:paraId="35D0AE92" w14:textId="77777777" w:rsidR="00D42204" w:rsidRDefault="00D42204">
            <w:pPr>
              <w:rPr>
                <w:rFonts w:ascii="宋体"/>
              </w:rPr>
            </w:pPr>
          </w:p>
        </w:tc>
        <w:tc>
          <w:tcPr>
            <w:tcW w:w="26" w:type="pct"/>
            <w:shd w:val="clear" w:color="auto" w:fill="auto"/>
            <w:vAlign w:val="bottom"/>
          </w:tcPr>
          <w:p w14:paraId="35D0AE93" w14:textId="77777777" w:rsidR="00D42204" w:rsidRDefault="00D42204">
            <w:pPr>
              <w:rPr>
                <w:rFonts w:ascii="宋体"/>
              </w:rPr>
            </w:pPr>
          </w:p>
        </w:tc>
        <w:tc>
          <w:tcPr>
            <w:tcW w:w="5" w:type="pct"/>
            <w:shd w:val="clear" w:color="auto" w:fill="auto"/>
            <w:vAlign w:val="bottom"/>
          </w:tcPr>
          <w:p w14:paraId="35D0AE94" w14:textId="77777777" w:rsidR="00D42204" w:rsidRDefault="00D42204">
            <w:pPr>
              <w:rPr>
                <w:rFonts w:ascii="宋体"/>
              </w:rPr>
            </w:pPr>
          </w:p>
        </w:tc>
        <w:tc>
          <w:tcPr>
            <w:tcW w:w="50" w:type="pct"/>
            <w:shd w:val="clear" w:color="auto" w:fill="auto"/>
            <w:vAlign w:val="bottom"/>
          </w:tcPr>
          <w:p w14:paraId="35D0AE95" w14:textId="77777777" w:rsidR="00D42204" w:rsidRDefault="00D42204">
            <w:pPr>
              <w:rPr>
                <w:rFonts w:ascii="宋体"/>
              </w:rPr>
            </w:pPr>
          </w:p>
        </w:tc>
        <w:tc>
          <w:tcPr>
            <w:tcW w:w="434" w:type="pct"/>
            <w:shd w:val="clear" w:color="auto" w:fill="auto"/>
            <w:vAlign w:val="bottom"/>
          </w:tcPr>
          <w:p w14:paraId="35D0AE96" w14:textId="77777777" w:rsidR="00D42204" w:rsidRDefault="00D42204">
            <w:pPr>
              <w:rPr>
                <w:rFonts w:ascii="宋体"/>
              </w:rPr>
            </w:pPr>
          </w:p>
        </w:tc>
        <w:tc>
          <w:tcPr>
            <w:tcW w:w="5" w:type="pct"/>
            <w:shd w:val="clear" w:color="auto" w:fill="auto"/>
            <w:vAlign w:val="bottom"/>
          </w:tcPr>
          <w:p w14:paraId="35D0AE97" w14:textId="77777777" w:rsidR="00D42204" w:rsidRDefault="00D42204">
            <w:pPr>
              <w:rPr>
                <w:rFonts w:ascii="宋体"/>
              </w:rPr>
            </w:pPr>
          </w:p>
        </w:tc>
        <w:tc>
          <w:tcPr>
            <w:tcW w:w="5" w:type="pct"/>
            <w:shd w:val="clear" w:color="auto" w:fill="auto"/>
            <w:vAlign w:val="bottom"/>
          </w:tcPr>
          <w:p w14:paraId="35D0AE98" w14:textId="77777777" w:rsidR="00D42204" w:rsidRDefault="00D42204">
            <w:pPr>
              <w:rPr>
                <w:rFonts w:ascii="宋体"/>
              </w:rPr>
            </w:pPr>
          </w:p>
        </w:tc>
        <w:tc>
          <w:tcPr>
            <w:tcW w:w="26" w:type="pct"/>
            <w:shd w:val="clear" w:color="auto" w:fill="auto"/>
            <w:vAlign w:val="bottom"/>
          </w:tcPr>
          <w:p w14:paraId="35D0AE99" w14:textId="77777777" w:rsidR="00D42204" w:rsidRDefault="00D42204">
            <w:pPr>
              <w:rPr>
                <w:rFonts w:ascii="宋体"/>
              </w:rPr>
            </w:pPr>
          </w:p>
        </w:tc>
        <w:tc>
          <w:tcPr>
            <w:tcW w:w="5" w:type="pct"/>
            <w:shd w:val="clear" w:color="auto" w:fill="auto"/>
            <w:vAlign w:val="bottom"/>
          </w:tcPr>
          <w:p w14:paraId="35D0AE9A" w14:textId="77777777" w:rsidR="00D42204" w:rsidRDefault="00D42204">
            <w:pPr>
              <w:rPr>
                <w:rFonts w:ascii="宋体"/>
              </w:rPr>
            </w:pPr>
          </w:p>
        </w:tc>
        <w:tc>
          <w:tcPr>
            <w:tcW w:w="50" w:type="pct"/>
            <w:shd w:val="clear" w:color="auto" w:fill="auto"/>
            <w:vAlign w:val="bottom"/>
          </w:tcPr>
          <w:p w14:paraId="35D0AE9B" w14:textId="77777777" w:rsidR="00D42204" w:rsidRDefault="00D42204">
            <w:pPr>
              <w:rPr>
                <w:rFonts w:ascii="宋体"/>
              </w:rPr>
            </w:pPr>
          </w:p>
        </w:tc>
        <w:tc>
          <w:tcPr>
            <w:tcW w:w="434" w:type="pct"/>
            <w:shd w:val="clear" w:color="auto" w:fill="auto"/>
            <w:vAlign w:val="bottom"/>
          </w:tcPr>
          <w:p w14:paraId="35D0AE9C" w14:textId="77777777" w:rsidR="00D42204" w:rsidRDefault="00D42204">
            <w:pPr>
              <w:rPr>
                <w:rFonts w:ascii="宋体"/>
              </w:rPr>
            </w:pPr>
          </w:p>
        </w:tc>
        <w:tc>
          <w:tcPr>
            <w:tcW w:w="5" w:type="pct"/>
            <w:shd w:val="clear" w:color="auto" w:fill="auto"/>
            <w:vAlign w:val="bottom"/>
          </w:tcPr>
          <w:p w14:paraId="35D0AE9D" w14:textId="77777777" w:rsidR="00D42204" w:rsidRDefault="00D42204">
            <w:pPr>
              <w:rPr>
                <w:rFonts w:ascii="宋体"/>
              </w:rPr>
            </w:pPr>
          </w:p>
        </w:tc>
      </w:tr>
      <w:tr w:rsidR="00D42204" w14:paraId="35D0AEA2" w14:textId="77777777">
        <w:trPr>
          <w:jc w:val="center"/>
        </w:trPr>
        <w:tc>
          <w:tcPr>
            <w:tcW w:w="0" w:type="auto"/>
            <w:gridSpan w:val="3"/>
            <w:shd w:val="clear" w:color="auto" w:fill="auto"/>
            <w:tcMar>
              <w:top w:w="40" w:type="dxa"/>
              <w:left w:w="20" w:type="dxa"/>
              <w:bottom w:w="40" w:type="dxa"/>
              <w:right w:w="20" w:type="dxa"/>
            </w:tcMar>
            <w:vAlign w:val="bottom"/>
          </w:tcPr>
          <w:p w14:paraId="35D0AE9F"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AEA0"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AEA1" w14:textId="77777777" w:rsidR="00D42204" w:rsidRDefault="004E439D">
            <w:pPr>
              <w:jc w:val="center"/>
              <w:textAlignment w:val="bottom"/>
            </w:pPr>
            <w:r>
              <w:rPr>
                <w:rFonts w:ascii="Times New Roman" w:eastAsia="宋体" w:hAnsi="Times New Roman"/>
                <w:b/>
                <w:bCs/>
                <w:color w:val="000000"/>
                <w:sz w:val="16"/>
                <w:szCs w:val="16"/>
              </w:rPr>
              <w:t>Fiscal Years Ended January 31,</w:t>
            </w:r>
          </w:p>
        </w:tc>
      </w:tr>
      <w:tr w:rsidR="00D42204" w14:paraId="35D0AEAA" w14:textId="77777777">
        <w:trPr>
          <w:jc w:val="center"/>
        </w:trPr>
        <w:tc>
          <w:tcPr>
            <w:tcW w:w="0" w:type="auto"/>
            <w:gridSpan w:val="3"/>
            <w:shd w:val="clear" w:color="auto" w:fill="auto"/>
            <w:tcMar>
              <w:top w:w="40" w:type="dxa"/>
              <w:left w:w="20" w:type="dxa"/>
              <w:bottom w:w="40" w:type="dxa"/>
              <w:right w:w="20" w:type="dxa"/>
            </w:tcMar>
            <w:vAlign w:val="bottom"/>
          </w:tcPr>
          <w:p w14:paraId="35D0AEA3" w14:textId="77777777" w:rsidR="00D42204" w:rsidRDefault="004E439D">
            <w:pPr>
              <w:textAlignment w:val="bottom"/>
            </w:pPr>
            <w:r>
              <w:rPr>
                <w:rFonts w:ascii="Times New Roman" w:eastAsia="宋体" w:hAnsi="Times New Roman"/>
                <w:i/>
                <w:iCs/>
                <w:color w:val="000000"/>
                <w:sz w:val="16"/>
                <w:szCs w:val="16"/>
              </w:rPr>
              <w:t>(Amounts in millions, except years)</w:t>
            </w:r>
          </w:p>
        </w:tc>
        <w:tc>
          <w:tcPr>
            <w:tcW w:w="0" w:type="auto"/>
            <w:gridSpan w:val="3"/>
            <w:shd w:val="clear" w:color="auto" w:fill="auto"/>
            <w:tcMar>
              <w:top w:w="0" w:type="dxa"/>
              <w:left w:w="20" w:type="dxa"/>
              <w:bottom w:w="0" w:type="dxa"/>
              <w:right w:w="20" w:type="dxa"/>
            </w:tcMar>
            <w:vAlign w:val="bottom"/>
          </w:tcPr>
          <w:p w14:paraId="35D0AEA4"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EA5"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EA6"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EA7"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EA8"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EA9"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AEB8" w14:textId="77777777">
        <w:trPr>
          <w:jc w:val="center"/>
        </w:trPr>
        <w:tc>
          <w:tcPr>
            <w:tcW w:w="0" w:type="auto"/>
            <w:gridSpan w:val="3"/>
            <w:shd w:val="clear" w:color="auto" w:fill="CCEEFF"/>
            <w:tcMar>
              <w:top w:w="40" w:type="dxa"/>
              <w:left w:w="20" w:type="dxa"/>
              <w:bottom w:w="40" w:type="dxa"/>
              <w:right w:w="20" w:type="dxa"/>
            </w:tcMar>
            <w:vAlign w:val="center"/>
          </w:tcPr>
          <w:p w14:paraId="35D0AEAB" w14:textId="77777777" w:rsidR="00D42204" w:rsidRDefault="004E439D">
            <w:pPr>
              <w:textAlignment w:val="center"/>
            </w:pPr>
            <w:r>
              <w:rPr>
                <w:rFonts w:ascii="Times New Roman" w:eastAsia="宋体" w:hAnsi="Times New Roman"/>
                <w:color w:val="000000"/>
                <w:sz w:val="16"/>
                <w:szCs w:val="16"/>
              </w:rPr>
              <w:t>Fair value of restricted stock units vested</w:t>
            </w:r>
          </w:p>
        </w:tc>
        <w:tc>
          <w:tcPr>
            <w:tcW w:w="0" w:type="auto"/>
            <w:gridSpan w:val="3"/>
            <w:shd w:val="clear" w:color="auto" w:fill="CCEEFF"/>
            <w:tcMar>
              <w:top w:w="0" w:type="dxa"/>
              <w:left w:w="20" w:type="dxa"/>
              <w:bottom w:w="0" w:type="dxa"/>
              <w:right w:w="20" w:type="dxa"/>
            </w:tcMar>
            <w:vAlign w:val="bottom"/>
          </w:tcPr>
          <w:p w14:paraId="35D0AEAC"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EAD"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EAE" w14:textId="77777777" w:rsidR="00D42204" w:rsidRDefault="004E439D">
            <w:pPr>
              <w:jc w:val="right"/>
              <w:textAlignment w:val="center"/>
            </w:pPr>
            <w:r>
              <w:rPr>
                <w:rFonts w:ascii="Times New Roman" w:eastAsia="宋体" w:hAnsi="Times New Roman"/>
                <w:color w:val="000000"/>
                <w:sz w:val="16"/>
                <w:szCs w:val="16"/>
              </w:rPr>
              <w:t>703 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EA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EB0"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EB1"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EB2" w14:textId="77777777" w:rsidR="00D42204" w:rsidRDefault="004E439D">
            <w:pPr>
              <w:jc w:val="right"/>
              <w:textAlignment w:val="center"/>
            </w:pPr>
            <w:r>
              <w:rPr>
                <w:rFonts w:ascii="Times New Roman" w:eastAsia="宋体" w:hAnsi="Times New Roman"/>
                <w:color w:val="000000"/>
                <w:sz w:val="16"/>
                <w:szCs w:val="16"/>
              </w:rPr>
              <w:t>597 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EB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EB4"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EB5"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EB6" w14:textId="77777777" w:rsidR="00D42204" w:rsidRDefault="004E439D">
            <w:pPr>
              <w:jc w:val="right"/>
              <w:textAlignment w:val="center"/>
            </w:pPr>
            <w:r>
              <w:rPr>
                <w:rFonts w:ascii="Times New Roman" w:eastAsia="宋体" w:hAnsi="Times New Roman"/>
                <w:color w:val="000000"/>
                <w:sz w:val="16"/>
                <w:szCs w:val="16"/>
              </w:rPr>
              <w:t>442 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EB7" w14:textId="77777777" w:rsidR="00D42204" w:rsidRDefault="00D42204">
            <w:pPr>
              <w:jc w:val="right"/>
              <w:rPr>
                <w:rFonts w:ascii="宋体"/>
              </w:rPr>
            </w:pPr>
          </w:p>
        </w:tc>
      </w:tr>
      <w:tr w:rsidR="00D42204" w14:paraId="35D0AEC3" w14:textId="77777777">
        <w:trPr>
          <w:jc w:val="center"/>
        </w:trPr>
        <w:tc>
          <w:tcPr>
            <w:tcW w:w="0" w:type="auto"/>
            <w:gridSpan w:val="3"/>
            <w:shd w:val="clear" w:color="auto" w:fill="FFFFFF"/>
            <w:tcMar>
              <w:top w:w="40" w:type="dxa"/>
              <w:left w:w="20" w:type="dxa"/>
              <w:bottom w:w="40" w:type="dxa"/>
              <w:right w:w="20" w:type="dxa"/>
            </w:tcMar>
            <w:vAlign w:val="center"/>
          </w:tcPr>
          <w:p w14:paraId="35D0AEB9" w14:textId="77777777" w:rsidR="00D42204" w:rsidRDefault="004E439D">
            <w:pPr>
              <w:textAlignment w:val="center"/>
            </w:pPr>
            <w:r>
              <w:rPr>
                <w:rFonts w:ascii="Times New Roman" w:eastAsia="宋体" w:hAnsi="Times New Roman"/>
                <w:color w:val="000000"/>
                <w:sz w:val="16"/>
                <w:szCs w:val="16"/>
              </w:rPr>
              <w:t>Fair value of restricted stock and performance-based restricted stock units vested</w:t>
            </w:r>
          </w:p>
        </w:tc>
        <w:tc>
          <w:tcPr>
            <w:tcW w:w="0" w:type="auto"/>
            <w:gridSpan w:val="3"/>
            <w:shd w:val="clear" w:color="auto" w:fill="FFFFFF"/>
            <w:tcMar>
              <w:top w:w="0" w:type="dxa"/>
              <w:left w:w="20" w:type="dxa"/>
              <w:bottom w:w="0" w:type="dxa"/>
              <w:right w:w="20" w:type="dxa"/>
            </w:tcMar>
            <w:vAlign w:val="bottom"/>
          </w:tcPr>
          <w:p w14:paraId="35D0AEB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EBB" w14:textId="77777777" w:rsidR="00D42204" w:rsidRDefault="004E439D">
            <w:pPr>
              <w:jc w:val="right"/>
              <w:textAlignment w:val="center"/>
            </w:pPr>
            <w:r>
              <w:rPr>
                <w:rFonts w:ascii="Times New Roman" w:eastAsia="宋体" w:hAnsi="Times New Roman"/>
                <w:color w:val="000000"/>
                <w:sz w:val="16"/>
                <w:szCs w:val="16"/>
              </w:rPr>
              <w:t>264 </w:t>
            </w:r>
          </w:p>
        </w:tc>
        <w:tc>
          <w:tcPr>
            <w:tcW w:w="0" w:type="auto"/>
            <w:shd w:val="clear" w:color="auto" w:fill="FFFFFF"/>
            <w:tcMar>
              <w:top w:w="40" w:type="dxa"/>
              <w:left w:w="0" w:type="dxa"/>
              <w:bottom w:w="40" w:type="dxa"/>
              <w:right w:w="20" w:type="dxa"/>
            </w:tcMar>
            <w:vAlign w:val="center"/>
          </w:tcPr>
          <w:p w14:paraId="35D0AEB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EB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EBE" w14:textId="77777777" w:rsidR="00D42204" w:rsidRDefault="004E439D">
            <w:pPr>
              <w:jc w:val="right"/>
              <w:textAlignment w:val="center"/>
            </w:pPr>
            <w:r>
              <w:rPr>
                <w:rFonts w:ascii="Times New Roman" w:eastAsia="宋体" w:hAnsi="Times New Roman"/>
                <w:color w:val="000000"/>
                <w:sz w:val="16"/>
                <w:szCs w:val="16"/>
              </w:rPr>
              <w:t>275 </w:t>
            </w:r>
          </w:p>
        </w:tc>
        <w:tc>
          <w:tcPr>
            <w:tcW w:w="0" w:type="auto"/>
            <w:shd w:val="clear" w:color="auto" w:fill="FFFFFF"/>
            <w:tcMar>
              <w:top w:w="40" w:type="dxa"/>
              <w:left w:w="0" w:type="dxa"/>
              <w:bottom w:w="40" w:type="dxa"/>
              <w:right w:w="20" w:type="dxa"/>
            </w:tcMar>
            <w:vAlign w:val="center"/>
          </w:tcPr>
          <w:p w14:paraId="35D0AEB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EC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EC1" w14:textId="77777777" w:rsidR="00D42204" w:rsidRDefault="004E439D">
            <w:pPr>
              <w:jc w:val="right"/>
              <w:textAlignment w:val="center"/>
            </w:pPr>
            <w:r>
              <w:rPr>
                <w:rFonts w:ascii="Times New Roman" w:eastAsia="宋体" w:hAnsi="Times New Roman"/>
                <w:color w:val="000000"/>
                <w:sz w:val="16"/>
                <w:szCs w:val="16"/>
              </w:rPr>
              <w:t>365 </w:t>
            </w:r>
          </w:p>
        </w:tc>
        <w:tc>
          <w:tcPr>
            <w:tcW w:w="0" w:type="auto"/>
            <w:shd w:val="clear" w:color="auto" w:fill="FFFFFF"/>
            <w:tcMar>
              <w:top w:w="40" w:type="dxa"/>
              <w:left w:w="0" w:type="dxa"/>
              <w:bottom w:w="40" w:type="dxa"/>
              <w:right w:w="20" w:type="dxa"/>
            </w:tcMar>
            <w:vAlign w:val="center"/>
          </w:tcPr>
          <w:p w14:paraId="35D0AEC2" w14:textId="77777777" w:rsidR="00D42204" w:rsidRDefault="00D42204">
            <w:pPr>
              <w:jc w:val="right"/>
              <w:rPr>
                <w:rFonts w:ascii="宋体"/>
              </w:rPr>
            </w:pPr>
          </w:p>
        </w:tc>
      </w:tr>
      <w:tr w:rsidR="00D42204" w14:paraId="35D0AECE" w14:textId="77777777">
        <w:trPr>
          <w:jc w:val="center"/>
        </w:trPr>
        <w:tc>
          <w:tcPr>
            <w:tcW w:w="0" w:type="auto"/>
            <w:gridSpan w:val="3"/>
            <w:shd w:val="clear" w:color="auto" w:fill="CCEEFF"/>
            <w:tcMar>
              <w:top w:w="40" w:type="dxa"/>
              <w:left w:w="20" w:type="dxa"/>
              <w:bottom w:w="40" w:type="dxa"/>
              <w:right w:w="20" w:type="dxa"/>
            </w:tcMar>
            <w:vAlign w:val="center"/>
          </w:tcPr>
          <w:p w14:paraId="35D0AEC4" w14:textId="77777777" w:rsidR="00D42204" w:rsidRDefault="004E439D">
            <w:pPr>
              <w:textAlignment w:val="center"/>
            </w:pPr>
            <w:r>
              <w:rPr>
                <w:rFonts w:ascii="Times New Roman" w:eastAsia="宋体" w:hAnsi="Times New Roman"/>
                <w:color w:val="000000"/>
                <w:sz w:val="16"/>
                <w:szCs w:val="16"/>
              </w:rPr>
              <w:t>Unrecognized compensation cost for restricted stock units</w:t>
            </w:r>
          </w:p>
        </w:tc>
        <w:tc>
          <w:tcPr>
            <w:tcW w:w="0" w:type="auto"/>
            <w:gridSpan w:val="3"/>
            <w:shd w:val="clear" w:color="auto" w:fill="CCEEFF"/>
            <w:tcMar>
              <w:top w:w="0" w:type="dxa"/>
              <w:left w:w="20" w:type="dxa"/>
              <w:bottom w:w="0" w:type="dxa"/>
              <w:right w:w="20" w:type="dxa"/>
            </w:tcMar>
            <w:vAlign w:val="bottom"/>
          </w:tcPr>
          <w:p w14:paraId="35D0AEC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EC6" w14:textId="77777777" w:rsidR="00D42204" w:rsidRDefault="004E439D">
            <w:pPr>
              <w:jc w:val="right"/>
              <w:textAlignment w:val="center"/>
            </w:pPr>
            <w:r>
              <w:rPr>
                <w:rFonts w:ascii="Times New Roman" w:eastAsia="宋体" w:hAnsi="Times New Roman"/>
                <w:color w:val="000000"/>
                <w:sz w:val="16"/>
                <w:szCs w:val="16"/>
              </w:rPr>
              <w:t>1,102 </w:t>
            </w:r>
          </w:p>
        </w:tc>
        <w:tc>
          <w:tcPr>
            <w:tcW w:w="0" w:type="auto"/>
            <w:shd w:val="clear" w:color="auto" w:fill="CCEEFF"/>
            <w:tcMar>
              <w:top w:w="40" w:type="dxa"/>
              <w:left w:w="0" w:type="dxa"/>
              <w:bottom w:w="40" w:type="dxa"/>
              <w:right w:w="20" w:type="dxa"/>
            </w:tcMar>
            <w:vAlign w:val="center"/>
          </w:tcPr>
          <w:p w14:paraId="35D0AEC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EC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EC9" w14:textId="77777777" w:rsidR="00D42204" w:rsidRDefault="004E439D">
            <w:pPr>
              <w:jc w:val="right"/>
              <w:textAlignment w:val="center"/>
            </w:pPr>
            <w:r>
              <w:rPr>
                <w:rFonts w:ascii="Times New Roman" w:eastAsia="宋体" w:hAnsi="Times New Roman"/>
                <w:color w:val="000000"/>
                <w:sz w:val="16"/>
                <w:szCs w:val="16"/>
              </w:rPr>
              <w:t>1,062 </w:t>
            </w:r>
          </w:p>
        </w:tc>
        <w:tc>
          <w:tcPr>
            <w:tcW w:w="0" w:type="auto"/>
            <w:shd w:val="clear" w:color="auto" w:fill="CCEEFF"/>
            <w:tcMar>
              <w:top w:w="40" w:type="dxa"/>
              <w:left w:w="0" w:type="dxa"/>
              <w:bottom w:w="40" w:type="dxa"/>
              <w:right w:w="20" w:type="dxa"/>
            </w:tcMar>
            <w:vAlign w:val="center"/>
          </w:tcPr>
          <w:p w14:paraId="35D0AEC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EC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ECC" w14:textId="77777777" w:rsidR="00D42204" w:rsidRDefault="004E439D">
            <w:pPr>
              <w:jc w:val="right"/>
              <w:textAlignment w:val="center"/>
            </w:pPr>
            <w:r>
              <w:rPr>
                <w:rFonts w:ascii="Times New Roman" w:eastAsia="宋体" w:hAnsi="Times New Roman"/>
                <w:color w:val="000000"/>
                <w:sz w:val="16"/>
                <w:szCs w:val="16"/>
              </w:rPr>
              <w:t>1,096 </w:t>
            </w:r>
          </w:p>
        </w:tc>
        <w:tc>
          <w:tcPr>
            <w:tcW w:w="0" w:type="auto"/>
            <w:shd w:val="clear" w:color="auto" w:fill="CCEEFF"/>
            <w:tcMar>
              <w:top w:w="40" w:type="dxa"/>
              <w:left w:w="0" w:type="dxa"/>
              <w:bottom w:w="40" w:type="dxa"/>
              <w:right w:w="20" w:type="dxa"/>
            </w:tcMar>
            <w:vAlign w:val="center"/>
          </w:tcPr>
          <w:p w14:paraId="35D0AECD" w14:textId="77777777" w:rsidR="00D42204" w:rsidRDefault="00D42204">
            <w:pPr>
              <w:jc w:val="right"/>
              <w:rPr>
                <w:rFonts w:ascii="宋体"/>
              </w:rPr>
            </w:pPr>
          </w:p>
        </w:tc>
      </w:tr>
      <w:tr w:rsidR="00D42204" w14:paraId="35D0AED9" w14:textId="77777777">
        <w:trPr>
          <w:jc w:val="center"/>
        </w:trPr>
        <w:tc>
          <w:tcPr>
            <w:tcW w:w="0" w:type="auto"/>
            <w:gridSpan w:val="3"/>
            <w:shd w:val="clear" w:color="auto" w:fill="FFFFFF"/>
            <w:tcMar>
              <w:top w:w="40" w:type="dxa"/>
              <w:left w:w="20" w:type="dxa"/>
              <w:bottom w:w="40" w:type="dxa"/>
              <w:right w:w="20" w:type="dxa"/>
            </w:tcMar>
            <w:vAlign w:val="center"/>
          </w:tcPr>
          <w:p w14:paraId="35D0AECF" w14:textId="77777777" w:rsidR="00D42204" w:rsidRDefault="004E439D">
            <w:pPr>
              <w:textAlignment w:val="center"/>
            </w:pPr>
            <w:r>
              <w:rPr>
                <w:rFonts w:ascii="Times New Roman" w:eastAsia="宋体" w:hAnsi="Times New Roman"/>
                <w:color w:val="000000"/>
                <w:sz w:val="16"/>
                <w:szCs w:val="16"/>
              </w:rPr>
              <w:t>Unrecognized compensation cost for restricted stock and performance-based restricted stock units</w:t>
            </w:r>
          </w:p>
        </w:tc>
        <w:tc>
          <w:tcPr>
            <w:tcW w:w="0" w:type="auto"/>
            <w:gridSpan w:val="3"/>
            <w:shd w:val="clear" w:color="auto" w:fill="FFFFFF"/>
            <w:tcMar>
              <w:top w:w="0" w:type="dxa"/>
              <w:left w:w="20" w:type="dxa"/>
              <w:bottom w:w="0" w:type="dxa"/>
              <w:right w:w="20" w:type="dxa"/>
            </w:tcMar>
            <w:vAlign w:val="bottom"/>
          </w:tcPr>
          <w:p w14:paraId="35D0AED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ED1" w14:textId="77777777" w:rsidR="00D42204" w:rsidRDefault="004E439D">
            <w:pPr>
              <w:jc w:val="right"/>
              <w:textAlignment w:val="center"/>
            </w:pPr>
            <w:r>
              <w:rPr>
                <w:rFonts w:ascii="Times New Roman" w:eastAsia="宋体" w:hAnsi="Times New Roman"/>
                <w:color w:val="000000"/>
                <w:sz w:val="16"/>
                <w:szCs w:val="16"/>
              </w:rPr>
              <w:t>417 </w:t>
            </w:r>
          </w:p>
        </w:tc>
        <w:tc>
          <w:tcPr>
            <w:tcW w:w="0" w:type="auto"/>
            <w:shd w:val="clear" w:color="auto" w:fill="FFFFFF"/>
            <w:tcMar>
              <w:top w:w="40" w:type="dxa"/>
              <w:left w:w="0" w:type="dxa"/>
              <w:bottom w:w="40" w:type="dxa"/>
              <w:right w:w="20" w:type="dxa"/>
            </w:tcMar>
            <w:vAlign w:val="center"/>
          </w:tcPr>
          <w:p w14:paraId="35D0AED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ED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ED4" w14:textId="77777777" w:rsidR="00D42204" w:rsidRDefault="004E439D">
            <w:pPr>
              <w:jc w:val="right"/>
              <w:textAlignment w:val="center"/>
            </w:pPr>
            <w:r>
              <w:rPr>
                <w:rFonts w:ascii="Times New Roman" w:eastAsia="宋体" w:hAnsi="Times New Roman"/>
                <w:color w:val="000000"/>
                <w:sz w:val="16"/>
                <w:szCs w:val="16"/>
              </w:rPr>
              <w:t>344 </w:t>
            </w:r>
          </w:p>
        </w:tc>
        <w:tc>
          <w:tcPr>
            <w:tcW w:w="0" w:type="auto"/>
            <w:shd w:val="clear" w:color="auto" w:fill="FFFFFF"/>
            <w:tcMar>
              <w:top w:w="40" w:type="dxa"/>
              <w:left w:w="0" w:type="dxa"/>
              <w:bottom w:w="40" w:type="dxa"/>
              <w:right w:w="20" w:type="dxa"/>
            </w:tcMar>
            <w:vAlign w:val="center"/>
          </w:tcPr>
          <w:p w14:paraId="35D0AED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ED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ED7" w14:textId="77777777" w:rsidR="00D42204" w:rsidRDefault="004E439D">
            <w:pPr>
              <w:jc w:val="right"/>
              <w:textAlignment w:val="center"/>
            </w:pPr>
            <w:r>
              <w:rPr>
                <w:rFonts w:ascii="Times New Roman" w:eastAsia="宋体" w:hAnsi="Times New Roman"/>
                <w:color w:val="000000"/>
                <w:sz w:val="16"/>
                <w:szCs w:val="16"/>
              </w:rPr>
              <w:t>326 </w:t>
            </w:r>
          </w:p>
        </w:tc>
        <w:tc>
          <w:tcPr>
            <w:tcW w:w="0" w:type="auto"/>
            <w:shd w:val="clear" w:color="auto" w:fill="FFFFFF"/>
            <w:tcMar>
              <w:top w:w="40" w:type="dxa"/>
              <w:left w:w="0" w:type="dxa"/>
              <w:bottom w:w="40" w:type="dxa"/>
              <w:right w:w="20" w:type="dxa"/>
            </w:tcMar>
            <w:vAlign w:val="center"/>
          </w:tcPr>
          <w:p w14:paraId="35D0AED8" w14:textId="77777777" w:rsidR="00D42204" w:rsidRDefault="00D42204">
            <w:pPr>
              <w:jc w:val="right"/>
              <w:rPr>
                <w:rFonts w:ascii="宋体"/>
              </w:rPr>
            </w:pPr>
          </w:p>
        </w:tc>
      </w:tr>
      <w:tr w:rsidR="00D42204" w14:paraId="35D0AEE1" w14:textId="77777777">
        <w:trPr>
          <w:jc w:val="center"/>
        </w:trPr>
        <w:tc>
          <w:tcPr>
            <w:tcW w:w="0" w:type="auto"/>
            <w:gridSpan w:val="3"/>
            <w:shd w:val="clear" w:color="auto" w:fill="CCEEFF"/>
            <w:tcMar>
              <w:top w:w="40" w:type="dxa"/>
              <w:left w:w="20" w:type="dxa"/>
              <w:bottom w:w="40" w:type="dxa"/>
              <w:right w:w="20" w:type="dxa"/>
            </w:tcMar>
            <w:vAlign w:val="center"/>
          </w:tcPr>
          <w:p w14:paraId="35D0AEDA" w14:textId="77777777" w:rsidR="00D42204" w:rsidRDefault="004E439D">
            <w:pPr>
              <w:textAlignment w:val="center"/>
            </w:pPr>
            <w:r>
              <w:rPr>
                <w:rFonts w:ascii="Times New Roman" w:eastAsia="宋体" w:hAnsi="Times New Roman"/>
                <w:color w:val="000000"/>
                <w:sz w:val="16"/>
                <w:szCs w:val="16"/>
              </w:rPr>
              <w:t>Weighted average remaining period to expense for restricted stock units (years)</w:t>
            </w:r>
          </w:p>
        </w:tc>
        <w:tc>
          <w:tcPr>
            <w:tcW w:w="0" w:type="auto"/>
            <w:gridSpan w:val="3"/>
            <w:shd w:val="clear" w:color="auto" w:fill="CCEEFF"/>
            <w:tcMar>
              <w:top w:w="0" w:type="dxa"/>
              <w:left w:w="20" w:type="dxa"/>
              <w:bottom w:w="0" w:type="dxa"/>
              <w:right w:w="20" w:type="dxa"/>
            </w:tcMar>
            <w:vAlign w:val="bottom"/>
          </w:tcPr>
          <w:p w14:paraId="35D0AEDB"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center"/>
          </w:tcPr>
          <w:p w14:paraId="35D0AEDC" w14:textId="77777777" w:rsidR="00D42204" w:rsidRDefault="004E439D">
            <w:pPr>
              <w:jc w:val="right"/>
              <w:textAlignment w:val="center"/>
            </w:pPr>
            <w:r>
              <w:rPr>
                <w:rFonts w:ascii="Times New Roman" w:eastAsia="宋体" w:hAnsi="Times New Roman"/>
                <w:color w:val="000000"/>
                <w:sz w:val="16"/>
                <w:szCs w:val="16"/>
              </w:rPr>
              <w:t>1.2</w:t>
            </w:r>
          </w:p>
        </w:tc>
        <w:tc>
          <w:tcPr>
            <w:tcW w:w="0" w:type="auto"/>
            <w:gridSpan w:val="3"/>
            <w:shd w:val="clear" w:color="auto" w:fill="CCEEFF"/>
            <w:tcMar>
              <w:top w:w="0" w:type="dxa"/>
              <w:left w:w="20" w:type="dxa"/>
              <w:bottom w:w="0" w:type="dxa"/>
              <w:right w:w="20" w:type="dxa"/>
            </w:tcMar>
            <w:vAlign w:val="bottom"/>
          </w:tcPr>
          <w:p w14:paraId="35D0AEDD"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center"/>
          </w:tcPr>
          <w:p w14:paraId="35D0AEDE" w14:textId="77777777" w:rsidR="00D42204" w:rsidRDefault="004E439D">
            <w:pPr>
              <w:jc w:val="right"/>
              <w:textAlignment w:val="center"/>
            </w:pPr>
            <w:r>
              <w:rPr>
                <w:rFonts w:ascii="Times New Roman" w:eastAsia="宋体" w:hAnsi="Times New Roman"/>
                <w:color w:val="000000"/>
                <w:sz w:val="16"/>
                <w:szCs w:val="16"/>
              </w:rPr>
              <w:t>1.1</w:t>
            </w:r>
          </w:p>
        </w:tc>
        <w:tc>
          <w:tcPr>
            <w:tcW w:w="0" w:type="auto"/>
            <w:gridSpan w:val="3"/>
            <w:shd w:val="clear" w:color="auto" w:fill="CCEEFF"/>
            <w:tcMar>
              <w:top w:w="0" w:type="dxa"/>
              <w:left w:w="20" w:type="dxa"/>
              <w:bottom w:w="0" w:type="dxa"/>
              <w:right w:w="20" w:type="dxa"/>
            </w:tcMar>
            <w:vAlign w:val="bottom"/>
          </w:tcPr>
          <w:p w14:paraId="35D0AEDF"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center"/>
          </w:tcPr>
          <w:p w14:paraId="35D0AEE0" w14:textId="77777777" w:rsidR="00D42204" w:rsidRDefault="004E439D">
            <w:pPr>
              <w:jc w:val="right"/>
              <w:textAlignment w:val="center"/>
            </w:pPr>
            <w:r>
              <w:rPr>
                <w:rFonts w:ascii="Times New Roman" w:eastAsia="宋体" w:hAnsi="Times New Roman"/>
                <w:color w:val="000000"/>
                <w:sz w:val="16"/>
                <w:szCs w:val="16"/>
              </w:rPr>
              <w:t>1.3</w:t>
            </w:r>
          </w:p>
        </w:tc>
      </w:tr>
      <w:tr w:rsidR="00D42204" w14:paraId="35D0AEE9" w14:textId="77777777">
        <w:trPr>
          <w:jc w:val="center"/>
        </w:trPr>
        <w:tc>
          <w:tcPr>
            <w:tcW w:w="0" w:type="auto"/>
            <w:gridSpan w:val="3"/>
            <w:shd w:val="clear" w:color="auto" w:fill="FFFFFF"/>
            <w:tcMar>
              <w:top w:w="40" w:type="dxa"/>
              <w:left w:w="20" w:type="dxa"/>
              <w:bottom w:w="40" w:type="dxa"/>
              <w:right w:w="20" w:type="dxa"/>
            </w:tcMar>
            <w:vAlign w:val="center"/>
          </w:tcPr>
          <w:p w14:paraId="35D0AEE2" w14:textId="77777777" w:rsidR="00D42204" w:rsidRDefault="004E439D">
            <w:pPr>
              <w:textAlignment w:val="center"/>
            </w:pPr>
            <w:r>
              <w:rPr>
                <w:rFonts w:ascii="Times New Roman" w:eastAsia="宋体" w:hAnsi="Times New Roman"/>
                <w:color w:val="000000"/>
                <w:sz w:val="16"/>
                <w:szCs w:val="16"/>
              </w:rPr>
              <w:t xml:space="preserve">Weighted average remaining </w:t>
            </w:r>
            <w:r>
              <w:rPr>
                <w:rFonts w:ascii="Times New Roman" w:eastAsia="宋体" w:hAnsi="Times New Roman"/>
                <w:color w:val="000000"/>
                <w:sz w:val="16"/>
                <w:szCs w:val="16"/>
              </w:rPr>
              <w:t>period to expense for restricted stock and performance-based restricted stock units (years)</w:t>
            </w:r>
          </w:p>
        </w:tc>
        <w:tc>
          <w:tcPr>
            <w:tcW w:w="0" w:type="auto"/>
            <w:gridSpan w:val="3"/>
            <w:shd w:val="clear" w:color="auto" w:fill="FFFFFF"/>
            <w:tcMar>
              <w:top w:w="0" w:type="dxa"/>
              <w:left w:w="20" w:type="dxa"/>
              <w:bottom w:w="0" w:type="dxa"/>
              <w:right w:w="20" w:type="dxa"/>
            </w:tcMar>
            <w:vAlign w:val="bottom"/>
          </w:tcPr>
          <w:p w14:paraId="35D0AEE3"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AEE4" w14:textId="77777777" w:rsidR="00D42204" w:rsidRDefault="004E439D">
            <w:pPr>
              <w:jc w:val="right"/>
              <w:textAlignment w:val="center"/>
            </w:pPr>
            <w:r>
              <w:rPr>
                <w:rFonts w:ascii="Times New Roman" w:eastAsia="宋体" w:hAnsi="Times New Roman"/>
                <w:color w:val="000000"/>
                <w:sz w:val="16"/>
                <w:szCs w:val="16"/>
              </w:rPr>
              <w:t>1.5</w:t>
            </w:r>
          </w:p>
        </w:tc>
        <w:tc>
          <w:tcPr>
            <w:tcW w:w="0" w:type="auto"/>
            <w:gridSpan w:val="3"/>
            <w:shd w:val="clear" w:color="auto" w:fill="FFFFFF"/>
            <w:tcMar>
              <w:top w:w="0" w:type="dxa"/>
              <w:left w:w="20" w:type="dxa"/>
              <w:bottom w:w="0" w:type="dxa"/>
              <w:right w:w="20" w:type="dxa"/>
            </w:tcMar>
            <w:vAlign w:val="bottom"/>
          </w:tcPr>
          <w:p w14:paraId="35D0AEE5"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AEE6" w14:textId="77777777" w:rsidR="00D42204" w:rsidRDefault="004E439D">
            <w:pPr>
              <w:jc w:val="right"/>
              <w:textAlignment w:val="center"/>
            </w:pPr>
            <w:r>
              <w:rPr>
                <w:rFonts w:ascii="Times New Roman" w:eastAsia="宋体" w:hAnsi="Times New Roman"/>
                <w:color w:val="000000"/>
                <w:sz w:val="16"/>
                <w:szCs w:val="16"/>
              </w:rPr>
              <w:t>1.4</w:t>
            </w:r>
          </w:p>
        </w:tc>
        <w:tc>
          <w:tcPr>
            <w:tcW w:w="0" w:type="auto"/>
            <w:gridSpan w:val="3"/>
            <w:shd w:val="clear" w:color="auto" w:fill="FFFFFF"/>
            <w:tcMar>
              <w:top w:w="0" w:type="dxa"/>
              <w:left w:w="20" w:type="dxa"/>
              <w:bottom w:w="0" w:type="dxa"/>
              <w:right w:w="20" w:type="dxa"/>
            </w:tcMar>
            <w:vAlign w:val="bottom"/>
          </w:tcPr>
          <w:p w14:paraId="35D0AEE7"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AEE8" w14:textId="77777777" w:rsidR="00D42204" w:rsidRDefault="004E439D">
            <w:pPr>
              <w:jc w:val="right"/>
              <w:textAlignment w:val="center"/>
            </w:pPr>
            <w:r>
              <w:rPr>
                <w:rFonts w:ascii="Times New Roman" w:eastAsia="宋体" w:hAnsi="Times New Roman"/>
                <w:color w:val="000000"/>
                <w:sz w:val="16"/>
                <w:szCs w:val="16"/>
              </w:rPr>
              <w:t>1.4</w:t>
            </w:r>
          </w:p>
        </w:tc>
      </w:tr>
    </w:tbl>
    <w:p w14:paraId="35D0AEEA" w14:textId="77777777" w:rsidR="00D42204" w:rsidRDefault="004E439D">
      <w:pPr>
        <w:spacing w:before="80"/>
      </w:pPr>
      <w:r>
        <w:rPr>
          <w:rFonts w:ascii="Times New Roman" w:eastAsia="宋体" w:hAnsi="Times New Roman"/>
          <w:i/>
          <w:iCs/>
          <w:color w:val="000000"/>
          <w:sz w:val="20"/>
          <w:szCs w:val="20"/>
        </w:rPr>
        <w:t>Share Repurchase Program</w:t>
      </w:r>
    </w:p>
    <w:p w14:paraId="35D0AEEB" w14:textId="77777777" w:rsidR="00D42204" w:rsidRDefault="004E439D">
      <w:pPr>
        <w:spacing w:before="100"/>
      </w:pPr>
      <w:r>
        <w:rPr>
          <w:rFonts w:ascii="Times New Roman" w:eastAsia="宋体" w:hAnsi="Times New Roman"/>
          <w:color w:val="000000"/>
          <w:sz w:val="20"/>
          <w:szCs w:val="20"/>
        </w:rPr>
        <w:t xml:space="preserve">From time to time, the Company repurchases shares of its common stock under share repurchase programs authorized by the </w:t>
      </w:r>
      <w:r>
        <w:rPr>
          <w:rFonts w:ascii="Times New Roman" w:eastAsia="宋体" w:hAnsi="Times New Roman"/>
          <w:color w:val="000000"/>
          <w:sz w:val="20"/>
          <w:szCs w:val="20"/>
        </w:rPr>
        <w:t>Company's Board of Directors. All repurchases made prior to February 22, 2021 were made under the plan in effect at the beginning of fiscal 2022. On February 18, 2021, the Board of Directors approved a new $20.0 billion share repurchase program which has n</w:t>
      </w:r>
      <w:r>
        <w:rPr>
          <w:rFonts w:ascii="Times New Roman" w:eastAsia="宋体" w:hAnsi="Times New Roman"/>
          <w:color w:val="000000"/>
          <w:sz w:val="20"/>
          <w:szCs w:val="20"/>
        </w:rPr>
        <w:t>o expiration date or other restrictions limiting the period over which the Company can make repurchases, and beginning February 22, 2021, replaced the previous share repurchase program. Any repurchased shares are constructively retired and returned to an u</w:t>
      </w:r>
      <w:r>
        <w:rPr>
          <w:rFonts w:ascii="Times New Roman" w:eastAsia="宋体" w:hAnsi="Times New Roman"/>
          <w:color w:val="000000"/>
          <w:sz w:val="20"/>
          <w:szCs w:val="20"/>
        </w:rPr>
        <w:t>nissued status.</w:t>
      </w:r>
    </w:p>
    <w:p w14:paraId="35D0AEEC" w14:textId="77777777" w:rsidR="00D42204" w:rsidRDefault="004E439D">
      <w:pPr>
        <w:spacing w:before="100"/>
      </w:pPr>
      <w:r>
        <w:rPr>
          <w:rFonts w:ascii="Times New Roman" w:eastAsia="宋体" w:hAnsi="Times New Roman"/>
          <w:color w:val="000000"/>
          <w:sz w:val="20"/>
          <w:szCs w:val="20"/>
        </w:rPr>
        <w:t>The Company regularly reviews share repurchase activity and considers several factors in determining when to execute share repurchases, including, among other things, current cash needs, capacity for leverage, cost of borrowings, results of</w:t>
      </w:r>
      <w:r>
        <w:rPr>
          <w:rFonts w:ascii="Times New Roman" w:eastAsia="宋体" w:hAnsi="Times New Roman"/>
          <w:color w:val="000000"/>
          <w:sz w:val="20"/>
          <w:szCs w:val="20"/>
        </w:rPr>
        <w:t xml:space="preserve"> operations and the market price of the Company's common stock. The following table provides, on a settlement date basis, the number of shares repurchased, average price paid per share and total amount paid for share repurchases for fiscal 2022, 2021 and 2</w:t>
      </w:r>
      <w:r>
        <w:rPr>
          <w:rFonts w:ascii="Times New Roman" w:eastAsia="宋体" w:hAnsi="Times New Roman"/>
          <w:color w:val="000000"/>
          <w:sz w:val="20"/>
          <w:szCs w:val="20"/>
        </w:rPr>
        <w:t>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576"/>
        <w:gridCol w:w="37"/>
        <w:gridCol w:w="36"/>
        <w:gridCol w:w="36"/>
        <w:gridCol w:w="36"/>
        <w:gridCol w:w="100"/>
        <w:gridCol w:w="649"/>
        <w:gridCol w:w="36"/>
        <w:gridCol w:w="36"/>
        <w:gridCol w:w="36"/>
        <w:gridCol w:w="36"/>
        <w:gridCol w:w="100"/>
        <w:gridCol w:w="649"/>
        <w:gridCol w:w="36"/>
        <w:gridCol w:w="36"/>
        <w:gridCol w:w="36"/>
        <w:gridCol w:w="36"/>
        <w:gridCol w:w="100"/>
        <w:gridCol w:w="651"/>
        <w:gridCol w:w="36"/>
      </w:tblGrid>
      <w:tr w:rsidR="00D42204" w14:paraId="35D0AF02" w14:textId="77777777">
        <w:trPr>
          <w:jc w:val="center"/>
        </w:trPr>
        <w:tc>
          <w:tcPr>
            <w:tcW w:w="50" w:type="pct"/>
            <w:shd w:val="clear" w:color="auto" w:fill="auto"/>
            <w:vAlign w:val="bottom"/>
          </w:tcPr>
          <w:p w14:paraId="35D0AEED" w14:textId="77777777" w:rsidR="00D42204" w:rsidRDefault="00D42204">
            <w:pPr>
              <w:rPr>
                <w:rFonts w:ascii="宋体"/>
              </w:rPr>
            </w:pPr>
          </w:p>
        </w:tc>
        <w:tc>
          <w:tcPr>
            <w:tcW w:w="3366" w:type="pct"/>
            <w:shd w:val="clear" w:color="auto" w:fill="auto"/>
            <w:vAlign w:val="bottom"/>
          </w:tcPr>
          <w:p w14:paraId="35D0AEEE" w14:textId="77777777" w:rsidR="00D42204" w:rsidRDefault="00D42204">
            <w:pPr>
              <w:rPr>
                <w:rFonts w:ascii="宋体"/>
              </w:rPr>
            </w:pPr>
          </w:p>
        </w:tc>
        <w:tc>
          <w:tcPr>
            <w:tcW w:w="5" w:type="pct"/>
            <w:shd w:val="clear" w:color="auto" w:fill="auto"/>
            <w:vAlign w:val="bottom"/>
          </w:tcPr>
          <w:p w14:paraId="35D0AEEF" w14:textId="77777777" w:rsidR="00D42204" w:rsidRDefault="00D42204">
            <w:pPr>
              <w:rPr>
                <w:rFonts w:ascii="宋体"/>
              </w:rPr>
            </w:pPr>
          </w:p>
        </w:tc>
        <w:tc>
          <w:tcPr>
            <w:tcW w:w="5" w:type="pct"/>
            <w:shd w:val="clear" w:color="auto" w:fill="auto"/>
            <w:vAlign w:val="bottom"/>
          </w:tcPr>
          <w:p w14:paraId="35D0AEF0" w14:textId="77777777" w:rsidR="00D42204" w:rsidRDefault="00D42204">
            <w:pPr>
              <w:rPr>
                <w:rFonts w:ascii="宋体"/>
              </w:rPr>
            </w:pPr>
          </w:p>
        </w:tc>
        <w:tc>
          <w:tcPr>
            <w:tcW w:w="26" w:type="pct"/>
            <w:shd w:val="clear" w:color="auto" w:fill="auto"/>
            <w:vAlign w:val="bottom"/>
          </w:tcPr>
          <w:p w14:paraId="35D0AEF1" w14:textId="77777777" w:rsidR="00D42204" w:rsidRDefault="00D42204">
            <w:pPr>
              <w:rPr>
                <w:rFonts w:ascii="宋体"/>
              </w:rPr>
            </w:pPr>
          </w:p>
        </w:tc>
        <w:tc>
          <w:tcPr>
            <w:tcW w:w="5" w:type="pct"/>
            <w:shd w:val="clear" w:color="auto" w:fill="auto"/>
            <w:vAlign w:val="bottom"/>
          </w:tcPr>
          <w:p w14:paraId="35D0AEF2" w14:textId="77777777" w:rsidR="00D42204" w:rsidRDefault="00D42204">
            <w:pPr>
              <w:rPr>
                <w:rFonts w:ascii="宋体"/>
              </w:rPr>
            </w:pPr>
          </w:p>
        </w:tc>
        <w:tc>
          <w:tcPr>
            <w:tcW w:w="50" w:type="pct"/>
            <w:shd w:val="clear" w:color="auto" w:fill="auto"/>
            <w:vAlign w:val="bottom"/>
          </w:tcPr>
          <w:p w14:paraId="35D0AEF3" w14:textId="77777777" w:rsidR="00D42204" w:rsidRDefault="00D42204">
            <w:pPr>
              <w:rPr>
                <w:rFonts w:ascii="宋体"/>
              </w:rPr>
            </w:pPr>
          </w:p>
        </w:tc>
        <w:tc>
          <w:tcPr>
            <w:tcW w:w="434" w:type="pct"/>
            <w:shd w:val="clear" w:color="auto" w:fill="auto"/>
            <w:vAlign w:val="bottom"/>
          </w:tcPr>
          <w:p w14:paraId="35D0AEF4" w14:textId="77777777" w:rsidR="00D42204" w:rsidRDefault="00D42204">
            <w:pPr>
              <w:rPr>
                <w:rFonts w:ascii="宋体"/>
              </w:rPr>
            </w:pPr>
          </w:p>
        </w:tc>
        <w:tc>
          <w:tcPr>
            <w:tcW w:w="5" w:type="pct"/>
            <w:shd w:val="clear" w:color="auto" w:fill="auto"/>
            <w:vAlign w:val="bottom"/>
          </w:tcPr>
          <w:p w14:paraId="35D0AEF5" w14:textId="77777777" w:rsidR="00D42204" w:rsidRDefault="00D42204">
            <w:pPr>
              <w:rPr>
                <w:rFonts w:ascii="宋体"/>
              </w:rPr>
            </w:pPr>
          </w:p>
        </w:tc>
        <w:tc>
          <w:tcPr>
            <w:tcW w:w="5" w:type="pct"/>
            <w:shd w:val="clear" w:color="auto" w:fill="auto"/>
            <w:vAlign w:val="bottom"/>
          </w:tcPr>
          <w:p w14:paraId="35D0AEF6" w14:textId="77777777" w:rsidR="00D42204" w:rsidRDefault="00D42204">
            <w:pPr>
              <w:rPr>
                <w:rFonts w:ascii="宋体"/>
              </w:rPr>
            </w:pPr>
          </w:p>
        </w:tc>
        <w:tc>
          <w:tcPr>
            <w:tcW w:w="26" w:type="pct"/>
            <w:shd w:val="clear" w:color="auto" w:fill="auto"/>
            <w:vAlign w:val="bottom"/>
          </w:tcPr>
          <w:p w14:paraId="35D0AEF7" w14:textId="77777777" w:rsidR="00D42204" w:rsidRDefault="00D42204">
            <w:pPr>
              <w:rPr>
                <w:rFonts w:ascii="宋体"/>
              </w:rPr>
            </w:pPr>
          </w:p>
        </w:tc>
        <w:tc>
          <w:tcPr>
            <w:tcW w:w="5" w:type="pct"/>
            <w:shd w:val="clear" w:color="auto" w:fill="auto"/>
            <w:vAlign w:val="bottom"/>
          </w:tcPr>
          <w:p w14:paraId="35D0AEF8" w14:textId="77777777" w:rsidR="00D42204" w:rsidRDefault="00D42204">
            <w:pPr>
              <w:rPr>
                <w:rFonts w:ascii="宋体"/>
              </w:rPr>
            </w:pPr>
          </w:p>
        </w:tc>
        <w:tc>
          <w:tcPr>
            <w:tcW w:w="50" w:type="pct"/>
            <w:shd w:val="clear" w:color="auto" w:fill="auto"/>
            <w:vAlign w:val="bottom"/>
          </w:tcPr>
          <w:p w14:paraId="35D0AEF9" w14:textId="77777777" w:rsidR="00D42204" w:rsidRDefault="00D42204">
            <w:pPr>
              <w:rPr>
                <w:rFonts w:ascii="宋体"/>
              </w:rPr>
            </w:pPr>
          </w:p>
        </w:tc>
        <w:tc>
          <w:tcPr>
            <w:tcW w:w="434" w:type="pct"/>
            <w:shd w:val="clear" w:color="auto" w:fill="auto"/>
            <w:vAlign w:val="bottom"/>
          </w:tcPr>
          <w:p w14:paraId="35D0AEFA" w14:textId="77777777" w:rsidR="00D42204" w:rsidRDefault="00D42204">
            <w:pPr>
              <w:rPr>
                <w:rFonts w:ascii="宋体"/>
              </w:rPr>
            </w:pPr>
          </w:p>
        </w:tc>
        <w:tc>
          <w:tcPr>
            <w:tcW w:w="5" w:type="pct"/>
            <w:shd w:val="clear" w:color="auto" w:fill="auto"/>
            <w:vAlign w:val="bottom"/>
          </w:tcPr>
          <w:p w14:paraId="35D0AEFB" w14:textId="77777777" w:rsidR="00D42204" w:rsidRDefault="00D42204">
            <w:pPr>
              <w:rPr>
                <w:rFonts w:ascii="宋体"/>
              </w:rPr>
            </w:pPr>
          </w:p>
        </w:tc>
        <w:tc>
          <w:tcPr>
            <w:tcW w:w="5" w:type="pct"/>
            <w:shd w:val="clear" w:color="auto" w:fill="auto"/>
            <w:vAlign w:val="bottom"/>
          </w:tcPr>
          <w:p w14:paraId="35D0AEFC" w14:textId="77777777" w:rsidR="00D42204" w:rsidRDefault="00D42204">
            <w:pPr>
              <w:rPr>
                <w:rFonts w:ascii="宋体"/>
              </w:rPr>
            </w:pPr>
          </w:p>
        </w:tc>
        <w:tc>
          <w:tcPr>
            <w:tcW w:w="26" w:type="pct"/>
            <w:shd w:val="clear" w:color="auto" w:fill="auto"/>
            <w:vAlign w:val="bottom"/>
          </w:tcPr>
          <w:p w14:paraId="35D0AEFD" w14:textId="77777777" w:rsidR="00D42204" w:rsidRDefault="00D42204">
            <w:pPr>
              <w:rPr>
                <w:rFonts w:ascii="宋体"/>
              </w:rPr>
            </w:pPr>
          </w:p>
        </w:tc>
        <w:tc>
          <w:tcPr>
            <w:tcW w:w="5" w:type="pct"/>
            <w:shd w:val="clear" w:color="auto" w:fill="auto"/>
            <w:vAlign w:val="bottom"/>
          </w:tcPr>
          <w:p w14:paraId="35D0AEFE" w14:textId="77777777" w:rsidR="00D42204" w:rsidRDefault="00D42204">
            <w:pPr>
              <w:rPr>
                <w:rFonts w:ascii="宋体"/>
              </w:rPr>
            </w:pPr>
          </w:p>
        </w:tc>
        <w:tc>
          <w:tcPr>
            <w:tcW w:w="50" w:type="pct"/>
            <w:shd w:val="clear" w:color="auto" w:fill="auto"/>
            <w:vAlign w:val="bottom"/>
          </w:tcPr>
          <w:p w14:paraId="35D0AEFF" w14:textId="77777777" w:rsidR="00D42204" w:rsidRDefault="00D42204">
            <w:pPr>
              <w:rPr>
                <w:rFonts w:ascii="宋体"/>
              </w:rPr>
            </w:pPr>
          </w:p>
        </w:tc>
        <w:tc>
          <w:tcPr>
            <w:tcW w:w="434" w:type="pct"/>
            <w:shd w:val="clear" w:color="auto" w:fill="auto"/>
            <w:vAlign w:val="bottom"/>
          </w:tcPr>
          <w:p w14:paraId="35D0AF00" w14:textId="77777777" w:rsidR="00D42204" w:rsidRDefault="00D42204">
            <w:pPr>
              <w:rPr>
                <w:rFonts w:ascii="宋体"/>
              </w:rPr>
            </w:pPr>
          </w:p>
        </w:tc>
        <w:tc>
          <w:tcPr>
            <w:tcW w:w="5" w:type="pct"/>
            <w:shd w:val="clear" w:color="auto" w:fill="auto"/>
            <w:vAlign w:val="bottom"/>
          </w:tcPr>
          <w:p w14:paraId="35D0AF01" w14:textId="77777777" w:rsidR="00D42204" w:rsidRDefault="00D42204">
            <w:pPr>
              <w:rPr>
                <w:rFonts w:ascii="宋体"/>
              </w:rPr>
            </w:pPr>
          </w:p>
        </w:tc>
      </w:tr>
      <w:tr w:rsidR="00D42204" w14:paraId="35D0AF06" w14:textId="77777777">
        <w:trPr>
          <w:jc w:val="center"/>
        </w:trPr>
        <w:tc>
          <w:tcPr>
            <w:tcW w:w="0" w:type="auto"/>
            <w:gridSpan w:val="3"/>
            <w:shd w:val="clear" w:color="auto" w:fill="auto"/>
            <w:tcMar>
              <w:top w:w="0" w:type="dxa"/>
              <w:left w:w="20" w:type="dxa"/>
              <w:bottom w:w="0" w:type="dxa"/>
              <w:right w:w="20" w:type="dxa"/>
            </w:tcMar>
            <w:vAlign w:val="bottom"/>
          </w:tcPr>
          <w:p w14:paraId="35D0AF03"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AF04"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AF05" w14:textId="77777777" w:rsidR="00D42204" w:rsidRDefault="004E439D">
            <w:pPr>
              <w:jc w:val="center"/>
              <w:textAlignment w:val="bottom"/>
            </w:pPr>
            <w:r>
              <w:rPr>
                <w:rFonts w:ascii="Times New Roman" w:eastAsia="宋体" w:hAnsi="Times New Roman"/>
                <w:b/>
                <w:bCs/>
                <w:color w:val="000000"/>
                <w:sz w:val="16"/>
                <w:szCs w:val="16"/>
              </w:rPr>
              <w:t>Fiscal Years Ended January 31,</w:t>
            </w:r>
          </w:p>
        </w:tc>
      </w:tr>
      <w:tr w:rsidR="00D42204" w14:paraId="35D0AF0E" w14:textId="77777777">
        <w:trPr>
          <w:jc w:val="center"/>
        </w:trPr>
        <w:tc>
          <w:tcPr>
            <w:tcW w:w="0" w:type="auto"/>
            <w:gridSpan w:val="3"/>
            <w:shd w:val="clear" w:color="auto" w:fill="auto"/>
            <w:tcMar>
              <w:top w:w="40" w:type="dxa"/>
              <w:left w:w="20" w:type="dxa"/>
              <w:bottom w:w="40" w:type="dxa"/>
              <w:right w:w="20" w:type="dxa"/>
            </w:tcMar>
            <w:vAlign w:val="bottom"/>
          </w:tcPr>
          <w:p w14:paraId="35D0AF07" w14:textId="77777777" w:rsidR="00D42204" w:rsidRDefault="004E439D">
            <w:pPr>
              <w:textAlignment w:val="bottom"/>
            </w:pPr>
            <w:r>
              <w:rPr>
                <w:rFonts w:ascii="Times New Roman" w:eastAsia="宋体" w:hAnsi="Times New Roman"/>
                <w:i/>
                <w:iCs/>
                <w:color w:val="000000"/>
                <w:sz w:val="16"/>
                <w:szCs w:val="16"/>
              </w:rPr>
              <w:t>(Amounts in millions, except per share data)</w:t>
            </w:r>
          </w:p>
        </w:tc>
        <w:tc>
          <w:tcPr>
            <w:tcW w:w="0" w:type="auto"/>
            <w:gridSpan w:val="3"/>
            <w:shd w:val="clear" w:color="auto" w:fill="auto"/>
            <w:tcMar>
              <w:top w:w="0" w:type="dxa"/>
              <w:left w:w="20" w:type="dxa"/>
              <w:bottom w:w="0" w:type="dxa"/>
              <w:right w:w="20" w:type="dxa"/>
            </w:tcMar>
            <w:vAlign w:val="bottom"/>
          </w:tcPr>
          <w:p w14:paraId="35D0AF08"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F09"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F0A"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F0B"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AF0C"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AF0D"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AF19" w14:textId="77777777">
        <w:trPr>
          <w:jc w:val="center"/>
        </w:trPr>
        <w:tc>
          <w:tcPr>
            <w:tcW w:w="0" w:type="auto"/>
            <w:gridSpan w:val="3"/>
            <w:shd w:val="clear" w:color="auto" w:fill="CCEEFF"/>
            <w:tcMar>
              <w:top w:w="40" w:type="dxa"/>
              <w:left w:w="20" w:type="dxa"/>
              <w:bottom w:w="40" w:type="dxa"/>
              <w:right w:w="20" w:type="dxa"/>
            </w:tcMar>
            <w:vAlign w:val="bottom"/>
          </w:tcPr>
          <w:p w14:paraId="35D0AF0F" w14:textId="77777777" w:rsidR="00D42204" w:rsidRDefault="004E439D">
            <w:pPr>
              <w:textAlignment w:val="bottom"/>
            </w:pPr>
            <w:r>
              <w:rPr>
                <w:rFonts w:ascii="Times New Roman" w:eastAsia="宋体" w:hAnsi="Times New Roman"/>
                <w:color w:val="000000"/>
                <w:sz w:val="16"/>
                <w:szCs w:val="16"/>
              </w:rPr>
              <w:t xml:space="preserve">Total number of shares repurchased </w:t>
            </w:r>
          </w:p>
        </w:tc>
        <w:tc>
          <w:tcPr>
            <w:tcW w:w="0" w:type="auto"/>
            <w:gridSpan w:val="3"/>
            <w:shd w:val="clear" w:color="auto" w:fill="CCEEFF"/>
            <w:tcMar>
              <w:top w:w="0" w:type="dxa"/>
              <w:left w:w="20" w:type="dxa"/>
              <w:bottom w:w="0" w:type="dxa"/>
              <w:right w:w="20" w:type="dxa"/>
            </w:tcMar>
            <w:vAlign w:val="bottom"/>
          </w:tcPr>
          <w:p w14:paraId="35D0AF10"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D0AF11" w14:textId="77777777" w:rsidR="00D42204" w:rsidRDefault="004E439D">
            <w:pPr>
              <w:jc w:val="right"/>
              <w:textAlignment w:val="bottom"/>
            </w:pPr>
            <w:r>
              <w:rPr>
                <w:rFonts w:ascii="Times New Roman" w:eastAsia="宋体" w:hAnsi="Times New Roman"/>
                <w:color w:val="000000"/>
                <w:sz w:val="16"/>
                <w:szCs w:val="16"/>
              </w:rPr>
              <w:t>69.7 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AF1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13"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D0AF14" w14:textId="77777777" w:rsidR="00D42204" w:rsidRDefault="004E439D">
            <w:pPr>
              <w:jc w:val="right"/>
              <w:textAlignment w:val="bottom"/>
            </w:pPr>
            <w:r>
              <w:rPr>
                <w:rFonts w:ascii="Times New Roman" w:eastAsia="宋体" w:hAnsi="Times New Roman"/>
                <w:color w:val="000000"/>
                <w:sz w:val="16"/>
                <w:szCs w:val="16"/>
              </w:rPr>
              <w:t>19.4 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AF1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16"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D0AF17" w14:textId="77777777" w:rsidR="00D42204" w:rsidRDefault="004E439D">
            <w:pPr>
              <w:jc w:val="right"/>
              <w:textAlignment w:val="bottom"/>
            </w:pPr>
            <w:r>
              <w:rPr>
                <w:rFonts w:ascii="Times New Roman" w:eastAsia="宋体" w:hAnsi="Times New Roman"/>
                <w:color w:val="000000"/>
                <w:sz w:val="16"/>
                <w:szCs w:val="16"/>
              </w:rPr>
              <w:t>53.9 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AF18" w14:textId="77777777" w:rsidR="00D42204" w:rsidRDefault="00D42204">
            <w:pPr>
              <w:jc w:val="right"/>
              <w:rPr>
                <w:rFonts w:ascii="宋体"/>
              </w:rPr>
            </w:pPr>
          </w:p>
        </w:tc>
      </w:tr>
      <w:tr w:rsidR="00D42204" w14:paraId="35D0AF27" w14:textId="77777777">
        <w:trPr>
          <w:jc w:val="center"/>
        </w:trPr>
        <w:tc>
          <w:tcPr>
            <w:tcW w:w="0" w:type="auto"/>
            <w:gridSpan w:val="3"/>
            <w:shd w:val="clear" w:color="auto" w:fill="FFFFFF"/>
            <w:tcMar>
              <w:top w:w="40" w:type="dxa"/>
              <w:left w:w="20" w:type="dxa"/>
              <w:bottom w:w="40" w:type="dxa"/>
              <w:right w:w="20" w:type="dxa"/>
            </w:tcMar>
            <w:vAlign w:val="center"/>
          </w:tcPr>
          <w:p w14:paraId="35D0AF1A" w14:textId="77777777" w:rsidR="00D42204" w:rsidRDefault="004E439D">
            <w:pPr>
              <w:textAlignment w:val="center"/>
            </w:pPr>
            <w:r>
              <w:rPr>
                <w:rFonts w:ascii="Times New Roman" w:eastAsia="宋体" w:hAnsi="Times New Roman"/>
                <w:color w:val="000000"/>
                <w:sz w:val="16"/>
                <w:szCs w:val="16"/>
              </w:rPr>
              <w:t xml:space="preserve">Average price paid per share </w:t>
            </w:r>
          </w:p>
        </w:tc>
        <w:tc>
          <w:tcPr>
            <w:tcW w:w="0" w:type="auto"/>
            <w:gridSpan w:val="3"/>
            <w:shd w:val="clear" w:color="auto" w:fill="FFFFFF"/>
            <w:tcMar>
              <w:top w:w="0" w:type="dxa"/>
              <w:left w:w="20" w:type="dxa"/>
              <w:bottom w:w="0" w:type="dxa"/>
              <w:right w:w="20" w:type="dxa"/>
            </w:tcMar>
            <w:vAlign w:val="bottom"/>
          </w:tcPr>
          <w:p w14:paraId="35D0AF1B" w14:textId="77777777" w:rsidR="00D42204" w:rsidRDefault="00D42204">
            <w:pPr>
              <w:rPr>
                <w:rFonts w:ascii="宋体"/>
              </w:rPr>
            </w:pPr>
          </w:p>
        </w:tc>
        <w:tc>
          <w:tcPr>
            <w:tcW w:w="0" w:type="auto"/>
            <w:shd w:val="clear" w:color="auto" w:fill="FFFFFF"/>
            <w:tcMar>
              <w:top w:w="40" w:type="dxa"/>
              <w:left w:w="20" w:type="dxa"/>
              <w:bottom w:w="40" w:type="dxa"/>
              <w:right w:w="0" w:type="dxa"/>
            </w:tcMar>
            <w:vAlign w:val="bottom"/>
          </w:tcPr>
          <w:p w14:paraId="35D0AF1C" w14:textId="77777777" w:rsidR="00D42204" w:rsidRDefault="004E439D">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35D0AF1D" w14:textId="77777777" w:rsidR="00D42204" w:rsidRDefault="004E439D">
            <w:pPr>
              <w:jc w:val="right"/>
              <w:textAlignment w:val="bottom"/>
            </w:pPr>
            <w:r>
              <w:rPr>
                <w:rFonts w:ascii="Times New Roman" w:eastAsia="宋体" w:hAnsi="Times New Roman"/>
                <w:color w:val="000000"/>
                <w:sz w:val="16"/>
                <w:szCs w:val="16"/>
              </w:rPr>
              <w:t>140.45 </w:t>
            </w:r>
          </w:p>
        </w:tc>
        <w:tc>
          <w:tcPr>
            <w:tcW w:w="0" w:type="auto"/>
            <w:shd w:val="clear" w:color="auto" w:fill="FFFFFF"/>
            <w:tcMar>
              <w:top w:w="40" w:type="dxa"/>
              <w:left w:w="0" w:type="dxa"/>
              <w:bottom w:w="40" w:type="dxa"/>
              <w:right w:w="20" w:type="dxa"/>
            </w:tcMar>
            <w:vAlign w:val="bottom"/>
          </w:tcPr>
          <w:p w14:paraId="35D0AF1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F1F" w14:textId="77777777" w:rsidR="00D42204" w:rsidRDefault="00D42204">
            <w:pPr>
              <w:rPr>
                <w:rFonts w:ascii="宋体"/>
              </w:rPr>
            </w:pPr>
          </w:p>
        </w:tc>
        <w:tc>
          <w:tcPr>
            <w:tcW w:w="0" w:type="auto"/>
            <w:shd w:val="clear" w:color="auto" w:fill="FFFFFF"/>
            <w:tcMar>
              <w:top w:w="40" w:type="dxa"/>
              <w:left w:w="20" w:type="dxa"/>
              <w:bottom w:w="40" w:type="dxa"/>
              <w:right w:w="0" w:type="dxa"/>
            </w:tcMar>
            <w:vAlign w:val="bottom"/>
          </w:tcPr>
          <w:p w14:paraId="35D0AF20" w14:textId="77777777" w:rsidR="00D42204" w:rsidRDefault="004E439D">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35D0AF21" w14:textId="77777777" w:rsidR="00D42204" w:rsidRDefault="004E439D">
            <w:pPr>
              <w:jc w:val="right"/>
              <w:textAlignment w:val="bottom"/>
            </w:pPr>
            <w:r>
              <w:rPr>
                <w:rFonts w:ascii="Times New Roman" w:eastAsia="宋体" w:hAnsi="Times New Roman"/>
                <w:color w:val="000000"/>
                <w:sz w:val="16"/>
                <w:szCs w:val="16"/>
              </w:rPr>
              <w:t>135.20 </w:t>
            </w:r>
          </w:p>
        </w:tc>
        <w:tc>
          <w:tcPr>
            <w:tcW w:w="0" w:type="auto"/>
            <w:shd w:val="clear" w:color="auto" w:fill="FFFFFF"/>
            <w:tcMar>
              <w:top w:w="40" w:type="dxa"/>
              <w:left w:w="0" w:type="dxa"/>
              <w:bottom w:w="40" w:type="dxa"/>
              <w:right w:w="20" w:type="dxa"/>
            </w:tcMar>
            <w:vAlign w:val="bottom"/>
          </w:tcPr>
          <w:p w14:paraId="35D0AF2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F23" w14:textId="77777777" w:rsidR="00D42204" w:rsidRDefault="00D42204">
            <w:pPr>
              <w:rPr>
                <w:rFonts w:ascii="宋体"/>
              </w:rPr>
            </w:pPr>
          </w:p>
        </w:tc>
        <w:tc>
          <w:tcPr>
            <w:tcW w:w="0" w:type="auto"/>
            <w:shd w:val="clear" w:color="auto" w:fill="FFFFFF"/>
            <w:tcMar>
              <w:top w:w="40" w:type="dxa"/>
              <w:left w:w="20" w:type="dxa"/>
              <w:bottom w:w="40" w:type="dxa"/>
              <w:right w:w="0" w:type="dxa"/>
            </w:tcMar>
            <w:vAlign w:val="bottom"/>
          </w:tcPr>
          <w:p w14:paraId="35D0AF24" w14:textId="77777777" w:rsidR="00D42204" w:rsidRDefault="004E439D">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35D0AF25" w14:textId="77777777" w:rsidR="00D42204" w:rsidRDefault="004E439D">
            <w:pPr>
              <w:jc w:val="right"/>
              <w:textAlignment w:val="bottom"/>
            </w:pPr>
            <w:r>
              <w:rPr>
                <w:rFonts w:ascii="Times New Roman" w:eastAsia="宋体" w:hAnsi="Times New Roman"/>
                <w:color w:val="000000"/>
                <w:sz w:val="16"/>
                <w:szCs w:val="16"/>
              </w:rPr>
              <w:t>105.98 </w:t>
            </w:r>
          </w:p>
        </w:tc>
        <w:tc>
          <w:tcPr>
            <w:tcW w:w="0" w:type="auto"/>
            <w:shd w:val="clear" w:color="auto" w:fill="FFFFFF"/>
            <w:tcMar>
              <w:top w:w="40" w:type="dxa"/>
              <w:left w:w="0" w:type="dxa"/>
              <w:bottom w:w="40" w:type="dxa"/>
              <w:right w:w="20" w:type="dxa"/>
            </w:tcMar>
            <w:vAlign w:val="bottom"/>
          </w:tcPr>
          <w:p w14:paraId="35D0AF26" w14:textId="77777777" w:rsidR="00D42204" w:rsidRDefault="00D42204">
            <w:pPr>
              <w:jc w:val="right"/>
              <w:rPr>
                <w:rFonts w:ascii="宋体"/>
              </w:rPr>
            </w:pPr>
          </w:p>
        </w:tc>
      </w:tr>
      <w:tr w:rsidR="00D42204" w14:paraId="35D0AF35" w14:textId="77777777">
        <w:trPr>
          <w:jc w:val="center"/>
        </w:trPr>
        <w:tc>
          <w:tcPr>
            <w:tcW w:w="0" w:type="auto"/>
            <w:gridSpan w:val="3"/>
            <w:shd w:val="clear" w:color="auto" w:fill="CCEEFF"/>
            <w:tcMar>
              <w:top w:w="40" w:type="dxa"/>
              <w:left w:w="20" w:type="dxa"/>
              <w:bottom w:w="40" w:type="dxa"/>
              <w:right w:w="20" w:type="dxa"/>
            </w:tcMar>
            <w:vAlign w:val="center"/>
          </w:tcPr>
          <w:p w14:paraId="35D0AF28" w14:textId="77777777" w:rsidR="00D42204" w:rsidRDefault="004E439D">
            <w:pPr>
              <w:textAlignment w:val="center"/>
            </w:pPr>
            <w:r>
              <w:rPr>
                <w:rFonts w:ascii="Times New Roman" w:eastAsia="宋体" w:hAnsi="Times New Roman"/>
                <w:color w:val="000000"/>
                <w:sz w:val="16"/>
                <w:szCs w:val="16"/>
              </w:rPr>
              <w:t>Total cash paid for share repurchases</w:t>
            </w:r>
          </w:p>
        </w:tc>
        <w:tc>
          <w:tcPr>
            <w:tcW w:w="0" w:type="auto"/>
            <w:gridSpan w:val="3"/>
            <w:shd w:val="clear" w:color="auto" w:fill="CCEEFF"/>
            <w:tcMar>
              <w:top w:w="0" w:type="dxa"/>
              <w:left w:w="20" w:type="dxa"/>
              <w:bottom w:w="0" w:type="dxa"/>
              <w:right w:w="20" w:type="dxa"/>
            </w:tcMar>
            <w:vAlign w:val="bottom"/>
          </w:tcPr>
          <w:p w14:paraId="35D0AF29" w14:textId="77777777" w:rsidR="00D42204" w:rsidRDefault="00D42204">
            <w:pPr>
              <w:rPr>
                <w:rFonts w:ascii="宋体"/>
              </w:rPr>
            </w:pPr>
          </w:p>
        </w:tc>
        <w:tc>
          <w:tcPr>
            <w:tcW w:w="0" w:type="auto"/>
            <w:shd w:val="clear" w:color="auto" w:fill="CCEEFF"/>
            <w:tcMar>
              <w:top w:w="40" w:type="dxa"/>
              <w:left w:w="20" w:type="dxa"/>
              <w:bottom w:w="40" w:type="dxa"/>
              <w:right w:w="0" w:type="dxa"/>
            </w:tcMar>
            <w:vAlign w:val="bottom"/>
          </w:tcPr>
          <w:p w14:paraId="35D0AF2A" w14:textId="77777777" w:rsidR="00D42204" w:rsidRDefault="004E439D">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35D0AF2B" w14:textId="77777777" w:rsidR="00D42204" w:rsidRDefault="004E439D">
            <w:pPr>
              <w:jc w:val="right"/>
              <w:textAlignment w:val="bottom"/>
            </w:pPr>
            <w:r>
              <w:rPr>
                <w:rFonts w:ascii="Times New Roman" w:eastAsia="宋体" w:hAnsi="Times New Roman"/>
                <w:color w:val="000000"/>
                <w:sz w:val="16"/>
                <w:szCs w:val="16"/>
              </w:rPr>
              <w:t>9,787 </w:t>
            </w:r>
          </w:p>
        </w:tc>
        <w:tc>
          <w:tcPr>
            <w:tcW w:w="0" w:type="auto"/>
            <w:shd w:val="clear" w:color="auto" w:fill="CCEEFF"/>
            <w:tcMar>
              <w:top w:w="40" w:type="dxa"/>
              <w:left w:w="0" w:type="dxa"/>
              <w:bottom w:w="40" w:type="dxa"/>
              <w:right w:w="20" w:type="dxa"/>
            </w:tcMar>
            <w:vAlign w:val="bottom"/>
          </w:tcPr>
          <w:p w14:paraId="35D0AF2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2D" w14:textId="77777777" w:rsidR="00D42204" w:rsidRDefault="00D42204">
            <w:pPr>
              <w:rPr>
                <w:rFonts w:ascii="宋体"/>
              </w:rPr>
            </w:pPr>
          </w:p>
        </w:tc>
        <w:tc>
          <w:tcPr>
            <w:tcW w:w="0" w:type="auto"/>
            <w:shd w:val="clear" w:color="auto" w:fill="CCEEFF"/>
            <w:tcMar>
              <w:top w:w="40" w:type="dxa"/>
              <w:left w:w="20" w:type="dxa"/>
              <w:bottom w:w="40" w:type="dxa"/>
              <w:right w:w="0" w:type="dxa"/>
            </w:tcMar>
            <w:vAlign w:val="bottom"/>
          </w:tcPr>
          <w:p w14:paraId="35D0AF2E" w14:textId="77777777" w:rsidR="00D42204" w:rsidRDefault="004E439D">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35D0AF2F" w14:textId="77777777" w:rsidR="00D42204" w:rsidRDefault="004E439D">
            <w:pPr>
              <w:jc w:val="right"/>
              <w:textAlignment w:val="bottom"/>
            </w:pPr>
            <w:r>
              <w:rPr>
                <w:rFonts w:ascii="Times New Roman" w:eastAsia="宋体" w:hAnsi="Times New Roman"/>
                <w:color w:val="000000"/>
                <w:sz w:val="16"/>
                <w:szCs w:val="16"/>
              </w:rPr>
              <w:t>2,625 </w:t>
            </w:r>
          </w:p>
        </w:tc>
        <w:tc>
          <w:tcPr>
            <w:tcW w:w="0" w:type="auto"/>
            <w:shd w:val="clear" w:color="auto" w:fill="CCEEFF"/>
            <w:tcMar>
              <w:top w:w="40" w:type="dxa"/>
              <w:left w:w="0" w:type="dxa"/>
              <w:bottom w:w="40" w:type="dxa"/>
              <w:right w:w="20" w:type="dxa"/>
            </w:tcMar>
            <w:vAlign w:val="bottom"/>
          </w:tcPr>
          <w:p w14:paraId="35D0AF3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31" w14:textId="77777777" w:rsidR="00D42204" w:rsidRDefault="00D42204">
            <w:pPr>
              <w:rPr>
                <w:rFonts w:ascii="宋体"/>
              </w:rPr>
            </w:pPr>
          </w:p>
        </w:tc>
        <w:tc>
          <w:tcPr>
            <w:tcW w:w="0" w:type="auto"/>
            <w:shd w:val="clear" w:color="auto" w:fill="CCEEFF"/>
            <w:tcMar>
              <w:top w:w="40" w:type="dxa"/>
              <w:left w:w="20" w:type="dxa"/>
              <w:bottom w:w="40" w:type="dxa"/>
              <w:right w:w="0" w:type="dxa"/>
            </w:tcMar>
            <w:vAlign w:val="bottom"/>
          </w:tcPr>
          <w:p w14:paraId="35D0AF32" w14:textId="77777777" w:rsidR="00D42204" w:rsidRDefault="004E439D">
            <w:pPr>
              <w:textAlignment w:val="bottom"/>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bottom"/>
          </w:tcPr>
          <w:p w14:paraId="35D0AF33" w14:textId="77777777" w:rsidR="00D42204" w:rsidRDefault="004E439D">
            <w:pPr>
              <w:jc w:val="right"/>
              <w:textAlignment w:val="bottom"/>
            </w:pPr>
            <w:r>
              <w:rPr>
                <w:rFonts w:ascii="Times New Roman" w:eastAsia="宋体" w:hAnsi="Times New Roman"/>
                <w:color w:val="000000"/>
                <w:sz w:val="16"/>
                <w:szCs w:val="16"/>
              </w:rPr>
              <w:t>5,717 </w:t>
            </w:r>
          </w:p>
        </w:tc>
        <w:tc>
          <w:tcPr>
            <w:tcW w:w="0" w:type="auto"/>
            <w:shd w:val="clear" w:color="auto" w:fill="CCEEFF"/>
            <w:tcMar>
              <w:top w:w="40" w:type="dxa"/>
              <w:left w:w="0" w:type="dxa"/>
              <w:bottom w:w="40" w:type="dxa"/>
              <w:right w:w="20" w:type="dxa"/>
            </w:tcMar>
            <w:vAlign w:val="bottom"/>
          </w:tcPr>
          <w:p w14:paraId="35D0AF34" w14:textId="77777777" w:rsidR="00D42204" w:rsidRDefault="00D42204">
            <w:pPr>
              <w:jc w:val="right"/>
              <w:rPr>
                <w:rFonts w:ascii="宋体"/>
              </w:rPr>
            </w:pPr>
          </w:p>
        </w:tc>
      </w:tr>
    </w:tbl>
    <w:p w14:paraId="35D0AF36" w14:textId="77777777" w:rsidR="00D42204" w:rsidRDefault="00D42204">
      <w:pPr>
        <w:spacing w:before="180"/>
      </w:pPr>
    </w:p>
    <w:p w14:paraId="35D0AF37" w14:textId="77777777" w:rsidR="00D42204" w:rsidRDefault="004E439D">
      <w:r>
        <w:rPr>
          <w:rFonts w:ascii="Times New Roman" w:eastAsia="宋体" w:hAnsi="Times New Roman"/>
          <w:b/>
          <w:bCs/>
          <w:color w:val="000000"/>
          <w:sz w:val="20"/>
          <w:szCs w:val="20"/>
        </w:rPr>
        <w:t>Note 4. Accumulated Other Comprehensive Loss</w:t>
      </w:r>
    </w:p>
    <w:p w14:paraId="35D0AF38" w14:textId="77777777" w:rsidR="00D42204" w:rsidRDefault="004E439D">
      <w:pPr>
        <w:spacing w:before="100"/>
      </w:pPr>
      <w:r>
        <w:rPr>
          <w:rFonts w:ascii="Times New Roman" w:eastAsia="宋体" w:hAnsi="Times New Roman"/>
          <w:color w:val="000000"/>
          <w:sz w:val="20"/>
          <w:szCs w:val="20"/>
        </w:rPr>
        <w:t xml:space="preserve">The following table provides the changes in the composition of total accumulated other comprehensive loss for fiscal 2022, 2021 and 2020: </w:t>
      </w:r>
    </w:p>
    <w:p w14:paraId="35D0AF39" w14:textId="77777777" w:rsidR="00D42204" w:rsidRDefault="004E439D">
      <w:pPr>
        <w:jc w:val="center"/>
      </w:pPr>
      <w:r>
        <w:rPr>
          <w:rFonts w:ascii="Times New Roman" w:eastAsia="宋体" w:hAnsi="Times New Roman"/>
          <w:color w:val="000000"/>
          <w:sz w:val="20"/>
          <w:szCs w:val="20"/>
        </w:rPr>
        <w:t>65</w:t>
      </w:r>
    </w:p>
    <w:p w14:paraId="35D0AF3A" w14:textId="77777777" w:rsidR="00D42204" w:rsidRDefault="004E439D">
      <w:r>
        <w:pict w14:anchorId="35D0C39C">
          <v:rect id="_x0000_i1089" style="width:415.3pt;height:1.5pt" o:hralign="center" o:hrstd="t" o:hr="t" fillcolor="#a0a0a0" stroked="f"/>
        </w:pict>
      </w:r>
    </w:p>
    <w:p w14:paraId="35D0AF3B" w14:textId="77777777" w:rsidR="00D42204" w:rsidRDefault="00D42204"/>
    <w:tbl>
      <w:tblPr>
        <w:tblW w:w="4978" w:type="pct"/>
        <w:tblCellMar>
          <w:top w:w="15" w:type="dxa"/>
          <w:left w:w="15" w:type="dxa"/>
          <w:bottom w:w="15" w:type="dxa"/>
          <w:right w:w="15" w:type="dxa"/>
        </w:tblCellMar>
        <w:tblLook w:val="04A0" w:firstRow="1" w:lastRow="0" w:firstColumn="1" w:lastColumn="0" w:noHBand="0" w:noVBand="1"/>
      </w:tblPr>
      <w:tblGrid>
        <w:gridCol w:w="40"/>
        <w:gridCol w:w="2742"/>
        <w:gridCol w:w="37"/>
        <w:gridCol w:w="101"/>
        <w:gridCol w:w="901"/>
        <w:gridCol w:w="36"/>
        <w:gridCol w:w="36"/>
        <w:gridCol w:w="36"/>
        <w:gridCol w:w="36"/>
        <w:gridCol w:w="101"/>
        <w:gridCol w:w="865"/>
        <w:gridCol w:w="36"/>
        <w:gridCol w:w="36"/>
        <w:gridCol w:w="36"/>
        <w:gridCol w:w="36"/>
        <w:gridCol w:w="101"/>
        <w:gridCol w:w="865"/>
        <w:gridCol w:w="36"/>
        <w:gridCol w:w="36"/>
        <w:gridCol w:w="36"/>
        <w:gridCol w:w="36"/>
        <w:gridCol w:w="101"/>
        <w:gridCol w:w="866"/>
        <w:gridCol w:w="36"/>
        <w:gridCol w:w="36"/>
        <w:gridCol w:w="36"/>
        <w:gridCol w:w="36"/>
        <w:gridCol w:w="100"/>
        <w:gridCol w:w="867"/>
        <w:gridCol w:w="36"/>
      </w:tblGrid>
      <w:tr w:rsidR="00D42204" w14:paraId="35D0AF5A" w14:textId="77777777">
        <w:tc>
          <w:tcPr>
            <w:tcW w:w="50" w:type="pct"/>
            <w:shd w:val="clear" w:color="auto" w:fill="auto"/>
            <w:vAlign w:val="bottom"/>
          </w:tcPr>
          <w:p w14:paraId="35D0AF3C" w14:textId="77777777" w:rsidR="00D42204" w:rsidRDefault="00D42204">
            <w:pPr>
              <w:rPr>
                <w:rFonts w:ascii="宋体"/>
              </w:rPr>
            </w:pPr>
          </w:p>
        </w:tc>
        <w:tc>
          <w:tcPr>
            <w:tcW w:w="1677" w:type="pct"/>
            <w:shd w:val="clear" w:color="auto" w:fill="auto"/>
            <w:vAlign w:val="bottom"/>
          </w:tcPr>
          <w:p w14:paraId="35D0AF3D" w14:textId="77777777" w:rsidR="00D42204" w:rsidRDefault="00D42204">
            <w:pPr>
              <w:rPr>
                <w:rFonts w:ascii="宋体"/>
              </w:rPr>
            </w:pPr>
          </w:p>
        </w:tc>
        <w:tc>
          <w:tcPr>
            <w:tcW w:w="5" w:type="pct"/>
            <w:shd w:val="clear" w:color="auto" w:fill="auto"/>
            <w:vAlign w:val="bottom"/>
          </w:tcPr>
          <w:p w14:paraId="35D0AF3E" w14:textId="77777777" w:rsidR="00D42204" w:rsidRDefault="00D42204">
            <w:pPr>
              <w:rPr>
                <w:rFonts w:ascii="宋体"/>
              </w:rPr>
            </w:pPr>
          </w:p>
        </w:tc>
        <w:tc>
          <w:tcPr>
            <w:tcW w:w="50" w:type="pct"/>
            <w:shd w:val="clear" w:color="auto" w:fill="auto"/>
            <w:vAlign w:val="bottom"/>
          </w:tcPr>
          <w:p w14:paraId="35D0AF3F" w14:textId="77777777" w:rsidR="00D42204" w:rsidRDefault="00D42204">
            <w:pPr>
              <w:rPr>
                <w:rFonts w:ascii="宋体"/>
              </w:rPr>
            </w:pPr>
          </w:p>
        </w:tc>
        <w:tc>
          <w:tcPr>
            <w:tcW w:w="569" w:type="pct"/>
            <w:shd w:val="clear" w:color="auto" w:fill="auto"/>
            <w:vAlign w:val="bottom"/>
          </w:tcPr>
          <w:p w14:paraId="35D0AF40" w14:textId="77777777" w:rsidR="00D42204" w:rsidRDefault="00D42204">
            <w:pPr>
              <w:rPr>
                <w:rFonts w:ascii="宋体"/>
              </w:rPr>
            </w:pPr>
          </w:p>
        </w:tc>
        <w:tc>
          <w:tcPr>
            <w:tcW w:w="5" w:type="pct"/>
            <w:shd w:val="clear" w:color="auto" w:fill="auto"/>
            <w:vAlign w:val="bottom"/>
          </w:tcPr>
          <w:p w14:paraId="35D0AF41" w14:textId="77777777" w:rsidR="00D42204" w:rsidRDefault="00D42204">
            <w:pPr>
              <w:rPr>
                <w:rFonts w:ascii="宋体"/>
              </w:rPr>
            </w:pPr>
          </w:p>
        </w:tc>
        <w:tc>
          <w:tcPr>
            <w:tcW w:w="5" w:type="pct"/>
            <w:shd w:val="clear" w:color="auto" w:fill="auto"/>
            <w:vAlign w:val="bottom"/>
          </w:tcPr>
          <w:p w14:paraId="35D0AF42" w14:textId="77777777" w:rsidR="00D42204" w:rsidRDefault="00D42204">
            <w:pPr>
              <w:rPr>
                <w:rFonts w:ascii="宋体"/>
              </w:rPr>
            </w:pPr>
          </w:p>
        </w:tc>
        <w:tc>
          <w:tcPr>
            <w:tcW w:w="26" w:type="pct"/>
            <w:shd w:val="clear" w:color="auto" w:fill="auto"/>
            <w:vAlign w:val="bottom"/>
          </w:tcPr>
          <w:p w14:paraId="35D0AF43" w14:textId="77777777" w:rsidR="00D42204" w:rsidRDefault="00D42204">
            <w:pPr>
              <w:rPr>
                <w:rFonts w:ascii="宋体"/>
              </w:rPr>
            </w:pPr>
          </w:p>
        </w:tc>
        <w:tc>
          <w:tcPr>
            <w:tcW w:w="5" w:type="pct"/>
            <w:shd w:val="clear" w:color="auto" w:fill="auto"/>
            <w:vAlign w:val="bottom"/>
          </w:tcPr>
          <w:p w14:paraId="35D0AF44" w14:textId="77777777" w:rsidR="00D42204" w:rsidRDefault="00D42204">
            <w:pPr>
              <w:rPr>
                <w:rFonts w:ascii="宋体"/>
              </w:rPr>
            </w:pPr>
          </w:p>
        </w:tc>
        <w:tc>
          <w:tcPr>
            <w:tcW w:w="50" w:type="pct"/>
            <w:shd w:val="clear" w:color="auto" w:fill="auto"/>
            <w:vAlign w:val="bottom"/>
          </w:tcPr>
          <w:p w14:paraId="35D0AF45" w14:textId="77777777" w:rsidR="00D42204" w:rsidRDefault="00D42204">
            <w:pPr>
              <w:rPr>
                <w:rFonts w:ascii="宋体"/>
              </w:rPr>
            </w:pPr>
          </w:p>
        </w:tc>
        <w:tc>
          <w:tcPr>
            <w:tcW w:w="569" w:type="pct"/>
            <w:shd w:val="clear" w:color="auto" w:fill="auto"/>
            <w:vAlign w:val="bottom"/>
          </w:tcPr>
          <w:p w14:paraId="35D0AF46" w14:textId="77777777" w:rsidR="00D42204" w:rsidRDefault="00D42204">
            <w:pPr>
              <w:rPr>
                <w:rFonts w:ascii="宋体"/>
              </w:rPr>
            </w:pPr>
          </w:p>
        </w:tc>
        <w:tc>
          <w:tcPr>
            <w:tcW w:w="5" w:type="pct"/>
            <w:shd w:val="clear" w:color="auto" w:fill="auto"/>
            <w:vAlign w:val="bottom"/>
          </w:tcPr>
          <w:p w14:paraId="35D0AF47" w14:textId="77777777" w:rsidR="00D42204" w:rsidRDefault="00D42204">
            <w:pPr>
              <w:rPr>
                <w:rFonts w:ascii="宋体"/>
              </w:rPr>
            </w:pPr>
          </w:p>
        </w:tc>
        <w:tc>
          <w:tcPr>
            <w:tcW w:w="5" w:type="pct"/>
            <w:shd w:val="clear" w:color="auto" w:fill="auto"/>
            <w:vAlign w:val="bottom"/>
          </w:tcPr>
          <w:p w14:paraId="35D0AF48" w14:textId="77777777" w:rsidR="00D42204" w:rsidRDefault="00D42204">
            <w:pPr>
              <w:rPr>
                <w:rFonts w:ascii="宋体"/>
              </w:rPr>
            </w:pPr>
          </w:p>
        </w:tc>
        <w:tc>
          <w:tcPr>
            <w:tcW w:w="26" w:type="pct"/>
            <w:shd w:val="clear" w:color="auto" w:fill="auto"/>
            <w:vAlign w:val="bottom"/>
          </w:tcPr>
          <w:p w14:paraId="35D0AF49" w14:textId="77777777" w:rsidR="00D42204" w:rsidRDefault="00D42204">
            <w:pPr>
              <w:rPr>
                <w:rFonts w:ascii="宋体"/>
              </w:rPr>
            </w:pPr>
          </w:p>
        </w:tc>
        <w:tc>
          <w:tcPr>
            <w:tcW w:w="5" w:type="pct"/>
            <w:shd w:val="clear" w:color="auto" w:fill="auto"/>
            <w:vAlign w:val="bottom"/>
          </w:tcPr>
          <w:p w14:paraId="35D0AF4A" w14:textId="77777777" w:rsidR="00D42204" w:rsidRDefault="00D42204">
            <w:pPr>
              <w:rPr>
                <w:rFonts w:ascii="宋体"/>
              </w:rPr>
            </w:pPr>
          </w:p>
        </w:tc>
        <w:tc>
          <w:tcPr>
            <w:tcW w:w="50" w:type="pct"/>
            <w:shd w:val="clear" w:color="auto" w:fill="auto"/>
            <w:vAlign w:val="bottom"/>
          </w:tcPr>
          <w:p w14:paraId="35D0AF4B" w14:textId="77777777" w:rsidR="00D42204" w:rsidRDefault="00D42204">
            <w:pPr>
              <w:rPr>
                <w:rFonts w:ascii="宋体"/>
              </w:rPr>
            </w:pPr>
          </w:p>
        </w:tc>
        <w:tc>
          <w:tcPr>
            <w:tcW w:w="569" w:type="pct"/>
            <w:shd w:val="clear" w:color="auto" w:fill="auto"/>
            <w:vAlign w:val="bottom"/>
          </w:tcPr>
          <w:p w14:paraId="35D0AF4C" w14:textId="77777777" w:rsidR="00D42204" w:rsidRDefault="00D42204">
            <w:pPr>
              <w:rPr>
                <w:rFonts w:ascii="宋体"/>
              </w:rPr>
            </w:pPr>
          </w:p>
        </w:tc>
        <w:tc>
          <w:tcPr>
            <w:tcW w:w="5" w:type="pct"/>
            <w:shd w:val="clear" w:color="auto" w:fill="auto"/>
            <w:vAlign w:val="bottom"/>
          </w:tcPr>
          <w:p w14:paraId="35D0AF4D" w14:textId="77777777" w:rsidR="00D42204" w:rsidRDefault="00D42204">
            <w:pPr>
              <w:rPr>
                <w:rFonts w:ascii="宋体"/>
              </w:rPr>
            </w:pPr>
          </w:p>
        </w:tc>
        <w:tc>
          <w:tcPr>
            <w:tcW w:w="5" w:type="pct"/>
            <w:shd w:val="clear" w:color="auto" w:fill="auto"/>
            <w:vAlign w:val="bottom"/>
          </w:tcPr>
          <w:p w14:paraId="35D0AF4E" w14:textId="77777777" w:rsidR="00D42204" w:rsidRDefault="00D42204">
            <w:pPr>
              <w:rPr>
                <w:rFonts w:ascii="宋体"/>
              </w:rPr>
            </w:pPr>
          </w:p>
        </w:tc>
        <w:tc>
          <w:tcPr>
            <w:tcW w:w="26" w:type="pct"/>
            <w:shd w:val="clear" w:color="auto" w:fill="auto"/>
            <w:vAlign w:val="bottom"/>
          </w:tcPr>
          <w:p w14:paraId="35D0AF4F" w14:textId="77777777" w:rsidR="00D42204" w:rsidRDefault="00D42204">
            <w:pPr>
              <w:rPr>
                <w:rFonts w:ascii="宋体"/>
              </w:rPr>
            </w:pPr>
          </w:p>
        </w:tc>
        <w:tc>
          <w:tcPr>
            <w:tcW w:w="5" w:type="pct"/>
            <w:shd w:val="clear" w:color="auto" w:fill="auto"/>
            <w:vAlign w:val="bottom"/>
          </w:tcPr>
          <w:p w14:paraId="35D0AF50" w14:textId="77777777" w:rsidR="00D42204" w:rsidRDefault="00D42204">
            <w:pPr>
              <w:rPr>
                <w:rFonts w:ascii="宋体"/>
              </w:rPr>
            </w:pPr>
          </w:p>
        </w:tc>
        <w:tc>
          <w:tcPr>
            <w:tcW w:w="50" w:type="pct"/>
            <w:shd w:val="clear" w:color="auto" w:fill="auto"/>
            <w:vAlign w:val="bottom"/>
          </w:tcPr>
          <w:p w14:paraId="35D0AF51" w14:textId="77777777" w:rsidR="00D42204" w:rsidRDefault="00D42204">
            <w:pPr>
              <w:rPr>
                <w:rFonts w:ascii="宋体"/>
              </w:rPr>
            </w:pPr>
          </w:p>
        </w:tc>
        <w:tc>
          <w:tcPr>
            <w:tcW w:w="569" w:type="pct"/>
            <w:shd w:val="clear" w:color="auto" w:fill="auto"/>
            <w:vAlign w:val="bottom"/>
          </w:tcPr>
          <w:p w14:paraId="35D0AF52" w14:textId="77777777" w:rsidR="00D42204" w:rsidRDefault="00D42204">
            <w:pPr>
              <w:rPr>
                <w:rFonts w:ascii="宋体"/>
              </w:rPr>
            </w:pPr>
          </w:p>
        </w:tc>
        <w:tc>
          <w:tcPr>
            <w:tcW w:w="5" w:type="pct"/>
            <w:shd w:val="clear" w:color="auto" w:fill="auto"/>
            <w:vAlign w:val="bottom"/>
          </w:tcPr>
          <w:p w14:paraId="35D0AF53" w14:textId="77777777" w:rsidR="00D42204" w:rsidRDefault="00D42204">
            <w:pPr>
              <w:rPr>
                <w:rFonts w:ascii="宋体"/>
              </w:rPr>
            </w:pPr>
          </w:p>
        </w:tc>
        <w:tc>
          <w:tcPr>
            <w:tcW w:w="5" w:type="pct"/>
            <w:shd w:val="clear" w:color="auto" w:fill="auto"/>
            <w:vAlign w:val="bottom"/>
          </w:tcPr>
          <w:p w14:paraId="35D0AF54" w14:textId="77777777" w:rsidR="00D42204" w:rsidRDefault="00D42204">
            <w:pPr>
              <w:rPr>
                <w:rFonts w:ascii="宋体"/>
              </w:rPr>
            </w:pPr>
          </w:p>
        </w:tc>
        <w:tc>
          <w:tcPr>
            <w:tcW w:w="26" w:type="pct"/>
            <w:shd w:val="clear" w:color="auto" w:fill="auto"/>
            <w:vAlign w:val="bottom"/>
          </w:tcPr>
          <w:p w14:paraId="35D0AF55" w14:textId="77777777" w:rsidR="00D42204" w:rsidRDefault="00D42204">
            <w:pPr>
              <w:rPr>
                <w:rFonts w:ascii="宋体"/>
              </w:rPr>
            </w:pPr>
          </w:p>
        </w:tc>
        <w:tc>
          <w:tcPr>
            <w:tcW w:w="5" w:type="pct"/>
            <w:shd w:val="clear" w:color="auto" w:fill="auto"/>
            <w:vAlign w:val="bottom"/>
          </w:tcPr>
          <w:p w14:paraId="35D0AF56" w14:textId="77777777" w:rsidR="00D42204" w:rsidRDefault="00D42204">
            <w:pPr>
              <w:rPr>
                <w:rFonts w:ascii="宋体"/>
              </w:rPr>
            </w:pPr>
          </w:p>
        </w:tc>
        <w:tc>
          <w:tcPr>
            <w:tcW w:w="50" w:type="pct"/>
            <w:shd w:val="clear" w:color="auto" w:fill="auto"/>
            <w:vAlign w:val="bottom"/>
          </w:tcPr>
          <w:p w14:paraId="35D0AF57" w14:textId="77777777" w:rsidR="00D42204" w:rsidRDefault="00D42204">
            <w:pPr>
              <w:rPr>
                <w:rFonts w:ascii="宋体"/>
              </w:rPr>
            </w:pPr>
          </w:p>
        </w:tc>
        <w:tc>
          <w:tcPr>
            <w:tcW w:w="569" w:type="pct"/>
            <w:shd w:val="clear" w:color="auto" w:fill="auto"/>
            <w:vAlign w:val="bottom"/>
          </w:tcPr>
          <w:p w14:paraId="35D0AF58" w14:textId="77777777" w:rsidR="00D42204" w:rsidRDefault="00D42204">
            <w:pPr>
              <w:rPr>
                <w:rFonts w:ascii="宋体"/>
              </w:rPr>
            </w:pPr>
          </w:p>
        </w:tc>
        <w:tc>
          <w:tcPr>
            <w:tcW w:w="5" w:type="pct"/>
            <w:shd w:val="clear" w:color="auto" w:fill="auto"/>
            <w:vAlign w:val="bottom"/>
          </w:tcPr>
          <w:p w14:paraId="35D0AF59" w14:textId="77777777" w:rsidR="00D42204" w:rsidRDefault="00D42204">
            <w:pPr>
              <w:rPr>
                <w:rFonts w:ascii="宋体"/>
              </w:rPr>
            </w:pPr>
          </w:p>
        </w:tc>
      </w:tr>
      <w:tr w:rsidR="00D42204" w14:paraId="35D0AF65" w14:textId="77777777">
        <w:tc>
          <w:tcPr>
            <w:tcW w:w="0" w:type="auto"/>
            <w:gridSpan w:val="3"/>
            <w:shd w:val="clear" w:color="auto" w:fill="auto"/>
            <w:tcMar>
              <w:top w:w="40" w:type="dxa"/>
              <w:left w:w="20" w:type="dxa"/>
              <w:bottom w:w="40" w:type="dxa"/>
              <w:right w:w="20" w:type="dxa"/>
            </w:tcMar>
            <w:vAlign w:val="bottom"/>
          </w:tcPr>
          <w:p w14:paraId="35D0AF5B" w14:textId="77777777" w:rsidR="00D42204" w:rsidRDefault="004E439D">
            <w:pPr>
              <w:textAlignment w:val="bottom"/>
            </w:pPr>
            <w:r>
              <w:rPr>
                <w:rFonts w:ascii="Times New Roman" w:eastAsia="宋体" w:hAnsi="Times New Roman"/>
                <w:i/>
                <w:iCs/>
                <w:color w:val="000000"/>
                <w:sz w:val="16"/>
                <w:szCs w:val="16"/>
              </w:rPr>
              <w:t>(Amounts in millions and net of immaterial income taxes)</w:t>
            </w:r>
          </w:p>
        </w:tc>
        <w:tc>
          <w:tcPr>
            <w:tcW w:w="0" w:type="auto"/>
            <w:gridSpan w:val="3"/>
            <w:shd w:val="clear" w:color="auto" w:fill="auto"/>
            <w:tcMar>
              <w:top w:w="40" w:type="dxa"/>
              <w:left w:w="20" w:type="dxa"/>
              <w:bottom w:w="40" w:type="dxa"/>
              <w:right w:w="20" w:type="dxa"/>
            </w:tcMar>
            <w:vAlign w:val="bottom"/>
          </w:tcPr>
          <w:p w14:paraId="35D0AF5C" w14:textId="77777777" w:rsidR="00D42204" w:rsidRDefault="004E439D">
            <w:pPr>
              <w:jc w:val="center"/>
              <w:textAlignment w:val="bottom"/>
            </w:pPr>
            <w:r>
              <w:rPr>
                <w:rFonts w:ascii="Times New Roman" w:eastAsia="宋体" w:hAnsi="Times New Roman"/>
                <w:b/>
                <w:bCs/>
                <w:color w:val="000000"/>
                <w:sz w:val="16"/>
                <w:szCs w:val="16"/>
              </w:rPr>
              <w:t>Currency</w:t>
            </w:r>
            <w:r>
              <w:rPr>
                <w:rFonts w:ascii="Times New Roman" w:eastAsia="宋体" w:hAnsi="Times New Roman"/>
                <w:b/>
                <w:bCs/>
                <w:color w:val="000000"/>
                <w:sz w:val="16"/>
                <w:szCs w:val="16"/>
              </w:rPr>
              <w:br/>
              <w:t>Translation</w:t>
            </w:r>
            <w:r>
              <w:rPr>
                <w:rFonts w:ascii="Times New Roman" w:eastAsia="宋体" w:hAnsi="Times New Roman"/>
                <w:b/>
                <w:bCs/>
                <w:color w:val="000000"/>
                <w:sz w:val="16"/>
                <w:szCs w:val="16"/>
              </w:rPr>
              <w:br/>
              <w:t>and Other</w:t>
            </w:r>
          </w:p>
        </w:tc>
        <w:tc>
          <w:tcPr>
            <w:tcW w:w="0" w:type="auto"/>
            <w:gridSpan w:val="3"/>
            <w:shd w:val="clear" w:color="auto" w:fill="auto"/>
            <w:tcMar>
              <w:top w:w="0" w:type="dxa"/>
              <w:left w:w="20" w:type="dxa"/>
              <w:bottom w:w="0" w:type="dxa"/>
              <w:right w:w="20" w:type="dxa"/>
            </w:tcMar>
            <w:vAlign w:val="bottom"/>
          </w:tcPr>
          <w:p w14:paraId="35D0AF5D"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F5E" w14:textId="77777777" w:rsidR="00D42204" w:rsidRDefault="004E439D">
            <w:pPr>
              <w:jc w:val="center"/>
              <w:textAlignment w:val="bottom"/>
            </w:pPr>
            <w:r>
              <w:rPr>
                <w:rFonts w:ascii="Times New Roman" w:eastAsia="宋体" w:hAnsi="Times New Roman"/>
                <w:b/>
                <w:bCs/>
                <w:color w:val="000000"/>
                <w:sz w:val="16"/>
                <w:szCs w:val="16"/>
              </w:rPr>
              <w:t>Net Investment Hedges</w:t>
            </w:r>
          </w:p>
        </w:tc>
        <w:tc>
          <w:tcPr>
            <w:tcW w:w="0" w:type="auto"/>
            <w:gridSpan w:val="3"/>
            <w:shd w:val="clear" w:color="auto" w:fill="auto"/>
            <w:tcMar>
              <w:top w:w="0" w:type="dxa"/>
              <w:left w:w="20" w:type="dxa"/>
              <w:bottom w:w="0" w:type="dxa"/>
              <w:right w:w="20" w:type="dxa"/>
            </w:tcMar>
            <w:vAlign w:val="bottom"/>
          </w:tcPr>
          <w:p w14:paraId="35D0AF5F"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F60" w14:textId="77777777" w:rsidR="00D42204" w:rsidRDefault="004E439D">
            <w:pPr>
              <w:jc w:val="center"/>
              <w:textAlignment w:val="bottom"/>
            </w:pPr>
            <w:r>
              <w:rPr>
                <w:rFonts w:ascii="Times New Roman" w:eastAsia="宋体" w:hAnsi="Times New Roman"/>
                <w:b/>
                <w:bCs/>
                <w:color w:val="000000"/>
                <w:sz w:val="16"/>
                <w:szCs w:val="16"/>
              </w:rPr>
              <w:t>Cash Flow Hedges</w:t>
            </w:r>
          </w:p>
        </w:tc>
        <w:tc>
          <w:tcPr>
            <w:tcW w:w="0" w:type="auto"/>
            <w:gridSpan w:val="3"/>
            <w:shd w:val="clear" w:color="auto" w:fill="auto"/>
            <w:tcMar>
              <w:top w:w="0" w:type="dxa"/>
              <w:left w:w="20" w:type="dxa"/>
              <w:bottom w:w="0" w:type="dxa"/>
              <w:right w:w="20" w:type="dxa"/>
            </w:tcMar>
            <w:vAlign w:val="bottom"/>
          </w:tcPr>
          <w:p w14:paraId="35D0AF6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F62" w14:textId="77777777" w:rsidR="00D42204" w:rsidRDefault="004E439D">
            <w:pPr>
              <w:jc w:val="center"/>
              <w:textAlignment w:val="bottom"/>
            </w:pPr>
            <w:r>
              <w:rPr>
                <w:rFonts w:ascii="Times New Roman" w:eastAsia="宋体" w:hAnsi="Times New Roman"/>
                <w:b/>
                <w:bCs/>
                <w:color w:val="000000"/>
                <w:sz w:val="16"/>
                <w:szCs w:val="16"/>
              </w:rPr>
              <w:t>Minimum</w:t>
            </w:r>
            <w:r>
              <w:rPr>
                <w:rFonts w:ascii="Times New Roman" w:eastAsia="宋体" w:hAnsi="Times New Roman"/>
                <w:b/>
                <w:bCs/>
                <w:color w:val="000000"/>
                <w:sz w:val="16"/>
                <w:szCs w:val="16"/>
              </w:rPr>
              <w:br/>
              <w:t>Pension Liability</w:t>
            </w:r>
          </w:p>
        </w:tc>
        <w:tc>
          <w:tcPr>
            <w:tcW w:w="0" w:type="auto"/>
            <w:gridSpan w:val="3"/>
            <w:shd w:val="clear" w:color="auto" w:fill="auto"/>
            <w:tcMar>
              <w:top w:w="0" w:type="dxa"/>
              <w:left w:w="20" w:type="dxa"/>
              <w:bottom w:w="0" w:type="dxa"/>
              <w:right w:w="20" w:type="dxa"/>
            </w:tcMar>
            <w:vAlign w:val="bottom"/>
          </w:tcPr>
          <w:p w14:paraId="35D0AF63"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AF64" w14:textId="77777777" w:rsidR="00D42204" w:rsidRDefault="004E439D">
            <w:pPr>
              <w:jc w:val="center"/>
              <w:textAlignment w:val="bottom"/>
            </w:pPr>
            <w:r>
              <w:rPr>
                <w:rFonts w:ascii="Times New Roman" w:eastAsia="宋体" w:hAnsi="Times New Roman"/>
                <w:b/>
                <w:bCs/>
                <w:color w:val="000000"/>
                <w:sz w:val="16"/>
                <w:szCs w:val="16"/>
              </w:rPr>
              <w:t>Total</w:t>
            </w:r>
          </w:p>
        </w:tc>
      </w:tr>
      <w:tr w:rsidR="00D42204" w14:paraId="35D0AF7A" w14:textId="77777777">
        <w:tc>
          <w:tcPr>
            <w:tcW w:w="0" w:type="auto"/>
            <w:gridSpan w:val="3"/>
            <w:shd w:val="clear" w:color="auto" w:fill="CCEEFF"/>
            <w:tcMar>
              <w:top w:w="40" w:type="dxa"/>
              <w:left w:w="20" w:type="dxa"/>
              <w:bottom w:w="40" w:type="dxa"/>
              <w:right w:w="20" w:type="dxa"/>
            </w:tcMar>
            <w:vAlign w:val="center"/>
          </w:tcPr>
          <w:p w14:paraId="35D0AF66" w14:textId="77777777" w:rsidR="00D42204" w:rsidRDefault="004E439D">
            <w:pPr>
              <w:textAlignment w:val="center"/>
            </w:pPr>
            <w:r>
              <w:rPr>
                <w:rFonts w:ascii="Times New Roman" w:eastAsia="宋体" w:hAnsi="Times New Roman"/>
                <w:b/>
                <w:bCs/>
                <w:color w:val="000000"/>
                <w:sz w:val="16"/>
                <w:szCs w:val="16"/>
              </w:rPr>
              <w:t>Balances as of February 1, 2019</w:t>
            </w:r>
          </w:p>
        </w:tc>
        <w:tc>
          <w:tcPr>
            <w:tcW w:w="0" w:type="auto"/>
            <w:tcBorders>
              <w:top w:val="single" w:sz="8" w:space="0" w:color="000000"/>
            </w:tcBorders>
            <w:shd w:val="clear" w:color="auto" w:fill="CCEEFF"/>
            <w:tcMar>
              <w:top w:w="40" w:type="dxa"/>
              <w:left w:w="20" w:type="dxa"/>
              <w:bottom w:w="40" w:type="dxa"/>
              <w:right w:w="0" w:type="dxa"/>
            </w:tcMar>
            <w:vAlign w:val="center"/>
          </w:tcPr>
          <w:p w14:paraId="35D0AF67"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F68" w14:textId="77777777" w:rsidR="00D42204" w:rsidRDefault="004E439D">
            <w:pPr>
              <w:jc w:val="right"/>
              <w:textAlignment w:val="center"/>
            </w:pPr>
            <w:r>
              <w:rPr>
                <w:rFonts w:ascii="Times New Roman" w:eastAsia="宋体" w:hAnsi="Times New Roman"/>
                <w:color w:val="000000"/>
                <w:sz w:val="16"/>
                <w:szCs w:val="16"/>
              </w:rPr>
              <w:t>(12,085)</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F6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6A"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F6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F6C" w14:textId="77777777" w:rsidR="00D42204" w:rsidRDefault="004E439D">
            <w:pPr>
              <w:jc w:val="right"/>
              <w:textAlignment w:val="center"/>
            </w:pPr>
            <w:r>
              <w:rPr>
                <w:rFonts w:ascii="Times New Roman" w:eastAsia="宋体" w:hAnsi="Times New Roman"/>
                <w:color w:val="000000"/>
                <w:sz w:val="16"/>
                <w:szCs w:val="16"/>
              </w:rPr>
              <w:t>1,395 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F6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6E"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F6F"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F70" w14:textId="77777777" w:rsidR="00D42204" w:rsidRDefault="004E439D">
            <w:pPr>
              <w:jc w:val="right"/>
              <w:textAlignment w:val="center"/>
            </w:pPr>
            <w:r>
              <w:rPr>
                <w:rFonts w:ascii="Times New Roman" w:eastAsia="宋体" w:hAnsi="Times New Roman"/>
                <w:color w:val="000000"/>
                <w:sz w:val="16"/>
                <w:szCs w:val="16"/>
              </w:rPr>
              <w:t>(140)</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F7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72"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F73"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F74" w14:textId="77777777" w:rsidR="00D42204" w:rsidRDefault="004E439D">
            <w:pPr>
              <w:jc w:val="right"/>
              <w:textAlignment w:val="center"/>
            </w:pPr>
            <w:r>
              <w:rPr>
                <w:rFonts w:ascii="Times New Roman" w:eastAsia="宋体" w:hAnsi="Times New Roman"/>
                <w:color w:val="000000"/>
                <w:sz w:val="16"/>
                <w:szCs w:val="16"/>
              </w:rPr>
              <w:t>(712)</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F7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76"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AF77"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AF78" w14:textId="77777777" w:rsidR="00D42204" w:rsidRDefault="004E439D">
            <w:pPr>
              <w:jc w:val="right"/>
              <w:textAlignment w:val="center"/>
            </w:pPr>
            <w:r>
              <w:rPr>
                <w:rFonts w:ascii="Times New Roman" w:eastAsia="宋体" w:hAnsi="Times New Roman"/>
                <w:color w:val="000000"/>
                <w:sz w:val="16"/>
                <w:szCs w:val="16"/>
              </w:rPr>
              <w:t>(11,542)</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F79" w14:textId="77777777" w:rsidR="00D42204" w:rsidRDefault="00D42204">
            <w:pPr>
              <w:jc w:val="right"/>
              <w:rPr>
                <w:rFonts w:ascii="宋体"/>
              </w:rPr>
            </w:pPr>
          </w:p>
        </w:tc>
      </w:tr>
      <w:tr w:rsidR="00D42204" w14:paraId="35D0AF8A" w14:textId="77777777">
        <w:tc>
          <w:tcPr>
            <w:tcW w:w="0" w:type="auto"/>
            <w:gridSpan w:val="3"/>
            <w:shd w:val="clear" w:color="auto" w:fill="FFFFFF"/>
            <w:tcMar>
              <w:top w:w="40" w:type="dxa"/>
              <w:left w:w="20" w:type="dxa"/>
              <w:bottom w:w="40" w:type="dxa"/>
              <w:right w:w="20" w:type="dxa"/>
            </w:tcMar>
            <w:vAlign w:val="center"/>
          </w:tcPr>
          <w:p w14:paraId="35D0AF7B" w14:textId="77777777" w:rsidR="00D42204" w:rsidRDefault="004E439D">
            <w:pPr>
              <w:textAlignment w:val="center"/>
            </w:pPr>
            <w:r>
              <w:rPr>
                <w:rFonts w:ascii="Times New Roman" w:eastAsia="宋体" w:hAnsi="Times New Roman"/>
                <w:color w:val="000000"/>
                <w:sz w:val="16"/>
                <w:szCs w:val="16"/>
              </w:rPr>
              <w:t>Other comprehensive income (los</w:t>
            </w:r>
            <w:r>
              <w:rPr>
                <w:rFonts w:ascii="Times New Roman" w:eastAsia="宋体" w:hAnsi="Times New Roman"/>
                <w:color w:val="000000"/>
                <w:sz w:val="16"/>
                <w:szCs w:val="16"/>
              </w:rPr>
              <w:t>s) before reclassifications, net</w:t>
            </w:r>
            <w:r>
              <w:rPr>
                <w:rFonts w:ascii="Times New Roman" w:eastAsia="宋体" w:hAnsi="Times New Roman"/>
                <w:color w:val="000000"/>
                <w:sz w:val="10"/>
                <w:szCs w:val="10"/>
              </w:rPr>
              <w:t>(1)</w:t>
            </w:r>
          </w:p>
        </w:tc>
        <w:tc>
          <w:tcPr>
            <w:tcW w:w="0" w:type="auto"/>
            <w:gridSpan w:val="2"/>
            <w:shd w:val="clear" w:color="auto" w:fill="FFFFFF"/>
            <w:tcMar>
              <w:top w:w="40" w:type="dxa"/>
              <w:left w:w="20" w:type="dxa"/>
              <w:bottom w:w="40" w:type="dxa"/>
              <w:right w:w="0" w:type="dxa"/>
            </w:tcMar>
            <w:vAlign w:val="center"/>
          </w:tcPr>
          <w:p w14:paraId="35D0AF7C" w14:textId="77777777" w:rsidR="00D42204" w:rsidRDefault="004E439D">
            <w:pPr>
              <w:jc w:val="right"/>
              <w:textAlignment w:val="center"/>
            </w:pPr>
            <w:r>
              <w:rPr>
                <w:rFonts w:ascii="Times New Roman" w:eastAsia="宋体" w:hAnsi="Times New Roman"/>
                <w:color w:val="000000"/>
                <w:sz w:val="16"/>
                <w:szCs w:val="16"/>
              </w:rPr>
              <w:t>281 </w:t>
            </w:r>
          </w:p>
        </w:tc>
        <w:tc>
          <w:tcPr>
            <w:tcW w:w="0" w:type="auto"/>
            <w:shd w:val="clear" w:color="auto" w:fill="FFFFFF"/>
            <w:tcMar>
              <w:top w:w="40" w:type="dxa"/>
              <w:left w:w="0" w:type="dxa"/>
              <w:bottom w:w="40" w:type="dxa"/>
              <w:right w:w="20" w:type="dxa"/>
            </w:tcMar>
            <w:vAlign w:val="center"/>
          </w:tcPr>
          <w:p w14:paraId="35D0AF7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F7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F7F" w14:textId="77777777" w:rsidR="00D42204" w:rsidRDefault="004E439D">
            <w:pPr>
              <w:jc w:val="right"/>
              <w:textAlignment w:val="center"/>
            </w:pPr>
            <w:r>
              <w:rPr>
                <w:rFonts w:ascii="Times New Roman" w:eastAsia="宋体" w:hAnsi="Times New Roman"/>
                <w:color w:val="000000"/>
                <w:sz w:val="16"/>
                <w:szCs w:val="16"/>
              </w:rPr>
              <w:t>122 </w:t>
            </w:r>
          </w:p>
        </w:tc>
        <w:tc>
          <w:tcPr>
            <w:tcW w:w="0" w:type="auto"/>
            <w:shd w:val="clear" w:color="auto" w:fill="FFFFFF"/>
            <w:tcMar>
              <w:top w:w="40" w:type="dxa"/>
              <w:left w:w="0" w:type="dxa"/>
              <w:bottom w:w="40" w:type="dxa"/>
              <w:right w:w="20" w:type="dxa"/>
            </w:tcMar>
            <w:vAlign w:val="center"/>
          </w:tcPr>
          <w:p w14:paraId="35D0AF8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F8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F82" w14:textId="77777777" w:rsidR="00D42204" w:rsidRDefault="004E439D">
            <w:pPr>
              <w:jc w:val="right"/>
              <w:textAlignment w:val="center"/>
            </w:pPr>
            <w:r>
              <w:rPr>
                <w:rFonts w:ascii="Times New Roman" w:eastAsia="宋体" w:hAnsi="Times New Roman"/>
                <w:color w:val="000000"/>
                <w:sz w:val="16"/>
                <w:szCs w:val="16"/>
              </w:rPr>
              <w:t>(399)</w:t>
            </w:r>
          </w:p>
        </w:tc>
        <w:tc>
          <w:tcPr>
            <w:tcW w:w="0" w:type="auto"/>
            <w:shd w:val="clear" w:color="auto" w:fill="FFFFFF"/>
            <w:tcMar>
              <w:top w:w="40" w:type="dxa"/>
              <w:left w:w="0" w:type="dxa"/>
              <w:bottom w:w="40" w:type="dxa"/>
              <w:right w:w="20" w:type="dxa"/>
            </w:tcMar>
            <w:vAlign w:val="center"/>
          </w:tcPr>
          <w:p w14:paraId="35D0AF8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F8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F85" w14:textId="77777777" w:rsidR="00D42204" w:rsidRDefault="004E439D">
            <w:pPr>
              <w:jc w:val="right"/>
              <w:textAlignment w:val="center"/>
            </w:pPr>
            <w:r>
              <w:rPr>
                <w:rFonts w:ascii="Times New Roman" w:eastAsia="宋体" w:hAnsi="Times New Roman"/>
                <w:color w:val="000000"/>
                <w:sz w:val="16"/>
                <w:szCs w:val="16"/>
              </w:rPr>
              <w:t>(1,283)</w:t>
            </w:r>
          </w:p>
        </w:tc>
        <w:tc>
          <w:tcPr>
            <w:tcW w:w="0" w:type="auto"/>
            <w:shd w:val="clear" w:color="auto" w:fill="FFFFFF"/>
            <w:tcMar>
              <w:top w:w="40" w:type="dxa"/>
              <w:left w:w="0" w:type="dxa"/>
              <w:bottom w:w="40" w:type="dxa"/>
              <w:right w:w="20" w:type="dxa"/>
            </w:tcMar>
            <w:vAlign w:val="center"/>
          </w:tcPr>
          <w:p w14:paraId="35D0AF8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F8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F88" w14:textId="77777777" w:rsidR="00D42204" w:rsidRDefault="004E439D">
            <w:pPr>
              <w:jc w:val="right"/>
              <w:textAlignment w:val="center"/>
            </w:pPr>
            <w:r>
              <w:rPr>
                <w:rFonts w:ascii="Times New Roman" w:eastAsia="宋体" w:hAnsi="Times New Roman"/>
                <w:color w:val="000000"/>
                <w:sz w:val="16"/>
                <w:szCs w:val="16"/>
              </w:rPr>
              <w:t>(1,279)</w:t>
            </w:r>
          </w:p>
        </w:tc>
        <w:tc>
          <w:tcPr>
            <w:tcW w:w="0" w:type="auto"/>
            <w:shd w:val="clear" w:color="auto" w:fill="FFFFFF"/>
            <w:tcMar>
              <w:top w:w="40" w:type="dxa"/>
              <w:left w:w="0" w:type="dxa"/>
              <w:bottom w:w="40" w:type="dxa"/>
              <w:right w:w="20" w:type="dxa"/>
            </w:tcMar>
            <w:vAlign w:val="center"/>
          </w:tcPr>
          <w:p w14:paraId="35D0AF89" w14:textId="77777777" w:rsidR="00D42204" w:rsidRDefault="00D42204">
            <w:pPr>
              <w:jc w:val="right"/>
              <w:rPr>
                <w:rFonts w:ascii="宋体"/>
              </w:rPr>
            </w:pPr>
          </w:p>
        </w:tc>
      </w:tr>
      <w:tr w:rsidR="00D42204" w14:paraId="35D0AF9A" w14:textId="77777777">
        <w:tc>
          <w:tcPr>
            <w:tcW w:w="0" w:type="auto"/>
            <w:gridSpan w:val="3"/>
            <w:shd w:val="clear" w:color="auto" w:fill="CCEEFF"/>
            <w:tcMar>
              <w:top w:w="40" w:type="dxa"/>
              <w:left w:w="20" w:type="dxa"/>
              <w:bottom w:w="40" w:type="dxa"/>
              <w:right w:w="20" w:type="dxa"/>
            </w:tcMar>
          </w:tcPr>
          <w:p w14:paraId="35D0AF8B" w14:textId="77777777" w:rsidR="00D42204" w:rsidRDefault="004E439D">
            <w:pPr>
              <w:textAlignment w:val="top"/>
            </w:pPr>
            <w:r>
              <w:rPr>
                <w:rFonts w:ascii="Times New Roman" w:eastAsia="宋体" w:hAnsi="Times New Roman"/>
                <w:color w:val="000000"/>
                <w:sz w:val="16"/>
                <w:szCs w:val="16"/>
              </w:rPr>
              <w:t>Reclassifications to income, net</w:t>
            </w:r>
          </w:p>
        </w:tc>
        <w:tc>
          <w:tcPr>
            <w:tcW w:w="0" w:type="auto"/>
            <w:gridSpan w:val="2"/>
            <w:shd w:val="clear" w:color="auto" w:fill="CCEEFF"/>
            <w:tcMar>
              <w:top w:w="40" w:type="dxa"/>
              <w:left w:w="20" w:type="dxa"/>
              <w:bottom w:w="40" w:type="dxa"/>
              <w:right w:w="0" w:type="dxa"/>
            </w:tcMar>
            <w:vAlign w:val="center"/>
          </w:tcPr>
          <w:p w14:paraId="35D0AF8C" w14:textId="77777777" w:rsidR="00D42204" w:rsidRDefault="004E439D">
            <w:pPr>
              <w:jc w:val="right"/>
              <w:textAlignment w:val="center"/>
            </w:pPr>
            <w:r>
              <w:rPr>
                <w:rFonts w:ascii="Times New Roman" w:eastAsia="宋体" w:hAnsi="Times New Roman"/>
                <w:color w:val="000000"/>
                <w:sz w:val="16"/>
                <w:szCs w:val="16"/>
              </w:rPr>
              <w:t>(23)</w:t>
            </w:r>
          </w:p>
        </w:tc>
        <w:tc>
          <w:tcPr>
            <w:tcW w:w="0" w:type="auto"/>
            <w:shd w:val="clear" w:color="auto" w:fill="CCEEFF"/>
            <w:tcMar>
              <w:top w:w="40" w:type="dxa"/>
              <w:left w:w="0" w:type="dxa"/>
              <w:bottom w:w="40" w:type="dxa"/>
              <w:right w:w="20" w:type="dxa"/>
            </w:tcMar>
            <w:vAlign w:val="center"/>
          </w:tcPr>
          <w:p w14:paraId="35D0AF8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8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F8F"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F9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9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F92"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AF9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9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F95" w14:textId="77777777" w:rsidR="00D42204" w:rsidRDefault="004E439D">
            <w:pPr>
              <w:jc w:val="right"/>
              <w:textAlignment w:val="center"/>
            </w:pPr>
            <w:r>
              <w:rPr>
                <w:rFonts w:ascii="Times New Roman" w:eastAsia="宋体" w:hAnsi="Times New Roman"/>
                <w:color w:val="000000"/>
                <w:sz w:val="16"/>
                <w:szCs w:val="16"/>
              </w:rPr>
              <w:t>39 </w:t>
            </w:r>
          </w:p>
        </w:tc>
        <w:tc>
          <w:tcPr>
            <w:tcW w:w="0" w:type="auto"/>
            <w:shd w:val="clear" w:color="auto" w:fill="CCEEFF"/>
            <w:tcMar>
              <w:top w:w="40" w:type="dxa"/>
              <w:left w:w="0" w:type="dxa"/>
              <w:bottom w:w="40" w:type="dxa"/>
              <w:right w:w="20" w:type="dxa"/>
            </w:tcMar>
            <w:vAlign w:val="center"/>
          </w:tcPr>
          <w:p w14:paraId="35D0AF9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9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F98" w14:textId="77777777" w:rsidR="00D42204" w:rsidRDefault="004E439D">
            <w:pPr>
              <w:jc w:val="right"/>
              <w:textAlignment w:val="center"/>
            </w:pPr>
            <w:r>
              <w:rPr>
                <w:rFonts w:ascii="Times New Roman" w:eastAsia="宋体" w:hAnsi="Times New Roman"/>
                <w:color w:val="000000"/>
                <w:sz w:val="16"/>
                <w:szCs w:val="16"/>
              </w:rPr>
              <w:t>16 </w:t>
            </w:r>
          </w:p>
        </w:tc>
        <w:tc>
          <w:tcPr>
            <w:tcW w:w="0" w:type="auto"/>
            <w:shd w:val="clear" w:color="auto" w:fill="CCEEFF"/>
            <w:tcMar>
              <w:top w:w="40" w:type="dxa"/>
              <w:left w:w="0" w:type="dxa"/>
              <w:bottom w:w="40" w:type="dxa"/>
              <w:right w:w="20" w:type="dxa"/>
            </w:tcMar>
            <w:vAlign w:val="center"/>
          </w:tcPr>
          <w:p w14:paraId="35D0AF99" w14:textId="77777777" w:rsidR="00D42204" w:rsidRDefault="00D42204">
            <w:pPr>
              <w:jc w:val="right"/>
              <w:rPr>
                <w:rFonts w:ascii="宋体"/>
              </w:rPr>
            </w:pPr>
          </w:p>
        </w:tc>
      </w:tr>
      <w:tr w:rsidR="00D42204" w14:paraId="35D0AFAA" w14:textId="77777777">
        <w:tc>
          <w:tcPr>
            <w:tcW w:w="0" w:type="auto"/>
            <w:gridSpan w:val="3"/>
            <w:shd w:val="clear" w:color="auto" w:fill="FFFFFF"/>
            <w:tcMar>
              <w:top w:w="40" w:type="dxa"/>
              <w:left w:w="20" w:type="dxa"/>
              <w:bottom w:w="40" w:type="dxa"/>
              <w:right w:w="20" w:type="dxa"/>
            </w:tcMar>
            <w:vAlign w:val="center"/>
          </w:tcPr>
          <w:p w14:paraId="35D0AF9B" w14:textId="77777777" w:rsidR="00D42204" w:rsidRDefault="004E439D">
            <w:pPr>
              <w:textAlignment w:val="center"/>
            </w:pPr>
            <w:r>
              <w:rPr>
                <w:rFonts w:ascii="Times New Roman" w:eastAsia="宋体" w:hAnsi="Times New Roman"/>
                <w:b/>
                <w:bCs/>
                <w:color w:val="000000"/>
                <w:sz w:val="16"/>
                <w:szCs w:val="16"/>
              </w:rPr>
              <w:t>Balances as of January 31, 2020</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F9C" w14:textId="77777777" w:rsidR="00D42204" w:rsidRDefault="004E439D">
            <w:pPr>
              <w:jc w:val="right"/>
              <w:textAlignment w:val="center"/>
            </w:pPr>
            <w:r>
              <w:rPr>
                <w:rFonts w:ascii="Times New Roman" w:eastAsia="宋体" w:hAnsi="Times New Roman"/>
                <w:color w:val="000000"/>
                <w:sz w:val="16"/>
                <w:szCs w:val="16"/>
              </w:rPr>
              <w:t>(11,827)</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F9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F9E"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F9F" w14:textId="77777777" w:rsidR="00D42204" w:rsidRDefault="004E439D">
            <w:pPr>
              <w:jc w:val="right"/>
              <w:textAlignment w:val="center"/>
            </w:pPr>
            <w:r>
              <w:rPr>
                <w:rFonts w:ascii="Times New Roman" w:eastAsia="宋体" w:hAnsi="Times New Roman"/>
                <w:color w:val="000000"/>
                <w:sz w:val="16"/>
                <w:szCs w:val="16"/>
              </w:rPr>
              <w:t>1,517 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FA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FA1"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FA2" w14:textId="77777777" w:rsidR="00D42204" w:rsidRDefault="004E439D">
            <w:pPr>
              <w:jc w:val="right"/>
              <w:textAlignment w:val="center"/>
            </w:pPr>
            <w:r>
              <w:rPr>
                <w:rFonts w:ascii="Times New Roman" w:eastAsia="宋体" w:hAnsi="Times New Roman"/>
                <w:color w:val="000000"/>
                <w:sz w:val="16"/>
                <w:szCs w:val="16"/>
              </w:rPr>
              <w:t>(539)</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FA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FA4"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FA5" w14:textId="77777777" w:rsidR="00D42204" w:rsidRDefault="004E439D">
            <w:pPr>
              <w:jc w:val="right"/>
              <w:textAlignment w:val="center"/>
            </w:pPr>
            <w:r>
              <w:rPr>
                <w:rFonts w:ascii="Times New Roman" w:eastAsia="宋体" w:hAnsi="Times New Roman"/>
                <w:color w:val="000000"/>
                <w:sz w:val="16"/>
                <w:szCs w:val="16"/>
              </w:rPr>
              <w:t>(1,956)</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FA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FA7"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AFA8" w14:textId="77777777" w:rsidR="00D42204" w:rsidRDefault="004E439D">
            <w:pPr>
              <w:jc w:val="right"/>
              <w:textAlignment w:val="center"/>
            </w:pPr>
            <w:r>
              <w:rPr>
                <w:rFonts w:ascii="Times New Roman" w:eastAsia="宋体" w:hAnsi="Times New Roman"/>
                <w:color w:val="000000"/>
                <w:sz w:val="16"/>
                <w:szCs w:val="16"/>
              </w:rPr>
              <w:t>(12,805)</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AFA9" w14:textId="77777777" w:rsidR="00D42204" w:rsidRDefault="00D42204">
            <w:pPr>
              <w:jc w:val="right"/>
              <w:rPr>
                <w:rFonts w:ascii="宋体"/>
              </w:rPr>
            </w:pPr>
          </w:p>
        </w:tc>
      </w:tr>
      <w:tr w:rsidR="00D42204" w14:paraId="35D0AFBA" w14:textId="77777777">
        <w:tc>
          <w:tcPr>
            <w:tcW w:w="0" w:type="auto"/>
            <w:gridSpan w:val="3"/>
            <w:shd w:val="clear" w:color="auto" w:fill="CCEEFF"/>
            <w:tcMar>
              <w:top w:w="40" w:type="dxa"/>
              <w:left w:w="20" w:type="dxa"/>
              <w:bottom w:w="40" w:type="dxa"/>
              <w:right w:w="20" w:type="dxa"/>
            </w:tcMar>
          </w:tcPr>
          <w:p w14:paraId="35D0AFAB" w14:textId="77777777" w:rsidR="00D42204" w:rsidRDefault="004E439D">
            <w:pPr>
              <w:textAlignment w:val="top"/>
            </w:pPr>
            <w:r>
              <w:rPr>
                <w:rFonts w:ascii="Times New Roman" w:eastAsia="宋体" w:hAnsi="Times New Roman"/>
                <w:color w:val="000000"/>
                <w:sz w:val="16"/>
                <w:szCs w:val="16"/>
              </w:rPr>
              <w:t>Other comprehensive income (loss) before reclassifications, net</w:t>
            </w:r>
          </w:p>
        </w:tc>
        <w:tc>
          <w:tcPr>
            <w:tcW w:w="0" w:type="auto"/>
            <w:gridSpan w:val="2"/>
            <w:shd w:val="clear" w:color="auto" w:fill="CCEEFF"/>
            <w:tcMar>
              <w:top w:w="40" w:type="dxa"/>
              <w:left w:w="20" w:type="dxa"/>
              <w:bottom w:w="40" w:type="dxa"/>
              <w:right w:w="0" w:type="dxa"/>
            </w:tcMar>
            <w:vAlign w:val="center"/>
          </w:tcPr>
          <w:p w14:paraId="35D0AFAC" w14:textId="77777777" w:rsidR="00D42204" w:rsidRDefault="004E439D">
            <w:pPr>
              <w:jc w:val="right"/>
              <w:textAlignment w:val="center"/>
            </w:pPr>
            <w:r>
              <w:rPr>
                <w:rFonts w:ascii="Times New Roman" w:eastAsia="宋体" w:hAnsi="Times New Roman"/>
                <w:color w:val="000000"/>
                <w:sz w:val="16"/>
                <w:szCs w:val="16"/>
              </w:rPr>
              <w:t>214 </w:t>
            </w:r>
          </w:p>
        </w:tc>
        <w:tc>
          <w:tcPr>
            <w:tcW w:w="0" w:type="auto"/>
            <w:shd w:val="clear" w:color="auto" w:fill="CCEEFF"/>
            <w:tcMar>
              <w:top w:w="40" w:type="dxa"/>
              <w:left w:w="0" w:type="dxa"/>
              <w:bottom w:w="40" w:type="dxa"/>
              <w:right w:w="20" w:type="dxa"/>
            </w:tcMar>
            <w:vAlign w:val="center"/>
          </w:tcPr>
          <w:p w14:paraId="35D0AFA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A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FAF" w14:textId="77777777" w:rsidR="00D42204" w:rsidRDefault="004E439D">
            <w:pPr>
              <w:jc w:val="right"/>
              <w:textAlignment w:val="center"/>
            </w:pPr>
            <w:r>
              <w:rPr>
                <w:rFonts w:ascii="Times New Roman" w:eastAsia="宋体" w:hAnsi="Times New Roman"/>
                <w:color w:val="000000"/>
                <w:sz w:val="16"/>
                <w:szCs w:val="16"/>
              </w:rPr>
              <w:t>(221)</w:t>
            </w:r>
          </w:p>
        </w:tc>
        <w:tc>
          <w:tcPr>
            <w:tcW w:w="0" w:type="auto"/>
            <w:shd w:val="clear" w:color="auto" w:fill="CCEEFF"/>
            <w:tcMar>
              <w:top w:w="40" w:type="dxa"/>
              <w:left w:w="0" w:type="dxa"/>
              <w:bottom w:w="40" w:type="dxa"/>
              <w:right w:w="20" w:type="dxa"/>
            </w:tcMar>
            <w:vAlign w:val="center"/>
          </w:tcPr>
          <w:p w14:paraId="35D0AFB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B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FB2" w14:textId="77777777" w:rsidR="00D42204" w:rsidRDefault="004E439D">
            <w:pPr>
              <w:jc w:val="right"/>
              <w:textAlignment w:val="center"/>
            </w:pPr>
            <w:r>
              <w:rPr>
                <w:rFonts w:ascii="Times New Roman" w:eastAsia="宋体" w:hAnsi="Times New Roman"/>
                <w:color w:val="000000"/>
                <w:sz w:val="16"/>
                <w:szCs w:val="16"/>
              </w:rPr>
              <w:t>186 </w:t>
            </w:r>
          </w:p>
        </w:tc>
        <w:tc>
          <w:tcPr>
            <w:tcW w:w="0" w:type="auto"/>
            <w:shd w:val="clear" w:color="auto" w:fill="CCEEFF"/>
            <w:tcMar>
              <w:top w:w="40" w:type="dxa"/>
              <w:left w:w="0" w:type="dxa"/>
              <w:bottom w:w="40" w:type="dxa"/>
              <w:right w:w="20" w:type="dxa"/>
            </w:tcMar>
            <w:vAlign w:val="center"/>
          </w:tcPr>
          <w:p w14:paraId="35D0AFB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B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FB5" w14:textId="77777777" w:rsidR="00D42204" w:rsidRDefault="004E439D">
            <w:pPr>
              <w:jc w:val="right"/>
              <w:textAlignment w:val="center"/>
            </w:pPr>
            <w:r>
              <w:rPr>
                <w:rFonts w:ascii="Times New Roman" w:eastAsia="宋体" w:hAnsi="Times New Roman"/>
                <w:color w:val="000000"/>
                <w:sz w:val="16"/>
                <w:szCs w:val="16"/>
              </w:rPr>
              <w:t>(172)</w:t>
            </w:r>
          </w:p>
        </w:tc>
        <w:tc>
          <w:tcPr>
            <w:tcW w:w="0" w:type="auto"/>
            <w:shd w:val="clear" w:color="auto" w:fill="CCEEFF"/>
            <w:tcMar>
              <w:top w:w="40" w:type="dxa"/>
              <w:left w:w="0" w:type="dxa"/>
              <w:bottom w:w="40" w:type="dxa"/>
              <w:right w:w="20" w:type="dxa"/>
            </w:tcMar>
            <w:vAlign w:val="center"/>
          </w:tcPr>
          <w:p w14:paraId="35D0AFB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B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FB8" w14:textId="77777777" w:rsidR="00D42204" w:rsidRDefault="004E439D">
            <w:pPr>
              <w:jc w:val="right"/>
              <w:textAlignment w:val="center"/>
            </w:pPr>
            <w:r>
              <w:rPr>
                <w:rFonts w:ascii="Times New Roman" w:eastAsia="宋体" w:hAnsi="Times New Roman"/>
                <w:color w:val="000000"/>
                <w:sz w:val="16"/>
                <w:szCs w:val="16"/>
              </w:rPr>
              <w:t>7 </w:t>
            </w:r>
          </w:p>
        </w:tc>
        <w:tc>
          <w:tcPr>
            <w:tcW w:w="0" w:type="auto"/>
            <w:shd w:val="clear" w:color="auto" w:fill="CCEEFF"/>
            <w:tcMar>
              <w:top w:w="40" w:type="dxa"/>
              <w:left w:w="0" w:type="dxa"/>
              <w:bottom w:w="40" w:type="dxa"/>
              <w:right w:w="20" w:type="dxa"/>
            </w:tcMar>
            <w:vAlign w:val="center"/>
          </w:tcPr>
          <w:p w14:paraId="35D0AFB9" w14:textId="77777777" w:rsidR="00D42204" w:rsidRDefault="00D42204">
            <w:pPr>
              <w:jc w:val="right"/>
              <w:rPr>
                <w:rFonts w:ascii="宋体"/>
              </w:rPr>
            </w:pPr>
          </w:p>
        </w:tc>
      </w:tr>
      <w:tr w:rsidR="00D42204" w14:paraId="35D0AFCA" w14:textId="77777777">
        <w:tc>
          <w:tcPr>
            <w:tcW w:w="0" w:type="auto"/>
            <w:gridSpan w:val="3"/>
            <w:shd w:val="clear" w:color="auto" w:fill="FFFFFF"/>
            <w:tcMar>
              <w:top w:w="40" w:type="dxa"/>
              <w:left w:w="20" w:type="dxa"/>
              <w:bottom w:w="40" w:type="dxa"/>
              <w:right w:w="20" w:type="dxa"/>
            </w:tcMar>
          </w:tcPr>
          <w:p w14:paraId="35D0AFBB" w14:textId="77777777" w:rsidR="00D42204" w:rsidRDefault="004E439D">
            <w:pPr>
              <w:textAlignment w:val="top"/>
            </w:pPr>
            <w:r>
              <w:rPr>
                <w:rFonts w:ascii="Times New Roman" w:eastAsia="宋体" w:hAnsi="Times New Roman"/>
                <w:color w:val="000000"/>
                <w:sz w:val="16"/>
                <w:szCs w:val="16"/>
              </w:rPr>
              <w:t>Reclassifications to income, net</w:t>
            </w:r>
            <w:r>
              <w:rPr>
                <w:rFonts w:ascii="Times New Roman" w:eastAsia="宋体" w:hAnsi="Times New Roman"/>
                <w:color w:val="000000"/>
                <w:sz w:val="10"/>
                <w:szCs w:val="10"/>
              </w:rPr>
              <w:t>(2)</w:t>
            </w:r>
          </w:p>
        </w:tc>
        <w:tc>
          <w:tcPr>
            <w:tcW w:w="0" w:type="auto"/>
            <w:gridSpan w:val="2"/>
            <w:shd w:val="clear" w:color="auto" w:fill="FFFFFF"/>
            <w:tcMar>
              <w:top w:w="40" w:type="dxa"/>
              <w:left w:w="20" w:type="dxa"/>
              <w:bottom w:w="40" w:type="dxa"/>
              <w:right w:w="0" w:type="dxa"/>
            </w:tcMar>
            <w:vAlign w:val="center"/>
          </w:tcPr>
          <w:p w14:paraId="35D0AFBC" w14:textId="77777777" w:rsidR="00D42204" w:rsidRDefault="004E439D">
            <w:pPr>
              <w:jc w:val="right"/>
              <w:textAlignment w:val="center"/>
            </w:pPr>
            <w:r>
              <w:rPr>
                <w:rFonts w:ascii="Times New Roman" w:eastAsia="宋体" w:hAnsi="Times New Roman"/>
                <w:color w:val="000000"/>
                <w:sz w:val="16"/>
                <w:szCs w:val="16"/>
              </w:rPr>
              <w:t>841 </w:t>
            </w:r>
          </w:p>
        </w:tc>
        <w:tc>
          <w:tcPr>
            <w:tcW w:w="0" w:type="auto"/>
            <w:shd w:val="clear" w:color="auto" w:fill="FFFFFF"/>
            <w:tcMar>
              <w:top w:w="40" w:type="dxa"/>
              <w:left w:w="0" w:type="dxa"/>
              <w:bottom w:w="40" w:type="dxa"/>
              <w:right w:w="20" w:type="dxa"/>
            </w:tcMar>
            <w:vAlign w:val="center"/>
          </w:tcPr>
          <w:p w14:paraId="35D0AFB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FB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FBF"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AFC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FC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FC2" w14:textId="77777777" w:rsidR="00D42204" w:rsidRDefault="004E439D">
            <w:pPr>
              <w:jc w:val="right"/>
              <w:textAlignment w:val="center"/>
            </w:pPr>
            <w:r>
              <w:rPr>
                <w:rFonts w:ascii="Times New Roman" w:eastAsia="宋体" w:hAnsi="Times New Roman"/>
                <w:color w:val="000000"/>
                <w:sz w:val="16"/>
                <w:szCs w:val="16"/>
              </w:rPr>
              <w:t>49 </w:t>
            </w:r>
          </w:p>
        </w:tc>
        <w:tc>
          <w:tcPr>
            <w:tcW w:w="0" w:type="auto"/>
            <w:shd w:val="clear" w:color="auto" w:fill="FFFFFF"/>
            <w:tcMar>
              <w:top w:w="40" w:type="dxa"/>
              <w:left w:w="0" w:type="dxa"/>
              <w:bottom w:w="40" w:type="dxa"/>
              <w:right w:w="20" w:type="dxa"/>
            </w:tcMar>
            <w:vAlign w:val="center"/>
          </w:tcPr>
          <w:p w14:paraId="35D0AFC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FC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FC5" w14:textId="77777777" w:rsidR="00D42204" w:rsidRDefault="004E439D">
            <w:pPr>
              <w:jc w:val="right"/>
              <w:textAlignment w:val="center"/>
            </w:pPr>
            <w:r>
              <w:rPr>
                <w:rFonts w:ascii="Times New Roman" w:eastAsia="宋体" w:hAnsi="Times New Roman"/>
                <w:color w:val="000000"/>
                <w:sz w:val="16"/>
                <w:szCs w:val="16"/>
              </w:rPr>
              <w:t>142 </w:t>
            </w:r>
          </w:p>
        </w:tc>
        <w:tc>
          <w:tcPr>
            <w:tcW w:w="0" w:type="auto"/>
            <w:shd w:val="clear" w:color="auto" w:fill="FFFFFF"/>
            <w:tcMar>
              <w:top w:w="40" w:type="dxa"/>
              <w:left w:w="0" w:type="dxa"/>
              <w:bottom w:w="40" w:type="dxa"/>
              <w:right w:w="20" w:type="dxa"/>
            </w:tcMar>
            <w:vAlign w:val="center"/>
          </w:tcPr>
          <w:p w14:paraId="35D0AFC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AFC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AFC8" w14:textId="77777777" w:rsidR="00D42204" w:rsidRDefault="004E439D">
            <w:pPr>
              <w:jc w:val="right"/>
              <w:textAlignment w:val="center"/>
            </w:pPr>
            <w:r>
              <w:rPr>
                <w:rFonts w:ascii="Times New Roman" w:eastAsia="宋体" w:hAnsi="Times New Roman"/>
                <w:color w:val="000000"/>
                <w:sz w:val="16"/>
                <w:szCs w:val="16"/>
              </w:rPr>
              <w:t>1,032 </w:t>
            </w:r>
          </w:p>
        </w:tc>
        <w:tc>
          <w:tcPr>
            <w:tcW w:w="0" w:type="auto"/>
            <w:shd w:val="clear" w:color="auto" w:fill="FFFFFF"/>
            <w:tcMar>
              <w:top w:w="40" w:type="dxa"/>
              <w:left w:w="0" w:type="dxa"/>
              <w:bottom w:w="40" w:type="dxa"/>
              <w:right w:w="20" w:type="dxa"/>
            </w:tcMar>
            <w:vAlign w:val="center"/>
          </w:tcPr>
          <w:p w14:paraId="35D0AFC9" w14:textId="77777777" w:rsidR="00D42204" w:rsidRDefault="00D42204">
            <w:pPr>
              <w:jc w:val="right"/>
              <w:rPr>
                <w:rFonts w:ascii="宋体"/>
              </w:rPr>
            </w:pPr>
          </w:p>
        </w:tc>
      </w:tr>
      <w:tr w:rsidR="00D42204" w14:paraId="35D0AFDA" w14:textId="77777777">
        <w:tc>
          <w:tcPr>
            <w:tcW w:w="0" w:type="auto"/>
            <w:gridSpan w:val="3"/>
            <w:shd w:val="clear" w:color="auto" w:fill="CCEEFF"/>
            <w:tcMar>
              <w:top w:w="40" w:type="dxa"/>
              <w:left w:w="20" w:type="dxa"/>
              <w:bottom w:w="40" w:type="dxa"/>
              <w:right w:w="20" w:type="dxa"/>
            </w:tcMar>
            <w:vAlign w:val="center"/>
          </w:tcPr>
          <w:p w14:paraId="35D0AFCB" w14:textId="77777777" w:rsidR="00D42204" w:rsidRDefault="004E439D">
            <w:pPr>
              <w:textAlignment w:val="center"/>
            </w:pPr>
            <w:r>
              <w:rPr>
                <w:rFonts w:ascii="Times New Roman" w:eastAsia="宋体" w:hAnsi="Times New Roman"/>
                <w:b/>
                <w:bCs/>
                <w:color w:val="000000"/>
                <w:sz w:val="16"/>
                <w:szCs w:val="16"/>
              </w:rPr>
              <w:t>Balances as of January 31, 2021</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FCC" w14:textId="77777777" w:rsidR="00D42204" w:rsidRDefault="004E439D">
            <w:pPr>
              <w:jc w:val="right"/>
              <w:textAlignment w:val="center"/>
            </w:pPr>
            <w:r>
              <w:rPr>
                <w:rFonts w:ascii="Times New Roman" w:eastAsia="宋体" w:hAnsi="Times New Roman"/>
                <w:color w:val="000000"/>
                <w:sz w:val="16"/>
                <w:szCs w:val="16"/>
              </w:rPr>
              <w:t>(10,772)</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FC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CE"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FCF" w14:textId="77777777" w:rsidR="00D42204" w:rsidRDefault="004E439D">
            <w:pPr>
              <w:jc w:val="right"/>
              <w:textAlignment w:val="center"/>
            </w:pPr>
            <w:r>
              <w:rPr>
                <w:rFonts w:ascii="Times New Roman" w:eastAsia="宋体" w:hAnsi="Times New Roman"/>
                <w:color w:val="000000"/>
                <w:sz w:val="16"/>
                <w:szCs w:val="16"/>
              </w:rPr>
              <w:t>1,296 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FD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D1"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FD2" w14:textId="77777777" w:rsidR="00D42204" w:rsidRDefault="004E439D">
            <w:pPr>
              <w:jc w:val="right"/>
              <w:textAlignment w:val="center"/>
            </w:pPr>
            <w:r>
              <w:rPr>
                <w:rFonts w:ascii="Times New Roman" w:eastAsia="宋体" w:hAnsi="Times New Roman"/>
                <w:color w:val="000000"/>
                <w:sz w:val="16"/>
                <w:szCs w:val="16"/>
              </w:rPr>
              <w:t>(304)</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FD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D4"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FD5" w14:textId="77777777" w:rsidR="00D42204" w:rsidRDefault="004E439D">
            <w:pPr>
              <w:jc w:val="right"/>
              <w:textAlignment w:val="center"/>
            </w:pPr>
            <w:r>
              <w:rPr>
                <w:rFonts w:ascii="Times New Roman" w:eastAsia="宋体" w:hAnsi="Times New Roman"/>
                <w:color w:val="000000"/>
                <w:sz w:val="16"/>
                <w:szCs w:val="16"/>
              </w:rPr>
              <w:t>(1,986)</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FD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D7"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AFD8" w14:textId="77777777" w:rsidR="00D42204" w:rsidRDefault="004E439D">
            <w:pPr>
              <w:jc w:val="right"/>
              <w:textAlignment w:val="center"/>
            </w:pPr>
            <w:r>
              <w:rPr>
                <w:rFonts w:ascii="Times New Roman" w:eastAsia="宋体" w:hAnsi="Times New Roman"/>
                <w:color w:val="000000"/>
                <w:sz w:val="16"/>
                <w:szCs w:val="16"/>
              </w:rPr>
              <w:t>(11,766)</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AFD9" w14:textId="77777777" w:rsidR="00D42204" w:rsidRDefault="00D42204">
            <w:pPr>
              <w:jc w:val="right"/>
              <w:rPr>
                <w:rFonts w:ascii="宋体"/>
              </w:rPr>
            </w:pPr>
          </w:p>
        </w:tc>
      </w:tr>
      <w:tr w:rsidR="00D42204" w14:paraId="35D0AFEA" w14:textId="77777777">
        <w:tc>
          <w:tcPr>
            <w:tcW w:w="0" w:type="auto"/>
            <w:gridSpan w:val="3"/>
            <w:shd w:val="clear" w:color="auto" w:fill="FFFFFF"/>
            <w:tcMar>
              <w:top w:w="40" w:type="dxa"/>
              <w:left w:w="20" w:type="dxa"/>
              <w:bottom w:w="40" w:type="dxa"/>
              <w:right w:w="20" w:type="dxa"/>
            </w:tcMar>
          </w:tcPr>
          <w:p w14:paraId="35D0AFDB" w14:textId="77777777" w:rsidR="00D42204" w:rsidRDefault="004E439D">
            <w:pPr>
              <w:textAlignment w:val="top"/>
            </w:pPr>
            <w:r>
              <w:rPr>
                <w:rFonts w:ascii="Times New Roman" w:eastAsia="宋体" w:hAnsi="Times New Roman"/>
                <w:color w:val="000000"/>
                <w:sz w:val="16"/>
                <w:szCs w:val="16"/>
              </w:rPr>
              <w:t>Other comprehensive loss before reclassifications, net</w:t>
            </w:r>
          </w:p>
        </w:tc>
        <w:tc>
          <w:tcPr>
            <w:tcW w:w="0" w:type="auto"/>
            <w:gridSpan w:val="2"/>
            <w:shd w:val="clear" w:color="auto" w:fill="auto"/>
            <w:tcMar>
              <w:top w:w="40" w:type="dxa"/>
              <w:left w:w="20" w:type="dxa"/>
              <w:bottom w:w="40" w:type="dxa"/>
              <w:right w:w="0" w:type="dxa"/>
            </w:tcMar>
            <w:vAlign w:val="center"/>
          </w:tcPr>
          <w:p w14:paraId="35D0AFDC" w14:textId="77777777" w:rsidR="00D42204" w:rsidRDefault="004E439D">
            <w:pPr>
              <w:jc w:val="right"/>
              <w:textAlignment w:val="center"/>
            </w:pPr>
            <w:r>
              <w:rPr>
                <w:rFonts w:ascii="Times New Roman" w:eastAsia="宋体" w:hAnsi="Times New Roman"/>
                <w:color w:val="000000"/>
                <w:sz w:val="16"/>
                <w:szCs w:val="16"/>
              </w:rPr>
              <w:t>(586)</w:t>
            </w:r>
          </w:p>
        </w:tc>
        <w:tc>
          <w:tcPr>
            <w:tcW w:w="0" w:type="auto"/>
            <w:shd w:val="clear" w:color="auto" w:fill="auto"/>
            <w:tcMar>
              <w:top w:w="40" w:type="dxa"/>
              <w:left w:w="0" w:type="dxa"/>
              <w:bottom w:w="40" w:type="dxa"/>
              <w:right w:w="20" w:type="dxa"/>
            </w:tcMar>
            <w:vAlign w:val="center"/>
          </w:tcPr>
          <w:p w14:paraId="35D0AFDD" w14:textId="77777777" w:rsidR="00D42204" w:rsidRDefault="00D42204">
            <w:pPr>
              <w:jc w:val="right"/>
              <w:rPr>
                <w:rFonts w:ascii="宋体"/>
              </w:rPr>
            </w:pPr>
          </w:p>
        </w:tc>
        <w:tc>
          <w:tcPr>
            <w:tcW w:w="0" w:type="auto"/>
            <w:gridSpan w:val="3"/>
            <w:shd w:val="clear" w:color="auto" w:fill="auto"/>
            <w:tcMar>
              <w:top w:w="0" w:type="dxa"/>
              <w:left w:w="20" w:type="dxa"/>
              <w:bottom w:w="0" w:type="dxa"/>
              <w:right w:w="20" w:type="dxa"/>
            </w:tcMar>
            <w:vAlign w:val="bottom"/>
          </w:tcPr>
          <w:p w14:paraId="35D0AFDE" w14:textId="77777777" w:rsidR="00D42204" w:rsidRDefault="00D42204">
            <w:pPr>
              <w:rPr>
                <w:rFonts w:ascii="宋体"/>
              </w:rPr>
            </w:pPr>
          </w:p>
        </w:tc>
        <w:tc>
          <w:tcPr>
            <w:tcW w:w="0" w:type="auto"/>
            <w:gridSpan w:val="2"/>
            <w:shd w:val="clear" w:color="auto" w:fill="auto"/>
            <w:tcMar>
              <w:top w:w="40" w:type="dxa"/>
              <w:left w:w="20" w:type="dxa"/>
              <w:bottom w:w="40" w:type="dxa"/>
              <w:right w:w="0" w:type="dxa"/>
            </w:tcMar>
            <w:vAlign w:val="center"/>
          </w:tcPr>
          <w:p w14:paraId="35D0AFDF" w14:textId="77777777" w:rsidR="00D42204" w:rsidRDefault="004E439D">
            <w:pPr>
              <w:jc w:val="right"/>
              <w:textAlignment w:val="center"/>
            </w:pPr>
            <w:r>
              <w:rPr>
                <w:rFonts w:ascii="Times New Roman" w:eastAsia="宋体" w:hAnsi="Times New Roman"/>
                <w:color w:val="000000"/>
                <w:sz w:val="16"/>
                <w:szCs w:val="16"/>
              </w:rPr>
              <w:t>(7)</w:t>
            </w:r>
          </w:p>
        </w:tc>
        <w:tc>
          <w:tcPr>
            <w:tcW w:w="0" w:type="auto"/>
            <w:shd w:val="clear" w:color="auto" w:fill="auto"/>
            <w:tcMar>
              <w:top w:w="40" w:type="dxa"/>
              <w:left w:w="0" w:type="dxa"/>
              <w:bottom w:w="40" w:type="dxa"/>
              <w:right w:w="20" w:type="dxa"/>
            </w:tcMar>
            <w:vAlign w:val="center"/>
          </w:tcPr>
          <w:p w14:paraId="35D0AFE0" w14:textId="77777777" w:rsidR="00D42204" w:rsidRDefault="00D42204">
            <w:pPr>
              <w:jc w:val="right"/>
              <w:rPr>
                <w:rFonts w:ascii="宋体"/>
              </w:rPr>
            </w:pPr>
          </w:p>
        </w:tc>
        <w:tc>
          <w:tcPr>
            <w:tcW w:w="0" w:type="auto"/>
            <w:gridSpan w:val="3"/>
            <w:shd w:val="clear" w:color="auto" w:fill="auto"/>
            <w:tcMar>
              <w:top w:w="0" w:type="dxa"/>
              <w:left w:w="20" w:type="dxa"/>
              <w:bottom w:w="0" w:type="dxa"/>
              <w:right w:w="20" w:type="dxa"/>
            </w:tcMar>
            <w:vAlign w:val="bottom"/>
          </w:tcPr>
          <w:p w14:paraId="35D0AFE1" w14:textId="77777777" w:rsidR="00D42204" w:rsidRDefault="00D42204">
            <w:pPr>
              <w:rPr>
                <w:rFonts w:ascii="宋体"/>
              </w:rPr>
            </w:pPr>
          </w:p>
        </w:tc>
        <w:tc>
          <w:tcPr>
            <w:tcW w:w="0" w:type="auto"/>
            <w:gridSpan w:val="2"/>
            <w:shd w:val="clear" w:color="auto" w:fill="auto"/>
            <w:tcMar>
              <w:top w:w="40" w:type="dxa"/>
              <w:left w:w="20" w:type="dxa"/>
              <w:bottom w:w="40" w:type="dxa"/>
              <w:right w:w="0" w:type="dxa"/>
            </w:tcMar>
            <w:vAlign w:val="center"/>
          </w:tcPr>
          <w:p w14:paraId="35D0AFE2" w14:textId="77777777" w:rsidR="00D42204" w:rsidRDefault="004E439D">
            <w:pPr>
              <w:jc w:val="right"/>
              <w:textAlignment w:val="center"/>
            </w:pPr>
            <w:r>
              <w:rPr>
                <w:rFonts w:ascii="Times New Roman" w:eastAsia="宋体" w:hAnsi="Times New Roman"/>
                <w:color w:val="000000"/>
                <w:sz w:val="16"/>
                <w:szCs w:val="16"/>
              </w:rPr>
              <w:t>(540)</w:t>
            </w:r>
          </w:p>
        </w:tc>
        <w:tc>
          <w:tcPr>
            <w:tcW w:w="0" w:type="auto"/>
            <w:shd w:val="clear" w:color="auto" w:fill="auto"/>
            <w:tcMar>
              <w:top w:w="40" w:type="dxa"/>
              <w:left w:w="0" w:type="dxa"/>
              <w:bottom w:w="40" w:type="dxa"/>
              <w:right w:w="20" w:type="dxa"/>
            </w:tcMar>
            <w:vAlign w:val="center"/>
          </w:tcPr>
          <w:p w14:paraId="35D0AFE3" w14:textId="77777777" w:rsidR="00D42204" w:rsidRDefault="00D42204">
            <w:pPr>
              <w:jc w:val="right"/>
              <w:rPr>
                <w:rFonts w:ascii="宋体"/>
              </w:rPr>
            </w:pPr>
          </w:p>
        </w:tc>
        <w:tc>
          <w:tcPr>
            <w:tcW w:w="0" w:type="auto"/>
            <w:gridSpan w:val="3"/>
            <w:shd w:val="clear" w:color="auto" w:fill="auto"/>
            <w:tcMar>
              <w:top w:w="0" w:type="dxa"/>
              <w:left w:w="20" w:type="dxa"/>
              <w:bottom w:w="0" w:type="dxa"/>
              <w:right w:w="20" w:type="dxa"/>
            </w:tcMar>
            <w:vAlign w:val="bottom"/>
          </w:tcPr>
          <w:p w14:paraId="35D0AFE4" w14:textId="77777777" w:rsidR="00D42204" w:rsidRDefault="00D42204">
            <w:pPr>
              <w:rPr>
                <w:rFonts w:ascii="宋体"/>
              </w:rPr>
            </w:pPr>
          </w:p>
        </w:tc>
        <w:tc>
          <w:tcPr>
            <w:tcW w:w="0" w:type="auto"/>
            <w:gridSpan w:val="2"/>
            <w:shd w:val="clear" w:color="auto" w:fill="auto"/>
            <w:tcMar>
              <w:top w:w="40" w:type="dxa"/>
              <w:left w:w="20" w:type="dxa"/>
              <w:bottom w:w="40" w:type="dxa"/>
              <w:right w:w="0" w:type="dxa"/>
            </w:tcMar>
            <w:vAlign w:val="center"/>
          </w:tcPr>
          <w:p w14:paraId="35D0AFE5"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auto"/>
            <w:tcMar>
              <w:top w:w="40" w:type="dxa"/>
              <w:left w:w="0" w:type="dxa"/>
              <w:bottom w:w="40" w:type="dxa"/>
              <w:right w:w="20" w:type="dxa"/>
            </w:tcMar>
            <w:vAlign w:val="center"/>
          </w:tcPr>
          <w:p w14:paraId="35D0AFE6" w14:textId="77777777" w:rsidR="00D42204" w:rsidRDefault="00D42204">
            <w:pPr>
              <w:jc w:val="right"/>
              <w:rPr>
                <w:rFonts w:ascii="宋体"/>
              </w:rPr>
            </w:pPr>
          </w:p>
        </w:tc>
        <w:tc>
          <w:tcPr>
            <w:tcW w:w="0" w:type="auto"/>
            <w:gridSpan w:val="3"/>
            <w:shd w:val="clear" w:color="auto" w:fill="auto"/>
            <w:tcMar>
              <w:top w:w="0" w:type="dxa"/>
              <w:left w:w="20" w:type="dxa"/>
              <w:bottom w:w="0" w:type="dxa"/>
              <w:right w:w="20" w:type="dxa"/>
            </w:tcMar>
            <w:vAlign w:val="bottom"/>
          </w:tcPr>
          <w:p w14:paraId="35D0AFE7" w14:textId="77777777" w:rsidR="00D42204" w:rsidRDefault="00D42204">
            <w:pPr>
              <w:rPr>
                <w:rFonts w:ascii="宋体"/>
              </w:rPr>
            </w:pPr>
          </w:p>
        </w:tc>
        <w:tc>
          <w:tcPr>
            <w:tcW w:w="0" w:type="auto"/>
            <w:gridSpan w:val="2"/>
            <w:shd w:val="clear" w:color="auto" w:fill="auto"/>
            <w:tcMar>
              <w:top w:w="40" w:type="dxa"/>
              <w:left w:w="20" w:type="dxa"/>
              <w:bottom w:w="40" w:type="dxa"/>
              <w:right w:w="0" w:type="dxa"/>
            </w:tcMar>
            <w:vAlign w:val="center"/>
          </w:tcPr>
          <w:p w14:paraId="35D0AFE8" w14:textId="77777777" w:rsidR="00D42204" w:rsidRDefault="004E439D">
            <w:pPr>
              <w:jc w:val="right"/>
              <w:textAlignment w:val="center"/>
            </w:pPr>
            <w:r>
              <w:rPr>
                <w:rFonts w:ascii="Times New Roman" w:eastAsia="宋体" w:hAnsi="Times New Roman"/>
                <w:color w:val="000000"/>
                <w:sz w:val="16"/>
                <w:szCs w:val="16"/>
              </w:rPr>
              <w:t>(1,133)</w:t>
            </w:r>
          </w:p>
        </w:tc>
        <w:tc>
          <w:tcPr>
            <w:tcW w:w="0" w:type="auto"/>
            <w:shd w:val="clear" w:color="auto" w:fill="auto"/>
            <w:tcMar>
              <w:top w:w="40" w:type="dxa"/>
              <w:left w:w="0" w:type="dxa"/>
              <w:bottom w:w="40" w:type="dxa"/>
              <w:right w:w="20" w:type="dxa"/>
            </w:tcMar>
            <w:vAlign w:val="center"/>
          </w:tcPr>
          <w:p w14:paraId="35D0AFE9" w14:textId="77777777" w:rsidR="00D42204" w:rsidRDefault="00D42204">
            <w:pPr>
              <w:jc w:val="right"/>
              <w:rPr>
                <w:rFonts w:ascii="宋体"/>
              </w:rPr>
            </w:pPr>
          </w:p>
        </w:tc>
      </w:tr>
      <w:tr w:rsidR="00D42204" w14:paraId="35D0AFFA" w14:textId="77777777">
        <w:tc>
          <w:tcPr>
            <w:tcW w:w="0" w:type="auto"/>
            <w:gridSpan w:val="3"/>
            <w:shd w:val="clear" w:color="auto" w:fill="CCEEFF"/>
            <w:tcMar>
              <w:top w:w="40" w:type="dxa"/>
              <w:left w:w="20" w:type="dxa"/>
              <w:bottom w:w="40" w:type="dxa"/>
              <w:right w:w="20" w:type="dxa"/>
            </w:tcMar>
          </w:tcPr>
          <w:p w14:paraId="35D0AFEB" w14:textId="77777777" w:rsidR="00D42204" w:rsidRDefault="004E439D">
            <w:pPr>
              <w:textAlignment w:val="top"/>
            </w:pPr>
            <w:r>
              <w:rPr>
                <w:rFonts w:ascii="Times New Roman" w:eastAsia="宋体" w:hAnsi="Times New Roman"/>
                <w:color w:val="000000"/>
                <w:sz w:val="16"/>
                <w:szCs w:val="16"/>
              </w:rPr>
              <w:t>Reclassifications related to business dispositions, net</w:t>
            </w:r>
            <w:r>
              <w:rPr>
                <w:rFonts w:ascii="Times New Roman" w:eastAsia="宋体" w:hAnsi="Times New Roman"/>
                <w:color w:val="000000"/>
                <w:sz w:val="10"/>
                <w:szCs w:val="10"/>
              </w:rPr>
              <w:t>(3)</w:t>
            </w:r>
          </w:p>
        </w:tc>
        <w:tc>
          <w:tcPr>
            <w:tcW w:w="0" w:type="auto"/>
            <w:gridSpan w:val="2"/>
            <w:shd w:val="clear" w:color="auto" w:fill="CCEEFF"/>
            <w:tcMar>
              <w:top w:w="40" w:type="dxa"/>
              <w:left w:w="20" w:type="dxa"/>
              <w:bottom w:w="40" w:type="dxa"/>
              <w:right w:w="0" w:type="dxa"/>
            </w:tcMar>
            <w:vAlign w:val="center"/>
          </w:tcPr>
          <w:p w14:paraId="35D0AFEC" w14:textId="77777777" w:rsidR="00D42204" w:rsidRDefault="004E439D">
            <w:pPr>
              <w:jc w:val="right"/>
              <w:textAlignment w:val="center"/>
            </w:pPr>
            <w:r>
              <w:rPr>
                <w:rFonts w:ascii="Times New Roman" w:eastAsia="宋体" w:hAnsi="Times New Roman"/>
                <w:color w:val="000000"/>
                <w:sz w:val="16"/>
                <w:szCs w:val="16"/>
              </w:rPr>
              <w:t>3,258 </w:t>
            </w:r>
          </w:p>
        </w:tc>
        <w:tc>
          <w:tcPr>
            <w:tcW w:w="0" w:type="auto"/>
            <w:shd w:val="clear" w:color="auto" w:fill="CCEEFF"/>
            <w:tcMar>
              <w:top w:w="40" w:type="dxa"/>
              <w:left w:w="0" w:type="dxa"/>
              <w:bottom w:w="40" w:type="dxa"/>
              <w:right w:w="20" w:type="dxa"/>
            </w:tcMar>
            <w:vAlign w:val="center"/>
          </w:tcPr>
          <w:p w14:paraId="35D0AFE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E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FEF" w14:textId="77777777" w:rsidR="00D42204" w:rsidRDefault="004E439D">
            <w:pPr>
              <w:jc w:val="right"/>
              <w:textAlignment w:val="center"/>
            </w:pPr>
            <w:r>
              <w:rPr>
                <w:rFonts w:ascii="Times New Roman" w:eastAsia="宋体" w:hAnsi="Times New Roman"/>
                <w:color w:val="000000"/>
                <w:sz w:val="16"/>
                <w:szCs w:val="16"/>
              </w:rPr>
              <w:t>(1,195)</w:t>
            </w:r>
          </w:p>
        </w:tc>
        <w:tc>
          <w:tcPr>
            <w:tcW w:w="0" w:type="auto"/>
            <w:shd w:val="clear" w:color="auto" w:fill="CCEEFF"/>
            <w:tcMar>
              <w:top w:w="40" w:type="dxa"/>
              <w:left w:w="0" w:type="dxa"/>
              <w:bottom w:w="40" w:type="dxa"/>
              <w:right w:w="20" w:type="dxa"/>
            </w:tcMar>
            <w:vAlign w:val="center"/>
          </w:tcPr>
          <w:p w14:paraId="35D0AFF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F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FF2" w14:textId="77777777" w:rsidR="00D42204" w:rsidRDefault="004E439D">
            <w:pPr>
              <w:jc w:val="right"/>
              <w:textAlignment w:val="center"/>
            </w:pPr>
            <w:r>
              <w:rPr>
                <w:rFonts w:ascii="Times New Roman" w:eastAsia="宋体" w:hAnsi="Times New Roman"/>
                <w:color w:val="000000"/>
                <w:sz w:val="16"/>
                <w:szCs w:val="16"/>
              </w:rPr>
              <w:t>30 </w:t>
            </w:r>
          </w:p>
        </w:tc>
        <w:tc>
          <w:tcPr>
            <w:tcW w:w="0" w:type="auto"/>
            <w:shd w:val="clear" w:color="auto" w:fill="CCEEFF"/>
            <w:tcMar>
              <w:top w:w="40" w:type="dxa"/>
              <w:left w:w="0" w:type="dxa"/>
              <w:bottom w:w="40" w:type="dxa"/>
              <w:right w:w="20" w:type="dxa"/>
            </w:tcMar>
            <w:vAlign w:val="center"/>
          </w:tcPr>
          <w:p w14:paraId="35D0AFF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F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FF5" w14:textId="77777777" w:rsidR="00D42204" w:rsidRDefault="004E439D">
            <w:pPr>
              <w:jc w:val="right"/>
              <w:textAlignment w:val="center"/>
            </w:pPr>
            <w:r>
              <w:rPr>
                <w:rFonts w:ascii="Times New Roman" w:eastAsia="宋体" w:hAnsi="Times New Roman"/>
                <w:color w:val="000000"/>
                <w:sz w:val="16"/>
                <w:szCs w:val="16"/>
              </w:rPr>
              <w:t>1,966 </w:t>
            </w:r>
          </w:p>
        </w:tc>
        <w:tc>
          <w:tcPr>
            <w:tcW w:w="0" w:type="auto"/>
            <w:shd w:val="clear" w:color="auto" w:fill="CCEEFF"/>
            <w:tcMar>
              <w:top w:w="40" w:type="dxa"/>
              <w:left w:w="0" w:type="dxa"/>
              <w:bottom w:w="40" w:type="dxa"/>
              <w:right w:w="20" w:type="dxa"/>
            </w:tcMar>
            <w:vAlign w:val="center"/>
          </w:tcPr>
          <w:p w14:paraId="35D0AFF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AFF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AFF8" w14:textId="77777777" w:rsidR="00D42204" w:rsidRDefault="004E439D">
            <w:pPr>
              <w:jc w:val="right"/>
              <w:textAlignment w:val="center"/>
            </w:pPr>
            <w:r>
              <w:rPr>
                <w:rFonts w:ascii="Times New Roman" w:eastAsia="宋体" w:hAnsi="Times New Roman"/>
                <w:color w:val="000000"/>
                <w:sz w:val="16"/>
                <w:szCs w:val="16"/>
              </w:rPr>
              <w:t>4,059 </w:t>
            </w:r>
          </w:p>
        </w:tc>
        <w:tc>
          <w:tcPr>
            <w:tcW w:w="0" w:type="auto"/>
            <w:shd w:val="clear" w:color="auto" w:fill="CCEEFF"/>
            <w:tcMar>
              <w:top w:w="40" w:type="dxa"/>
              <w:left w:w="0" w:type="dxa"/>
              <w:bottom w:w="40" w:type="dxa"/>
              <w:right w:w="20" w:type="dxa"/>
            </w:tcMar>
            <w:vAlign w:val="center"/>
          </w:tcPr>
          <w:p w14:paraId="35D0AFF9" w14:textId="77777777" w:rsidR="00D42204" w:rsidRDefault="00D42204">
            <w:pPr>
              <w:jc w:val="right"/>
              <w:rPr>
                <w:rFonts w:ascii="宋体"/>
              </w:rPr>
            </w:pPr>
          </w:p>
        </w:tc>
      </w:tr>
      <w:tr w:rsidR="00D42204" w14:paraId="35D0B00A" w14:textId="77777777">
        <w:tc>
          <w:tcPr>
            <w:tcW w:w="0" w:type="auto"/>
            <w:gridSpan w:val="3"/>
            <w:shd w:val="clear" w:color="auto" w:fill="FFFFFF"/>
            <w:tcMar>
              <w:top w:w="40" w:type="dxa"/>
              <w:left w:w="20" w:type="dxa"/>
              <w:bottom w:w="40" w:type="dxa"/>
              <w:right w:w="20" w:type="dxa"/>
            </w:tcMar>
          </w:tcPr>
          <w:p w14:paraId="35D0AFFB" w14:textId="77777777" w:rsidR="00D42204" w:rsidRDefault="004E439D">
            <w:pPr>
              <w:textAlignment w:val="top"/>
            </w:pPr>
            <w:r>
              <w:rPr>
                <w:rFonts w:ascii="Times New Roman" w:eastAsia="宋体" w:hAnsi="Times New Roman"/>
                <w:color w:val="000000"/>
                <w:sz w:val="16"/>
                <w:szCs w:val="16"/>
              </w:rPr>
              <w:t>Reclassifications to income, net</w:t>
            </w:r>
          </w:p>
        </w:tc>
        <w:tc>
          <w:tcPr>
            <w:tcW w:w="0" w:type="auto"/>
            <w:gridSpan w:val="2"/>
            <w:shd w:val="clear" w:color="auto" w:fill="auto"/>
            <w:tcMar>
              <w:top w:w="40" w:type="dxa"/>
              <w:left w:w="20" w:type="dxa"/>
              <w:bottom w:w="40" w:type="dxa"/>
              <w:right w:w="0" w:type="dxa"/>
            </w:tcMar>
            <w:vAlign w:val="center"/>
          </w:tcPr>
          <w:p w14:paraId="35D0AFFC"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auto"/>
            <w:tcMar>
              <w:top w:w="40" w:type="dxa"/>
              <w:left w:w="0" w:type="dxa"/>
              <w:bottom w:w="40" w:type="dxa"/>
              <w:right w:w="20" w:type="dxa"/>
            </w:tcMar>
            <w:vAlign w:val="center"/>
          </w:tcPr>
          <w:p w14:paraId="35D0AFFD" w14:textId="77777777" w:rsidR="00D42204" w:rsidRDefault="00D42204">
            <w:pPr>
              <w:jc w:val="right"/>
              <w:rPr>
                <w:rFonts w:ascii="宋体"/>
              </w:rPr>
            </w:pPr>
          </w:p>
        </w:tc>
        <w:tc>
          <w:tcPr>
            <w:tcW w:w="0" w:type="auto"/>
            <w:gridSpan w:val="3"/>
            <w:shd w:val="clear" w:color="auto" w:fill="auto"/>
            <w:tcMar>
              <w:top w:w="0" w:type="dxa"/>
              <w:left w:w="20" w:type="dxa"/>
              <w:bottom w:w="0" w:type="dxa"/>
              <w:right w:w="20" w:type="dxa"/>
            </w:tcMar>
            <w:vAlign w:val="bottom"/>
          </w:tcPr>
          <w:p w14:paraId="35D0AFFE" w14:textId="77777777" w:rsidR="00D42204" w:rsidRDefault="00D42204">
            <w:pPr>
              <w:rPr>
                <w:rFonts w:ascii="宋体"/>
              </w:rPr>
            </w:pPr>
          </w:p>
        </w:tc>
        <w:tc>
          <w:tcPr>
            <w:tcW w:w="0" w:type="auto"/>
            <w:gridSpan w:val="2"/>
            <w:shd w:val="clear" w:color="auto" w:fill="auto"/>
            <w:tcMar>
              <w:top w:w="40" w:type="dxa"/>
              <w:left w:w="20" w:type="dxa"/>
              <w:bottom w:w="40" w:type="dxa"/>
              <w:right w:w="0" w:type="dxa"/>
            </w:tcMar>
            <w:vAlign w:val="center"/>
          </w:tcPr>
          <w:p w14:paraId="35D0AFFF"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auto"/>
            <w:tcMar>
              <w:top w:w="40" w:type="dxa"/>
              <w:left w:w="0" w:type="dxa"/>
              <w:bottom w:w="40" w:type="dxa"/>
              <w:right w:w="20" w:type="dxa"/>
            </w:tcMar>
            <w:vAlign w:val="center"/>
          </w:tcPr>
          <w:p w14:paraId="35D0B000" w14:textId="77777777" w:rsidR="00D42204" w:rsidRDefault="00D42204">
            <w:pPr>
              <w:jc w:val="right"/>
              <w:rPr>
                <w:rFonts w:ascii="宋体"/>
              </w:rPr>
            </w:pPr>
          </w:p>
        </w:tc>
        <w:tc>
          <w:tcPr>
            <w:tcW w:w="0" w:type="auto"/>
            <w:gridSpan w:val="3"/>
            <w:shd w:val="clear" w:color="auto" w:fill="auto"/>
            <w:tcMar>
              <w:top w:w="0" w:type="dxa"/>
              <w:left w:w="20" w:type="dxa"/>
              <w:bottom w:w="0" w:type="dxa"/>
              <w:right w:w="20" w:type="dxa"/>
            </w:tcMar>
            <w:vAlign w:val="bottom"/>
          </w:tcPr>
          <w:p w14:paraId="35D0B001" w14:textId="77777777" w:rsidR="00D42204" w:rsidRDefault="00D42204">
            <w:pPr>
              <w:rPr>
                <w:rFonts w:ascii="宋体"/>
              </w:rPr>
            </w:pPr>
          </w:p>
        </w:tc>
        <w:tc>
          <w:tcPr>
            <w:tcW w:w="0" w:type="auto"/>
            <w:gridSpan w:val="2"/>
            <w:shd w:val="clear" w:color="auto" w:fill="auto"/>
            <w:tcMar>
              <w:top w:w="40" w:type="dxa"/>
              <w:left w:w="20" w:type="dxa"/>
              <w:bottom w:w="40" w:type="dxa"/>
              <w:right w:w="0" w:type="dxa"/>
            </w:tcMar>
            <w:vAlign w:val="center"/>
          </w:tcPr>
          <w:p w14:paraId="35D0B002" w14:textId="77777777" w:rsidR="00D42204" w:rsidRDefault="004E439D">
            <w:pPr>
              <w:jc w:val="right"/>
              <w:textAlignment w:val="center"/>
            </w:pPr>
            <w:r>
              <w:rPr>
                <w:rFonts w:ascii="Times New Roman" w:eastAsia="宋体" w:hAnsi="Times New Roman"/>
                <w:color w:val="000000"/>
                <w:sz w:val="16"/>
                <w:szCs w:val="16"/>
              </w:rPr>
              <w:t>66 </w:t>
            </w:r>
          </w:p>
        </w:tc>
        <w:tc>
          <w:tcPr>
            <w:tcW w:w="0" w:type="auto"/>
            <w:shd w:val="clear" w:color="auto" w:fill="auto"/>
            <w:tcMar>
              <w:top w:w="40" w:type="dxa"/>
              <w:left w:w="0" w:type="dxa"/>
              <w:bottom w:w="40" w:type="dxa"/>
              <w:right w:w="20" w:type="dxa"/>
            </w:tcMar>
            <w:vAlign w:val="center"/>
          </w:tcPr>
          <w:p w14:paraId="35D0B003" w14:textId="77777777" w:rsidR="00D42204" w:rsidRDefault="00D42204">
            <w:pPr>
              <w:jc w:val="right"/>
              <w:rPr>
                <w:rFonts w:ascii="宋体"/>
              </w:rPr>
            </w:pPr>
          </w:p>
        </w:tc>
        <w:tc>
          <w:tcPr>
            <w:tcW w:w="0" w:type="auto"/>
            <w:gridSpan w:val="3"/>
            <w:shd w:val="clear" w:color="auto" w:fill="auto"/>
            <w:tcMar>
              <w:top w:w="0" w:type="dxa"/>
              <w:left w:w="20" w:type="dxa"/>
              <w:bottom w:w="0" w:type="dxa"/>
              <w:right w:w="20" w:type="dxa"/>
            </w:tcMar>
            <w:vAlign w:val="bottom"/>
          </w:tcPr>
          <w:p w14:paraId="35D0B004" w14:textId="77777777" w:rsidR="00D42204" w:rsidRDefault="00D42204">
            <w:pPr>
              <w:rPr>
                <w:rFonts w:ascii="宋体"/>
              </w:rPr>
            </w:pPr>
          </w:p>
        </w:tc>
        <w:tc>
          <w:tcPr>
            <w:tcW w:w="0" w:type="auto"/>
            <w:gridSpan w:val="2"/>
            <w:shd w:val="clear" w:color="auto" w:fill="auto"/>
            <w:tcMar>
              <w:top w:w="40" w:type="dxa"/>
              <w:left w:w="20" w:type="dxa"/>
              <w:bottom w:w="40" w:type="dxa"/>
              <w:right w:w="0" w:type="dxa"/>
            </w:tcMar>
            <w:vAlign w:val="center"/>
          </w:tcPr>
          <w:p w14:paraId="35D0B005" w14:textId="77777777" w:rsidR="00D42204" w:rsidRDefault="004E439D">
            <w:pPr>
              <w:jc w:val="right"/>
              <w:textAlignment w:val="center"/>
            </w:pPr>
            <w:r>
              <w:rPr>
                <w:rFonts w:ascii="Times New Roman" w:eastAsia="宋体" w:hAnsi="Times New Roman"/>
                <w:color w:val="000000"/>
                <w:sz w:val="16"/>
                <w:szCs w:val="16"/>
              </w:rPr>
              <w:t>8 </w:t>
            </w:r>
          </w:p>
        </w:tc>
        <w:tc>
          <w:tcPr>
            <w:tcW w:w="0" w:type="auto"/>
            <w:shd w:val="clear" w:color="auto" w:fill="auto"/>
            <w:tcMar>
              <w:top w:w="40" w:type="dxa"/>
              <w:left w:w="0" w:type="dxa"/>
              <w:bottom w:w="40" w:type="dxa"/>
              <w:right w:w="20" w:type="dxa"/>
            </w:tcMar>
            <w:vAlign w:val="center"/>
          </w:tcPr>
          <w:p w14:paraId="35D0B006" w14:textId="77777777" w:rsidR="00D42204" w:rsidRDefault="00D42204">
            <w:pPr>
              <w:jc w:val="right"/>
              <w:rPr>
                <w:rFonts w:ascii="宋体"/>
              </w:rPr>
            </w:pPr>
          </w:p>
        </w:tc>
        <w:tc>
          <w:tcPr>
            <w:tcW w:w="0" w:type="auto"/>
            <w:gridSpan w:val="3"/>
            <w:shd w:val="clear" w:color="auto" w:fill="auto"/>
            <w:tcMar>
              <w:top w:w="0" w:type="dxa"/>
              <w:left w:w="20" w:type="dxa"/>
              <w:bottom w:w="0" w:type="dxa"/>
              <w:right w:w="20" w:type="dxa"/>
            </w:tcMar>
            <w:vAlign w:val="bottom"/>
          </w:tcPr>
          <w:p w14:paraId="35D0B007" w14:textId="77777777" w:rsidR="00D42204" w:rsidRDefault="00D42204">
            <w:pPr>
              <w:rPr>
                <w:rFonts w:ascii="宋体"/>
              </w:rPr>
            </w:pPr>
          </w:p>
        </w:tc>
        <w:tc>
          <w:tcPr>
            <w:tcW w:w="0" w:type="auto"/>
            <w:gridSpan w:val="2"/>
            <w:shd w:val="clear" w:color="auto" w:fill="auto"/>
            <w:tcMar>
              <w:top w:w="40" w:type="dxa"/>
              <w:left w:w="20" w:type="dxa"/>
              <w:bottom w:w="40" w:type="dxa"/>
              <w:right w:w="0" w:type="dxa"/>
            </w:tcMar>
            <w:vAlign w:val="center"/>
          </w:tcPr>
          <w:p w14:paraId="35D0B008" w14:textId="77777777" w:rsidR="00D42204" w:rsidRDefault="004E439D">
            <w:pPr>
              <w:jc w:val="right"/>
              <w:textAlignment w:val="center"/>
            </w:pPr>
            <w:r>
              <w:rPr>
                <w:rFonts w:ascii="Times New Roman" w:eastAsia="宋体" w:hAnsi="Times New Roman"/>
                <w:color w:val="000000"/>
                <w:sz w:val="16"/>
                <w:szCs w:val="16"/>
              </w:rPr>
              <w:t>74 </w:t>
            </w:r>
          </w:p>
        </w:tc>
        <w:tc>
          <w:tcPr>
            <w:tcW w:w="0" w:type="auto"/>
            <w:shd w:val="clear" w:color="auto" w:fill="auto"/>
            <w:tcMar>
              <w:top w:w="40" w:type="dxa"/>
              <w:left w:w="0" w:type="dxa"/>
              <w:bottom w:w="40" w:type="dxa"/>
              <w:right w:w="20" w:type="dxa"/>
            </w:tcMar>
            <w:vAlign w:val="center"/>
          </w:tcPr>
          <w:p w14:paraId="35D0B009" w14:textId="77777777" w:rsidR="00D42204" w:rsidRDefault="00D42204">
            <w:pPr>
              <w:jc w:val="right"/>
              <w:rPr>
                <w:rFonts w:ascii="宋体"/>
              </w:rPr>
            </w:pPr>
          </w:p>
        </w:tc>
      </w:tr>
      <w:tr w:rsidR="00D42204" w14:paraId="35D0B01F" w14:textId="77777777">
        <w:tc>
          <w:tcPr>
            <w:tcW w:w="0" w:type="auto"/>
            <w:gridSpan w:val="3"/>
            <w:shd w:val="clear" w:color="auto" w:fill="CCEEFF"/>
            <w:tcMar>
              <w:top w:w="40" w:type="dxa"/>
              <w:left w:w="20" w:type="dxa"/>
              <w:bottom w:w="40" w:type="dxa"/>
              <w:right w:w="20" w:type="dxa"/>
            </w:tcMar>
            <w:vAlign w:val="center"/>
          </w:tcPr>
          <w:p w14:paraId="35D0B00B" w14:textId="77777777" w:rsidR="00D42204" w:rsidRDefault="004E439D">
            <w:pPr>
              <w:textAlignment w:val="center"/>
            </w:pPr>
            <w:r>
              <w:rPr>
                <w:rFonts w:ascii="Times New Roman" w:eastAsia="宋体" w:hAnsi="Times New Roman"/>
                <w:b/>
                <w:bCs/>
                <w:color w:val="000000"/>
                <w:sz w:val="16"/>
                <w:szCs w:val="16"/>
              </w:rPr>
              <w:t>Balances as of January 31, 2022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00C"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00D" w14:textId="77777777" w:rsidR="00D42204" w:rsidRDefault="004E439D">
            <w:pPr>
              <w:jc w:val="right"/>
              <w:textAlignment w:val="center"/>
            </w:pPr>
            <w:r>
              <w:rPr>
                <w:rFonts w:ascii="Times New Roman" w:eastAsia="宋体" w:hAnsi="Times New Roman"/>
                <w:color w:val="000000"/>
                <w:sz w:val="16"/>
                <w:szCs w:val="16"/>
              </w:rPr>
              <w:t>(8,100)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00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00F"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010"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011" w14:textId="77777777" w:rsidR="00D42204" w:rsidRDefault="004E439D">
            <w:pPr>
              <w:jc w:val="right"/>
              <w:textAlignment w:val="center"/>
            </w:pPr>
            <w:r>
              <w:rPr>
                <w:rFonts w:ascii="Times New Roman" w:eastAsia="宋体" w:hAnsi="Times New Roman"/>
                <w:color w:val="000000"/>
                <w:sz w:val="16"/>
                <w:szCs w:val="16"/>
              </w:rPr>
              <w:t>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01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013"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014"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015" w14:textId="77777777" w:rsidR="00D42204" w:rsidRDefault="004E439D">
            <w:pPr>
              <w:jc w:val="right"/>
              <w:textAlignment w:val="center"/>
            </w:pPr>
            <w:r>
              <w:rPr>
                <w:rFonts w:ascii="Times New Roman" w:eastAsia="宋体" w:hAnsi="Times New Roman"/>
                <w:color w:val="000000"/>
                <w:sz w:val="16"/>
                <w:szCs w:val="16"/>
              </w:rPr>
              <w:t>(748)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01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017"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018"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019" w14:textId="77777777" w:rsidR="00D42204" w:rsidRDefault="004E439D">
            <w:pPr>
              <w:jc w:val="right"/>
              <w:textAlignment w:val="center"/>
            </w:pPr>
            <w:r>
              <w:rPr>
                <w:rFonts w:ascii="Times New Roman" w:eastAsia="宋体" w:hAnsi="Times New Roman"/>
                <w:color w:val="000000"/>
                <w:sz w:val="16"/>
                <w:szCs w:val="16"/>
              </w:rPr>
              <w:t>(12)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01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01B"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01C"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01D" w14:textId="77777777" w:rsidR="00D42204" w:rsidRDefault="004E439D">
            <w:pPr>
              <w:jc w:val="right"/>
              <w:textAlignment w:val="center"/>
            </w:pPr>
            <w:r>
              <w:rPr>
                <w:rFonts w:ascii="Times New Roman" w:eastAsia="宋体" w:hAnsi="Times New Roman"/>
                <w:color w:val="000000"/>
                <w:sz w:val="16"/>
                <w:szCs w:val="16"/>
              </w:rPr>
              <w:t>(8,766)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01E" w14:textId="77777777" w:rsidR="00D42204" w:rsidRDefault="00D42204">
            <w:pPr>
              <w:jc w:val="right"/>
              <w:rPr>
                <w:rFonts w:ascii="宋体"/>
              </w:rPr>
            </w:pPr>
          </w:p>
        </w:tc>
      </w:tr>
    </w:tbl>
    <w:p w14:paraId="35D0B020" w14:textId="77777777" w:rsidR="00D42204" w:rsidRDefault="004E439D">
      <w:pPr>
        <w:ind w:hanging="18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Primarily includes the remeasurement of Asda Group Limited's ("Asda") pension benefit obligation subsequent to the cash contribution made by Asda in fiscal 2020. Refer to </w:t>
      </w:r>
      <w:hyperlink r:id="rId148" w:anchor="i1ba69ebb72ec48f9b754a5e96c4cdf3f_187" w:history="1">
        <w:r>
          <w:rPr>
            <w:rStyle w:val="a5"/>
            <w:rFonts w:ascii="Times New Roman" w:eastAsia="宋体" w:hAnsi="Times New Roman"/>
            <w:sz w:val="16"/>
            <w:szCs w:val="16"/>
          </w:rPr>
          <w:t>Note 11</w:t>
        </w:r>
      </w:hyperlink>
      <w:r>
        <w:rPr>
          <w:rFonts w:ascii="Times New Roman" w:eastAsia="宋体" w:hAnsi="Times New Roman"/>
          <w:color w:val="000000"/>
          <w:sz w:val="16"/>
          <w:szCs w:val="16"/>
        </w:rPr>
        <w:t>.</w:t>
      </w:r>
    </w:p>
    <w:p w14:paraId="35D0B021" w14:textId="77777777" w:rsidR="00D42204" w:rsidRDefault="004E439D">
      <w:pPr>
        <w:ind w:hanging="180"/>
      </w:pPr>
      <w:r>
        <w:rPr>
          <w:rFonts w:ascii="Times New Roman" w:eastAsia="宋体" w:hAnsi="Times New Roman"/>
          <w:color w:val="000000"/>
          <w:sz w:val="10"/>
          <w:szCs w:val="10"/>
        </w:rPr>
        <w:t>(2)</w:t>
      </w:r>
      <w:r>
        <w:rPr>
          <w:rFonts w:ascii="Times New Roman" w:eastAsia="宋体" w:hAnsi="Times New Roman"/>
          <w:color w:val="000000"/>
          <w:sz w:val="16"/>
          <w:szCs w:val="16"/>
        </w:rPr>
        <w:t xml:space="preserve"> Includes a cumulative foreign currency translation loss of $0.8 billion, for which there was no related income taxes, upon sale of the majority stake in Walmart Argentina. Refer to </w:t>
      </w:r>
      <w:hyperlink r:id="rId149" w:anchor="i1ba69ebb72ec48f9b754a5e96c4cdf3f_190" w:history="1">
        <w:r>
          <w:rPr>
            <w:rStyle w:val="a5"/>
            <w:rFonts w:ascii="Times New Roman" w:eastAsia="宋体" w:hAnsi="Times New Roman"/>
            <w:sz w:val="16"/>
            <w:szCs w:val="16"/>
          </w:rPr>
          <w:t>Note 12</w:t>
        </w:r>
      </w:hyperlink>
      <w:r>
        <w:rPr>
          <w:rFonts w:ascii="Times New Roman" w:eastAsia="宋体" w:hAnsi="Times New Roman"/>
          <w:color w:val="000000"/>
          <w:sz w:val="16"/>
          <w:szCs w:val="16"/>
        </w:rPr>
        <w:t>.</w:t>
      </w:r>
    </w:p>
    <w:p w14:paraId="35D0B022" w14:textId="77777777" w:rsidR="00D42204" w:rsidRDefault="004E439D">
      <w:pPr>
        <w:ind w:hanging="180"/>
      </w:pPr>
      <w:r>
        <w:rPr>
          <w:rFonts w:ascii="Times New Roman" w:eastAsia="宋体" w:hAnsi="Times New Roman"/>
          <w:color w:val="000000"/>
          <w:sz w:val="10"/>
          <w:szCs w:val="10"/>
        </w:rPr>
        <w:t>(3)</w:t>
      </w:r>
      <w:r>
        <w:rPr>
          <w:rFonts w:ascii="Times New Roman" w:eastAsia="宋体" w:hAnsi="Times New Roman"/>
          <w:color w:val="000000"/>
          <w:sz w:val="16"/>
          <w:szCs w:val="16"/>
        </w:rPr>
        <w:t xml:space="preserve"> Upon closing of the sale of the Company's operations in the U.K. and Japan during the first quarter of fiscal 2022, these amounts were released from accumulated ot</w:t>
      </w:r>
      <w:r>
        <w:rPr>
          <w:rFonts w:ascii="Times New Roman" w:eastAsia="宋体" w:hAnsi="Times New Roman"/>
          <w:color w:val="000000"/>
          <w:sz w:val="16"/>
          <w:szCs w:val="16"/>
        </w:rPr>
        <w:t>her comprehensive loss, the majority of which was considered in the impairment evaluation when the individual disposal groups met the held for sale classification in fiscal 2021.</w:t>
      </w:r>
    </w:p>
    <w:p w14:paraId="35D0B023" w14:textId="77777777" w:rsidR="00D42204" w:rsidRDefault="004E439D">
      <w:pPr>
        <w:spacing w:before="180"/>
      </w:pPr>
      <w:r>
        <w:rPr>
          <w:rFonts w:ascii="Times New Roman" w:eastAsia="宋体" w:hAnsi="Times New Roman"/>
          <w:color w:val="000000"/>
          <w:sz w:val="20"/>
          <w:szCs w:val="20"/>
        </w:rPr>
        <w:t>Amounts reclassified from accumulated other comprehensive loss for derivative</w:t>
      </w:r>
      <w:r>
        <w:rPr>
          <w:rFonts w:ascii="Times New Roman" w:eastAsia="宋体" w:hAnsi="Times New Roman"/>
          <w:color w:val="000000"/>
          <w:sz w:val="20"/>
          <w:szCs w:val="20"/>
        </w:rPr>
        <w:t>s are recorded in interest, net, in the Company's Consolidated Statements of Income, and the amounts for the minimum pension liability, as well as the cumulative translation resulting from the disposition of a business, are recorded in other gains and loss</w:t>
      </w:r>
      <w:r>
        <w:rPr>
          <w:rFonts w:ascii="Times New Roman" w:eastAsia="宋体" w:hAnsi="Times New Roman"/>
          <w:color w:val="000000"/>
          <w:sz w:val="20"/>
          <w:szCs w:val="20"/>
        </w:rPr>
        <w:t xml:space="preserve">es in the Company's Consolidated Statements of Income. </w:t>
      </w:r>
    </w:p>
    <w:p w14:paraId="35D0B024" w14:textId="77777777" w:rsidR="00D42204" w:rsidRDefault="004E439D">
      <w:pPr>
        <w:spacing w:before="180"/>
      </w:pPr>
      <w:r>
        <w:rPr>
          <w:rFonts w:ascii="Times New Roman" w:eastAsia="宋体" w:hAnsi="Times New Roman"/>
          <w:b/>
          <w:bCs/>
          <w:color w:val="000000"/>
          <w:sz w:val="20"/>
          <w:szCs w:val="20"/>
        </w:rPr>
        <w:t>Note 5. Accrued Liabilities</w:t>
      </w:r>
    </w:p>
    <w:p w14:paraId="35D0B025" w14:textId="77777777" w:rsidR="00D42204" w:rsidRDefault="004E439D">
      <w:pPr>
        <w:spacing w:before="100"/>
      </w:pPr>
      <w:r>
        <w:rPr>
          <w:rFonts w:ascii="Times New Roman" w:eastAsia="宋体" w:hAnsi="Times New Roman"/>
          <w:color w:val="000000"/>
          <w:sz w:val="20"/>
          <w:szCs w:val="20"/>
        </w:rPr>
        <w:t>The Company's accrued liabilities consist of the following as of January 31, 2022 and 2021:</w:t>
      </w:r>
    </w:p>
    <w:tbl>
      <w:tblPr>
        <w:tblW w:w="5000" w:type="pct"/>
        <w:tblCellMar>
          <w:top w:w="15" w:type="dxa"/>
          <w:left w:w="15" w:type="dxa"/>
          <w:bottom w:w="15" w:type="dxa"/>
          <w:right w:w="15" w:type="dxa"/>
        </w:tblCellMar>
        <w:tblLook w:val="04A0" w:firstRow="1" w:lastRow="0" w:firstColumn="1" w:lastColumn="0" w:noHBand="0" w:noVBand="1"/>
      </w:tblPr>
      <w:tblGrid>
        <w:gridCol w:w="45"/>
        <w:gridCol w:w="6064"/>
        <w:gridCol w:w="37"/>
        <w:gridCol w:w="36"/>
        <w:gridCol w:w="36"/>
        <w:gridCol w:w="36"/>
        <w:gridCol w:w="100"/>
        <w:gridCol w:w="850"/>
        <w:gridCol w:w="36"/>
        <w:gridCol w:w="36"/>
        <w:gridCol w:w="36"/>
        <w:gridCol w:w="36"/>
        <w:gridCol w:w="100"/>
        <w:gridCol w:w="852"/>
        <w:gridCol w:w="36"/>
      </w:tblGrid>
      <w:tr w:rsidR="00D42204" w14:paraId="35D0B035" w14:textId="77777777">
        <w:tc>
          <w:tcPr>
            <w:tcW w:w="50" w:type="pct"/>
            <w:shd w:val="clear" w:color="auto" w:fill="auto"/>
            <w:vAlign w:val="bottom"/>
          </w:tcPr>
          <w:p w14:paraId="35D0B026" w14:textId="77777777" w:rsidR="00D42204" w:rsidRDefault="00D42204">
            <w:pPr>
              <w:rPr>
                <w:rFonts w:ascii="宋体"/>
              </w:rPr>
            </w:pPr>
          </w:p>
        </w:tc>
        <w:tc>
          <w:tcPr>
            <w:tcW w:w="3658" w:type="pct"/>
            <w:shd w:val="clear" w:color="auto" w:fill="auto"/>
            <w:vAlign w:val="bottom"/>
          </w:tcPr>
          <w:p w14:paraId="35D0B027" w14:textId="77777777" w:rsidR="00D42204" w:rsidRDefault="00D42204">
            <w:pPr>
              <w:rPr>
                <w:rFonts w:ascii="宋体"/>
              </w:rPr>
            </w:pPr>
          </w:p>
        </w:tc>
        <w:tc>
          <w:tcPr>
            <w:tcW w:w="5" w:type="pct"/>
            <w:shd w:val="clear" w:color="auto" w:fill="auto"/>
            <w:vAlign w:val="bottom"/>
          </w:tcPr>
          <w:p w14:paraId="35D0B028" w14:textId="77777777" w:rsidR="00D42204" w:rsidRDefault="00D42204">
            <w:pPr>
              <w:rPr>
                <w:rFonts w:ascii="宋体"/>
              </w:rPr>
            </w:pPr>
          </w:p>
        </w:tc>
        <w:tc>
          <w:tcPr>
            <w:tcW w:w="5" w:type="pct"/>
            <w:shd w:val="clear" w:color="auto" w:fill="auto"/>
            <w:vAlign w:val="bottom"/>
          </w:tcPr>
          <w:p w14:paraId="35D0B029" w14:textId="77777777" w:rsidR="00D42204" w:rsidRDefault="00D42204">
            <w:pPr>
              <w:rPr>
                <w:rFonts w:ascii="宋体"/>
              </w:rPr>
            </w:pPr>
          </w:p>
        </w:tc>
        <w:tc>
          <w:tcPr>
            <w:tcW w:w="26" w:type="pct"/>
            <w:shd w:val="clear" w:color="auto" w:fill="auto"/>
            <w:vAlign w:val="bottom"/>
          </w:tcPr>
          <w:p w14:paraId="35D0B02A" w14:textId="77777777" w:rsidR="00D42204" w:rsidRDefault="00D42204">
            <w:pPr>
              <w:rPr>
                <w:rFonts w:ascii="宋体"/>
              </w:rPr>
            </w:pPr>
          </w:p>
        </w:tc>
        <w:tc>
          <w:tcPr>
            <w:tcW w:w="5" w:type="pct"/>
            <w:shd w:val="clear" w:color="auto" w:fill="auto"/>
            <w:vAlign w:val="bottom"/>
          </w:tcPr>
          <w:p w14:paraId="35D0B02B" w14:textId="77777777" w:rsidR="00D42204" w:rsidRDefault="00D42204">
            <w:pPr>
              <w:rPr>
                <w:rFonts w:ascii="宋体"/>
              </w:rPr>
            </w:pPr>
          </w:p>
        </w:tc>
        <w:tc>
          <w:tcPr>
            <w:tcW w:w="50" w:type="pct"/>
            <w:shd w:val="clear" w:color="auto" w:fill="auto"/>
            <w:vAlign w:val="bottom"/>
          </w:tcPr>
          <w:p w14:paraId="35D0B02C" w14:textId="77777777" w:rsidR="00D42204" w:rsidRDefault="00D42204">
            <w:pPr>
              <w:rPr>
                <w:rFonts w:ascii="宋体"/>
              </w:rPr>
            </w:pPr>
          </w:p>
        </w:tc>
        <w:tc>
          <w:tcPr>
            <w:tcW w:w="551" w:type="pct"/>
            <w:shd w:val="clear" w:color="auto" w:fill="auto"/>
            <w:vAlign w:val="bottom"/>
          </w:tcPr>
          <w:p w14:paraId="35D0B02D" w14:textId="77777777" w:rsidR="00D42204" w:rsidRDefault="00D42204">
            <w:pPr>
              <w:rPr>
                <w:rFonts w:ascii="宋体"/>
              </w:rPr>
            </w:pPr>
          </w:p>
        </w:tc>
        <w:tc>
          <w:tcPr>
            <w:tcW w:w="5" w:type="pct"/>
            <w:shd w:val="clear" w:color="auto" w:fill="auto"/>
            <w:vAlign w:val="bottom"/>
          </w:tcPr>
          <w:p w14:paraId="35D0B02E" w14:textId="77777777" w:rsidR="00D42204" w:rsidRDefault="00D42204">
            <w:pPr>
              <w:rPr>
                <w:rFonts w:ascii="宋体"/>
              </w:rPr>
            </w:pPr>
          </w:p>
        </w:tc>
        <w:tc>
          <w:tcPr>
            <w:tcW w:w="5" w:type="pct"/>
            <w:shd w:val="clear" w:color="auto" w:fill="auto"/>
            <w:vAlign w:val="bottom"/>
          </w:tcPr>
          <w:p w14:paraId="35D0B02F" w14:textId="77777777" w:rsidR="00D42204" w:rsidRDefault="00D42204">
            <w:pPr>
              <w:rPr>
                <w:rFonts w:ascii="宋体"/>
              </w:rPr>
            </w:pPr>
          </w:p>
        </w:tc>
        <w:tc>
          <w:tcPr>
            <w:tcW w:w="26" w:type="pct"/>
            <w:shd w:val="clear" w:color="auto" w:fill="auto"/>
            <w:vAlign w:val="bottom"/>
          </w:tcPr>
          <w:p w14:paraId="35D0B030" w14:textId="77777777" w:rsidR="00D42204" w:rsidRDefault="00D42204">
            <w:pPr>
              <w:rPr>
                <w:rFonts w:ascii="宋体"/>
              </w:rPr>
            </w:pPr>
          </w:p>
        </w:tc>
        <w:tc>
          <w:tcPr>
            <w:tcW w:w="5" w:type="pct"/>
            <w:shd w:val="clear" w:color="auto" w:fill="auto"/>
            <w:vAlign w:val="bottom"/>
          </w:tcPr>
          <w:p w14:paraId="35D0B031" w14:textId="77777777" w:rsidR="00D42204" w:rsidRDefault="00D42204">
            <w:pPr>
              <w:rPr>
                <w:rFonts w:ascii="宋体"/>
              </w:rPr>
            </w:pPr>
          </w:p>
        </w:tc>
        <w:tc>
          <w:tcPr>
            <w:tcW w:w="50" w:type="pct"/>
            <w:shd w:val="clear" w:color="auto" w:fill="auto"/>
            <w:vAlign w:val="bottom"/>
          </w:tcPr>
          <w:p w14:paraId="35D0B032" w14:textId="77777777" w:rsidR="00D42204" w:rsidRDefault="00D42204">
            <w:pPr>
              <w:rPr>
                <w:rFonts w:ascii="宋体"/>
              </w:rPr>
            </w:pPr>
          </w:p>
        </w:tc>
        <w:tc>
          <w:tcPr>
            <w:tcW w:w="551" w:type="pct"/>
            <w:shd w:val="clear" w:color="auto" w:fill="auto"/>
            <w:vAlign w:val="bottom"/>
          </w:tcPr>
          <w:p w14:paraId="35D0B033" w14:textId="77777777" w:rsidR="00D42204" w:rsidRDefault="00D42204">
            <w:pPr>
              <w:rPr>
                <w:rFonts w:ascii="宋体"/>
              </w:rPr>
            </w:pPr>
          </w:p>
        </w:tc>
        <w:tc>
          <w:tcPr>
            <w:tcW w:w="5" w:type="pct"/>
            <w:shd w:val="clear" w:color="auto" w:fill="auto"/>
            <w:vAlign w:val="bottom"/>
          </w:tcPr>
          <w:p w14:paraId="35D0B034" w14:textId="77777777" w:rsidR="00D42204" w:rsidRDefault="00D42204">
            <w:pPr>
              <w:rPr>
                <w:rFonts w:ascii="宋体"/>
              </w:rPr>
            </w:pPr>
          </w:p>
        </w:tc>
      </w:tr>
      <w:tr w:rsidR="00D42204" w14:paraId="35D0B039" w14:textId="77777777">
        <w:tc>
          <w:tcPr>
            <w:tcW w:w="0" w:type="auto"/>
            <w:gridSpan w:val="3"/>
            <w:shd w:val="clear" w:color="auto" w:fill="auto"/>
            <w:tcMar>
              <w:top w:w="40" w:type="dxa"/>
              <w:left w:w="20" w:type="dxa"/>
              <w:bottom w:w="40" w:type="dxa"/>
              <w:right w:w="20" w:type="dxa"/>
            </w:tcMar>
            <w:vAlign w:val="bottom"/>
          </w:tcPr>
          <w:p w14:paraId="35D0B036"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B037" w14:textId="77777777" w:rsidR="00D42204" w:rsidRDefault="00D42204">
            <w:pPr>
              <w:rPr>
                <w:rFonts w:ascii="宋体"/>
              </w:rPr>
            </w:pPr>
          </w:p>
        </w:tc>
        <w:tc>
          <w:tcPr>
            <w:tcW w:w="0" w:type="auto"/>
            <w:gridSpan w:val="9"/>
            <w:shd w:val="clear" w:color="auto" w:fill="auto"/>
            <w:tcMar>
              <w:top w:w="40" w:type="dxa"/>
              <w:left w:w="20" w:type="dxa"/>
              <w:bottom w:w="40" w:type="dxa"/>
              <w:right w:w="20" w:type="dxa"/>
            </w:tcMar>
            <w:vAlign w:val="bottom"/>
          </w:tcPr>
          <w:p w14:paraId="35D0B038" w14:textId="77777777" w:rsidR="00D42204" w:rsidRDefault="004E439D">
            <w:pPr>
              <w:jc w:val="center"/>
              <w:textAlignment w:val="bottom"/>
            </w:pPr>
            <w:r>
              <w:rPr>
                <w:rFonts w:ascii="Times New Roman" w:eastAsia="宋体" w:hAnsi="Times New Roman"/>
                <w:b/>
                <w:bCs/>
                <w:color w:val="000000"/>
                <w:sz w:val="16"/>
                <w:szCs w:val="16"/>
              </w:rPr>
              <w:t>January 31,</w:t>
            </w:r>
          </w:p>
        </w:tc>
      </w:tr>
      <w:tr w:rsidR="00D42204" w14:paraId="35D0B03F" w14:textId="77777777">
        <w:tc>
          <w:tcPr>
            <w:tcW w:w="0" w:type="auto"/>
            <w:gridSpan w:val="3"/>
            <w:shd w:val="clear" w:color="auto" w:fill="auto"/>
            <w:tcMar>
              <w:top w:w="40" w:type="dxa"/>
              <w:left w:w="20" w:type="dxa"/>
              <w:bottom w:w="40" w:type="dxa"/>
              <w:right w:w="20" w:type="dxa"/>
            </w:tcMar>
            <w:vAlign w:val="bottom"/>
          </w:tcPr>
          <w:p w14:paraId="35D0B03A"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03B"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03C"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03D"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03E" w14:textId="77777777" w:rsidR="00D42204" w:rsidRDefault="004E439D">
            <w:pPr>
              <w:jc w:val="center"/>
              <w:textAlignment w:val="bottom"/>
            </w:pPr>
            <w:r>
              <w:rPr>
                <w:rFonts w:ascii="Times New Roman" w:eastAsia="宋体" w:hAnsi="Times New Roman"/>
                <w:b/>
                <w:bCs/>
                <w:color w:val="000000"/>
                <w:sz w:val="16"/>
                <w:szCs w:val="16"/>
              </w:rPr>
              <w:t>2021</w:t>
            </w:r>
          </w:p>
        </w:tc>
      </w:tr>
      <w:tr w:rsidR="00D42204" w14:paraId="35D0B047" w14:textId="77777777">
        <w:tc>
          <w:tcPr>
            <w:tcW w:w="0" w:type="auto"/>
            <w:gridSpan w:val="3"/>
            <w:shd w:val="clear" w:color="auto" w:fill="CCEEFF"/>
            <w:tcMar>
              <w:top w:w="40" w:type="dxa"/>
              <w:left w:w="20" w:type="dxa"/>
              <w:bottom w:w="40" w:type="dxa"/>
              <w:right w:w="20" w:type="dxa"/>
            </w:tcMar>
            <w:vAlign w:val="bottom"/>
          </w:tcPr>
          <w:p w14:paraId="35D0B040" w14:textId="77777777" w:rsidR="00D42204" w:rsidRDefault="004E439D">
            <w:pPr>
              <w:textAlignment w:val="bottom"/>
            </w:pPr>
            <w:r>
              <w:rPr>
                <w:rFonts w:ascii="Times New Roman" w:eastAsia="宋体" w:hAnsi="Times New Roman"/>
                <w:color w:val="000000"/>
                <w:sz w:val="16"/>
                <w:szCs w:val="16"/>
              </w:rPr>
              <w:t>Accrued wages and benefits</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35D0B041"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B042" w14:textId="77777777" w:rsidR="00D42204" w:rsidRDefault="004E439D">
            <w:pPr>
              <w:jc w:val="right"/>
              <w:textAlignment w:val="center"/>
            </w:pPr>
            <w:r>
              <w:rPr>
                <w:rFonts w:ascii="Times New Roman" w:eastAsia="宋体" w:hAnsi="Times New Roman"/>
                <w:color w:val="000000"/>
                <w:sz w:val="16"/>
                <w:szCs w:val="16"/>
              </w:rPr>
              <w:t>7,908 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04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044"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B045" w14:textId="77777777" w:rsidR="00D42204" w:rsidRDefault="004E439D">
            <w:pPr>
              <w:jc w:val="right"/>
              <w:textAlignment w:val="center"/>
            </w:pPr>
            <w:r>
              <w:rPr>
                <w:rFonts w:ascii="Times New Roman" w:eastAsia="宋体" w:hAnsi="Times New Roman"/>
                <w:color w:val="000000"/>
                <w:sz w:val="16"/>
                <w:szCs w:val="16"/>
              </w:rPr>
              <w:t>7,654 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046" w14:textId="77777777" w:rsidR="00D42204" w:rsidRDefault="00D42204">
            <w:pPr>
              <w:jc w:val="right"/>
              <w:rPr>
                <w:rFonts w:ascii="宋体"/>
              </w:rPr>
            </w:pPr>
          </w:p>
        </w:tc>
      </w:tr>
      <w:tr w:rsidR="00D42204" w14:paraId="35D0B04F" w14:textId="77777777">
        <w:tc>
          <w:tcPr>
            <w:tcW w:w="0" w:type="auto"/>
            <w:gridSpan w:val="3"/>
            <w:shd w:val="clear" w:color="auto" w:fill="FFFFFF"/>
            <w:tcMar>
              <w:top w:w="40" w:type="dxa"/>
              <w:left w:w="20" w:type="dxa"/>
              <w:bottom w:w="40" w:type="dxa"/>
              <w:right w:w="20" w:type="dxa"/>
            </w:tcMar>
            <w:vAlign w:val="bottom"/>
          </w:tcPr>
          <w:p w14:paraId="35D0B048" w14:textId="77777777" w:rsidR="00D42204" w:rsidRDefault="004E439D">
            <w:pPr>
              <w:textAlignment w:val="bottom"/>
            </w:pPr>
            <w:r>
              <w:rPr>
                <w:rFonts w:ascii="Times New Roman" w:eastAsia="宋体" w:hAnsi="Times New Roman"/>
                <w:color w:val="000000"/>
                <w:sz w:val="16"/>
                <w:szCs w:val="16"/>
              </w:rPr>
              <w:t>Self-insurance</w:t>
            </w:r>
            <w:r>
              <w:rPr>
                <w:rFonts w:ascii="Times New Roman" w:eastAsia="宋体" w:hAnsi="Times New Roman"/>
                <w:color w:val="000000"/>
                <w:sz w:val="10"/>
                <w:szCs w:val="10"/>
              </w:rPr>
              <w:t>(2)</w:t>
            </w:r>
          </w:p>
        </w:tc>
        <w:tc>
          <w:tcPr>
            <w:tcW w:w="0" w:type="auto"/>
            <w:gridSpan w:val="3"/>
            <w:shd w:val="clear" w:color="auto" w:fill="FFFFFF"/>
            <w:tcMar>
              <w:top w:w="0" w:type="dxa"/>
              <w:left w:w="20" w:type="dxa"/>
              <w:bottom w:w="0" w:type="dxa"/>
              <w:right w:w="20" w:type="dxa"/>
            </w:tcMar>
            <w:vAlign w:val="bottom"/>
          </w:tcPr>
          <w:p w14:paraId="35D0B04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04A" w14:textId="77777777" w:rsidR="00D42204" w:rsidRDefault="004E439D">
            <w:pPr>
              <w:jc w:val="right"/>
              <w:textAlignment w:val="center"/>
            </w:pPr>
            <w:r>
              <w:rPr>
                <w:rFonts w:ascii="Times New Roman" w:eastAsia="宋体" w:hAnsi="Times New Roman"/>
                <w:color w:val="000000"/>
                <w:sz w:val="16"/>
                <w:szCs w:val="16"/>
              </w:rPr>
              <w:t>4,652 </w:t>
            </w:r>
          </w:p>
        </w:tc>
        <w:tc>
          <w:tcPr>
            <w:tcW w:w="0" w:type="auto"/>
            <w:shd w:val="clear" w:color="auto" w:fill="FFFFFF"/>
            <w:tcMar>
              <w:top w:w="40" w:type="dxa"/>
              <w:left w:w="0" w:type="dxa"/>
              <w:bottom w:w="40" w:type="dxa"/>
              <w:right w:w="20" w:type="dxa"/>
            </w:tcMar>
            <w:vAlign w:val="center"/>
          </w:tcPr>
          <w:p w14:paraId="35D0B04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04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04D" w14:textId="77777777" w:rsidR="00D42204" w:rsidRDefault="004E439D">
            <w:pPr>
              <w:jc w:val="right"/>
              <w:textAlignment w:val="center"/>
            </w:pPr>
            <w:r>
              <w:rPr>
                <w:rFonts w:ascii="Times New Roman" w:eastAsia="宋体" w:hAnsi="Times New Roman"/>
                <w:color w:val="000000"/>
                <w:sz w:val="16"/>
                <w:szCs w:val="16"/>
              </w:rPr>
              <w:t>4,698 </w:t>
            </w:r>
          </w:p>
        </w:tc>
        <w:tc>
          <w:tcPr>
            <w:tcW w:w="0" w:type="auto"/>
            <w:shd w:val="clear" w:color="auto" w:fill="FFFFFF"/>
            <w:tcMar>
              <w:top w:w="40" w:type="dxa"/>
              <w:left w:w="0" w:type="dxa"/>
              <w:bottom w:w="40" w:type="dxa"/>
              <w:right w:w="20" w:type="dxa"/>
            </w:tcMar>
            <w:vAlign w:val="center"/>
          </w:tcPr>
          <w:p w14:paraId="35D0B04E" w14:textId="77777777" w:rsidR="00D42204" w:rsidRDefault="00D42204">
            <w:pPr>
              <w:jc w:val="right"/>
              <w:rPr>
                <w:rFonts w:ascii="宋体"/>
              </w:rPr>
            </w:pPr>
          </w:p>
        </w:tc>
      </w:tr>
      <w:tr w:rsidR="00D42204" w14:paraId="35D0B057" w14:textId="77777777">
        <w:tc>
          <w:tcPr>
            <w:tcW w:w="0" w:type="auto"/>
            <w:gridSpan w:val="3"/>
            <w:shd w:val="clear" w:color="auto" w:fill="CCEEFF"/>
            <w:tcMar>
              <w:top w:w="40" w:type="dxa"/>
              <w:left w:w="20" w:type="dxa"/>
              <w:bottom w:w="40" w:type="dxa"/>
              <w:right w:w="20" w:type="dxa"/>
            </w:tcMar>
            <w:vAlign w:val="bottom"/>
          </w:tcPr>
          <w:p w14:paraId="35D0B050" w14:textId="77777777" w:rsidR="00D42204" w:rsidRDefault="004E439D">
            <w:pPr>
              <w:textAlignment w:val="bottom"/>
            </w:pPr>
            <w:r>
              <w:rPr>
                <w:rFonts w:ascii="Times New Roman" w:eastAsia="宋体" w:hAnsi="Times New Roman"/>
                <w:color w:val="000000"/>
                <w:sz w:val="16"/>
                <w:szCs w:val="16"/>
              </w:rPr>
              <w:t>Accrued non-income taxes</w:t>
            </w:r>
            <w:r>
              <w:rPr>
                <w:rFonts w:ascii="Times New Roman" w:eastAsia="宋体" w:hAnsi="Times New Roman"/>
                <w:color w:val="000000"/>
                <w:sz w:val="10"/>
                <w:szCs w:val="10"/>
              </w:rPr>
              <w:t>(3)</w:t>
            </w:r>
          </w:p>
        </w:tc>
        <w:tc>
          <w:tcPr>
            <w:tcW w:w="0" w:type="auto"/>
            <w:gridSpan w:val="3"/>
            <w:shd w:val="clear" w:color="auto" w:fill="CCEEFF"/>
            <w:tcMar>
              <w:top w:w="0" w:type="dxa"/>
              <w:left w:w="20" w:type="dxa"/>
              <w:bottom w:w="0" w:type="dxa"/>
              <w:right w:w="20" w:type="dxa"/>
            </w:tcMar>
            <w:vAlign w:val="bottom"/>
          </w:tcPr>
          <w:p w14:paraId="35D0B05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052" w14:textId="77777777" w:rsidR="00D42204" w:rsidRDefault="004E439D">
            <w:pPr>
              <w:jc w:val="right"/>
              <w:textAlignment w:val="center"/>
            </w:pPr>
            <w:r>
              <w:rPr>
                <w:rFonts w:ascii="Times New Roman" w:eastAsia="宋体" w:hAnsi="Times New Roman"/>
                <w:color w:val="000000"/>
                <w:sz w:val="16"/>
                <w:szCs w:val="16"/>
              </w:rPr>
              <w:t>3,247 </w:t>
            </w:r>
          </w:p>
        </w:tc>
        <w:tc>
          <w:tcPr>
            <w:tcW w:w="0" w:type="auto"/>
            <w:shd w:val="clear" w:color="auto" w:fill="CCEEFF"/>
            <w:tcMar>
              <w:top w:w="40" w:type="dxa"/>
              <w:left w:w="0" w:type="dxa"/>
              <w:bottom w:w="40" w:type="dxa"/>
              <w:right w:w="20" w:type="dxa"/>
            </w:tcMar>
            <w:vAlign w:val="center"/>
          </w:tcPr>
          <w:p w14:paraId="35D0B05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05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055" w14:textId="77777777" w:rsidR="00D42204" w:rsidRDefault="004E439D">
            <w:pPr>
              <w:jc w:val="right"/>
              <w:textAlignment w:val="center"/>
            </w:pPr>
            <w:r>
              <w:rPr>
                <w:rFonts w:ascii="Times New Roman" w:eastAsia="宋体" w:hAnsi="Times New Roman"/>
                <w:color w:val="000000"/>
                <w:sz w:val="16"/>
                <w:szCs w:val="16"/>
              </w:rPr>
              <w:t>3,328 </w:t>
            </w:r>
          </w:p>
        </w:tc>
        <w:tc>
          <w:tcPr>
            <w:tcW w:w="0" w:type="auto"/>
            <w:shd w:val="clear" w:color="auto" w:fill="CCEEFF"/>
            <w:tcMar>
              <w:top w:w="40" w:type="dxa"/>
              <w:left w:w="0" w:type="dxa"/>
              <w:bottom w:w="40" w:type="dxa"/>
              <w:right w:w="20" w:type="dxa"/>
            </w:tcMar>
            <w:vAlign w:val="center"/>
          </w:tcPr>
          <w:p w14:paraId="35D0B056" w14:textId="77777777" w:rsidR="00D42204" w:rsidRDefault="00D42204">
            <w:pPr>
              <w:jc w:val="right"/>
              <w:rPr>
                <w:rFonts w:ascii="宋体"/>
              </w:rPr>
            </w:pPr>
          </w:p>
        </w:tc>
      </w:tr>
      <w:tr w:rsidR="00D42204" w14:paraId="35D0B05F" w14:textId="77777777">
        <w:tc>
          <w:tcPr>
            <w:tcW w:w="0" w:type="auto"/>
            <w:gridSpan w:val="3"/>
            <w:shd w:val="clear" w:color="auto" w:fill="FFFFFF"/>
            <w:tcMar>
              <w:top w:w="40" w:type="dxa"/>
              <w:left w:w="20" w:type="dxa"/>
              <w:bottom w:w="40" w:type="dxa"/>
              <w:right w:w="20" w:type="dxa"/>
            </w:tcMar>
            <w:vAlign w:val="bottom"/>
          </w:tcPr>
          <w:p w14:paraId="35D0B058" w14:textId="77777777" w:rsidR="00D42204" w:rsidRDefault="004E439D">
            <w:pPr>
              <w:textAlignment w:val="bottom"/>
            </w:pPr>
            <w:r>
              <w:rPr>
                <w:rFonts w:ascii="Times New Roman" w:eastAsia="宋体" w:hAnsi="Times New Roman"/>
                <w:color w:val="000000"/>
                <w:sz w:val="16"/>
                <w:szCs w:val="16"/>
              </w:rPr>
              <w:t>Deferred gift card revenue</w:t>
            </w:r>
          </w:p>
        </w:tc>
        <w:tc>
          <w:tcPr>
            <w:tcW w:w="0" w:type="auto"/>
            <w:gridSpan w:val="3"/>
            <w:shd w:val="clear" w:color="auto" w:fill="FFFFFF"/>
            <w:tcMar>
              <w:top w:w="0" w:type="dxa"/>
              <w:left w:w="20" w:type="dxa"/>
              <w:bottom w:w="0" w:type="dxa"/>
              <w:right w:w="20" w:type="dxa"/>
            </w:tcMar>
            <w:vAlign w:val="bottom"/>
          </w:tcPr>
          <w:p w14:paraId="35D0B05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05A" w14:textId="77777777" w:rsidR="00D42204" w:rsidRDefault="004E439D">
            <w:pPr>
              <w:jc w:val="right"/>
              <w:textAlignment w:val="center"/>
            </w:pPr>
            <w:r>
              <w:rPr>
                <w:rFonts w:ascii="Times New Roman" w:eastAsia="宋体" w:hAnsi="Times New Roman"/>
                <w:color w:val="000000"/>
                <w:sz w:val="16"/>
                <w:szCs w:val="16"/>
              </w:rPr>
              <w:t>2,559 </w:t>
            </w:r>
          </w:p>
        </w:tc>
        <w:tc>
          <w:tcPr>
            <w:tcW w:w="0" w:type="auto"/>
            <w:shd w:val="clear" w:color="auto" w:fill="FFFFFF"/>
            <w:tcMar>
              <w:top w:w="40" w:type="dxa"/>
              <w:left w:w="0" w:type="dxa"/>
              <w:bottom w:w="40" w:type="dxa"/>
              <w:right w:w="20" w:type="dxa"/>
            </w:tcMar>
            <w:vAlign w:val="center"/>
          </w:tcPr>
          <w:p w14:paraId="35D0B05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05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05D" w14:textId="77777777" w:rsidR="00D42204" w:rsidRDefault="004E439D">
            <w:pPr>
              <w:jc w:val="right"/>
              <w:textAlignment w:val="center"/>
            </w:pPr>
            <w:r>
              <w:rPr>
                <w:rFonts w:ascii="Times New Roman" w:eastAsia="宋体" w:hAnsi="Times New Roman"/>
                <w:color w:val="000000"/>
                <w:sz w:val="16"/>
                <w:szCs w:val="16"/>
              </w:rPr>
              <w:t>2,310 </w:t>
            </w:r>
          </w:p>
        </w:tc>
        <w:tc>
          <w:tcPr>
            <w:tcW w:w="0" w:type="auto"/>
            <w:shd w:val="clear" w:color="auto" w:fill="FFFFFF"/>
            <w:tcMar>
              <w:top w:w="40" w:type="dxa"/>
              <w:left w:w="0" w:type="dxa"/>
              <w:bottom w:w="40" w:type="dxa"/>
              <w:right w:w="20" w:type="dxa"/>
            </w:tcMar>
            <w:vAlign w:val="center"/>
          </w:tcPr>
          <w:p w14:paraId="35D0B05E" w14:textId="77777777" w:rsidR="00D42204" w:rsidRDefault="00D42204">
            <w:pPr>
              <w:jc w:val="right"/>
              <w:rPr>
                <w:rFonts w:ascii="宋体"/>
              </w:rPr>
            </w:pPr>
          </w:p>
        </w:tc>
      </w:tr>
      <w:tr w:rsidR="00D42204" w14:paraId="35D0B067" w14:textId="77777777">
        <w:tc>
          <w:tcPr>
            <w:tcW w:w="0" w:type="auto"/>
            <w:gridSpan w:val="3"/>
            <w:shd w:val="clear" w:color="auto" w:fill="CCEEFF"/>
            <w:tcMar>
              <w:top w:w="40" w:type="dxa"/>
              <w:left w:w="20" w:type="dxa"/>
              <w:bottom w:w="40" w:type="dxa"/>
              <w:right w:w="20" w:type="dxa"/>
            </w:tcMar>
            <w:vAlign w:val="bottom"/>
          </w:tcPr>
          <w:p w14:paraId="35D0B060" w14:textId="77777777" w:rsidR="00D42204" w:rsidRDefault="004E439D">
            <w:pPr>
              <w:textAlignment w:val="bottom"/>
            </w:pPr>
            <w:r>
              <w:rPr>
                <w:rFonts w:ascii="Times New Roman" w:eastAsia="宋体" w:hAnsi="Times New Roman"/>
                <w:color w:val="000000"/>
                <w:sz w:val="16"/>
                <w:szCs w:val="16"/>
              </w:rPr>
              <w:t>Liabilities held for sale</w:t>
            </w:r>
            <w:r>
              <w:rPr>
                <w:rFonts w:ascii="Times New Roman" w:eastAsia="宋体" w:hAnsi="Times New Roman"/>
                <w:color w:val="000000"/>
                <w:sz w:val="10"/>
                <w:szCs w:val="10"/>
              </w:rPr>
              <w:t>(4)</w:t>
            </w:r>
          </w:p>
        </w:tc>
        <w:tc>
          <w:tcPr>
            <w:tcW w:w="0" w:type="auto"/>
            <w:gridSpan w:val="3"/>
            <w:shd w:val="clear" w:color="auto" w:fill="CCEEFF"/>
            <w:tcMar>
              <w:top w:w="0" w:type="dxa"/>
              <w:left w:w="20" w:type="dxa"/>
              <w:bottom w:w="0" w:type="dxa"/>
              <w:right w:w="20" w:type="dxa"/>
            </w:tcMar>
            <w:vAlign w:val="bottom"/>
          </w:tcPr>
          <w:p w14:paraId="35D0B06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062" w14:textId="77777777" w:rsidR="00D42204" w:rsidRDefault="004E439D">
            <w:pPr>
              <w:jc w:val="right"/>
              <w:textAlignment w:val="center"/>
            </w:pPr>
            <w:r>
              <w:rPr>
                <w:rFonts w:ascii="Times New Roman" w:eastAsia="宋体" w:hAnsi="Times New Roman"/>
                <w:color w:val="000000"/>
                <w:sz w:val="16"/>
                <w:szCs w:val="16"/>
              </w:rPr>
              <w:t>21 </w:t>
            </w:r>
          </w:p>
        </w:tc>
        <w:tc>
          <w:tcPr>
            <w:tcW w:w="0" w:type="auto"/>
            <w:shd w:val="clear" w:color="auto" w:fill="CCEEFF"/>
            <w:tcMar>
              <w:top w:w="40" w:type="dxa"/>
              <w:left w:w="0" w:type="dxa"/>
              <w:bottom w:w="40" w:type="dxa"/>
              <w:right w:w="20" w:type="dxa"/>
            </w:tcMar>
            <w:vAlign w:val="center"/>
          </w:tcPr>
          <w:p w14:paraId="35D0B06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06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065" w14:textId="77777777" w:rsidR="00D42204" w:rsidRDefault="004E439D">
            <w:pPr>
              <w:jc w:val="right"/>
              <w:textAlignment w:val="center"/>
            </w:pPr>
            <w:r>
              <w:rPr>
                <w:rFonts w:ascii="Times New Roman" w:eastAsia="宋体" w:hAnsi="Times New Roman"/>
                <w:color w:val="000000"/>
                <w:sz w:val="16"/>
                <w:szCs w:val="16"/>
              </w:rPr>
              <w:t>12,734 </w:t>
            </w:r>
          </w:p>
        </w:tc>
        <w:tc>
          <w:tcPr>
            <w:tcW w:w="0" w:type="auto"/>
            <w:shd w:val="clear" w:color="auto" w:fill="CCEEFF"/>
            <w:tcMar>
              <w:top w:w="40" w:type="dxa"/>
              <w:left w:w="0" w:type="dxa"/>
              <w:bottom w:w="40" w:type="dxa"/>
              <w:right w:w="20" w:type="dxa"/>
            </w:tcMar>
            <w:vAlign w:val="center"/>
          </w:tcPr>
          <w:p w14:paraId="35D0B066" w14:textId="77777777" w:rsidR="00D42204" w:rsidRDefault="00D42204">
            <w:pPr>
              <w:jc w:val="right"/>
              <w:rPr>
                <w:rFonts w:ascii="宋体"/>
              </w:rPr>
            </w:pPr>
          </w:p>
        </w:tc>
      </w:tr>
      <w:tr w:rsidR="00D42204" w14:paraId="35D0B06F" w14:textId="77777777">
        <w:tc>
          <w:tcPr>
            <w:tcW w:w="0" w:type="auto"/>
            <w:gridSpan w:val="3"/>
            <w:shd w:val="clear" w:color="auto" w:fill="FFFFFF"/>
            <w:tcMar>
              <w:top w:w="40" w:type="dxa"/>
              <w:left w:w="20" w:type="dxa"/>
              <w:bottom w:w="40" w:type="dxa"/>
              <w:right w:w="20" w:type="dxa"/>
            </w:tcMar>
            <w:vAlign w:val="bottom"/>
          </w:tcPr>
          <w:p w14:paraId="35D0B068" w14:textId="77777777" w:rsidR="00D42204" w:rsidRDefault="004E439D">
            <w:pPr>
              <w:textAlignment w:val="bottom"/>
            </w:pPr>
            <w:r>
              <w:rPr>
                <w:rFonts w:ascii="Times New Roman" w:eastAsia="宋体" w:hAnsi="Times New Roman"/>
                <w:color w:val="000000"/>
                <w:sz w:val="16"/>
                <w:szCs w:val="16"/>
              </w:rPr>
              <w:t>Other</w:t>
            </w:r>
            <w:r>
              <w:rPr>
                <w:rFonts w:ascii="Times New Roman" w:eastAsia="宋体" w:hAnsi="Times New Roman"/>
                <w:color w:val="000000"/>
                <w:sz w:val="10"/>
                <w:szCs w:val="10"/>
              </w:rPr>
              <w:t>(5)</w:t>
            </w:r>
          </w:p>
        </w:tc>
        <w:tc>
          <w:tcPr>
            <w:tcW w:w="0" w:type="auto"/>
            <w:gridSpan w:val="3"/>
            <w:shd w:val="clear" w:color="auto" w:fill="FFFFFF"/>
            <w:tcMar>
              <w:top w:w="0" w:type="dxa"/>
              <w:left w:w="20" w:type="dxa"/>
              <w:bottom w:w="0" w:type="dxa"/>
              <w:right w:w="20" w:type="dxa"/>
            </w:tcMar>
            <w:vAlign w:val="bottom"/>
          </w:tcPr>
          <w:p w14:paraId="35D0B06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06A" w14:textId="77777777" w:rsidR="00D42204" w:rsidRDefault="004E439D">
            <w:pPr>
              <w:jc w:val="right"/>
              <w:textAlignment w:val="center"/>
            </w:pPr>
            <w:r>
              <w:rPr>
                <w:rFonts w:ascii="Times New Roman" w:eastAsia="宋体" w:hAnsi="Times New Roman"/>
                <w:color w:val="000000"/>
                <w:sz w:val="16"/>
                <w:szCs w:val="16"/>
              </w:rPr>
              <w:t>7,673 </w:t>
            </w:r>
          </w:p>
        </w:tc>
        <w:tc>
          <w:tcPr>
            <w:tcW w:w="0" w:type="auto"/>
            <w:shd w:val="clear" w:color="auto" w:fill="FFFFFF"/>
            <w:tcMar>
              <w:top w:w="40" w:type="dxa"/>
              <w:left w:w="0" w:type="dxa"/>
              <w:bottom w:w="40" w:type="dxa"/>
              <w:right w:w="20" w:type="dxa"/>
            </w:tcMar>
            <w:vAlign w:val="center"/>
          </w:tcPr>
          <w:p w14:paraId="35D0B06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06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06D" w14:textId="77777777" w:rsidR="00D42204" w:rsidRDefault="004E439D">
            <w:pPr>
              <w:jc w:val="right"/>
              <w:textAlignment w:val="center"/>
            </w:pPr>
            <w:r>
              <w:rPr>
                <w:rFonts w:ascii="Times New Roman" w:eastAsia="宋体" w:hAnsi="Times New Roman"/>
                <w:color w:val="000000"/>
                <w:sz w:val="16"/>
                <w:szCs w:val="16"/>
              </w:rPr>
              <w:t>7,242 </w:t>
            </w:r>
          </w:p>
        </w:tc>
        <w:tc>
          <w:tcPr>
            <w:tcW w:w="0" w:type="auto"/>
            <w:shd w:val="clear" w:color="auto" w:fill="FFFFFF"/>
            <w:tcMar>
              <w:top w:w="40" w:type="dxa"/>
              <w:left w:w="0" w:type="dxa"/>
              <w:bottom w:w="40" w:type="dxa"/>
              <w:right w:w="20" w:type="dxa"/>
            </w:tcMar>
            <w:vAlign w:val="center"/>
          </w:tcPr>
          <w:p w14:paraId="35D0B06E" w14:textId="77777777" w:rsidR="00D42204" w:rsidRDefault="00D42204">
            <w:pPr>
              <w:jc w:val="right"/>
              <w:rPr>
                <w:rFonts w:ascii="宋体"/>
              </w:rPr>
            </w:pPr>
          </w:p>
        </w:tc>
      </w:tr>
      <w:tr w:rsidR="00D42204" w14:paraId="35D0B079" w14:textId="77777777">
        <w:tc>
          <w:tcPr>
            <w:tcW w:w="0" w:type="auto"/>
            <w:gridSpan w:val="3"/>
            <w:shd w:val="clear" w:color="auto" w:fill="CCEEFF"/>
            <w:tcMar>
              <w:top w:w="40" w:type="dxa"/>
              <w:left w:w="20" w:type="dxa"/>
              <w:bottom w:w="40" w:type="dxa"/>
              <w:right w:w="20" w:type="dxa"/>
            </w:tcMar>
            <w:vAlign w:val="center"/>
          </w:tcPr>
          <w:p w14:paraId="35D0B070" w14:textId="77777777" w:rsidR="00D42204" w:rsidRDefault="004E439D">
            <w:pPr>
              <w:textAlignment w:val="center"/>
            </w:pPr>
            <w:r>
              <w:rPr>
                <w:rFonts w:ascii="Times New Roman" w:eastAsia="宋体" w:hAnsi="Times New Roman"/>
                <w:b/>
                <w:bCs/>
                <w:color w:val="000000"/>
                <w:sz w:val="16"/>
                <w:szCs w:val="16"/>
              </w:rPr>
              <w:t>Total accrued liabilities</w:t>
            </w:r>
          </w:p>
        </w:tc>
        <w:tc>
          <w:tcPr>
            <w:tcW w:w="0" w:type="auto"/>
            <w:gridSpan w:val="3"/>
            <w:shd w:val="clear" w:color="auto" w:fill="CCEEFF"/>
            <w:tcMar>
              <w:top w:w="0" w:type="dxa"/>
              <w:left w:w="20" w:type="dxa"/>
              <w:bottom w:w="0" w:type="dxa"/>
              <w:right w:w="20" w:type="dxa"/>
            </w:tcMar>
            <w:vAlign w:val="bottom"/>
          </w:tcPr>
          <w:p w14:paraId="35D0B071"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072"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073" w14:textId="77777777" w:rsidR="00D42204" w:rsidRDefault="004E439D">
            <w:pPr>
              <w:jc w:val="right"/>
              <w:textAlignment w:val="center"/>
            </w:pPr>
            <w:r>
              <w:rPr>
                <w:rFonts w:ascii="Times New Roman" w:eastAsia="宋体" w:hAnsi="Times New Roman"/>
                <w:color w:val="000000"/>
                <w:sz w:val="16"/>
                <w:szCs w:val="16"/>
              </w:rPr>
              <w:t>26,060 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07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075"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076"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077" w14:textId="77777777" w:rsidR="00D42204" w:rsidRDefault="004E439D">
            <w:pPr>
              <w:jc w:val="right"/>
              <w:textAlignment w:val="center"/>
            </w:pPr>
            <w:r>
              <w:rPr>
                <w:rFonts w:ascii="Times New Roman" w:eastAsia="宋体" w:hAnsi="Times New Roman"/>
                <w:color w:val="000000"/>
                <w:sz w:val="16"/>
                <w:szCs w:val="16"/>
              </w:rPr>
              <w:t>37,966 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078" w14:textId="77777777" w:rsidR="00D42204" w:rsidRDefault="00D42204">
            <w:pPr>
              <w:jc w:val="right"/>
              <w:rPr>
                <w:rFonts w:ascii="宋体"/>
              </w:rPr>
            </w:pPr>
          </w:p>
        </w:tc>
      </w:tr>
    </w:tbl>
    <w:p w14:paraId="35D0B07A" w14:textId="77777777" w:rsidR="00D42204" w:rsidRDefault="004E439D">
      <w:pPr>
        <w:ind w:hanging="360"/>
      </w:pPr>
      <w:r>
        <w:rPr>
          <w:rFonts w:ascii="Times New Roman" w:eastAsia="宋体" w:hAnsi="Times New Roman"/>
          <w:color w:val="000000"/>
          <w:sz w:val="10"/>
          <w:szCs w:val="10"/>
        </w:rPr>
        <w:t>(1)</w:t>
      </w:r>
      <w:r>
        <w:rPr>
          <w:rFonts w:ascii="Times New Roman" w:eastAsia="宋体" w:hAnsi="Times New Roman"/>
          <w:color w:val="000000"/>
          <w:sz w:val="16"/>
          <w:szCs w:val="16"/>
        </w:rPr>
        <w:t>Accru</w:t>
      </w:r>
      <w:r>
        <w:rPr>
          <w:rFonts w:ascii="Times New Roman" w:eastAsia="宋体" w:hAnsi="Times New Roman"/>
          <w:color w:val="000000"/>
          <w:sz w:val="16"/>
          <w:szCs w:val="16"/>
        </w:rPr>
        <w:t>ed wages and benefits include accrued wages, salaries, vacation, bonuses and other incentive plans.</w:t>
      </w:r>
    </w:p>
    <w:p w14:paraId="35D0B07B" w14:textId="77777777" w:rsidR="00D42204" w:rsidRDefault="004E439D">
      <w:pPr>
        <w:ind w:hanging="360"/>
      </w:pPr>
      <w:r>
        <w:rPr>
          <w:rFonts w:ascii="Times New Roman" w:eastAsia="宋体" w:hAnsi="Times New Roman"/>
          <w:color w:val="000000"/>
          <w:sz w:val="10"/>
          <w:szCs w:val="10"/>
        </w:rPr>
        <w:t>(2)</w:t>
      </w:r>
      <w:r>
        <w:rPr>
          <w:rFonts w:ascii="Times New Roman" w:eastAsia="宋体" w:hAnsi="Times New Roman"/>
          <w:color w:val="000000"/>
          <w:sz w:val="16"/>
          <w:szCs w:val="16"/>
        </w:rPr>
        <w:t>Self-insurance consists of insurance-related liabilities, such as workers' compensation, general liability, auto liability, product liability and certain</w:t>
      </w:r>
      <w:r>
        <w:rPr>
          <w:rFonts w:ascii="Times New Roman" w:eastAsia="宋体" w:hAnsi="Times New Roman"/>
          <w:color w:val="000000"/>
          <w:sz w:val="16"/>
          <w:szCs w:val="16"/>
        </w:rPr>
        <w:t xml:space="preserve"> employee-related healthcare benefits.</w:t>
      </w:r>
    </w:p>
    <w:p w14:paraId="35D0B07C" w14:textId="77777777" w:rsidR="00D42204" w:rsidRDefault="004E439D">
      <w:pPr>
        <w:ind w:hanging="360"/>
      </w:pPr>
      <w:r>
        <w:rPr>
          <w:rFonts w:ascii="Times New Roman" w:eastAsia="宋体" w:hAnsi="Times New Roman"/>
          <w:color w:val="000000"/>
          <w:sz w:val="10"/>
          <w:szCs w:val="10"/>
        </w:rPr>
        <w:t>(3)</w:t>
      </w:r>
      <w:r>
        <w:rPr>
          <w:rFonts w:ascii="Times New Roman" w:eastAsia="宋体" w:hAnsi="Times New Roman"/>
          <w:color w:val="000000"/>
          <w:sz w:val="16"/>
          <w:szCs w:val="16"/>
        </w:rPr>
        <w:t>Accrued non-income taxes include accrued payroll, property, value-added, sales and miscellaneous other taxes.</w:t>
      </w:r>
    </w:p>
    <w:p w14:paraId="35D0B07D" w14:textId="77777777" w:rsidR="00D42204" w:rsidRDefault="004E439D">
      <w:pPr>
        <w:ind w:hanging="360"/>
      </w:pPr>
      <w:r>
        <w:rPr>
          <w:rFonts w:ascii="Times New Roman" w:eastAsia="宋体" w:hAnsi="Times New Roman"/>
          <w:color w:val="000000"/>
          <w:sz w:val="10"/>
          <w:szCs w:val="10"/>
        </w:rPr>
        <w:t>(4)</w:t>
      </w:r>
      <w:r>
        <w:rPr>
          <w:rFonts w:ascii="Times New Roman" w:eastAsia="宋体" w:hAnsi="Times New Roman"/>
          <w:color w:val="000000"/>
          <w:sz w:val="16"/>
          <w:szCs w:val="16"/>
        </w:rPr>
        <w:t xml:space="preserve">Liabilities held for sale as of January 31, 2021 relate to the Company's operations in Japan and the </w:t>
      </w:r>
      <w:r>
        <w:rPr>
          <w:rFonts w:ascii="Times New Roman" w:eastAsia="宋体" w:hAnsi="Times New Roman"/>
          <w:color w:val="000000"/>
          <w:sz w:val="16"/>
          <w:szCs w:val="16"/>
        </w:rPr>
        <w:t xml:space="preserve">U.K. classified as held for sale. See </w:t>
      </w:r>
      <w:hyperlink r:id="rId150" w:anchor="i1ba69ebb72ec48f9b754a5e96c4cdf3f_190" w:history="1">
        <w:r>
          <w:rPr>
            <w:rStyle w:val="a5"/>
            <w:rFonts w:ascii="Times New Roman" w:eastAsia="宋体" w:hAnsi="Times New Roman"/>
            <w:sz w:val="16"/>
            <w:szCs w:val="16"/>
          </w:rPr>
          <w:t>Note 12</w:t>
        </w:r>
      </w:hyperlink>
      <w:r>
        <w:rPr>
          <w:rFonts w:ascii="Times New Roman" w:eastAsia="宋体" w:hAnsi="Times New Roman"/>
          <w:color w:val="000000"/>
          <w:sz w:val="16"/>
          <w:szCs w:val="16"/>
        </w:rPr>
        <w:t>.</w:t>
      </w:r>
    </w:p>
    <w:p w14:paraId="35D0B07E" w14:textId="77777777" w:rsidR="00D42204" w:rsidRDefault="004E439D">
      <w:pPr>
        <w:ind w:hanging="360"/>
      </w:pPr>
      <w:r>
        <w:rPr>
          <w:rFonts w:ascii="Times New Roman" w:eastAsia="宋体" w:hAnsi="Times New Roman"/>
          <w:color w:val="000000"/>
          <w:sz w:val="10"/>
          <w:szCs w:val="10"/>
        </w:rPr>
        <w:t>(5)</w:t>
      </w:r>
      <w:r>
        <w:rPr>
          <w:rFonts w:ascii="Times New Roman" w:eastAsia="宋体" w:hAnsi="Times New Roman"/>
          <w:color w:val="000000"/>
          <w:sz w:val="16"/>
          <w:szCs w:val="16"/>
        </w:rPr>
        <w:t>Other accrued liabilities includes items such as def</w:t>
      </w:r>
      <w:r>
        <w:rPr>
          <w:rFonts w:ascii="Times New Roman" w:eastAsia="宋体" w:hAnsi="Times New Roman"/>
          <w:color w:val="000000"/>
          <w:sz w:val="16"/>
          <w:szCs w:val="16"/>
        </w:rPr>
        <w:t>erred membership revenue, interest, advertising, maintenance &amp; utilities, and supply chain.</w:t>
      </w:r>
    </w:p>
    <w:p w14:paraId="35D0B07F" w14:textId="77777777" w:rsidR="00D42204" w:rsidRDefault="004E439D">
      <w:pPr>
        <w:jc w:val="center"/>
      </w:pPr>
      <w:r>
        <w:rPr>
          <w:rFonts w:ascii="Times New Roman" w:eastAsia="宋体" w:hAnsi="Times New Roman"/>
          <w:color w:val="000000"/>
          <w:sz w:val="20"/>
          <w:szCs w:val="20"/>
        </w:rPr>
        <w:t>66</w:t>
      </w:r>
    </w:p>
    <w:p w14:paraId="35D0B080" w14:textId="77777777" w:rsidR="00D42204" w:rsidRDefault="004E439D">
      <w:r>
        <w:pict w14:anchorId="35D0C39D">
          <v:rect id="_x0000_i1090" style="width:415.3pt;height:1.5pt" o:hralign="center" o:hrstd="t" o:hr="t" fillcolor="#a0a0a0" stroked="f"/>
        </w:pict>
      </w:r>
    </w:p>
    <w:p w14:paraId="35D0B081" w14:textId="77777777" w:rsidR="00D42204" w:rsidRDefault="00D42204"/>
    <w:p w14:paraId="35D0B082" w14:textId="77777777" w:rsidR="00D42204" w:rsidRDefault="004E439D">
      <w:pPr>
        <w:spacing w:before="60"/>
      </w:pPr>
      <w:r>
        <w:rPr>
          <w:rFonts w:ascii="Times New Roman" w:eastAsia="宋体" w:hAnsi="Times New Roman"/>
          <w:b/>
          <w:bCs/>
          <w:color w:val="000000"/>
          <w:sz w:val="20"/>
          <w:szCs w:val="20"/>
        </w:rPr>
        <w:t>Note 6. Short-term Borrowings and Long-term Debt</w:t>
      </w:r>
    </w:p>
    <w:p w14:paraId="35D0B083" w14:textId="77777777" w:rsidR="00D42204" w:rsidRDefault="004E439D">
      <w:pPr>
        <w:spacing w:before="100"/>
      </w:pPr>
      <w:r>
        <w:rPr>
          <w:rFonts w:ascii="Times New Roman" w:eastAsia="宋体" w:hAnsi="Times New Roman"/>
          <w:color w:val="000000"/>
          <w:sz w:val="20"/>
          <w:szCs w:val="20"/>
        </w:rPr>
        <w:t xml:space="preserve">Short-term borrowings consist of commercial paper and lines of credit. Short-term borrowings as of January 31, 2022 and 2021 were $0.4 billion and $0.2 billion, respectively, with weighted-average interest rates of 2.9% and 1.9%, respectively. </w:t>
      </w:r>
    </w:p>
    <w:p w14:paraId="35D0B084" w14:textId="77777777" w:rsidR="00D42204" w:rsidRDefault="004E439D">
      <w:pPr>
        <w:spacing w:before="100"/>
      </w:pPr>
      <w:r>
        <w:rPr>
          <w:rFonts w:ascii="Times New Roman" w:eastAsia="宋体" w:hAnsi="Times New Roman"/>
          <w:color w:val="000000"/>
          <w:sz w:val="20"/>
          <w:szCs w:val="20"/>
        </w:rPr>
        <w:t>The Company</w:t>
      </w:r>
      <w:r>
        <w:rPr>
          <w:rFonts w:ascii="Times New Roman" w:eastAsia="宋体" w:hAnsi="Times New Roman"/>
          <w:color w:val="000000"/>
          <w:sz w:val="20"/>
          <w:szCs w:val="20"/>
        </w:rPr>
        <w:t xml:space="preserve"> has various committed lines of credit in the U.S. to support its commercial paper program and are summarized in the following table: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477"/>
        <w:gridCol w:w="36"/>
        <w:gridCol w:w="36"/>
        <w:gridCol w:w="36"/>
        <w:gridCol w:w="36"/>
        <w:gridCol w:w="101"/>
        <w:gridCol w:w="602"/>
        <w:gridCol w:w="36"/>
        <w:gridCol w:w="36"/>
        <w:gridCol w:w="36"/>
        <w:gridCol w:w="36"/>
        <w:gridCol w:w="101"/>
        <w:gridCol w:w="463"/>
        <w:gridCol w:w="36"/>
        <w:gridCol w:w="36"/>
        <w:gridCol w:w="36"/>
        <w:gridCol w:w="36"/>
        <w:gridCol w:w="101"/>
        <w:gridCol w:w="601"/>
        <w:gridCol w:w="36"/>
        <w:gridCol w:w="36"/>
        <w:gridCol w:w="36"/>
        <w:gridCol w:w="36"/>
        <w:gridCol w:w="101"/>
        <w:gridCol w:w="602"/>
        <w:gridCol w:w="36"/>
        <w:gridCol w:w="36"/>
        <w:gridCol w:w="36"/>
        <w:gridCol w:w="36"/>
        <w:gridCol w:w="101"/>
        <w:gridCol w:w="447"/>
        <w:gridCol w:w="36"/>
        <w:gridCol w:w="36"/>
        <w:gridCol w:w="36"/>
        <w:gridCol w:w="36"/>
        <w:gridCol w:w="101"/>
        <w:gridCol w:w="601"/>
        <w:gridCol w:w="36"/>
      </w:tblGrid>
      <w:tr w:rsidR="00D42204" w14:paraId="35D0B0AC" w14:textId="77777777">
        <w:trPr>
          <w:jc w:val="center"/>
        </w:trPr>
        <w:tc>
          <w:tcPr>
            <w:tcW w:w="50" w:type="pct"/>
            <w:shd w:val="clear" w:color="auto" w:fill="auto"/>
            <w:vAlign w:val="bottom"/>
          </w:tcPr>
          <w:p w14:paraId="35D0B085" w14:textId="77777777" w:rsidR="00D42204" w:rsidRDefault="00D42204">
            <w:pPr>
              <w:rPr>
                <w:rFonts w:ascii="宋体"/>
              </w:rPr>
            </w:pPr>
          </w:p>
        </w:tc>
        <w:tc>
          <w:tcPr>
            <w:tcW w:w="2137" w:type="pct"/>
            <w:shd w:val="clear" w:color="auto" w:fill="auto"/>
            <w:vAlign w:val="bottom"/>
          </w:tcPr>
          <w:p w14:paraId="35D0B086" w14:textId="77777777" w:rsidR="00D42204" w:rsidRDefault="00D42204">
            <w:pPr>
              <w:rPr>
                <w:rFonts w:ascii="宋体"/>
              </w:rPr>
            </w:pPr>
          </w:p>
        </w:tc>
        <w:tc>
          <w:tcPr>
            <w:tcW w:w="5" w:type="pct"/>
            <w:shd w:val="clear" w:color="auto" w:fill="auto"/>
            <w:vAlign w:val="bottom"/>
          </w:tcPr>
          <w:p w14:paraId="35D0B087" w14:textId="77777777" w:rsidR="00D42204" w:rsidRDefault="00D42204">
            <w:pPr>
              <w:rPr>
                <w:rFonts w:ascii="宋体"/>
              </w:rPr>
            </w:pPr>
          </w:p>
        </w:tc>
        <w:tc>
          <w:tcPr>
            <w:tcW w:w="5" w:type="pct"/>
            <w:shd w:val="clear" w:color="auto" w:fill="auto"/>
            <w:vAlign w:val="bottom"/>
          </w:tcPr>
          <w:p w14:paraId="35D0B088" w14:textId="77777777" w:rsidR="00D42204" w:rsidRDefault="00D42204">
            <w:pPr>
              <w:rPr>
                <w:rFonts w:ascii="宋体"/>
              </w:rPr>
            </w:pPr>
          </w:p>
        </w:tc>
        <w:tc>
          <w:tcPr>
            <w:tcW w:w="26" w:type="pct"/>
            <w:shd w:val="clear" w:color="auto" w:fill="auto"/>
            <w:vAlign w:val="bottom"/>
          </w:tcPr>
          <w:p w14:paraId="35D0B089" w14:textId="77777777" w:rsidR="00D42204" w:rsidRDefault="00D42204">
            <w:pPr>
              <w:rPr>
                <w:rFonts w:ascii="宋体"/>
              </w:rPr>
            </w:pPr>
          </w:p>
        </w:tc>
        <w:tc>
          <w:tcPr>
            <w:tcW w:w="5" w:type="pct"/>
            <w:shd w:val="clear" w:color="auto" w:fill="auto"/>
            <w:vAlign w:val="bottom"/>
          </w:tcPr>
          <w:p w14:paraId="35D0B08A" w14:textId="77777777" w:rsidR="00D42204" w:rsidRDefault="00D42204">
            <w:pPr>
              <w:rPr>
                <w:rFonts w:ascii="宋体"/>
              </w:rPr>
            </w:pPr>
          </w:p>
        </w:tc>
        <w:tc>
          <w:tcPr>
            <w:tcW w:w="50" w:type="pct"/>
            <w:shd w:val="clear" w:color="auto" w:fill="auto"/>
            <w:vAlign w:val="bottom"/>
          </w:tcPr>
          <w:p w14:paraId="35D0B08B" w14:textId="77777777" w:rsidR="00D42204" w:rsidRDefault="00D42204">
            <w:pPr>
              <w:rPr>
                <w:rFonts w:ascii="宋体"/>
              </w:rPr>
            </w:pPr>
          </w:p>
        </w:tc>
        <w:tc>
          <w:tcPr>
            <w:tcW w:w="376" w:type="pct"/>
            <w:shd w:val="clear" w:color="auto" w:fill="auto"/>
            <w:vAlign w:val="bottom"/>
          </w:tcPr>
          <w:p w14:paraId="35D0B08C" w14:textId="77777777" w:rsidR="00D42204" w:rsidRDefault="00D42204">
            <w:pPr>
              <w:rPr>
                <w:rFonts w:ascii="宋体"/>
              </w:rPr>
            </w:pPr>
          </w:p>
        </w:tc>
        <w:tc>
          <w:tcPr>
            <w:tcW w:w="5" w:type="pct"/>
            <w:shd w:val="clear" w:color="auto" w:fill="auto"/>
            <w:vAlign w:val="bottom"/>
          </w:tcPr>
          <w:p w14:paraId="35D0B08D" w14:textId="77777777" w:rsidR="00D42204" w:rsidRDefault="00D42204">
            <w:pPr>
              <w:rPr>
                <w:rFonts w:ascii="宋体"/>
              </w:rPr>
            </w:pPr>
          </w:p>
        </w:tc>
        <w:tc>
          <w:tcPr>
            <w:tcW w:w="5" w:type="pct"/>
            <w:shd w:val="clear" w:color="auto" w:fill="auto"/>
            <w:vAlign w:val="bottom"/>
          </w:tcPr>
          <w:p w14:paraId="35D0B08E" w14:textId="77777777" w:rsidR="00D42204" w:rsidRDefault="00D42204">
            <w:pPr>
              <w:rPr>
                <w:rFonts w:ascii="宋体"/>
              </w:rPr>
            </w:pPr>
          </w:p>
        </w:tc>
        <w:tc>
          <w:tcPr>
            <w:tcW w:w="26" w:type="pct"/>
            <w:shd w:val="clear" w:color="auto" w:fill="auto"/>
            <w:vAlign w:val="bottom"/>
          </w:tcPr>
          <w:p w14:paraId="35D0B08F" w14:textId="77777777" w:rsidR="00D42204" w:rsidRDefault="00D42204">
            <w:pPr>
              <w:rPr>
                <w:rFonts w:ascii="宋体"/>
              </w:rPr>
            </w:pPr>
          </w:p>
        </w:tc>
        <w:tc>
          <w:tcPr>
            <w:tcW w:w="5" w:type="pct"/>
            <w:shd w:val="clear" w:color="auto" w:fill="auto"/>
            <w:vAlign w:val="bottom"/>
          </w:tcPr>
          <w:p w14:paraId="35D0B090" w14:textId="77777777" w:rsidR="00D42204" w:rsidRDefault="00D42204">
            <w:pPr>
              <w:rPr>
                <w:rFonts w:ascii="宋体"/>
              </w:rPr>
            </w:pPr>
          </w:p>
        </w:tc>
        <w:tc>
          <w:tcPr>
            <w:tcW w:w="50" w:type="pct"/>
            <w:shd w:val="clear" w:color="auto" w:fill="auto"/>
            <w:vAlign w:val="bottom"/>
          </w:tcPr>
          <w:p w14:paraId="35D0B091" w14:textId="77777777" w:rsidR="00D42204" w:rsidRDefault="00D42204">
            <w:pPr>
              <w:rPr>
                <w:rFonts w:ascii="宋体"/>
              </w:rPr>
            </w:pPr>
          </w:p>
        </w:tc>
        <w:tc>
          <w:tcPr>
            <w:tcW w:w="376" w:type="pct"/>
            <w:shd w:val="clear" w:color="auto" w:fill="auto"/>
            <w:vAlign w:val="bottom"/>
          </w:tcPr>
          <w:p w14:paraId="35D0B092" w14:textId="77777777" w:rsidR="00D42204" w:rsidRDefault="00D42204">
            <w:pPr>
              <w:rPr>
                <w:rFonts w:ascii="宋体"/>
              </w:rPr>
            </w:pPr>
          </w:p>
        </w:tc>
        <w:tc>
          <w:tcPr>
            <w:tcW w:w="5" w:type="pct"/>
            <w:shd w:val="clear" w:color="auto" w:fill="auto"/>
            <w:vAlign w:val="bottom"/>
          </w:tcPr>
          <w:p w14:paraId="35D0B093" w14:textId="77777777" w:rsidR="00D42204" w:rsidRDefault="00D42204">
            <w:pPr>
              <w:rPr>
                <w:rFonts w:ascii="宋体"/>
              </w:rPr>
            </w:pPr>
          </w:p>
        </w:tc>
        <w:tc>
          <w:tcPr>
            <w:tcW w:w="5" w:type="pct"/>
            <w:shd w:val="clear" w:color="auto" w:fill="auto"/>
            <w:vAlign w:val="bottom"/>
          </w:tcPr>
          <w:p w14:paraId="35D0B094" w14:textId="77777777" w:rsidR="00D42204" w:rsidRDefault="00D42204">
            <w:pPr>
              <w:rPr>
                <w:rFonts w:ascii="宋体"/>
              </w:rPr>
            </w:pPr>
          </w:p>
        </w:tc>
        <w:tc>
          <w:tcPr>
            <w:tcW w:w="26" w:type="pct"/>
            <w:shd w:val="clear" w:color="auto" w:fill="auto"/>
            <w:vAlign w:val="bottom"/>
          </w:tcPr>
          <w:p w14:paraId="35D0B095" w14:textId="77777777" w:rsidR="00D42204" w:rsidRDefault="00D42204">
            <w:pPr>
              <w:rPr>
                <w:rFonts w:ascii="宋体"/>
              </w:rPr>
            </w:pPr>
          </w:p>
        </w:tc>
        <w:tc>
          <w:tcPr>
            <w:tcW w:w="5" w:type="pct"/>
            <w:shd w:val="clear" w:color="auto" w:fill="auto"/>
            <w:vAlign w:val="bottom"/>
          </w:tcPr>
          <w:p w14:paraId="35D0B096" w14:textId="77777777" w:rsidR="00D42204" w:rsidRDefault="00D42204">
            <w:pPr>
              <w:rPr>
                <w:rFonts w:ascii="宋体"/>
              </w:rPr>
            </w:pPr>
          </w:p>
        </w:tc>
        <w:tc>
          <w:tcPr>
            <w:tcW w:w="50" w:type="pct"/>
            <w:shd w:val="clear" w:color="auto" w:fill="auto"/>
            <w:vAlign w:val="bottom"/>
          </w:tcPr>
          <w:p w14:paraId="35D0B097" w14:textId="77777777" w:rsidR="00D42204" w:rsidRDefault="00D42204">
            <w:pPr>
              <w:rPr>
                <w:rFonts w:ascii="宋体"/>
              </w:rPr>
            </w:pPr>
          </w:p>
        </w:tc>
        <w:tc>
          <w:tcPr>
            <w:tcW w:w="376" w:type="pct"/>
            <w:shd w:val="clear" w:color="auto" w:fill="auto"/>
            <w:vAlign w:val="bottom"/>
          </w:tcPr>
          <w:p w14:paraId="35D0B098" w14:textId="77777777" w:rsidR="00D42204" w:rsidRDefault="00D42204">
            <w:pPr>
              <w:rPr>
                <w:rFonts w:ascii="宋体"/>
              </w:rPr>
            </w:pPr>
          </w:p>
        </w:tc>
        <w:tc>
          <w:tcPr>
            <w:tcW w:w="5" w:type="pct"/>
            <w:shd w:val="clear" w:color="auto" w:fill="auto"/>
            <w:vAlign w:val="bottom"/>
          </w:tcPr>
          <w:p w14:paraId="35D0B099" w14:textId="77777777" w:rsidR="00D42204" w:rsidRDefault="00D42204">
            <w:pPr>
              <w:rPr>
                <w:rFonts w:ascii="宋体"/>
              </w:rPr>
            </w:pPr>
          </w:p>
        </w:tc>
        <w:tc>
          <w:tcPr>
            <w:tcW w:w="5" w:type="pct"/>
            <w:shd w:val="clear" w:color="auto" w:fill="auto"/>
            <w:vAlign w:val="bottom"/>
          </w:tcPr>
          <w:p w14:paraId="35D0B09A" w14:textId="77777777" w:rsidR="00D42204" w:rsidRDefault="00D42204">
            <w:pPr>
              <w:rPr>
                <w:rFonts w:ascii="宋体"/>
              </w:rPr>
            </w:pPr>
          </w:p>
        </w:tc>
        <w:tc>
          <w:tcPr>
            <w:tcW w:w="26" w:type="pct"/>
            <w:shd w:val="clear" w:color="auto" w:fill="auto"/>
            <w:vAlign w:val="bottom"/>
          </w:tcPr>
          <w:p w14:paraId="35D0B09B" w14:textId="77777777" w:rsidR="00D42204" w:rsidRDefault="00D42204">
            <w:pPr>
              <w:rPr>
                <w:rFonts w:ascii="宋体"/>
              </w:rPr>
            </w:pPr>
          </w:p>
        </w:tc>
        <w:tc>
          <w:tcPr>
            <w:tcW w:w="5" w:type="pct"/>
            <w:shd w:val="clear" w:color="auto" w:fill="auto"/>
            <w:vAlign w:val="bottom"/>
          </w:tcPr>
          <w:p w14:paraId="35D0B09C" w14:textId="77777777" w:rsidR="00D42204" w:rsidRDefault="00D42204">
            <w:pPr>
              <w:rPr>
                <w:rFonts w:ascii="宋体"/>
              </w:rPr>
            </w:pPr>
          </w:p>
        </w:tc>
        <w:tc>
          <w:tcPr>
            <w:tcW w:w="50" w:type="pct"/>
            <w:shd w:val="clear" w:color="auto" w:fill="auto"/>
            <w:vAlign w:val="bottom"/>
          </w:tcPr>
          <w:p w14:paraId="35D0B09D" w14:textId="77777777" w:rsidR="00D42204" w:rsidRDefault="00D42204">
            <w:pPr>
              <w:rPr>
                <w:rFonts w:ascii="宋体"/>
              </w:rPr>
            </w:pPr>
          </w:p>
        </w:tc>
        <w:tc>
          <w:tcPr>
            <w:tcW w:w="376" w:type="pct"/>
            <w:shd w:val="clear" w:color="auto" w:fill="auto"/>
            <w:vAlign w:val="bottom"/>
          </w:tcPr>
          <w:p w14:paraId="35D0B09E" w14:textId="77777777" w:rsidR="00D42204" w:rsidRDefault="00D42204">
            <w:pPr>
              <w:rPr>
                <w:rFonts w:ascii="宋体"/>
              </w:rPr>
            </w:pPr>
          </w:p>
        </w:tc>
        <w:tc>
          <w:tcPr>
            <w:tcW w:w="5" w:type="pct"/>
            <w:shd w:val="clear" w:color="auto" w:fill="auto"/>
            <w:vAlign w:val="bottom"/>
          </w:tcPr>
          <w:p w14:paraId="35D0B09F" w14:textId="77777777" w:rsidR="00D42204" w:rsidRDefault="00D42204">
            <w:pPr>
              <w:rPr>
                <w:rFonts w:ascii="宋体"/>
              </w:rPr>
            </w:pPr>
          </w:p>
        </w:tc>
        <w:tc>
          <w:tcPr>
            <w:tcW w:w="5" w:type="pct"/>
            <w:shd w:val="clear" w:color="auto" w:fill="auto"/>
            <w:vAlign w:val="bottom"/>
          </w:tcPr>
          <w:p w14:paraId="35D0B0A0" w14:textId="77777777" w:rsidR="00D42204" w:rsidRDefault="00D42204">
            <w:pPr>
              <w:rPr>
                <w:rFonts w:ascii="宋体"/>
              </w:rPr>
            </w:pPr>
          </w:p>
        </w:tc>
        <w:tc>
          <w:tcPr>
            <w:tcW w:w="26" w:type="pct"/>
            <w:shd w:val="clear" w:color="auto" w:fill="auto"/>
            <w:vAlign w:val="bottom"/>
          </w:tcPr>
          <w:p w14:paraId="35D0B0A1" w14:textId="77777777" w:rsidR="00D42204" w:rsidRDefault="00D42204">
            <w:pPr>
              <w:rPr>
                <w:rFonts w:ascii="宋体"/>
              </w:rPr>
            </w:pPr>
          </w:p>
        </w:tc>
        <w:tc>
          <w:tcPr>
            <w:tcW w:w="5" w:type="pct"/>
            <w:shd w:val="clear" w:color="auto" w:fill="auto"/>
            <w:vAlign w:val="bottom"/>
          </w:tcPr>
          <w:p w14:paraId="35D0B0A2" w14:textId="77777777" w:rsidR="00D42204" w:rsidRDefault="00D42204">
            <w:pPr>
              <w:rPr>
                <w:rFonts w:ascii="宋体"/>
              </w:rPr>
            </w:pPr>
          </w:p>
        </w:tc>
        <w:tc>
          <w:tcPr>
            <w:tcW w:w="50" w:type="pct"/>
            <w:shd w:val="clear" w:color="auto" w:fill="auto"/>
            <w:vAlign w:val="bottom"/>
          </w:tcPr>
          <w:p w14:paraId="35D0B0A3" w14:textId="77777777" w:rsidR="00D42204" w:rsidRDefault="00D42204">
            <w:pPr>
              <w:rPr>
                <w:rFonts w:ascii="宋体"/>
              </w:rPr>
            </w:pPr>
          </w:p>
        </w:tc>
        <w:tc>
          <w:tcPr>
            <w:tcW w:w="376" w:type="pct"/>
            <w:shd w:val="clear" w:color="auto" w:fill="auto"/>
            <w:vAlign w:val="bottom"/>
          </w:tcPr>
          <w:p w14:paraId="35D0B0A4" w14:textId="77777777" w:rsidR="00D42204" w:rsidRDefault="00D42204">
            <w:pPr>
              <w:rPr>
                <w:rFonts w:ascii="宋体"/>
              </w:rPr>
            </w:pPr>
          </w:p>
        </w:tc>
        <w:tc>
          <w:tcPr>
            <w:tcW w:w="5" w:type="pct"/>
            <w:shd w:val="clear" w:color="auto" w:fill="auto"/>
            <w:vAlign w:val="bottom"/>
          </w:tcPr>
          <w:p w14:paraId="35D0B0A5" w14:textId="77777777" w:rsidR="00D42204" w:rsidRDefault="00D42204">
            <w:pPr>
              <w:rPr>
                <w:rFonts w:ascii="宋体"/>
              </w:rPr>
            </w:pPr>
          </w:p>
        </w:tc>
        <w:tc>
          <w:tcPr>
            <w:tcW w:w="5" w:type="pct"/>
            <w:shd w:val="clear" w:color="auto" w:fill="auto"/>
            <w:vAlign w:val="bottom"/>
          </w:tcPr>
          <w:p w14:paraId="35D0B0A6" w14:textId="77777777" w:rsidR="00D42204" w:rsidRDefault="00D42204">
            <w:pPr>
              <w:rPr>
                <w:rFonts w:ascii="宋体"/>
              </w:rPr>
            </w:pPr>
          </w:p>
        </w:tc>
        <w:tc>
          <w:tcPr>
            <w:tcW w:w="26" w:type="pct"/>
            <w:shd w:val="clear" w:color="auto" w:fill="auto"/>
            <w:vAlign w:val="bottom"/>
          </w:tcPr>
          <w:p w14:paraId="35D0B0A7" w14:textId="77777777" w:rsidR="00D42204" w:rsidRDefault="00D42204">
            <w:pPr>
              <w:rPr>
                <w:rFonts w:ascii="宋体"/>
              </w:rPr>
            </w:pPr>
          </w:p>
        </w:tc>
        <w:tc>
          <w:tcPr>
            <w:tcW w:w="5" w:type="pct"/>
            <w:shd w:val="clear" w:color="auto" w:fill="auto"/>
            <w:vAlign w:val="bottom"/>
          </w:tcPr>
          <w:p w14:paraId="35D0B0A8" w14:textId="77777777" w:rsidR="00D42204" w:rsidRDefault="00D42204">
            <w:pPr>
              <w:rPr>
                <w:rFonts w:ascii="宋体"/>
              </w:rPr>
            </w:pPr>
          </w:p>
        </w:tc>
        <w:tc>
          <w:tcPr>
            <w:tcW w:w="50" w:type="pct"/>
            <w:shd w:val="clear" w:color="auto" w:fill="auto"/>
            <w:vAlign w:val="bottom"/>
          </w:tcPr>
          <w:p w14:paraId="35D0B0A9" w14:textId="77777777" w:rsidR="00D42204" w:rsidRDefault="00D42204">
            <w:pPr>
              <w:rPr>
                <w:rFonts w:ascii="宋体"/>
              </w:rPr>
            </w:pPr>
          </w:p>
        </w:tc>
        <w:tc>
          <w:tcPr>
            <w:tcW w:w="376" w:type="pct"/>
            <w:shd w:val="clear" w:color="auto" w:fill="auto"/>
            <w:vAlign w:val="bottom"/>
          </w:tcPr>
          <w:p w14:paraId="35D0B0AA" w14:textId="77777777" w:rsidR="00D42204" w:rsidRDefault="00D42204">
            <w:pPr>
              <w:rPr>
                <w:rFonts w:ascii="宋体"/>
              </w:rPr>
            </w:pPr>
          </w:p>
        </w:tc>
        <w:tc>
          <w:tcPr>
            <w:tcW w:w="5" w:type="pct"/>
            <w:shd w:val="clear" w:color="auto" w:fill="auto"/>
            <w:vAlign w:val="bottom"/>
          </w:tcPr>
          <w:p w14:paraId="35D0B0AB" w14:textId="77777777" w:rsidR="00D42204" w:rsidRDefault="00D42204">
            <w:pPr>
              <w:rPr>
                <w:rFonts w:ascii="宋体"/>
              </w:rPr>
            </w:pPr>
          </w:p>
        </w:tc>
      </w:tr>
      <w:tr w:rsidR="00D42204" w14:paraId="35D0B0B2" w14:textId="77777777">
        <w:trPr>
          <w:jc w:val="center"/>
        </w:trPr>
        <w:tc>
          <w:tcPr>
            <w:tcW w:w="0" w:type="auto"/>
            <w:gridSpan w:val="3"/>
            <w:shd w:val="clear" w:color="auto" w:fill="auto"/>
            <w:tcMar>
              <w:top w:w="0" w:type="dxa"/>
              <w:left w:w="20" w:type="dxa"/>
              <w:bottom w:w="0" w:type="dxa"/>
              <w:right w:w="20" w:type="dxa"/>
            </w:tcMar>
            <w:vAlign w:val="bottom"/>
          </w:tcPr>
          <w:p w14:paraId="35D0B0A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0AE"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B0AF" w14:textId="77777777" w:rsidR="00D42204" w:rsidRDefault="004E439D">
            <w:pPr>
              <w:jc w:val="center"/>
              <w:textAlignment w:val="bottom"/>
            </w:pPr>
            <w:r>
              <w:rPr>
                <w:rFonts w:ascii="Times New Roman" w:eastAsia="宋体" w:hAnsi="Times New Roman"/>
                <w:b/>
                <w:bCs/>
                <w:color w:val="000000"/>
                <w:sz w:val="16"/>
                <w:szCs w:val="16"/>
              </w:rPr>
              <w:t>January 31, 2022</w:t>
            </w:r>
          </w:p>
        </w:tc>
        <w:tc>
          <w:tcPr>
            <w:tcW w:w="0" w:type="auto"/>
            <w:gridSpan w:val="3"/>
            <w:shd w:val="clear" w:color="auto" w:fill="auto"/>
            <w:tcMar>
              <w:top w:w="0" w:type="dxa"/>
              <w:left w:w="20" w:type="dxa"/>
              <w:bottom w:w="0" w:type="dxa"/>
              <w:right w:w="20" w:type="dxa"/>
            </w:tcMar>
            <w:vAlign w:val="bottom"/>
          </w:tcPr>
          <w:p w14:paraId="35D0B0B0"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B0B1" w14:textId="77777777" w:rsidR="00D42204" w:rsidRDefault="004E439D">
            <w:pPr>
              <w:jc w:val="center"/>
              <w:textAlignment w:val="bottom"/>
            </w:pPr>
            <w:r>
              <w:rPr>
                <w:rFonts w:ascii="Times New Roman" w:eastAsia="宋体" w:hAnsi="Times New Roman"/>
                <w:b/>
                <w:bCs/>
                <w:color w:val="000000"/>
                <w:sz w:val="16"/>
                <w:szCs w:val="16"/>
              </w:rPr>
              <w:t>January 31, 2021</w:t>
            </w:r>
          </w:p>
        </w:tc>
      </w:tr>
      <w:tr w:rsidR="00D42204" w14:paraId="35D0B0C0" w14:textId="77777777">
        <w:trPr>
          <w:jc w:val="center"/>
        </w:trPr>
        <w:tc>
          <w:tcPr>
            <w:tcW w:w="0" w:type="auto"/>
            <w:gridSpan w:val="3"/>
            <w:shd w:val="clear" w:color="auto" w:fill="auto"/>
            <w:tcMar>
              <w:top w:w="40" w:type="dxa"/>
              <w:left w:w="20" w:type="dxa"/>
              <w:bottom w:w="40" w:type="dxa"/>
              <w:right w:w="20" w:type="dxa"/>
            </w:tcMar>
            <w:vAlign w:val="bottom"/>
          </w:tcPr>
          <w:p w14:paraId="35D0B0B3"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0B4"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0B5" w14:textId="77777777" w:rsidR="00D42204" w:rsidRDefault="004E439D">
            <w:pPr>
              <w:jc w:val="center"/>
              <w:textAlignment w:val="bottom"/>
            </w:pPr>
            <w:r>
              <w:rPr>
                <w:rFonts w:ascii="Times New Roman" w:eastAsia="宋体" w:hAnsi="Times New Roman"/>
                <w:b/>
                <w:bCs/>
                <w:color w:val="000000"/>
                <w:sz w:val="16"/>
                <w:szCs w:val="16"/>
              </w:rPr>
              <w:t>Available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0B6"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0B7" w14:textId="77777777" w:rsidR="00D42204" w:rsidRDefault="004E439D">
            <w:pPr>
              <w:jc w:val="center"/>
              <w:textAlignment w:val="bottom"/>
            </w:pPr>
            <w:r>
              <w:rPr>
                <w:rFonts w:ascii="Times New Roman" w:eastAsia="宋体" w:hAnsi="Times New Roman"/>
                <w:b/>
                <w:bCs/>
                <w:color w:val="000000"/>
                <w:sz w:val="16"/>
                <w:szCs w:val="16"/>
              </w:rPr>
              <w:t>Drawn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0B8"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0B9" w14:textId="77777777" w:rsidR="00D42204" w:rsidRDefault="004E439D">
            <w:pPr>
              <w:jc w:val="center"/>
              <w:textAlignment w:val="bottom"/>
            </w:pPr>
            <w:r>
              <w:rPr>
                <w:rFonts w:ascii="Times New Roman" w:eastAsia="宋体" w:hAnsi="Times New Roman"/>
                <w:b/>
                <w:bCs/>
                <w:color w:val="000000"/>
                <w:sz w:val="16"/>
                <w:szCs w:val="16"/>
              </w:rPr>
              <w:t>Undrawn</w:t>
            </w:r>
          </w:p>
        </w:tc>
        <w:tc>
          <w:tcPr>
            <w:tcW w:w="0" w:type="auto"/>
            <w:gridSpan w:val="3"/>
            <w:shd w:val="clear" w:color="auto" w:fill="auto"/>
            <w:tcMar>
              <w:top w:w="0" w:type="dxa"/>
              <w:left w:w="20" w:type="dxa"/>
              <w:bottom w:w="0" w:type="dxa"/>
              <w:right w:w="20" w:type="dxa"/>
            </w:tcMar>
            <w:vAlign w:val="bottom"/>
          </w:tcPr>
          <w:p w14:paraId="35D0B0BA"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0BB" w14:textId="77777777" w:rsidR="00D42204" w:rsidRDefault="004E439D">
            <w:pPr>
              <w:jc w:val="center"/>
              <w:textAlignment w:val="bottom"/>
            </w:pPr>
            <w:r>
              <w:rPr>
                <w:rFonts w:ascii="Times New Roman" w:eastAsia="宋体" w:hAnsi="Times New Roman"/>
                <w:b/>
                <w:bCs/>
                <w:color w:val="000000"/>
                <w:sz w:val="16"/>
                <w:szCs w:val="16"/>
              </w:rPr>
              <w:t>Available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0BC"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0BD" w14:textId="77777777" w:rsidR="00D42204" w:rsidRDefault="004E439D">
            <w:pPr>
              <w:jc w:val="center"/>
              <w:textAlignment w:val="bottom"/>
            </w:pPr>
            <w:r>
              <w:rPr>
                <w:rFonts w:ascii="Times New Roman" w:eastAsia="宋体" w:hAnsi="Times New Roman"/>
                <w:b/>
                <w:bCs/>
                <w:color w:val="000000"/>
                <w:sz w:val="16"/>
                <w:szCs w:val="16"/>
              </w:rPr>
              <w:t>Drawn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0BE"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0BF" w14:textId="77777777" w:rsidR="00D42204" w:rsidRDefault="004E439D">
            <w:pPr>
              <w:jc w:val="center"/>
              <w:textAlignment w:val="bottom"/>
            </w:pPr>
            <w:r>
              <w:rPr>
                <w:rFonts w:ascii="Times New Roman" w:eastAsia="宋体" w:hAnsi="Times New Roman"/>
                <w:b/>
                <w:bCs/>
                <w:color w:val="000000"/>
                <w:sz w:val="16"/>
                <w:szCs w:val="16"/>
              </w:rPr>
              <w:t>Undrawn</w:t>
            </w:r>
          </w:p>
        </w:tc>
      </w:tr>
      <w:tr w:rsidR="00D42204" w14:paraId="35D0B0DA" w14:textId="77777777">
        <w:trPr>
          <w:jc w:val="center"/>
        </w:trPr>
        <w:tc>
          <w:tcPr>
            <w:tcW w:w="0" w:type="auto"/>
            <w:gridSpan w:val="3"/>
            <w:shd w:val="clear" w:color="auto" w:fill="CCEEFF"/>
            <w:tcMar>
              <w:top w:w="40" w:type="dxa"/>
              <w:left w:w="20" w:type="dxa"/>
              <w:bottom w:w="40" w:type="dxa"/>
              <w:right w:w="20" w:type="dxa"/>
            </w:tcMar>
            <w:vAlign w:val="center"/>
          </w:tcPr>
          <w:p w14:paraId="35D0B0C1" w14:textId="77777777" w:rsidR="00D42204" w:rsidRDefault="004E439D">
            <w:pPr>
              <w:textAlignment w:val="center"/>
            </w:pPr>
            <w:r>
              <w:rPr>
                <w:rFonts w:ascii="Times New Roman" w:eastAsia="宋体" w:hAnsi="Times New Roman"/>
                <w:color w:val="000000"/>
                <w:sz w:val="16"/>
                <w:szCs w:val="16"/>
              </w:rPr>
              <w:t>Five-year credit facility</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35D0B0C2"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0C3"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0C4" w14:textId="77777777" w:rsidR="00D42204" w:rsidRDefault="004E439D">
            <w:pPr>
              <w:jc w:val="right"/>
              <w:textAlignment w:val="center"/>
            </w:pPr>
            <w:r>
              <w:rPr>
                <w:rFonts w:ascii="Times New Roman" w:eastAsia="宋体" w:hAnsi="Times New Roman"/>
                <w:color w:val="000000"/>
                <w:sz w:val="16"/>
                <w:szCs w:val="16"/>
              </w:rPr>
              <w:t>5,000 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0C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0C6"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0C7"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0C8" w14:textId="77777777" w:rsidR="00D42204" w:rsidRDefault="004E439D">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0C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0CA"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0C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0CC" w14:textId="77777777" w:rsidR="00D42204" w:rsidRDefault="004E439D">
            <w:pPr>
              <w:jc w:val="right"/>
              <w:textAlignment w:val="center"/>
            </w:pPr>
            <w:r>
              <w:rPr>
                <w:rFonts w:ascii="Times New Roman" w:eastAsia="宋体" w:hAnsi="Times New Roman"/>
                <w:color w:val="000000"/>
                <w:sz w:val="16"/>
                <w:szCs w:val="16"/>
              </w:rPr>
              <w:t>5,000 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0C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0CE"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0CF"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0D0" w14:textId="77777777" w:rsidR="00D42204" w:rsidRDefault="004E439D">
            <w:pPr>
              <w:jc w:val="right"/>
              <w:textAlignment w:val="center"/>
            </w:pPr>
            <w:r>
              <w:rPr>
                <w:rFonts w:ascii="Times New Roman" w:eastAsia="宋体" w:hAnsi="Times New Roman"/>
                <w:color w:val="000000"/>
                <w:sz w:val="16"/>
                <w:szCs w:val="16"/>
              </w:rPr>
              <w:t>5,000 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0D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0D2"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0D3"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0D4" w14:textId="77777777" w:rsidR="00D42204" w:rsidRDefault="004E439D">
            <w:pPr>
              <w:jc w:val="right"/>
              <w:textAlignment w:val="center"/>
            </w:pPr>
            <w:r>
              <w:rPr>
                <w:rFonts w:ascii="Times New Roman" w:eastAsia="宋体" w:hAnsi="Times New Roman"/>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0D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0D6"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0D7"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0D8" w14:textId="77777777" w:rsidR="00D42204" w:rsidRDefault="004E439D">
            <w:pPr>
              <w:jc w:val="right"/>
              <w:textAlignment w:val="center"/>
            </w:pPr>
            <w:r>
              <w:rPr>
                <w:rFonts w:ascii="Times New Roman" w:eastAsia="宋体" w:hAnsi="Times New Roman"/>
                <w:color w:val="000000"/>
                <w:sz w:val="16"/>
                <w:szCs w:val="16"/>
              </w:rPr>
              <w:t>5,000 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0D9" w14:textId="77777777" w:rsidR="00D42204" w:rsidRDefault="00D42204">
            <w:pPr>
              <w:jc w:val="right"/>
              <w:rPr>
                <w:rFonts w:ascii="宋体"/>
              </w:rPr>
            </w:pPr>
          </w:p>
        </w:tc>
      </w:tr>
      <w:tr w:rsidR="00D42204" w14:paraId="35D0B0EE" w14:textId="77777777">
        <w:trPr>
          <w:jc w:val="center"/>
        </w:trPr>
        <w:tc>
          <w:tcPr>
            <w:tcW w:w="0" w:type="auto"/>
            <w:gridSpan w:val="3"/>
            <w:shd w:val="clear" w:color="auto" w:fill="FFFFFF"/>
            <w:tcMar>
              <w:top w:w="40" w:type="dxa"/>
              <w:left w:w="20" w:type="dxa"/>
              <w:bottom w:w="40" w:type="dxa"/>
              <w:right w:w="20" w:type="dxa"/>
            </w:tcMar>
            <w:vAlign w:val="center"/>
          </w:tcPr>
          <w:p w14:paraId="35D0B0DB" w14:textId="77777777" w:rsidR="00D42204" w:rsidRDefault="004E439D">
            <w:pPr>
              <w:spacing w:before="60"/>
              <w:ind w:hanging="360"/>
              <w:textAlignment w:val="center"/>
            </w:pPr>
            <w:r>
              <w:rPr>
                <w:rFonts w:ascii="Times New Roman" w:eastAsia="宋体" w:hAnsi="Times New Roman"/>
                <w:color w:val="000000"/>
                <w:sz w:val="16"/>
                <w:szCs w:val="16"/>
              </w:rPr>
              <w:t>364-day revolving credit facility</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vAlign w:val="bottom"/>
          </w:tcPr>
          <w:p w14:paraId="35D0B0D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0DD" w14:textId="77777777" w:rsidR="00D42204" w:rsidRDefault="004E439D">
            <w:pPr>
              <w:jc w:val="right"/>
              <w:textAlignment w:val="center"/>
            </w:pPr>
            <w:r>
              <w:rPr>
                <w:rFonts w:ascii="Times New Roman" w:eastAsia="宋体" w:hAnsi="Times New Roman"/>
                <w:color w:val="000000"/>
                <w:sz w:val="16"/>
                <w:szCs w:val="16"/>
              </w:rPr>
              <w:t>10,000 </w:t>
            </w:r>
          </w:p>
        </w:tc>
        <w:tc>
          <w:tcPr>
            <w:tcW w:w="0" w:type="auto"/>
            <w:shd w:val="clear" w:color="auto" w:fill="FFFFFF"/>
            <w:tcMar>
              <w:top w:w="40" w:type="dxa"/>
              <w:left w:w="0" w:type="dxa"/>
              <w:bottom w:w="40" w:type="dxa"/>
              <w:right w:w="20" w:type="dxa"/>
            </w:tcMar>
            <w:vAlign w:val="center"/>
          </w:tcPr>
          <w:p w14:paraId="35D0B0D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0D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0E0"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B0E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0E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0E3" w14:textId="77777777" w:rsidR="00D42204" w:rsidRDefault="004E439D">
            <w:pPr>
              <w:jc w:val="right"/>
              <w:textAlignment w:val="center"/>
            </w:pPr>
            <w:r>
              <w:rPr>
                <w:rFonts w:ascii="Times New Roman" w:eastAsia="宋体" w:hAnsi="Times New Roman"/>
                <w:color w:val="000000"/>
                <w:sz w:val="16"/>
                <w:szCs w:val="16"/>
              </w:rPr>
              <w:t>10,000 </w:t>
            </w:r>
          </w:p>
        </w:tc>
        <w:tc>
          <w:tcPr>
            <w:tcW w:w="0" w:type="auto"/>
            <w:shd w:val="clear" w:color="auto" w:fill="FFFFFF"/>
            <w:tcMar>
              <w:top w:w="40" w:type="dxa"/>
              <w:left w:w="0" w:type="dxa"/>
              <w:bottom w:w="40" w:type="dxa"/>
              <w:right w:w="20" w:type="dxa"/>
            </w:tcMar>
            <w:vAlign w:val="center"/>
          </w:tcPr>
          <w:p w14:paraId="35D0B0E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0E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0E6" w14:textId="77777777" w:rsidR="00D42204" w:rsidRDefault="004E439D">
            <w:pPr>
              <w:jc w:val="right"/>
              <w:textAlignment w:val="center"/>
            </w:pPr>
            <w:r>
              <w:rPr>
                <w:rFonts w:ascii="Times New Roman" w:eastAsia="宋体" w:hAnsi="Times New Roman"/>
                <w:color w:val="000000"/>
                <w:sz w:val="16"/>
                <w:szCs w:val="16"/>
              </w:rPr>
              <w:t>10,000 </w:t>
            </w:r>
          </w:p>
        </w:tc>
        <w:tc>
          <w:tcPr>
            <w:tcW w:w="0" w:type="auto"/>
            <w:shd w:val="clear" w:color="auto" w:fill="FFFFFF"/>
            <w:tcMar>
              <w:top w:w="40" w:type="dxa"/>
              <w:left w:w="0" w:type="dxa"/>
              <w:bottom w:w="40" w:type="dxa"/>
              <w:right w:w="20" w:type="dxa"/>
            </w:tcMar>
            <w:vAlign w:val="center"/>
          </w:tcPr>
          <w:p w14:paraId="35D0B0E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0E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0E9"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B0E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0E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0EC" w14:textId="77777777" w:rsidR="00D42204" w:rsidRDefault="004E439D">
            <w:pPr>
              <w:jc w:val="right"/>
              <w:textAlignment w:val="center"/>
            </w:pPr>
            <w:r>
              <w:rPr>
                <w:rFonts w:ascii="Times New Roman" w:eastAsia="宋体" w:hAnsi="Times New Roman"/>
                <w:color w:val="000000"/>
                <w:sz w:val="16"/>
                <w:szCs w:val="16"/>
              </w:rPr>
              <w:t>10,000 </w:t>
            </w:r>
          </w:p>
        </w:tc>
        <w:tc>
          <w:tcPr>
            <w:tcW w:w="0" w:type="auto"/>
            <w:shd w:val="clear" w:color="auto" w:fill="FFFFFF"/>
            <w:tcMar>
              <w:top w:w="40" w:type="dxa"/>
              <w:left w:w="0" w:type="dxa"/>
              <w:bottom w:w="40" w:type="dxa"/>
              <w:right w:w="20" w:type="dxa"/>
            </w:tcMar>
            <w:vAlign w:val="center"/>
          </w:tcPr>
          <w:p w14:paraId="35D0B0ED" w14:textId="77777777" w:rsidR="00D42204" w:rsidRDefault="00D42204">
            <w:pPr>
              <w:jc w:val="right"/>
              <w:rPr>
                <w:rFonts w:ascii="宋体"/>
              </w:rPr>
            </w:pPr>
          </w:p>
        </w:tc>
      </w:tr>
      <w:tr w:rsidR="00D42204" w14:paraId="35D0B108" w14:textId="77777777">
        <w:trPr>
          <w:jc w:val="center"/>
        </w:trPr>
        <w:tc>
          <w:tcPr>
            <w:tcW w:w="0" w:type="auto"/>
            <w:gridSpan w:val="3"/>
            <w:shd w:val="clear" w:color="auto" w:fill="CCEEFF"/>
            <w:tcMar>
              <w:top w:w="40" w:type="dxa"/>
              <w:left w:w="20" w:type="dxa"/>
              <w:bottom w:w="40" w:type="dxa"/>
              <w:right w:w="20" w:type="dxa"/>
            </w:tcMar>
            <w:vAlign w:val="center"/>
          </w:tcPr>
          <w:p w14:paraId="35D0B0EF" w14:textId="77777777" w:rsidR="00D42204" w:rsidRDefault="004E439D">
            <w:pPr>
              <w:textAlignment w:val="center"/>
            </w:pPr>
            <w:r>
              <w:rPr>
                <w:rFonts w:ascii="Times New Roman" w:eastAsia="宋体" w:hAnsi="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bottom"/>
          </w:tcPr>
          <w:p w14:paraId="35D0B0F0"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0F1"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0F2" w14:textId="77777777" w:rsidR="00D42204" w:rsidRDefault="004E439D">
            <w:pPr>
              <w:jc w:val="right"/>
              <w:textAlignment w:val="center"/>
            </w:pPr>
            <w:r>
              <w:rPr>
                <w:rFonts w:ascii="Times New Roman" w:eastAsia="宋体" w:hAnsi="Times New Roman"/>
                <w:color w:val="000000"/>
                <w:sz w:val="16"/>
                <w:szCs w:val="16"/>
              </w:rPr>
              <w:t>15,000 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0F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0F4"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0F5"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0F6" w14:textId="77777777" w:rsidR="00D42204" w:rsidRDefault="004E439D">
            <w:pPr>
              <w:jc w:val="right"/>
              <w:textAlignment w:val="center"/>
            </w:pPr>
            <w:r>
              <w:rPr>
                <w:rFonts w:ascii="Times New Roman" w:eastAsia="宋体" w:hAnsi="Times New Roman"/>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0F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0F8"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0F9"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0FA" w14:textId="77777777" w:rsidR="00D42204" w:rsidRDefault="004E439D">
            <w:pPr>
              <w:jc w:val="right"/>
              <w:textAlignment w:val="center"/>
            </w:pPr>
            <w:r>
              <w:rPr>
                <w:rFonts w:ascii="Times New Roman" w:eastAsia="宋体" w:hAnsi="Times New Roman"/>
                <w:color w:val="000000"/>
                <w:sz w:val="16"/>
                <w:szCs w:val="16"/>
              </w:rPr>
              <w:t>15,000 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0F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0FC"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0FD"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0FE" w14:textId="77777777" w:rsidR="00D42204" w:rsidRDefault="004E439D">
            <w:pPr>
              <w:jc w:val="right"/>
              <w:textAlignment w:val="center"/>
            </w:pPr>
            <w:r>
              <w:rPr>
                <w:rFonts w:ascii="Times New Roman" w:eastAsia="宋体" w:hAnsi="Times New Roman"/>
                <w:color w:val="000000"/>
                <w:sz w:val="16"/>
                <w:szCs w:val="16"/>
              </w:rPr>
              <w:t>15,000 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0F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100"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101"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102" w14:textId="77777777" w:rsidR="00D42204" w:rsidRDefault="004E439D">
            <w:pPr>
              <w:jc w:val="right"/>
              <w:textAlignment w:val="center"/>
            </w:pPr>
            <w:r>
              <w:rPr>
                <w:rFonts w:ascii="Times New Roman" w:eastAsia="宋体" w:hAnsi="Times New Roman"/>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10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104"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105"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106" w14:textId="77777777" w:rsidR="00D42204" w:rsidRDefault="004E439D">
            <w:pPr>
              <w:jc w:val="right"/>
              <w:textAlignment w:val="center"/>
            </w:pPr>
            <w:r>
              <w:rPr>
                <w:rFonts w:ascii="Times New Roman" w:eastAsia="宋体" w:hAnsi="Times New Roman"/>
                <w:color w:val="000000"/>
                <w:sz w:val="16"/>
                <w:szCs w:val="16"/>
              </w:rPr>
              <w:t>15,000 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107" w14:textId="77777777" w:rsidR="00D42204" w:rsidRDefault="00D42204">
            <w:pPr>
              <w:jc w:val="right"/>
              <w:rPr>
                <w:rFonts w:ascii="宋体"/>
              </w:rPr>
            </w:pPr>
          </w:p>
        </w:tc>
      </w:tr>
    </w:tbl>
    <w:p w14:paraId="35D0B109" w14:textId="77777777" w:rsidR="00D42204" w:rsidRDefault="004E439D">
      <w:pPr>
        <w:ind w:hanging="36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In April 2021, the Company renewed and extended its existing 364-day revolving credit facility as well as its f</w:t>
      </w:r>
      <w:r>
        <w:rPr>
          <w:rFonts w:ascii="Times New Roman" w:eastAsia="宋体" w:hAnsi="Times New Roman"/>
          <w:color w:val="000000"/>
          <w:sz w:val="16"/>
          <w:szCs w:val="16"/>
        </w:rPr>
        <w:t xml:space="preserve">ive year credit facility. </w:t>
      </w:r>
    </w:p>
    <w:p w14:paraId="35D0B10A" w14:textId="77777777" w:rsidR="00D42204" w:rsidRDefault="004E439D">
      <w:pPr>
        <w:spacing w:before="180"/>
      </w:pPr>
      <w:r>
        <w:rPr>
          <w:rFonts w:ascii="Times New Roman" w:eastAsia="宋体" w:hAnsi="Times New Roman"/>
          <w:color w:val="000000"/>
          <w:sz w:val="20"/>
          <w:szCs w:val="20"/>
        </w:rPr>
        <w:t>The committed lines of credit in the table above mature in April 2022 and April 2026, carry interest rates of LIBOR plus 50 basis points, and incur commitment fees ranging between 1.5 and 4.0 basis points. In conjunction with the</w:t>
      </w:r>
      <w:r>
        <w:rPr>
          <w:rFonts w:ascii="Times New Roman" w:eastAsia="宋体" w:hAnsi="Times New Roman"/>
          <w:color w:val="000000"/>
          <w:sz w:val="20"/>
          <w:szCs w:val="20"/>
        </w:rPr>
        <w:t xml:space="preserve"> committed lines of credit listed in the table above, the Company has agreed to observe certain covenants, the most restrictive of which relates to the maximum amount of secured debt. Additionally, the Company has syndicated and fronted letters of credit a</w:t>
      </w:r>
      <w:r>
        <w:rPr>
          <w:rFonts w:ascii="Times New Roman" w:eastAsia="宋体" w:hAnsi="Times New Roman"/>
          <w:color w:val="000000"/>
          <w:sz w:val="20"/>
          <w:szCs w:val="20"/>
        </w:rPr>
        <w:t xml:space="preserve">vailable which totaled $1.8 billion as of January 31, 2022 and 2021, of which $1.7 billion and $1.8 billion was drawn as of January 31, 2022 and 2021, respectively. </w:t>
      </w:r>
    </w:p>
    <w:p w14:paraId="35D0B10B" w14:textId="77777777" w:rsidR="00D42204" w:rsidRDefault="004E439D">
      <w:pPr>
        <w:spacing w:before="100"/>
      </w:pPr>
      <w:r>
        <w:rPr>
          <w:rFonts w:ascii="Times New Roman" w:eastAsia="宋体" w:hAnsi="Times New Roman"/>
          <w:color w:val="000000"/>
          <w:sz w:val="20"/>
          <w:szCs w:val="20"/>
        </w:rPr>
        <w:t xml:space="preserve">The Company's long-term debt, which includes the fair value instruments further discussed </w:t>
      </w:r>
      <w:r>
        <w:rPr>
          <w:rFonts w:ascii="Times New Roman" w:eastAsia="宋体" w:hAnsi="Times New Roman"/>
          <w:color w:val="000000"/>
          <w:sz w:val="20"/>
          <w:szCs w:val="20"/>
        </w:rPr>
        <w:t xml:space="preserve">in </w:t>
      </w:r>
      <w:hyperlink r:id="rId151" w:anchor="i1ba69ebb72ec48f9b754a5e96c4cdf3f_175"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consists of the following as of January 31, 2022 and 2021:</w:t>
      </w:r>
    </w:p>
    <w:tbl>
      <w:tblPr>
        <w:tblW w:w="5000" w:type="pct"/>
        <w:tblCellMar>
          <w:top w:w="15" w:type="dxa"/>
          <w:left w:w="15" w:type="dxa"/>
          <w:bottom w:w="15" w:type="dxa"/>
          <w:right w:w="15" w:type="dxa"/>
        </w:tblCellMar>
        <w:tblLook w:val="04A0" w:firstRow="1" w:lastRow="0" w:firstColumn="1" w:lastColumn="0" w:noHBand="0" w:noVBand="1"/>
      </w:tblPr>
      <w:tblGrid>
        <w:gridCol w:w="40"/>
        <w:gridCol w:w="3950"/>
        <w:gridCol w:w="38"/>
        <w:gridCol w:w="36"/>
        <w:gridCol w:w="36"/>
        <w:gridCol w:w="36"/>
        <w:gridCol w:w="97"/>
        <w:gridCol w:w="979"/>
        <w:gridCol w:w="36"/>
        <w:gridCol w:w="36"/>
        <w:gridCol w:w="36"/>
        <w:gridCol w:w="36"/>
        <w:gridCol w:w="100"/>
        <w:gridCol w:w="540"/>
        <w:gridCol w:w="36"/>
        <w:gridCol w:w="36"/>
        <w:gridCol w:w="36"/>
        <w:gridCol w:w="36"/>
        <w:gridCol w:w="70"/>
        <w:gridCol w:w="533"/>
        <w:gridCol w:w="36"/>
        <w:gridCol w:w="36"/>
        <w:gridCol w:w="36"/>
        <w:gridCol w:w="36"/>
        <w:gridCol w:w="100"/>
        <w:gridCol w:w="566"/>
        <w:gridCol w:w="36"/>
        <w:gridCol w:w="36"/>
        <w:gridCol w:w="36"/>
        <w:gridCol w:w="36"/>
        <w:gridCol w:w="70"/>
        <w:gridCol w:w="533"/>
        <w:gridCol w:w="36"/>
      </w:tblGrid>
      <w:tr w:rsidR="00D42204" w14:paraId="35D0B12D" w14:textId="77777777">
        <w:tc>
          <w:tcPr>
            <w:tcW w:w="50" w:type="pct"/>
            <w:shd w:val="clear" w:color="auto" w:fill="auto"/>
            <w:vAlign w:val="bottom"/>
          </w:tcPr>
          <w:p w14:paraId="35D0B10C" w14:textId="77777777" w:rsidR="00D42204" w:rsidRDefault="00D42204">
            <w:pPr>
              <w:rPr>
                <w:rFonts w:ascii="宋体"/>
              </w:rPr>
            </w:pPr>
          </w:p>
        </w:tc>
        <w:tc>
          <w:tcPr>
            <w:tcW w:w="2401" w:type="pct"/>
            <w:shd w:val="clear" w:color="auto" w:fill="auto"/>
            <w:vAlign w:val="bottom"/>
          </w:tcPr>
          <w:p w14:paraId="35D0B10D" w14:textId="77777777" w:rsidR="00D42204" w:rsidRDefault="00D42204">
            <w:pPr>
              <w:rPr>
                <w:rFonts w:ascii="宋体"/>
              </w:rPr>
            </w:pPr>
          </w:p>
        </w:tc>
        <w:tc>
          <w:tcPr>
            <w:tcW w:w="5" w:type="pct"/>
            <w:shd w:val="clear" w:color="auto" w:fill="auto"/>
            <w:vAlign w:val="bottom"/>
          </w:tcPr>
          <w:p w14:paraId="35D0B10E" w14:textId="77777777" w:rsidR="00D42204" w:rsidRDefault="00D42204">
            <w:pPr>
              <w:rPr>
                <w:rFonts w:ascii="宋体"/>
              </w:rPr>
            </w:pPr>
          </w:p>
        </w:tc>
        <w:tc>
          <w:tcPr>
            <w:tcW w:w="5" w:type="pct"/>
            <w:shd w:val="clear" w:color="auto" w:fill="auto"/>
            <w:vAlign w:val="bottom"/>
          </w:tcPr>
          <w:p w14:paraId="35D0B10F" w14:textId="77777777" w:rsidR="00D42204" w:rsidRDefault="00D42204">
            <w:pPr>
              <w:rPr>
                <w:rFonts w:ascii="宋体"/>
              </w:rPr>
            </w:pPr>
          </w:p>
        </w:tc>
        <w:tc>
          <w:tcPr>
            <w:tcW w:w="26" w:type="pct"/>
            <w:shd w:val="clear" w:color="auto" w:fill="auto"/>
            <w:vAlign w:val="bottom"/>
          </w:tcPr>
          <w:p w14:paraId="35D0B110" w14:textId="77777777" w:rsidR="00D42204" w:rsidRDefault="00D42204">
            <w:pPr>
              <w:rPr>
                <w:rFonts w:ascii="宋体"/>
              </w:rPr>
            </w:pPr>
          </w:p>
        </w:tc>
        <w:tc>
          <w:tcPr>
            <w:tcW w:w="5" w:type="pct"/>
            <w:shd w:val="clear" w:color="auto" w:fill="auto"/>
            <w:vAlign w:val="bottom"/>
          </w:tcPr>
          <w:p w14:paraId="35D0B111" w14:textId="77777777" w:rsidR="00D42204" w:rsidRDefault="00D42204">
            <w:pPr>
              <w:rPr>
                <w:rFonts w:ascii="宋体"/>
              </w:rPr>
            </w:pPr>
          </w:p>
        </w:tc>
        <w:tc>
          <w:tcPr>
            <w:tcW w:w="50" w:type="pct"/>
            <w:shd w:val="clear" w:color="auto" w:fill="auto"/>
            <w:vAlign w:val="bottom"/>
          </w:tcPr>
          <w:p w14:paraId="35D0B112" w14:textId="77777777" w:rsidR="00D42204" w:rsidRDefault="00D42204">
            <w:pPr>
              <w:rPr>
                <w:rFonts w:ascii="宋体"/>
              </w:rPr>
            </w:pPr>
          </w:p>
        </w:tc>
        <w:tc>
          <w:tcPr>
            <w:tcW w:w="507" w:type="pct"/>
            <w:shd w:val="clear" w:color="auto" w:fill="auto"/>
            <w:vAlign w:val="bottom"/>
          </w:tcPr>
          <w:p w14:paraId="35D0B113" w14:textId="77777777" w:rsidR="00D42204" w:rsidRDefault="00D42204">
            <w:pPr>
              <w:rPr>
                <w:rFonts w:ascii="宋体"/>
              </w:rPr>
            </w:pPr>
          </w:p>
        </w:tc>
        <w:tc>
          <w:tcPr>
            <w:tcW w:w="5" w:type="pct"/>
            <w:shd w:val="clear" w:color="auto" w:fill="auto"/>
            <w:vAlign w:val="bottom"/>
          </w:tcPr>
          <w:p w14:paraId="35D0B114" w14:textId="77777777" w:rsidR="00D42204" w:rsidRDefault="00D42204">
            <w:pPr>
              <w:rPr>
                <w:rFonts w:ascii="宋体"/>
              </w:rPr>
            </w:pPr>
          </w:p>
        </w:tc>
        <w:tc>
          <w:tcPr>
            <w:tcW w:w="5" w:type="pct"/>
            <w:shd w:val="clear" w:color="auto" w:fill="auto"/>
            <w:vAlign w:val="bottom"/>
          </w:tcPr>
          <w:p w14:paraId="35D0B115" w14:textId="77777777" w:rsidR="00D42204" w:rsidRDefault="00D42204">
            <w:pPr>
              <w:rPr>
                <w:rFonts w:ascii="宋体"/>
              </w:rPr>
            </w:pPr>
          </w:p>
        </w:tc>
        <w:tc>
          <w:tcPr>
            <w:tcW w:w="26" w:type="pct"/>
            <w:shd w:val="clear" w:color="auto" w:fill="auto"/>
            <w:vAlign w:val="bottom"/>
          </w:tcPr>
          <w:p w14:paraId="35D0B116" w14:textId="77777777" w:rsidR="00D42204" w:rsidRDefault="00D42204">
            <w:pPr>
              <w:rPr>
                <w:rFonts w:ascii="宋体"/>
              </w:rPr>
            </w:pPr>
          </w:p>
        </w:tc>
        <w:tc>
          <w:tcPr>
            <w:tcW w:w="5" w:type="pct"/>
            <w:shd w:val="clear" w:color="auto" w:fill="auto"/>
            <w:vAlign w:val="bottom"/>
          </w:tcPr>
          <w:p w14:paraId="35D0B117" w14:textId="77777777" w:rsidR="00D42204" w:rsidRDefault="00D42204">
            <w:pPr>
              <w:rPr>
                <w:rFonts w:ascii="宋体"/>
              </w:rPr>
            </w:pPr>
          </w:p>
        </w:tc>
        <w:tc>
          <w:tcPr>
            <w:tcW w:w="50" w:type="pct"/>
            <w:shd w:val="clear" w:color="auto" w:fill="auto"/>
            <w:vAlign w:val="bottom"/>
          </w:tcPr>
          <w:p w14:paraId="35D0B118" w14:textId="77777777" w:rsidR="00D42204" w:rsidRDefault="00D42204">
            <w:pPr>
              <w:rPr>
                <w:rFonts w:ascii="宋体"/>
              </w:rPr>
            </w:pPr>
          </w:p>
        </w:tc>
        <w:tc>
          <w:tcPr>
            <w:tcW w:w="405" w:type="pct"/>
            <w:shd w:val="clear" w:color="auto" w:fill="auto"/>
            <w:vAlign w:val="bottom"/>
          </w:tcPr>
          <w:p w14:paraId="35D0B119" w14:textId="77777777" w:rsidR="00D42204" w:rsidRDefault="00D42204">
            <w:pPr>
              <w:rPr>
                <w:rFonts w:ascii="宋体"/>
              </w:rPr>
            </w:pPr>
          </w:p>
        </w:tc>
        <w:tc>
          <w:tcPr>
            <w:tcW w:w="5" w:type="pct"/>
            <w:shd w:val="clear" w:color="auto" w:fill="auto"/>
            <w:vAlign w:val="bottom"/>
          </w:tcPr>
          <w:p w14:paraId="35D0B11A" w14:textId="77777777" w:rsidR="00D42204" w:rsidRDefault="00D42204">
            <w:pPr>
              <w:rPr>
                <w:rFonts w:ascii="宋体"/>
              </w:rPr>
            </w:pPr>
          </w:p>
        </w:tc>
        <w:tc>
          <w:tcPr>
            <w:tcW w:w="5" w:type="pct"/>
            <w:shd w:val="clear" w:color="auto" w:fill="auto"/>
            <w:vAlign w:val="bottom"/>
          </w:tcPr>
          <w:p w14:paraId="35D0B11B" w14:textId="77777777" w:rsidR="00D42204" w:rsidRDefault="00D42204">
            <w:pPr>
              <w:rPr>
                <w:rFonts w:ascii="宋体"/>
              </w:rPr>
            </w:pPr>
          </w:p>
        </w:tc>
        <w:tc>
          <w:tcPr>
            <w:tcW w:w="26" w:type="pct"/>
            <w:shd w:val="clear" w:color="auto" w:fill="auto"/>
            <w:vAlign w:val="bottom"/>
          </w:tcPr>
          <w:p w14:paraId="35D0B11C" w14:textId="77777777" w:rsidR="00D42204" w:rsidRDefault="00D42204">
            <w:pPr>
              <w:rPr>
                <w:rFonts w:ascii="宋体"/>
              </w:rPr>
            </w:pPr>
          </w:p>
        </w:tc>
        <w:tc>
          <w:tcPr>
            <w:tcW w:w="5" w:type="pct"/>
            <w:shd w:val="clear" w:color="auto" w:fill="auto"/>
            <w:vAlign w:val="bottom"/>
          </w:tcPr>
          <w:p w14:paraId="35D0B11D" w14:textId="77777777" w:rsidR="00D42204" w:rsidRDefault="00D42204">
            <w:pPr>
              <w:rPr>
                <w:rFonts w:ascii="宋体"/>
              </w:rPr>
            </w:pPr>
          </w:p>
        </w:tc>
        <w:tc>
          <w:tcPr>
            <w:tcW w:w="50" w:type="pct"/>
            <w:shd w:val="clear" w:color="auto" w:fill="auto"/>
            <w:vAlign w:val="bottom"/>
          </w:tcPr>
          <w:p w14:paraId="35D0B11E" w14:textId="77777777" w:rsidR="00D42204" w:rsidRDefault="00D42204">
            <w:pPr>
              <w:rPr>
                <w:rFonts w:ascii="宋体"/>
              </w:rPr>
            </w:pPr>
          </w:p>
        </w:tc>
        <w:tc>
          <w:tcPr>
            <w:tcW w:w="383" w:type="pct"/>
            <w:shd w:val="clear" w:color="auto" w:fill="auto"/>
            <w:vAlign w:val="bottom"/>
          </w:tcPr>
          <w:p w14:paraId="35D0B11F" w14:textId="77777777" w:rsidR="00D42204" w:rsidRDefault="00D42204">
            <w:pPr>
              <w:rPr>
                <w:rFonts w:ascii="宋体"/>
              </w:rPr>
            </w:pPr>
          </w:p>
        </w:tc>
        <w:tc>
          <w:tcPr>
            <w:tcW w:w="5" w:type="pct"/>
            <w:shd w:val="clear" w:color="auto" w:fill="auto"/>
            <w:vAlign w:val="bottom"/>
          </w:tcPr>
          <w:p w14:paraId="35D0B120" w14:textId="77777777" w:rsidR="00D42204" w:rsidRDefault="00D42204">
            <w:pPr>
              <w:rPr>
                <w:rFonts w:ascii="宋体"/>
              </w:rPr>
            </w:pPr>
          </w:p>
        </w:tc>
        <w:tc>
          <w:tcPr>
            <w:tcW w:w="5" w:type="pct"/>
            <w:shd w:val="clear" w:color="auto" w:fill="auto"/>
            <w:vAlign w:val="bottom"/>
          </w:tcPr>
          <w:p w14:paraId="35D0B121" w14:textId="77777777" w:rsidR="00D42204" w:rsidRDefault="00D42204">
            <w:pPr>
              <w:rPr>
                <w:rFonts w:ascii="宋体"/>
              </w:rPr>
            </w:pPr>
          </w:p>
        </w:tc>
        <w:tc>
          <w:tcPr>
            <w:tcW w:w="26" w:type="pct"/>
            <w:shd w:val="clear" w:color="auto" w:fill="auto"/>
            <w:vAlign w:val="bottom"/>
          </w:tcPr>
          <w:p w14:paraId="35D0B122" w14:textId="77777777" w:rsidR="00D42204" w:rsidRDefault="00D42204">
            <w:pPr>
              <w:rPr>
                <w:rFonts w:ascii="宋体"/>
              </w:rPr>
            </w:pPr>
          </w:p>
        </w:tc>
        <w:tc>
          <w:tcPr>
            <w:tcW w:w="5" w:type="pct"/>
            <w:shd w:val="clear" w:color="auto" w:fill="auto"/>
            <w:vAlign w:val="bottom"/>
          </w:tcPr>
          <w:p w14:paraId="35D0B123" w14:textId="77777777" w:rsidR="00D42204" w:rsidRDefault="00D42204">
            <w:pPr>
              <w:rPr>
                <w:rFonts w:ascii="宋体"/>
              </w:rPr>
            </w:pPr>
          </w:p>
        </w:tc>
        <w:tc>
          <w:tcPr>
            <w:tcW w:w="50" w:type="pct"/>
            <w:shd w:val="clear" w:color="auto" w:fill="auto"/>
            <w:vAlign w:val="bottom"/>
          </w:tcPr>
          <w:p w14:paraId="35D0B124" w14:textId="77777777" w:rsidR="00D42204" w:rsidRDefault="00D42204">
            <w:pPr>
              <w:rPr>
                <w:rFonts w:ascii="宋体"/>
              </w:rPr>
            </w:pPr>
          </w:p>
        </w:tc>
        <w:tc>
          <w:tcPr>
            <w:tcW w:w="405" w:type="pct"/>
            <w:shd w:val="clear" w:color="auto" w:fill="auto"/>
            <w:vAlign w:val="bottom"/>
          </w:tcPr>
          <w:p w14:paraId="35D0B125" w14:textId="77777777" w:rsidR="00D42204" w:rsidRDefault="00D42204">
            <w:pPr>
              <w:rPr>
                <w:rFonts w:ascii="宋体"/>
              </w:rPr>
            </w:pPr>
          </w:p>
        </w:tc>
        <w:tc>
          <w:tcPr>
            <w:tcW w:w="5" w:type="pct"/>
            <w:shd w:val="clear" w:color="auto" w:fill="auto"/>
            <w:vAlign w:val="bottom"/>
          </w:tcPr>
          <w:p w14:paraId="35D0B126" w14:textId="77777777" w:rsidR="00D42204" w:rsidRDefault="00D42204">
            <w:pPr>
              <w:rPr>
                <w:rFonts w:ascii="宋体"/>
              </w:rPr>
            </w:pPr>
          </w:p>
        </w:tc>
        <w:tc>
          <w:tcPr>
            <w:tcW w:w="5" w:type="pct"/>
            <w:shd w:val="clear" w:color="auto" w:fill="auto"/>
            <w:vAlign w:val="bottom"/>
          </w:tcPr>
          <w:p w14:paraId="35D0B127" w14:textId="77777777" w:rsidR="00D42204" w:rsidRDefault="00D42204">
            <w:pPr>
              <w:rPr>
                <w:rFonts w:ascii="宋体"/>
              </w:rPr>
            </w:pPr>
          </w:p>
        </w:tc>
        <w:tc>
          <w:tcPr>
            <w:tcW w:w="26" w:type="pct"/>
            <w:shd w:val="clear" w:color="auto" w:fill="auto"/>
            <w:vAlign w:val="bottom"/>
          </w:tcPr>
          <w:p w14:paraId="35D0B128" w14:textId="77777777" w:rsidR="00D42204" w:rsidRDefault="00D42204">
            <w:pPr>
              <w:rPr>
                <w:rFonts w:ascii="宋体"/>
              </w:rPr>
            </w:pPr>
          </w:p>
        </w:tc>
        <w:tc>
          <w:tcPr>
            <w:tcW w:w="5" w:type="pct"/>
            <w:shd w:val="clear" w:color="auto" w:fill="auto"/>
            <w:vAlign w:val="bottom"/>
          </w:tcPr>
          <w:p w14:paraId="35D0B129" w14:textId="77777777" w:rsidR="00D42204" w:rsidRDefault="00D42204">
            <w:pPr>
              <w:rPr>
                <w:rFonts w:ascii="宋体"/>
              </w:rPr>
            </w:pPr>
          </w:p>
        </w:tc>
        <w:tc>
          <w:tcPr>
            <w:tcW w:w="50" w:type="pct"/>
            <w:shd w:val="clear" w:color="auto" w:fill="auto"/>
            <w:vAlign w:val="bottom"/>
          </w:tcPr>
          <w:p w14:paraId="35D0B12A" w14:textId="77777777" w:rsidR="00D42204" w:rsidRDefault="00D42204">
            <w:pPr>
              <w:rPr>
                <w:rFonts w:ascii="宋体"/>
              </w:rPr>
            </w:pPr>
          </w:p>
        </w:tc>
        <w:tc>
          <w:tcPr>
            <w:tcW w:w="383" w:type="pct"/>
            <w:shd w:val="clear" w:color="auto" w:fill="auto"/>
            <w:vAlign w:val="bottom"/>
          </w:tcPr>
          <w:p w14:paraId="35D0B12B" w14:textId="77777777" w:rsidR="00D42204" w:rsidRDefault="00D42204">
            <w:pPr>
              <w:rPr>
                <w:rFonts w:ascii="宋体"/>
              </w:rPr>
            </w:pPr>
          </w:p>
        </w:tc>
        <w:tc>
          <w:tcPr>
            <w:tcW w:w="5" w:type="pct"/>
            <w:shd w:val="clear" w:color="auto" w:fill="auto"/>
            <w:vAlign w:val="bottom"/>
          </w:tcPr>
          <w:p w14:paraId="35D0B12C" w14:textId="77777777" w:rsidR="00D42204" w:rsidRDefault="00D42204">
            <w:pPr>
              <w:rPr>
                <w:rFonts w:ascii="宋体"/>
              </w:rPr>
            </w:pPr>
          </w:p>
        </w:tc>
      </w:tr>
      <w:tr w:rsidR="00D42204" w14:paraId="35D0B133" w14:textId="77777777">
        <w:tc>
          <w:tcPr>
            <w:tcW w:w="0" w:type="auto"/>
            <w:gridSpan w:val="3"/>
            <w:shd w:val="clear" w:color="auto" w:fill="auto"/>
            <w:tcMar>
              <w:top w:w="40" w:type="dxa"/>
              <w:left w:w="20" w:type="dxa"/>
              <w:bottom w:w="40" w:type="dxa"/>
              <w:right w:w="20" w:type="dxa"/>
            </w:tcMar>
            <w:vAlign w:val="bottom"/>
          </w:tcPr>
          <w:p w14:paraId="35D0B12E"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B12F"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B130" w14:textId="77777777" w:rsidR="00D42204" w:rsidRDefault="004E439D">
            <w:pPr>
              <w:jc w:val="center"/>
              <w:textAlignment w:val="bottom"/>
            </w:pPr>
            <w:r>
              <w:rPr>
                <w:rFonts w:ascii="Times New Roman" w:eastAsia="宋体" w:hAnsi="Times New Roman"/>
                <w:b/>
                <w:bCs/>
                <w:color w:val="000000"/>
                <w:sz w:val="16"/>
                <w:szCs w:val="16"/>
              </w:rPr>
              <w:t>January 31, 2022</w:t>
            </w:r>
          </w:p>
        </w:tc>
        <w:tc>
          <w:tcPr>
            <w:tcW w:w="0" w:type="auto"/>
            <w:gridSpan w:val="3"/>
            <w:shd w:val="clear" w:color="auto" w:fill="auto"/>
            <w:tcMar>
              <w:top w:w="0" w:type="dxa"/>
              <w:left w:w="20" w:type="dxa"/>
              <w:bottom w:w="0" w:type="dxa"/>
              <w:right w:w="20" w:type="dxa"/>
            </w:tcMar>
            <w:vAlign w:val="bottom"/>
          </w:tcPr>
          <w:p w14:paraId="35D0B131" w14:textId="77777777" w:rsidR="00D42204" w:rsidRDefault="00D42204">
            <w:pPr>
              <w:rPr>
                <w:rFonts w:ascii="宋体"/>
              </w:rPr>
            </w:pPr>
          </w:p>
        </w:tc>
        <w:tc>
          <w:tcPr>
            <w:tcW w:w="0" w:type="auto"/>
            <w:gridSpan w:val="9"/>
            <w:shd w:val="clear" w:color="auto" w:fill="auto"/>
            <w:tcMar>
              <w:top w:w="40" w:type="dxa"/>
              <w:left w:w="20" w:type="dxa"/>
              <w:bottom w:w="40" w:type="dxa"/>
              <w:right w:w="20" w:type="dxa"/>
            </w:tcMar>
            <w:vAlign w:val="bottom"/>
          </w:tcPr>
          <w:p w14:paraId="35D0B132" w14:textId="77777777" w:rsidR="00D42204" w:rsidRDefault="004E439D">
            <w:pPr>
              <w:jc w:val="center"/>
              <w:textAlignment w:val="bottom"/>
            </w:pPr>
            <w:r>
              <w:rPr>
                <w:rFonts w:ascii="Times New Roman" w:eastAsia="宋体" w:hAnsi="Times New Roman"/>
                <w:b/>
                <w:bCs/>
                <w:color w:val="000000"/>
                <w:sz w:val="16"/>
                <w:szCs w:val="16"/>
              </w:rPr>
              <w:t>January 31, 2021</w:t>
            </w:r>
          </w:p>
        </w:tc>
      </w:tr>
      <w:tr w:rsidR="00D42204" w14:paraId="35D0B13F" w14:textId="77777777">
        <w:tc>
          <w:tcPr>
            <w:tcW w:w="0" w:type="auto"/>
            <w:gridSpan w:val="3"/>
            <w:shd w:val="clear" w:color="auto" w:fill="auto"/>
            <w:tcMar>
              <w:top w:w="40" w:type="dxa"/>
              <w:left w:w="20" w:type="dxa"/>
              <w:bottom w:w="40" w:type="dxa"/>
              <w:right w:w="20" w:type="dxa"/>
            </w:tcMar>
            <w:vAlign w:val="bottom"/>
          </w:tcPr>
          <w:p w14:paraId="35D0B134"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135"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136" w14:textId="77777777" w:rsidR="00D42204" w:rsidRDefault="004E439D">
            <w:pPr>
              <w:jc w:val="center"/>
              <w:textAlignment w:val="bottom"/>
            </w:pPr>
            <w:r>
              <w:rPr>
                <w:rFonts w:ascii="Times New Roman" w:eastAsia="宋体" w:hAnsi="Times New Roman"/>
                <w:b/>
                <w:bCs/>
                <w:color w:val="000000"/>
                <w:sz w:val="16"/>
                <w:szCs w:val="16"/>
              </w:rPr>
              <w:t>Maturity Dates</w:t>
            </w:r>
            <w:r>
              <w:rPr>
                <w:rFonts w:ascii="Times New Roman" w:eastAsia="宋体" w:hAnsi="Times New Roman"/>
                <w:b/>
                <w:bCs/>
                <w:color w:val="000000"/>
                <w:sz w:val="16"/>
                <w:szCs w:val="16"/>
              </w:rPr>
              <w:br/>
              <w:t>By Fiscal Year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137"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138" w14:textId="77777777" w:rsidR="00D42204" w:rsidRDefault="004E439D">
            <w:pPr>
              <w:jc w:val="center"/>
              <w:textAlignment w:val="bottom"/>
            </w:pPr>
            <w:r>
              <w:rPr>
                <w:rFonts w:ascii="Times New Roman" w:eastAsia="宋体" w:hAnsi="Times New Roman"/>
                <w:b/>
                <w:bCs/>
                <w:color w:val="000000"/>
                <w:sz w:val="16"/>
                <w:szCs w:val="16"/>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139"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13A" w14:textId="77777777" w:rsidR="00D42204" w:rsidRDefault="004E439D">
            <w:pPr>
              <w:jc w:val="center"/>
              <w:textAlignment w:val="bottom"/>
            </w:pPr>
            <w:r>
              <w:rPr>
                <w:rFonts w:ascii="Times New Roman" w:eastAsia="宋体" w:hAnsi="Times New Roman"/>
                <w:b/>
                <w:bCs/>
                <w:color w:val="000000"/>
                <w:sz w:val="16"/>
                <w:szCs w:val="16"/>
              </w:rPr>
              <w:t>Average Rate</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35D0B13B"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13C" w14:textId="77777777" w:rsidR="00D42204" w:rsidRDefault="004E439D">
            <w:pPr>
              <w:jc w:val="center"/>
              <w:textAlignment w:val="bottom"/>
            </w:pPr>
            <w:r>
              <w:rPr>
                <w:rFonts w:ascii="Times New Roman" w:eastAsia="宋体" w:hAnsi="Times New Roman"/>
                <w:b/>
                <w:bCs/>
                <w:color w:val="000000"/>
                <w:sz w:val="16"/>
                <w:szCs w:val="16"/>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13D"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13E" w14:textId="77777777" w:rsidR="00D42204" w:rsidRDefault="004E439D">
            <w:pPr>
              <w:jc w:val="center"/>
              <w:textAlignment w:val="bottom"/>
            </w:pPr>
            <w:r>
              <w:rPr>
                <w:rFonts w:ascii="Times New Roman" w:eastAsia="宋体" w:hAnsi="Times New Roman"/>
                <w:b/>
                <w:bCs/>
                <w:color w:val="000000"/>
                <w:sz w:val="16"/>
                <w:szCs w:val="16"/>
              </w:rPr>
              <w:t>Average Rate</w:t>
            </w:r>
            <w:r>
              <w:rPr>
                <w:rFonts w:ascii="Times New Roman" w:eastAsia="宋体" w:hAnsi="Times New Roman"/>
                <w:b/>
                <w:bCs/>
                <w:color w:val="000000"/>
                <w:sz w:val="10"/>
                <w:szCs w:val="10"/>
              </w:rPr>
              <w:t>(1)</w:t>
            </w:r>
          </w:p>
        </w:tc>
      </w:tr>
      <w:tr w:rsidR="00D42204" w14:paraId="35D0B14B" w14:textId="77777777">
        <w:tc>
          <w:tcPr>
            <w:tcW w:w="0" w:type="auto"/>
            <w:gridSpan w:val="3"/>
            <w:shd w:val="clear" w:color="auto" w:fill="CCEEFF"/>
            <w:tcMar>
              <w:top w:w="40" w:type="dxa"/>
              <w:left w:w="20" w:type="dxa"/>
              <w:bottom w:w="40" w:type="dxa"/>
              <w:right w:w="20" w:type="dxa"/>
            </w:tcMar>
            <w:vAlign w:val="center"/>
          </w:tcPr>
          <w:p w14:paraId="35D0B140" w14:textId="77777777" w:rsidR="00D42204" w:rsidRDefault="004E439D">
            <w:pPr>
              <w:textAlignment w:val="center"/>
            </w:pPr>
            <w:r>
              <w:rPr>
                <w:rFonts w:ascii="Times New Roman" w:eastAsia="宋体" w:hAnsi="Times New Roman"/>
                <w:b/>
                <w:bCs/>
                <w:color w:val="000000"/>
                <w:sz w:val="16"/>
                <w:szCs w:val="16"/>
              </w:rPr>
              <w:t>Unsecured debt</w:t>
            </w:r>
          </w:p>
        </w:tc>
        <w:tc>
          <w:tcPr>
            <w:tcW w:w="0" w:type="auto"/>
            <w:gridSpan w:val="3"/>
            <w:shd w:val="clear" w:color="auto" w:fill="CCEEFF"/>
            <w:tcMar>
              <w:top w:w="0" w:type="dxa"/>
              <w:left w:w="20" w:type="dxa"/>
              <w:bottom w:w="0" w:type="dxa"/>
              <w:right w:w="20" w:type="dxa"/>
            </w:tcMar>
            <w:vAlign w:val="bottom"/>
          </w:tcPr>
          <w:p w14:paraId="35D0B141"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14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43"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144"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45"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146"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47"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14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49"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14A" w14:textId="77777777" w:rsidR="00D42204" w:rsidRDefault="00D42204">
            <w:pPr>
              <w:rPr>
                <w:rFonts w:ascii="宋体"/>
              </w:rPr>
            </w:pPr>
          </w:p>
        </w:tc>
      </w:tr>
      <w:tr w:rsidR="00D42204" w14:paraId="35D0B15B" w14:textId="77777777">
        <w:tc>
          <w:tcPr>
            <w:tcW w:w="0" w:type="auto"/>
            <w:gridSpan w:val="3"/>
            <w:shd w:val="clear" w:color="auto" w:fill="FFFFFF"/>
            <w:tcMar>
              <w:top w:w="40" w:type="dxa"/>
              <w:left w:w="380" w:type="dxa"/>
              <w:bottom w:w="40" w:type="dxa"/>
              <w:right w:w="20" w:type="dxa"/>
            </w:tcMar>
            <w:vAlign w:val="center"/>
          </w:tcPr>
          <w:p w14:paraId="35D0B14C" w14:textId="77777777" w:rsidR="00D42204" w:rsidRDefault="004E439D">
            <w:pPr>
              <w:textAlignment w:val="center"/>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14D"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B14E" w14:textId="77777777" w:rsidR="00D42204" w:rsidRDefault="004E439D">
            <w:pPr>
              <w:jc w:val="center"/>
              <w:textAlignment w:val="center"/>
            </w:pPr>
            <w:r>
              <w:rPr>
                <w:rFonts w:ascii="Times New Roman" w:eastAsia="宋体" w:hAnsi="Times New Roman"/>
                <w:color w:val="000000"/>
                <w:sz w:val="16"/>
                <w:szCs w:val="16"/>
              </w:rPr>
              <w:t>2023 - 2052</w:t>
            </w:r>
          </w:p>
        </w:tc>
        <w:tc>
          <w:tcPr>
            <w:tcW w:w="0" w:type="auto"/>
            <w:gridSpan w:val="3"/>
            <w:shd w:val="clear" w:color="auto" w:fill="FFFFFF"/>
            <w:tcMar>
              <w:top w:w="0" w:type="dxa"/>
              <w:left w:w="20" w:type="dxa"/>
              <w:bottom w:w="0" w:type="dxa"/>
              <w:right w:w="20" w:type="dxa"/>
            </w:tcMar>
            <w:vAlign w:val="bottom"/>
          </w:tcPr>
          <w:p w14:paraId="35D0B14F"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150"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151" w14:textId="77777777" w:rsidR="00D42204" w:rsidRDefault="004E439D">
            <w:pPr>
              <w:jc w:val="right"/>
              <w:textAlignment w:val="center"/>
            </w:pPr>
            <w:r>
              <w:rPr>
                <w:rFonts w:ascii="Times New Roman" w:eastAsia="宋体" w:hAnsi="Times New Roman"/>
                <w:color w:val="000000"/>
                <w:sz w:val="16"/>
                <w:szCs w:val="16"/>
              </w:rPr>
              <w:t>29,957 </w:t>
            </w:r>
          </w:p>
        </w:tc>
        <w:tc>
          <w:tcPr>
            <w:tcW w:w="0" w:type="auto"/>
            <w:shd w:val="clear" w:color="auto" w:fill="FFFFFF"/>
            <w:tcMar>
              <w:top w:w="40" w:type="dxa"/>
              <w:left w:w="0" w:type="dxa"/>
              <w:bottom w:w="40" w:type="dxa"/>
              <w:right w:w="20" w:type="dxa"/>
            </w:tcMar>
            <w:vAlign w:val="center"/>
          </w:tcPr>
          <w:p w14:paraId="35D0B15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153"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B154" w14:textId="77777777" w:rsidR="00D42204" w:rsidRDefault="004E439D">
            <w:pPr>
              <w:jc w:val="center"/>
              <w:textAlignment w:val="center"/>
            </w:pPr>
            <w:r>
              <w:rPr>
                <w:rFonts w:ascii="Times New Roman" w:eastAsia="宋体" w:hAnsi="Times New Roman"/>
                <w:color w:val="000000"/>
                <w:sz w:val="16"/>
                <w:szCs w:val="16"/>
              </w:rPr>
              <w:t>3.5%</w:t>
            </w:r>
          </w:p>
        </w:tc>
        <w:tc>
          <w:tcPr>
            <w:tcW w:w="0" w:type="auto"/>
            <w:gridSpan w:val="3"/>
            <w:shd w:val="clear" w:color="auto" w:fill="FFFFFF"/>
            <w:tcMar>
              <w:top w:w="0" w:type="dxa"/>
              <w:left w:w="20" w:type="dxa"/>
              <w:bottom w:w="0" w:type="dxa"/>
              <w:right w:w="20" w:type="dxa"/>
            </w:tcMar>
            <w:vAlign w:val="bottom"/>
          </w:tcPr>
          <w:p w14:paraId="35D0B155"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156"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157" w14:textId="77777777" w:rsidR="00D42204" w:rsidRDefault="004E439D">
            <w:pPr>
              <w:jc w:val="right"/>
              <w:textAlignment w:val="center"/>
            </w:pPr>
            <w:r>
              <w:rPr>
                <w:rFonts w:ascii="Times New Roman" w:eastAsia="宋体" w:hAnsi="Times New Roman"/>
                <w:color w:val="000000"/>
                <w:sz w:val="16"/>
                <w:szCs w:val="16"/>
              </w:rPr>
              <w:t>35,216 </w:t>
            </w:r>
          </w:p>
        </w:tc>
        <w:tc>
          <w:tcPr>
            <w:tcW w:w="0" w:type="auto"/>
            <w:shd w:val="clear" w:color="auto" w:fill="FFFFFF"/>
            <w:tcMar>
              <w:top w:w="40" w:type="dxa"/>
              <w:left w:w="0" w:type="dxa"/>
              <w:bottom w:w="40" w:type="dxa"/>
              <w:right w:w="20" w:type="dxa"/>
            </w:tcMar>
            <w:vAlign w:val="center"/>
          </w:tcPr>
          <w:p w14:paraId="35D0B15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159"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B15A" w14:textId="77777777" w:rsidR="00D42204" w:rsidRDefault="004E439D">
            <w:pPr>
              <w:jc w:val="center"/>
              <w:textAlignment w:val="center"/>
            </w:pPr>
            <w:r>
              <w:rPr>
                <w:rFonts w:ascii="Times New Roman" w:eastAsia="宋体" w:hAnsi="Times New Roman"/>
                <w:color w:val="000000"/>
                <w:sz w:val="16"/>
                <w:szCs w:val="16"/>
              </w:rPr>
              <w:t>3.9%</w:t>
            </w:r>
          </w:p>
        </w:tc>
      </w:tr>
      <w:tr w:rsidR="00D42204" w14:paraId="35D0B169" w14:textId="77777777">
        <w:tc>
          <w:tcPr>
            <w:tcW w:w="0" w:type="auto"/>
            <w:gridSpan w:val="3"/>
            <w:shd w:val="clear" w:color="auto" w:fill="CCEEFF"/>
            <w:tcMar>
              <w:top w:w="40" w:type="dxa"/>
              <w:left w:w="380" w:type="dxa"/>
              <w:bottom w:w="40" w:type="dxa"/>
              <w:right w:w="20" w:type="dxa"/>
            </w:tcMar>
            <w:vAlign w:val="center"/>
          </w:tcPr>
          <w:p w14:paraId="35D0B15C" w14:textId="77777777" w:rsidR="00D42204" w:rsidRDefault="004E439D">
            <w:pPr>
              <w:textAlignment w:val="center"/>
            </w:pPr>
            <w:r>
              <w:rPr>
                <w:rFonts w:ascii="Times New Roman" w:eastAsia="宋体" w:hAnsi="Times New Roman"/>
                <w:color w:val="000000"/>
                <w:sz w:val="16"/>
                <w:szCs w:val="16"/>
              </w:rPr>
              <w:t>Variable</w:t>
            </w:r>
          </w:p>
        </w:tc>
        <w:tc>
          <w:tcPr>
            <w:tcW w:w="0" w:type="auto"/>
            <w:gridSpan w:val="3"/>
            <w:shd w:val="clear" w:color="auto" w:fill="CCEEFF"/>
            <w:tcMar>
              <w:top w:w="0" w:type="dxa"/>
              <w:left w:w="20" w:type="dxa"/>
              <w:bottom w:w="0" w:type="dxa"/>
              <w:right w:w="20" w:type="dxa"/>
            </w:tcMar>
            <w:vAlign w:val="bottom"/>
          </w:tcPr>
          <w:p w14:paraId="35D0B15D"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5E"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5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160"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B16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16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63"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6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165" w14:textId="77777777" w:rsidR="00D42204" w:rsidRDefault="004E439D">
            <w:pPr>
              <w:jc w:val="right"/>
              <w:textAlignment w:val="center"/>
            </w:pPr>
            <w:r>
              <w:rPr>
                <w:rFonts w:ascii="Times New Roman" w:eastAsia="宋体" w:hAnsi="Times New Roman"/>
                <w:color w:val="000000"/>
                <w:sz w:val="16"/>
                <w:szCs w:val="16"/>
              </w:rPr>
              <w:t>750 </w:t>
            </w:r>
          </w:p>
        </w:tc>
        <w:tc>
          <w:tcPr>
            <w:tcW w:w="0" w:type="auto"/>
            <w:shd w:val="clear" w:color="auto" w:fill="CCEEFF"/>
            <w:tcMar>
              <w:top w:w="40" w:type="dxa"/>
              <w:left w:w="0" w:type="dxa"/>
              <w:bottom w:w="40" w:type="dxa"/>
              <w:right w:w="20" w:type="dxa"/>
            </w:tcMar>
            <w:vAlign w:val="center"/>
          </w:tcPr>
          <w:p w14:paraId="35D0B16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167"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center"/>
          </w:tcPr>
          <w:p w14:paraId="35D0B168" w14:textId="77777777" w:rsidR="00D42204" w:rsidRDefault="004E439D">
            <w:pPr>
              <w:jc w:val="center"/>
              <w:textAlignment w:val="center"/>
            </w:pPr>
            <w:r>
              <w:rPr>
                <w:rFonts w:ascii="Times New Roman" w:eastAsia="宋体" w:hAnsi="Times New Roman"/>
                <w:color w:val="000000"/>
                <w:sz w:val="16"/>
                <w:szCs w:val="16"/>
              </w:rPr>
              <w:t>0.5%</w:t>
            </w:r>
          </w:p>
        </w:tc>
      </w:tr>
      <w:tr w:rsidR="00D42204" w14:paraId="35D0B177" w14:textId="77777777">
        <w:tc>
          <w:tcPr>
            <w:tcW w:w="0" w:type="auto"/>
            <w:gridSpan w:val="3"/>
            <w:shd w:val="clear" w:color="auto" w:fill="FFFFFF"/>
            <w:tcMar>
              <w:top w:w="40" w:type="dxa"/>
              <w:left w:w="605" w:type="dxa"/>
              <w:bottom w:w="40" w:type="dxa"/>
              <w:right w:w="20" w:type="dxa"/>
            </w:tcMar>
            <w:vAlign w:val="center"/>
          </w:tcPr>
          <w:p w14:paraId="35D0B16A" w14:textId="77777777" w:rsidR="00D42204" w:rsidRDefault="004E439D">
            <w:pPr>
              <w:textAlignment w:val="center"/>
            </w:pPr>
            <w:r>
              <w:rPr>
                <w:rFonts w:ascii="Times New Roman" w:eastAsia="宋体" w:hAnsi="Times New Roman"/>
                <w:b/>
                <w:bCs/>
                <w:color w:val="000000"/>
                <w:sz w:val="16"/>
                <w:szCs w:val="16"/>
              </w:rPr>
              <w:t>Total U.S. dollar denominated</w:t>
            </w:r>
          </w:p>
        </w:tc>
        <w:tc>
          <w:tcPr>
            <w:tcW w:w="0" w:type="auto"/>
            <w:gridSpan w:val="3"/>
            <w:shd w:val="clear" w:color="auto" w:fill="FFFFFF"/>
            <w:tcMar>
              <w:top w:w="0" w:type="dxa"/>
              <w:left w:w="20" w:type="dxa"/>
              <w:bottom w:w="0" w:type="dxa"/>
              <w:right w:w="20" w:type="dxa"/>
            </w:tcMar>
            <w:vAlign w:val="bottom"/>
          </w:tcPr>
          <w:p w14:paraId="35D0B16B"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6C"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6D"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B16E" w14:textId="77777777" w:rsidR="00D42204" w:rsidRDefault="004E439D">
            <w:pPr>
              <w:jc w:val="right"/>
              <w:textAlignment w:val="center"/>
            </w:pPr>
            <w:r>
              <w:rPr>
                <w:rFonts w:ascii="Times New Roman" w:eastAsia="宋体" w:hAnsi="Times New Roman"/>
                <w:color w:val="000000"/>
                <w:sz w:val="16"/>
                <w:szCs w:val="16"/>
              </w:rPr>
              <w:t>29,957 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B16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170"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71"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72"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B173" w14:textId="77777777" w:rsidR="00D42204" w:rsidRDefault="004E439D">
            <w:pPr>
              <w:jc w:val="right"/>
              <w:textAlignment w:val="center"/>
            </w:pPr>
            <w:r>
              <w:rPr>
                <w:rFonts w:ascii="Times New Roman" w:eastAsia="宋体" w:hAnsi="Times New Roman"/>
                <w:color w:val="000000"/>
                <w:sz w:val="16"/>
                <w:szCs w:val="16"/>
              </w:rPr>
              <w:t>35,966 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B17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175"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76" w14:textId="77777777" w:rsidR="00D42204" w:rsidRDefault="00D42204">
            <w:pPr>
              <w:rPr>
                <w:rFonts w:ascii="宋体"/>
              </w:rPr>
            </w:pPr>
          </w:p>
        </w:tc>
      </w:tr>
      <w:tr w:rsidR="00D42204" w14:paraId="35D0B185" w14:textId="77777777">
        <w:tc>
          <w:tcPr>
            <w:tcW w:w="0" w:type="auto"/>
            <w:gridSpan w:val="3"/>
            <w:shd w:val="clear" w:color="auto" w:fill="CCEEFF"/>
            <w:tcMar>
              <w:top w:w="40" w:type="dxa"/>
              <w:left w:w="380" w:type="dxa"/>
              <w:bottom w:w="40" w:type="dxa"/>
              <w:right w:w="20" w:type="dxa"/>
            </w:tcMar>
            <w:vAlign w:val="center"/>
          </w:tcPr>
          <w:p w14:paraId="35D0B178" w14:textId="77777777" w:rsidR="00D42204" w:rsidRDefault="004E439D">
            <w:pPr>
              <w:textAlignment w:val="center"/>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179"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center"/>
          </w:tcPr>
          <w:p w14:paraId="35D0B17A" w14:textId="77777777" w:rsidR="00D42204" w:rsidRDefault="004E439D">
            <w:pPr>
              <w:jc w:val="center"/>
              <w:textAlignment w:val="center"/>
            </w:pPr>
            <w:r>
              <w:rPr>
                <w:rFonts w:ascii="Times New Roman" w:eastAsia="宋体" w:hAnsi="Times New Roman"/>
                <w:color w:val="000000"/>
                <w:sz w:val="16"/>
                <w:szCs w:val="16"/>
              </w:rPr>
              <w:t>2023 - 2030</w:t>
            </w:r>
          </w:p>
        </w:tc>
        <w:tc>
          <w:tcPr>
            <w:tcW w:w="0" w:type="auto"/>
            <w:gridSpan w:val="3"/>
            <w:shd w:val="clear" w:color="auto" w:fill="CCEEFF"/>
            <w:tcMar>
              <w:top w:w="0" w:type="dxa"/>
              <w:left w:w="20" w:type="dxa"/>
              <w:bottom w:w="0" w:type="dxa"/>
              <w:right w:w="20" w:type="dxa"/>
            </w:tcMar>
            <w:vAlign w:val="bottom"/>
          </w:tcPr>
          <w:p w14:paraId="35D0B17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17C" w14:textId="77777777" w:rsidR="00D42204" w:rsidRDefault="004E439D">
            <w:pPr>
              <w:jc w:val="right"/>
              <w:textAlignment w:val="center"/>
            </w:pPr>
            <w:r>
              <w:rPr>
                <w:rFonts w:ascii="Times New Roman" w:eastAsia="宋体" w:hAnsi="Times New Roman"/>
                <w:color w:val="000000"/>
                <w:sz w:val="16"/>
                <w:szCs w:val="16"/>
              </w:rPr>
              <w:t>2,787 </w:t>
            </w:r>
          </w:p>
        </w:tc>
        <w:tc>
          <w:tcPr>
            <w:tcW w:w="0" w:type="auto"/>
            <w:shd w:val="clear" w:color="auto" w:fill="CCEEFF"/>
            <w:tcMar>
              <w:top w:w="40" w:type="dxa"/>
              <w:left w:w="0" w:type="dxa"/>
              <w:bottom w:w="40" w:type="dxa"/>
              <w:right w:w="20" w:type="dxa"/>
            </w:tcMar>
            <w:vAlign w:val="center"/>
          </w:tcPr>
          <w:p w14:paraId="35D0B17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17E"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center"/>
          </w:tcPr>
          <w:p w14:paraId="35D0B17F" w14:textId="77777777" w:rsidR="00D42204" w:rsidRDefault="004E439D">
            <w:pPr>
              <w:jc w:val="center"/>
              <w:textAlignment w:val="center"/>
            </w:pPr>
            <w:r>
              <w:rPr>
                <w:rFonts w:ascii="Times New Roman" w:eastAsia="宋体" w:hAnsi="Times New Roman"/>
                <w:color w:val="000000"/>
                <w:sz w:val="16"/>
                <w:szCs w:val="16"/>
              </w:rPr>
              <w:t>3.3%</w:t>
            </w:r>
          </w:p>
        </w:tc>
        <w:tc>
          <w:tcPr>
            <w:tcW w:w="0" w:type="auto"/>
            <w:gridSpan w:val="3"/>
            <w:shd w:val="clear" w:color="auto" w:fill="CCEEFF"/>
            <w:tcMar>
              <w:top w:w="0" w:type="dxa"/>
              <w:left w:w="20" w:type="dxa"/>
              <w:bottom w:w="0" w:type="dxa"/>
              <w:right w:w="20" w:type="dxa"/>
            </w:tcMar>
            <w:vAlign w:val="bottom"/>
          </w:tcPr>
          <w:p w14:paraId="35D0B18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181" w14:textId="77777777" w:rsidR="00D42204" w:rsidRDefault="004E439D">
            <w:pPr>
              <w:jc w:val="right"/>
              <w:textAlignment w:val="center"/>
            </w:pPr>
            <w:r>
              <w:rPr>
                <w:rFonts w:ascii="Times New Roman" w:eastAsia="宋体" w:hAnsi="Times New Roman"/>
                <w:color w:val="000000"/>
                <w:sz w:val="16"/>
                <w:szCs w:val="16"/>
              </w:rPr>
              <w:t>3,034 </w:t>
            </w:r>
          </w:p>
        </w:tc>
        <w:tc>
          <w:tcPr>
            <w:tcW w:w="0" w:type="auto"/>
            <w:shd w:val="clear" w:color="auto" w:fill="CCEEFF"/>
            <w:tcMar>
              <w:top w:w="40" w:type="dxa"/>
              <w:left w:w="0" w:type="dxa"/>
              <w:bottom w:w="40" w:type="dxa"/>
              <w:right w:w="20" w:type="dxa"/>
            </w:tcMar>
            <w:vAlign w:val="center"/>
          </w:tcPr>
          <w:p w14:paraId="35D0B18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183"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center"/>
          </w:tcPr>
          <w:p w14:paraId="35D0B184" w14:textId="77777777" w:rsidR="00D42204" w:rsidRDefault="004E439D">
            <w:pPr>
              <w:jc w:val="center"/>
              <w:textAlignment w:val="center"/>
            </w:pPr>
            <w:r>
              <w:rPr>
                <w:rFonts w:ascii="Times New Roman" w:eastAsia="宋体" w:hAnsi="Times New Roman"/>
                <w:color w:val="000000"/>
                <w:sz w:val="16"/>
                <w:szCs w:val="16"/>
              </w:rPr>
              <w:t>3.3%</w:t>
            </w:r>
          </w:p>
        </w:tc>
      </w:tr>
      <w:tr w:rsidR="00D42204" w14:paraId="35D0B193" w14:textId="77777777">
        <w:tc>
          <w:tcPr>
            <w:tcW w:w="0" w:type="auto"/>
            <w:gridSpan w:val="3"/>
            <w:shd w:val="clear" w:color="auto" w:fill="FFFFFF"/>
            <w:tcMar>
              <w:top w:w="40" w:type="dxa"/>
              <w:left w:w="380" w:type="dxa"/>
              <w:bottom w:w="40" w:type="dxa"/>
              <w:right w:w="20" w:type="dxa"/>
            </w:tcMar>
            <w:vAlign w:val="center"/>
          </w:tcPr>
          <w:p w14:paraId="35D0B186" w14:textId="77777777" w:rsidR="00D42204" w:rsidRDefault="004E439D">
            <w:pPr>
              <w:textAlignment w:val="center"/>
            </w:pPr>
            <w:r>
              <w:rPr>
                <w:rFonts w:ascii="Times New Roman" w:eastAsia="宋体" w:hAnsi="Times New Roman"/>
                <w:color w:val="000000"/>
                <w:sz w:val="16"/>
                <w:szCs w:val="16"/>
              </w:rPr>
              <w:t>Variable</w:t>
            </w:r>
          </w:p>
        </w:tc>
        <w:tc>
          <w:tcPr>
            <w:tcW w:w="0" w:type="auto"/>
            <w:gridSpan w:val="3"/>
            <w:shd w:val="clear" w:color="auto" w:fill="FFFFFF"/>
            <w:tcMar>
              <w:top w:w="0" w:type="dxa"/>
              <w:left w:w="20" w:type="dxa"/>
              <w:bottom w:w="0" w:type="dxa"/>
              <w:right w:w="20" w:type="dxa"/>
            </w:tcMar>
            <w:vAlign w:val="bottom"/>
          </w:tcPr>
          <w:p w14:paraId="35D0B187"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88"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8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18A"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B18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18C"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8D"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8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18F"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B19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191"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92" w14:textId="77777777" w:rsidR="00D42204" w:rsidRDefault="00D42204">
            <w:pPr>
              <w:rPr>
                <w:rFonts w:ascii="宋体"/>
              </w:rPr>
            </w:pPr>
          </w:p>
        </w:tc>
      </w:tr>
      <w:tr w:rsidR="00D42204" w14:paraId="35D0B1A1" w14:textId="77777777">
        <w:tc>
          <w:tcPr>
            <w:tcW w:w="0" w:type="auto"/>
            <w:gridSpan w:val="3"/>
            <w:shd w:val="clear" w:color="auto" w:fill="CCEEFF"/>
            <w:tcMar>
              <w:top w:w="40" w:type="dxa"/>
              <w:left w:w="605" w:type="dxa"/>
              <w:bottom w:w="40" w:type="dxa"/>
              <w:right w:w="20" w:type="dxa"/>
            </w:tcMar>
            <w:vAlign w:val="center"/>
          </w:tcPr>
          <w:p w14:paraId="35D0B194" w14:textId="77777777" w:rsidR="00D42204" w:rsidRDefault="004E439D">
            <w:pPr>
              <w:textAlignment w:val="center"/>
            </w:pPr>
            <w:r>
              <w:rPr>
                <w:rFonts w:ascii="Times New Roman" w:eastAsia="宋体" w:hAnsi="Times New Roman"/>
                <w:b/>
                <w:bCs/>
                <w:color w:val="000000"/>
                <w:sz w:val="16"/>
                <w:szCs w:val="16"/>
              </w:rPr>
              <w:t>Total</w:t>
            </w:r>
            <w:r>
              <w:rPr>
                <w:rFonts w:ascii="Times New Roman" w:eastAsia="宋体" w:hAnsi="Times New Roman"/>
                <w:b/>
                <w:bCs/>
                <w:color w:val="000000"/>
                <w:sz w:val="16"/>
                <w:szCs w:val="16"/>
              </w:rPr>
              <w:t xml:space="preserve"> Euro denominated</w:t>
            </w:r>
          </w:p>
        </w:tc>
        <w:tc>
          <w:tcPr>
            <w:tcW w:w="0" w:type="auto"/>
            <w:gridSpan w:val="3"/>
            <w:shd w:val="clear" w:color="auto" w:fill="CCEEFF"/>
            <w:tcMar>
              <w:top w:w="0" w:type="dxa"/>
              <w:left w:w="20" w:type="dxa"/>
              <w:bottom w:w="0" w:type="dxa"/>
              <w:right w:w="20" w:type="dxa"/>
            </w:tcMar>
            <w:vAlign w:val="bottom"/>
          </w:tcPr>
          <w:p w14:paraId="35D0B195"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96"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97"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B198" w14:textId="77777777" w:rsidR="00D42204" w:rsidRDefault="004E439D">
            <w:pPr>
              <w:jc w:val="right"/>
              <w:textAlignment w:val="center"/>
            </w:pPr>
            <w:r>
              <w:rPr>
                <w:rFonts w:ascii="Times New Roman" w:eastAsia="宋体" w:hAnsi="Times New Roman"/>
                <w:color w:val="000000"/>
                <w:sz w:val="16"/>
                <w:szCs w:val="16"/>
              </w:rPr>
              <w:t>2,787 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19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19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9B"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9C"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B19D" w14:textId="77777777" w:rsidR="00D42204" w:rsidRDefault="004E439D">
            <w:pPr>
              <w:jc w:val="right"/>
              <w:textAlignment w:val="center"/>
            </w:pPr>
            <w:r>
              <w:rPr>
                <w:rFonts w:ascii="Times New Roman" w:eastAsia="宋体" w:hAnsi="Times New Roman"/>
                <w:color w:val="000000"/>
                <w:sz w:val="16"/>
                <w:szCs w:val="16"/>
              </w:rPr>
              <w:t>3,034 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19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19F"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A0" w14:textId="77777777" w:rsidR="00D42204" w:rsidRDefault="00D42204">
            <w:pPr>
              <w:rPr>
                <w:rFonts w:ascii="宋体"/>
              </w:rPr>
            </w:pPr>
          </w:p>
        </w:tc>
      </w:tr>
      <w:tr w:rsidR="00D42204" w14:paraId="35D0B1AF" w14:textId="77777777">
        <w:tc>
          <w:tcPr>
            <w:tcW w:w="0" w:type="auto"/>
            <w:gridSpan w:val="3"/>
            <w:shd w:val="clear" w:color="auto" w:fill="FFFFFF"/>
            <w:tcMar>
              <w:top w:w="40" w:type="dxa"/>
              <w:left w:w="380" w:type="dxa"/>
              <w:bottom w:w="40" w:type="dxa"/>
              <w:right w:w="20" w:type="dxa"/>
            </w:tcMar>
            <w:vAlign w:val="center"/>
          </w:tcPr>
          <w:p w14:paraId="35D0B1A2" w14:textId="77777777" w:rsidR="00D42204" w:rsidRDefault="004E439D">
            <w:pPr>
              <w:textAlignment w:val="center"/>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1A3"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B1A4" w14:textId="77777777" w:rsidR="00D42204" w:rsidRDefault="004E439D">
            <w:pPr>
              <w:jc w:val="center"/>
              <w:textAlignment w:val="center"/>
            </w:pPr>
            <w:r>
              <w:rPr>
                <w:rFonts w:ascii="Times New Roman" w:eastAsia="宋体" w:hAnsi="Times New Roman"/>
                <w:color w:val="000000"/>
                <w:sz w:val="16"/>
                <w:szCs w:val="16"/>
              </w:rPr>
              <w:t>2031 - 2039</w:t>
            </w:r>
          </w:p>
        </w:tc>
        <w:tc>
          <w:tcPr>
            <w:tcW w:w="0" w:type="auto"/>
            <w:gridSpan w:val="3"/>
            <w:shd w:val="clear" w:color="auto" w:fill="FFFFFF"/>
            <w:tcMar>
              <w:top w:w="0" w:type="dxa"/>
              <w:left w:w="20" w:type="dxa"/>
              <w:bottom w:w="0" w:type="dxa"/>
              <w:right w:w="20" w:type="dxa"/>
            </w:tcMar>
            <w:vAlign w:val="bottom"/>
          </w:tcPr>
          <w:p w14:paraId="35D0B1A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1A6" w14:textId="77777777" w:rsidR="00D42204" w:rsidRDefault="004E439D">
            <w:pPr>
              <w:jc w:val="right"/>
              <w:textAlignment w:val="center"/>
            </w:pPr>
            <w:r>
              <w:rPr>
                <w:rFonts w:ascii="Times New Roman" w:eastAsia="宋体" w:hAnsi="Times New Roman"/>
                <w:color w:val="000000"/>
                <w:sz w:val="16"/>
                <w:szCs w:val="16"/>
              </w:rPr>
              <w:t>3,601 </w:t>
            </w:r>
          </w:p>
        </w:tc>
        <w:tc>
          <w:tcPr>
            <w:tcW w:w="0" w:type="auto"/>
            <w:shd w:val="clear" w:color="auto" w:fill="FFFFFF"/>
            <w:tcMar>
              <w:top w:w="40" w:type="dxa"/>
              <w:left w:w="0" w:type="dxa"/>
              <w:bottom w:w="40" w:type="dxa"/>
              <w:right w:w="20" w:type="dxa"/>
            </w:tcMar>
            <w:vAlign w:val="center"/>
          </w:tcPr>
          <w:p w14:paraId="35D0B1A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1A8"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B1A9" w14:textId="77777777" w:rsidR="00D42204" w:rsidRDefault="004E439D">
            <w:pPr>
              <w:jc w:val="center"/>
              <w:textAlignment w:val="center"/>
            </w:pPr>
            <w:r>
              <w:rPr>
                <w:rFonts w:ascii="Times New Roman" w:eastAsia="宋体" w:hAnsi="Times New Roman"/>
                <w:color w:val="000000"/>
                <w:sz w:val="16"/>
                <w:szCs w:val="16"/>
              </w:rPr>
              <w:t>5.4%</w:t>
            </w:r>
          </w:p>
        </w:tc>
        <w:tc>
          <w:tcPr>
            <w:tcW w:w="0" w:type="auto"/>
            <w:gridSpan w:val="3"/>
            <w:shd w:val="clear" w:color="auto" w:fill="FFFFFF"/>
            <w:tcMar>
              <w:top w:w="0" w:type="dxa"/>
              <w:left w:w="20" w:type="dxa"/>
              <w:bottom w:w="0" w:type="dxa"/>
              <w:right w:w="20" w:type="dxa"/>
            </w:tcMar>
            <w:vAlign w:val="bottom"/>
          </w:tcPr>
          <w:p w14:paraId="35D0B1A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1AB" w14:textId="77777777" w:rsidR="00D42204" w:rsidRDefault="004E439D">
            <w:pPr>
              <w:jc w:val="right"/>
              <w:textAlignment w:val="center"/>
            </w:pPr>
            <w:r>
              <w:rPr>
                <w:rFonts w:ascii="Times New Roman" w:eastAsia="宋体" w:hAnsi="Times New Roman"/>
                <w:color w:val="000000"/>
                <w:sz w:val="16"/>
                <w:szCs w:val="16"/>
              </w:rPr>
              <w:t>3,682 </w:t>
            </w:r>
          </w:p>
        </w:tc>
        <w:tc>
          <w:tcPr>
            <w:tcW w:w="0" w:type="auto"/>
            <w:shd w:val="clear" w:color="auto" w:fill="FFFFFF"/>
            <w:tcMar>
              <w:top w:w="40" w:type="dxa"/>
              <w:left w:w="0" w:type="dxa"/>
              <w:bottom w:w="40" w:type="dxa"/>
              <w:right w:w="20" w:type="dxa"/>
            </w:tcMar>
            <w:vAlign w:val="center"/>
          </w:tcPr>
          <w:p w14:paraId="35D0B1A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1AD"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center"/>
          </w:tcPr>
          <w:p w14:paraId="35D0B1AE" w14:textId="77777777" w:rsidR="00D42204" w:rsidRDefault="004E439D">
            <w:pPr>
              <w:jc w:val="center"/>
              <w:textAlignment w:val="center"/>
            </w:pPr>
            <w:r>
              <w:rPr>
                <w:rFonts w:ascii="Times New Roman" w:eastAsia="宋体" w:hAnsi="Times New Roman"/>
                <w:color w:val="000000"/>
                <w:sz w:val="16"/>
                <w:szCs w:val="16"/>
              </w:rPr>
              <w:t>5.4%</w:t>
            </w:r>
          </w:p>
        </w:tc>
      </w:tr>
      <w:tr w:rsidR="00D42204" w14:paraId="35D0B1BD" w14:textId="77777777">
        <w:tc>
          <w:tcPr>
            <w:tcW w:w="0" w:type="auto"/>
            <w:gridSpan w:val="3"/>
            <w:shd w:val="clear" w:color="auto" w:fill="CCEEFF"/>
            <w:tcMar>
              <w:top w:w="40" w:type="dxa"/>
              <w:left w:w="380" w:type="dxa"/>
              <w:bottom w:w="40" w:type="dxa"/>
              <w:right w:w="20" w:type="dxa"/>
            </w:tcMar>
            <w:vAlign w:val="center"/>
          </w:tcPr>
          <w:p w14:paraId="35D0B1B0" w14:textId="77777777" w:rsidR="00D42204" w:rsidRDefault="004E439D">
            <w:pPr>
              <w:textAlignment w:val="center"/>
            </w:pPr>
            <w:r>
              <w:rPr>
                <w:rFonts w:ascii="Times New Roman" w:eastAsia="宋体" w:hAnsi="Times New Roman"/>
                <w:color w:val="000000"/>
                <w:sz w:val="16"/>
                <w:szCs w:val="16"/>
              </w:rPr>
              <w:t>Variable</w:t>
            </w:r>
          </w:p>
        </w:tc>
        <w:tc>
          <w:tcPr>
            <w:tcW w:w="0" w:type="auto"/>
            <w:gridSpan w:val="3"/>
            <w:shd w:val="clear" w:color="auto" w:fill="CCEEFF"/>
            <w:tcMar>
              <w:top w:w="0" w:type="dxa"/>
              <w:left w:w="20" w:type="dxa"/>
              <w:bottom w:w="0" w:type="dxa"/>
              <w:right w:w="20" w:type="dxa"/>
            </w:tcMar>
            <w:vAlign w:val="bottom"/>
          </w:tcPr>
          <w:p w14:paraId="35D0B1B1"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B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B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1B4"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B1B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1B6"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B7"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B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1B9"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B1B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1BB"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BC" w14:textId="77777777" w:rsidR="00D42204" w:rsidRDefault="00D42204">
            <w:pPr>
              <w:rPr>
                <w:rFonts w:ascii="宋体"/>
              </w:rPr>
            </w:pPr>
          </w:p>
        </w:tc>
      </w:tr>
      <w:tr w:rsidR="00D42204" w14:paraId="35D0B1CB" w14:textId="77777777">
        <w:tc>
          <w:tcPr>
            <w:tcW w:w="0" w:type="auto"/>
            <w:gridSpan w:val="3"/>
            <w:shd w:val="clear" w:color="auto" w:fill="FFFFFF"/>
            <w:tcMar>
              <w:top w:w="40" w:type="dxa"/>
              <w:left w:w="605" w:type="dxa"/>
              <w:bottom w:w="40" w:type="dxa"/>
              <w:right w:w="20" w:type="dxa"/>
            </w:tcMar>
            <w:vAlign w:val="center"/>
          </w:tcPr>
          <w:p w14:paraId="35D0B1BE" w14:textId="77777777" w:rsidR="00D42204" w:rsidRDefault="004E439D">
            <w:pPr>
              <w:textAlignment w:val="center"/>
            </w:pPr>
            <w:r>
              <w:rPr>
                <w:rFonts w:ascii="Times New Roman" w:eastAsia="宋体" w:hAnsi="Times New Roman"/>
                <w:b/>
                <w:bCs/>
                <w:color w:val="000000"/>
                <w:sz w:val="16"/>
                <w:szCs w:val="16"/>
              </w:rPr>
              <w:t>Total</w:t>
            </w:r>
            <w:r>
              <w:rPr>
                <w:rFonts w:ascii="Times New Roman" w:eastAsia="宋体" w:hAnsi="Times New Roman"/>
                <w:b/>
                <w:bCs/>
                <w:color w:val="000000"/>
                <w:sz w:val="16"/>
                <w:szCs w:val="16"/>
              </w:rPr>
              <w:t xml:space="preserve"> Sterling denominated</w:t>
            </w:r>
          </w:p>
        </w:tc>
        <w:tc>
          <w:tcPr>
            <w:tcW w:w="0" w:type="auto"/>
            <w:gridSpan w:val="3"/>
            <w:shd w:val="clear" w:color="auto" w:fill="FFFFFF"/>
            <w:tcMar>
              <w:top w:w="0" w:type="dxa"/>
              <w:left w:w="20" w:type="dxa"/>
              <w:bottom w:w="0" w:type="dxa"/>
              <w:right w:w="20" w:type="dxa"/>
            </w:tcMar>
            <w:vAlign w:val="bottom"/>
          </w:tcPr>
          <w:p w14:paraId="35D0B1BF"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C0"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C1"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B1C2" w14:textId="77777777" w:rsidR="00D42204" w:rsidRDefault="004E439D">
            <w:pPr>
              <w:jc w:val="right"/>
              <w:textAlignment w:val="center"/>
            </w:pPr>
            <w:r>
              <w:rPr>
                <w:rFonts w:ascii="Times New Roman" w:eastAsia="宋体" w:hAnsi="Times New Roman"/>
                <w:color w:val="000000"/>
                <w:sz w:val="16"/>
                <w:szCs w:val="16"/>
              </w:rPr>
              <w:t>3,601 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B1C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1C4"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C5"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C6"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B1C7" w14:textId="77777777" w:rsidR="00D42204" w:rsidRDefault="004E439D">
            <w:pPr>
              <w:jc w:val="right"/>
              <w:textAlignment w:val="center"/>
            </w:pPr>
            <w:r>
              <w:rPr>
                <w:rFonts w:ascii="Times New Roman" w:eastAsia="宋体" w:hAnsi="Times New Roman"/>
                <w:color w:val="000000"/>
                <w:sz w:val="16"/>
                <w:szCs w:val="16"/>
              </w:rPr>
              <w:t>3,682 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B1C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1C9"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CA" w14:textId="77777777" w:rsidR="00D42204" w:rsidRDefault="00D42204">
            <w:pPr>
              <w:rPr>
                <w:rFonts w:ascii="宋体"/>
              </w:rPr>
            </w:pPr>
          </w:p>
        </w:tc>
      </w:tr>
      <w:tr w:rsidR="00D42204" w14:paraId="35D0B1D9" w14:textId="77777777">
        <w:tc>
          <w:tcPr>
            <w:tcW w:w="0" w:type="auto"/>
            <w:gridSpan w:val="3"/>
            <w:shd w:val="clear" w:color="auto" w:fill="CCEEFF"/>
            <w:tcMar>
              <w:top w:w="40" w:type="dxa"/>
              <w:left w:w="380" w:type="dxa"/>
              <w:bottom w:w="40" w:type="dxa"/>
              <w:right w:w="20" w:type="dxa"/>
            </w:tcMar>
            <w:vAlign w:val="center"/>
          </w:tcPr>
          <w:p w14:paraId="35D0B1CC" w14:textId="77777777" w:rsidR="00D42204" w:rsidRDefault="004E439D">
            <w:pPr>
              <w:textAlignment w:val="center"/>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1CD"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center"/>
          </w:tcPr>
          <w:p w14:paraId="35D0B1CE" w14:textId="77777777" w:rsidR="00D42204" w:rsidRDefault="004E439D">
            <w:pPr>
              <w:jc w:val="center"/>
              <w:textAlignment w:val="center"/>
            </w:pPr>
            <w:r>
              <w:rPr>
                <w:rFonts w:ascii="Times New Roman" w:eastAsia="宋体" w:hAnsi="Times New Roman"/>
                <w:color w:val="000000"/>
                <w:sz w:val="16"/>
                <w:szCs w:val="16"/>
              </w:rPr>
              <w:t>2023 - 2028</w:t>
            </w:r>
          </w:p>
        </w:tc>
        <w:tc>
          <w:tcPr>
            <w:tcW w:w="0" w:type="auto"/>
            <w:gridSpan w:val="3"/>
            <w:shd w:val="clear" w:color="auto" w:fill="CCEEFF"/>
            <w:tcMar>
              <w:top w:w="0" w:type="dxa"/>
              <w:left w:w="20" w:type="dxa"/>
              <w:bottom w:w="0" w:type="dxa"/>
              <w:right w:w="20" w:type="dxa"/>
            </w:tcMar>
            <w:vAlign w:val="bottom"/>
          </w:tcPr>
          <w:p w14:paraId="35D0B1C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1D0" w14:textId="77777777" w:rsidR="00D42204" w:rsidRDefault="004E439D">
            <w:pPr>
              <w:jc w:val="right"/>
              <w:textAlignment w:val="center"/>
            </w:pPr>
            <w:r>
              <w:rPr>
                <w:rFonts w:ascii="Times New Roman" w:eastAsia="宋体" w:hAnsi="Times New Roman"/>
                <w:color w:val="000000"/>
                <w:sz w:val="16"/>
                <w:szCs w:val="16"/>
              </w:rPr>
              <w:t>1,475 </w:t>
            </w:r>
          </w:p>
        </w:tc>
        <w:tc>
          <w:tcPr>
            <w:tcW w:w="0" w:type="auto"/>
            <w:shd w:val="clear" w:color="auto" w:fill="CCEEFF"/>
            <w:tcMar>
              <w:top w:w="40" w:type="dxa"/>
              <w:left w:w="0" w:type="dxa"/>
              <w:bottom w:w="40" w:type="dxa"/>
              <w:right w:w="20" w:type="dxa"/>
            </w:tcMar>
            <w:vAlign w:val="center"/>
          </w:tcPr>
          <w:p w14:paraId="35D0B1D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1D2"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center"/>
          </w:tcPr>
          <w:p w14:paraId="35D0B1D3" w14:textId="77777777" w:rsidR="00D42204" w:rsidRDefault="004E439D">
            <w:pPr>
              <w:jc w:val="center"/>
              <w:textAlignment w:val="center"/>
            </w:pPr>
            <w:r>
              <w:rPr>
                <w:rFonts w:ascii="Times New Roman" w:eastAsia="宋体" w:hAnsi="Times New Roman"/>
                <w:color w:val="000000"/>
                <w:sz w:val="16"/>
                <w:szCs w:val="16"/>
              </w:rPr>
              <w:t>0.3%</w:t>
            </w:r>
          </w:p>
        </w:tc>
        <w:tc>
          <w:tcPr>
            <w:tcW w:w="0" w:type="auto"/>
            <w:gridSpan w:val="3"/>
            <w:shd w:val="clear" w:color="auto" w:fill="CCEEFF"/>
            <w:tcMar>
              <w:top w:w="0" w:type="dxa"/>
              <w:left w:w="20" w:type="dxa"/>
              <w:bottom w:w="0" w:type="dxa"/>
              <w:right w:w="20" w:type="dxa"/>
            </w:tcMar>
            <w:vAlign w:val="bottom"/>
          </w:tcPr>
          <w:p w14:paraId="35D0B1D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1D5" w14:textId="77777777" w:rsidR="00D42204" w:rsidRDefault="004E439D">
            <w:pPr>
              <w:jc w:val="right"/>
              <w:textAlignment w:val="center"/>
            </w:pPr>
            <w:r>
              <w:rPr>
                <w:rFonts w:ascii="Times New Roman" w:eastAsia="宋体" w:hAnsi="Times New Roman"/>
                <w:color w:val="000000"/>
                <w:sz w:val="16"/>
                <w:szCs w:val="16"/>
              </w:rPr>
              <w:t>1,624 </w:t>
            </w:r>
          </w:p>
        </w:tc>
        <w:tc>
          <w:tcPr>
            <w:tcW w:w="0" w:type="auto"/>
            <w:shd w:val="clear" w:color="auto" w:fill="CCEEFF"/>
            <w:tcMar>
              <w:top w:w="40" w:type="dxa"/>
              <w:left w:w="0" w:type="dxa"/>
              <w:bottom w:w="40" w:type="dxa"/>
              <w:right w:w="20" w:type="dxa"/>
            </w:tcMar>
            <w:vAlign w:val="center"/>
          </w:tcPr>
          <w:p w14:paraId="35D0B1D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1D7"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center"/>
          </w:tcPr>
          <w:p w14:paraId="35D0B1D8" w14:textId="77777777" w:rsidR="00D42204" w:rsidRDefault="004E439D">
            <w:pPr>
              <w:jc w:val="center"/>
              <w:textAlignment w:val="center"/>
            </w:pPr>
            <w:r>
              <w:rPr>
                <w:rFonts w:ascii="Times New Roman" w:eastAsia="宋体" w:hAnsi="Times New Roman"/>
                <w:color w:val="000000"/>
                <w:sz w:val="16"/>
                <w:szCs w:val="16"/>
              </w:rPr>
              <w:t>0.3%</w:t>
            </w:r>
          </w:p>
        </w:tc>
      </w:tr>
      <w:tr w:rsidR="00D42204" w14:paraId="35D0B1E7" w14:textId="77777777">
        <w:tc>
          <w:tcPr>
            <w:tcW w:w="0" w:type="auto"/>
            <w:gridSpan w:val="3"/>
            <w:shd w:val="clear" w:color="auto" w:fill="FFFFFF"/>
            <w:tcMar>
              <w:top w:w="40" w:type="dxa"/>
              <w:left w:w="380" w:type="dxa"/>
              <w:bottom w:w="40" w:type="dxa"/>
              <w:right w:w="20" w:type="dxa"/>
            </w:tcMar>
            <w:vAlign w:val="center"/>
          </w:tcPr>
          <w:p w14:paraId="35D0B1DA" w14:textId="77777777" w:rsidR="00D42204" w:rsidRDefault="004E439D">
            <w:pPr>
              <w:textAlignment w:val="center"/>
            </w:pPr>
            <w:r>
              <w:rPr>
                <w:rFonts w:ascii="Times New Roman" w:eastAsia="宋体" w:hAnsi="Times New Roman"/>
                <w:color w:val="000000"/>
                <w:sz w:val="16"/>
                <w:szCs w:val="16"/>
              </w:rPr>
              <w:t>Variable</w:t>
            </w:r>
          </w:p>
        </w:tc>
        <w:tc>
          <w:tcPr>
            <w:tcW w:w="0" w:type="auto"/>
            <w:gridSpan w:val="3"/>
            <w:shd w:val="clear" w:color="auto" w:fill="FFFFFF"/>
            <w:tcMar>
              <w:top w:w="0" w:type="dxa"/>
              <w:left w:w="20" w:type="dxa"/>
              <w:bottom w:w="0" w:type="dxa"/>
              <w:right w:w="20" w:type="dxa"/>
            </w:tcMar>
            <w:vAlign w:val="bottom"/>
          </w:tcPr>
          <w:p w14:paraId="35D0B1DB"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DC"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D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1DE"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B1D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1E0"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E1"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E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1E3"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B1E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1E5"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E6" w14:textId="77777777" w:rsidR="00D42204" w:rsidRDefault="00D42204">
            <w:pPr>
              <w:rPr>
                <w:rFonts w:ascii="宋体"/>
              </w:rPr>
            </w:pPr>
          </w:p>
        </w:tc>
      </w:tr>
      <w:tr w:rsidR="00D42204" w14:paraId="35D0B1F5" w14:textId="77777777">
        <w:tc>
          <w:tcPr>
            <w:tcW w:w="0" w:type="auto"/>
            <w:gridSpan w:val="3"/>
            <w:shd w:val="clear" w:color="auto" w:fill="CCEEFF"/>
            <w:tcMar>
              <w:top w:w="40" w:type="dxa"/>
              <w:left w:w="605" w:type="dxa"/>
              <w:bottom w:w="40" w:type="dxa"/>
              <w:right w:w="20" w:type="dxa"/>
            </w:tcMar>
            <w:vAlign w:val="center"/>
          </w:tcPr>
          <w:p w14:paraId="35D0B1E8" w14:textId="77777777" w:rsidR="00D42204" w:rsidRDefault="004E439D">
            <w:pPr>
              <w:textAlignment w:val="center"/>
            </w:pPr>
            <w:r>
              <w:rPr>
                <w:rFonts w:ascii="Times New Roman" w:eastAsia="宋体" w:hAnsi="Times New Roman"/>
                <w:b/>
                <w:bCs/>
                <w:color w:val="000000"/>
                <w:sz w:val="16"/>
                <w:szCs w:val="16"/>
              </w:rPr>
              <w:t>Total</w:t>
            </w:r>
            <w:r>
              <w:rPr>
                <w:rFonts w:ascii="Times New Roman" w:eastAsia="宋体" w:hAnsi="Times New Roman"/>
                <w:b/>
                <w:bCs/>
                <w:color w:val="000000"/>
                <w:sz w:val="16"/>
                <w:szCs w:val="16"/>
              </w:rPr>
              <w:t xml:space="preserve"> Yen denominated</w:t>
            </w:r>
          </w:p>
        </w:tc>
        <w:tc>
          <w:tcPr>
            <w:tcW w:w="0" w:type="auto"/>
            <w:gridSpan w:val="3"/>
            <w:shd w:val="clear" w:color="auto" w:fill="CCEEFF"/>
            <w:tcMar>
              <w:top w:w="0" w:type="dxa"/>
              <w:left w:w="20" w:type="dxa"/>
              <w:bottom w:w="0" w:type="dxa"/>
              <w:right w:w="20" w:type="dxa"/>
            </w:tcMar>
            <w:vAlign w:val="bottom"/>
          </w:tcPr>
          <w:p w14:paraId="35D0B1E9"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E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EB"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B1EC" w14:textId="77777777" w:rsidR="00D42204" w:rsidRDefault="004E439D">
            <w:pPr>
              <w:jc w:val="right"/>
              <w:textAlignment w:val="center"/>
            </w:pPr>
            <w:r>
              <w:rPr>
                <w:rFonts w:ascii="Times New Roman" w:eastAsia="宋体" w:hAnsi="Times New Roman"/>
                <w:color w:val="000000"/>
                <w:sz w:val="16"/>
                <w:szCs w:val="16"/>
              </w:rPr>
              <w:t>1,475 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1E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1EE"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EF"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F0"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B1F1" w14:textId="77777777" w:rsidR="00D42204" w:rsidRDefault="004E439D">
            <w:pPr>
              <w:jc w:val="right"/>
              <w:textAlignment w:val="center"/>
            </w:pPr>
            <w:r>
              <w:rPr>
                <w:rFonts w:ascii="Times New Roman" w:eastAsia="宋体" w:hAnsi="Times New Roman"/>
                <w:color w:val="000000"/>
                <w:sz w:val="16"/>
                <w:szCs w:val="16"/>
              </w:rPr>
              <w:t>1,624 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1F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1F3"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1F4" w14:textId="77777777" w:rsidR="00D42204" w:rsidRDefault="00D42204">
            <w:pPr>
              <w:rPr>
                <w:rFonts w:ascii="宋体"/>
              </w:rPr>
            </w:pPr>
          </w:p>
        </w:tc>
      </w:tr>
      <w:tr w:rsidR="00D42204" w14:paraId="35D0B203" w14:textId="77777777">
        <w:tc>
          <w:tcPr>
            <w:tcW w:w="0" w:type="auto"/>
            <w:gridSpan w:val="3"/>
            <w:shd w:val="clear" w:color="auto" w:fill="FFFFFF"/>
            <w:tcMar>
              <w:top w:w="40" w:type="dxa"/>
              <w:left w:w="20" w:type="dxa"/>
              <w:bottom w:w="40" w:type="dxa"/>
              <w:right w:w="20" w:type="dxa"/>
            </w:tcMar>
            <w:vAlign w:val="center"/>
          </w:tcPr>
          <w:p w14:paraId="35D0B1F6" w14:textId="77777777" w:rsidR="00D42204" w:rsidRDefault="004E439D">
            <w:pPr>
              <w:textAlignment w:val="center"/>
            </w:pPr>
            <w:r>
              <w:rPr>
                <w:rFonts w:ascii="Times New Roman" w:eastAsia="宋体" w:hAnsi="Times New Roman"/>
                <w:b/>
                <w:bCs/>
                <w:color w:val="000000"/>
                <w:sz w:val="16"/>
                <w:szCs w:val="16"/>
              </w:rPr>
              <w:t>Total unsecured debt</w:t>
            </w:r>
          </w:p>
        </w:tc>
        <w:tc>
          <w:tcPr>
            <w:tcW w:w="0" w:type="auto"/>
            <w:gridSpan w:val="3"/>
            <w:shd w:val="clear" w:color="auto" w:fill="FFFFFF"/>
            <w:tcMar>
              <w:top w:w="0" w:type="dxa"/>
              <w:left w:w="20" w:type="dxa"/>
              <w:bottom w:w="0" w:type="dxa"/>
              <w:right w:w="20" w:type="dxa"/>
            </w:tcMar>
            <w:vAlign w:val="bottom"/>
          </w:tcPr>
          <w:p w14:paraId="35D0B1F7"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F8"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F9"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B1FA" w14:textId="77777777" w:rsidR="00D42204" w:rsidRDefault="004E439D">
            <w:pPr>
              <w:jc w:val="right"/>
              <w:textAlignment w:val="center"/>
            </w:pPr>
            <w:r>
              <w:rPr>
                <w:rFonts w:ascii="Times New Roman" w:eastAsia="宋体" w:hAnsi="Times New Roman"/>
                <w:color w:val="000000"/>
                <w:sz w:val="16"/>
                <w:szCs w:val="16"/>
              </w:rPr>
              <w:t>37,820 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B1F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1FC"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FD"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1FE"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B1FF" w14:textId="77777777" w:rsidR="00D42204" w:rsidRDefault="004E439D">
            <w:pPr>
              <w:jc w:val="right"/>
              <w:textAlignment w:val="center"/>
            </w:pPr>
            <w:r>
              <w:rPr>
                <w:rFonts w:ascii="Times New Roman" w:eastAsia="宋体" w:hAnsi="Times New Roman"/>
                <w:color w:val="000000"/>
                <w:sz w:val="16"/>
                <w:szCs w:val="16"/>
              </w:rPr>
              <w:t>44,306 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B20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201"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202" w14:textId="77777777" w:rsidR="00D42204" w:rsidRDefault="00D42204">
            <w:pPr>
              <w:rPr>
                <w:rFonts w:ascii="宋体"/>
              </w:rPr>
            </w:pPr>
          </w:p>
        </w:tc>
      </w:tr>
      <w:tr w:rsidR="00D42204" w14:paraId="35D0B211" w14:textId="77777777">
        <w:tc>
          <w:tcPr>
            <w:tcW w:w="0" w:type="auto"/>
            <w:gridSpan w:val="3"/>
            <w:shd w:val="clear" w:color="auto" w:fill="CCEEFF"/>
            <w:tcMar>
              <w:top w:w="40" w:type="dxa"/>
              <w:left w:w="20" w:type="dxa"/>
              <w:bottom w:w="40" w:type="dxa"/>
              <w:right w:w="20" w:type="dxa"/>
            </w:tcMar>
            <w:vAlign w:val="bottom"/>
          </w:tcPr>
          <w:p w14:paraId="35D0B204" w14:textId="77777777" w:rsidR="00D42204" w:rsidRDefault="004E439D">
            <w:pPr>
              <w:textAlignment w:val="bottom"/>
            </w:pPr>
            <w:r>
              <w:rPr>
                <w:rFonts w:ascii="Times New Roman" w:eastAsia="宋体" w:hAnsi="Times New Roman"/>
                <w:b/>
                <w:bCs/>
                <w:color w:val="000000"/>
                <w:sz w:val="16"/>
                <w:szCs w:val="16"/>
              </w:rPr>
              <w:t>Total other</w:t>
            </w:r>
            <w:r>
              <w:rPr>
                <w:rFonts w:ascii="Times New Roman" w:eastAsia="宋体" w:hAnsi="Times New Roman"/>
                <w:b/>
                <w:bCs/>
                <w:color w:val="000000"/>
                <w:sz w:val="10"/>
                <w:szCs w:val="10"/>
              </w:rPr>
              <w:t>(2)</w:t>
            </w:r>
          </w:p>
        </w:tc>
        <w:tc>
          <w:tcPr>
            <w:tcW w:w="0" w:type="auto"/>
            <w:gridSpan w:val="3"/>
            <w:shd w:val="clear" w:color="auto" w:fill="CCEEFF"/>
            <w:tcMar>
              <w:top w:w="0" w:type="dxa"/>
              <w:left w:w="20" w:type="dxa"/>
              <w:bottom w:w="0" w:type="dxa"/>
              <w:right w:w="20" w:type="dxa"/>
            </w:tcMar>
            <w:vAlign w:val="bottom"/>
          </w:tcPr>
          <w:p w14:paraId="35D0B205"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206"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20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208" w14:textId="77777777" w:rsidR="00D42204" w:rsidRDefault="004E439D">
            <w:pPr>
              <w:jc w:val="right"/>
              <w:textAlignment w:val="center"/>
            </w:pPr>
            <w:r>
              <w:rPr>
                <w:rFonts w:ascii="Times New Roman" w:eastAsia="宋体" w:hAnsi="Times New Roman"/>
                <w:color w:val="000000"/>
                <w:sz w:val="16"/>
                <w:szCs w:val="16"/>
              </w:rPr>
              <w:t>(153)</w:t>
            </w:r>
          </w:p>
        </w:tc>
        <w:tc>
          <w:tcPr>
            <w:tcW w:w="0" w:type="auto"/>
            <w:shd w:val="clear" w:color="auto" w:fill="CCEEFF"/>
            <w:tcMar>
              <w:top w:w="40" w:type="dxa"/>
              <w:left w:w="0" w:type="dxa"/>
              <w:bottom w:w="40" w:type="dxa"/>
              <w:right w:w="20" w:type="dxa"/>
            </w:tcMar>
            <w:vAlign w:val="center"/>
          </w:tcPr>
          <w:p w14:paraId="35D0B20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20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20B"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20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20D" w14:textId="77777777" w:rsidR="00D42204" w:rsidRDefault="004E439D">
            <w:pPr>
              <w:jc w:val="right"/>
              <w:textAlignment w:val="center"/>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center"/>
          </w:tcPr>
          <w:p w14:paraId="35D0B20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20F"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210" w14:textId="77777777" w:rsidR="00D42204" w:rsidRDefault="00D42204">
            <w:pPr>
              <w:rPr>
                <w:rFonts w:ascii="宋体"/>
              </w:rPr>
            </w:pPr>
          </w:p>
        </w:tc>
      </w:tr>
      <w:tr w:rsidR="00D42204" w14:paraId="35D0B21F" w14:textId="77777777">
        <w:tc>
          <w:tcPr>
            <w:tcW w:w="0" w:type="auto"/>
            <w:gridSpan w:val="3"/>
            <w:shd w:val="clear" w:color="auto" w:fill="FFFFFF"/>
            <w:tcMar>
              <w:top w:w="40" w:type="dxa"/>
              <w:left w:w="20" w:type="dxa"/>
              <w:bottom w:w="40" w:type="dxa"/>
              <w:right w:w="20" w:type="dxa"/>
            </w:tcMar>
            <w:vAlign w:val="center"/>
          </w:tcPr>
          <w:p w14:paraId="35D0B212" w14:textId="77777777" w:rsidR="00D42204" w:rsidRDefault="004E439D">
            <w:pPr>
              <w:textAlignment w:val="center"/>
            </w:pPr>
            <w:r>
              <w:rPr>
                <w:rFonts w:ascii="Times New Roman" w:eastAsia="宋体" w:hAnsi="Times New Roman"/>
                <w:b/>
                <w:bCs/>
                <w:color w:val="000000"/>
                <w:sz w:val="16"/>
                <w:szCs w:val="16"/>
              </w:rPr>
              <w:t>Total debt</w:t>
            </w:r>
          </w:p>
        </w:tc>
        <w:tc>
          <w:tcPr>
            <w:tcW w:w="0" w:type="auto"/>
            <w:gridSpan w:val="3"/>
            <w:shd w:val="clear" w:color="auto" w:fill="FFFFFF"/>
            <w:tcMar>
              <w:top w:w="0" w:type="dxa"/>
              <w:left w:w="20" w:type="dxa"/>
              <w:bottom w:w="0" w:type="dxa"/>
              <w:right w:w="20" w:type="dxa"/>
            </w:tcMar>
            <w:vAlign w:val="bottom"/>
          </w:tcPr>
          <w:p w14:paraId="35D0B213"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214"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215"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B216" w14:textId="77777777" w:rsidR="00D42204" w:rsidRDefault="004E439D">
            <w:pPr>
              <w:jc w:val="right"/>
              <w:textAlignment w:val="center"/>
            </w:pPr>
            <w:r>
              <w:rPr>
                <w:rFonts w:ascii="Times New Roman" w:eastAsia="宋体" w:hAnsi="Times New Roman"/>
                <w:color w:val="000000"/>
                <w:sz w:val="16"/>
                <w:szCs w:val="16"/>
              </w:rPr>
              <w:t>37,667 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B21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218"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219"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21A"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B21B" w14:textId="77777777" w:rsidR="00D42204" w:rsidRDefault="004E439D">
            <w:pPr>
              <w:jc w:val="right"/>
              <w:textAlignment w:val="center"/>
            </w:pPr>
            <w:r>
              <w:rPr>
                <w:rFonts w:ascii="Times New Roman" w:eastAsia="宋体" w:hAnsi="Times New Roman"/>
                <w:color w:val="000000"/>
                <w:sz w:val="16"/>
                <w:szCs w:val="16"/>
              </w:rPr>
              <w:t>44,309 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B21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21D"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21E" w14:textId="77777777" w:rsidR="00D42204" w:rsidRDefault="00D42204">
            <w:pPr>
              <w:rPr>
                <w:rFonts w:ascii="宋体"/>
              </w:rPr>
            </w:pPr>
          </w:p>
        </w:tc>
      </w:tr>
      <w:tr w:rsidR="00D42204" w14:paraId="35D0B22D" w14:textId="77777777">
        <w:tc>
          <w:tcPr>
            <w:tcW w:w="0" w:type="auto"/>
            <w:gridSpan w:val="3"/>
            <w:shd w:val="clear" w:color="auto" w:fill="CCEEFF"/>
            <w:tcMar>
              <w:top w:w="40" w:type="dxa"/>
              <w:left w:w="20" w:type="dxa"/>
              <w:bottom w:w="40" w:type="dxa"/>
              <w:right w:w="20" w:type="dxa"/>
            </w:tcMar>
            <w:vAlign w:val="center"/>
          </w:tcPr>
          <w:p w14:paraId="35D0B220" w14:textId="77777777" w:rsidR="00D42204" w:rsidRDefault="004E439D">
            <w:pPr>
              <w:textAlignment w:val="center"/>
            </w:pPr>
            <w:r>
              <w:rPr>
                <w:rFonts w:ascii="Times New Roman" w:eastAsia="宋体" w:hAnsi="Times New Roman"/>
                <w:color w:val="000000"/>
                <w:sz w:val="16"/>
                <w:szCs w:val="16"/>
              </w:rPr>
              <w:t>Less amounts due within one year</w:t>
            </w:r>
          </w:p>
        </w:tc>
        <w:tc>
          <w:tcPr>
            <w:tcW w:w="0" w:type="auto"/>
            <w:gridSpan w:val="3"/>
            <w:shd w:val="clear" w:color="auto" w:fill="CCEEFF"/>
            <w:tcMar>
              <w:top w:w="0" w:type="dxa"/>
              <w:left w:w="20" w:type="dxa"/>
              <w:bottom w:w="0" w:type="dxa"/>
              <w:right w:w="20" w:type="dxa"/>
            </w:tcMar>
            <w:vAlign w:val="bottom"/>
          </w:tcPr>
          <w:p w14:paraId="35D0B221"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22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22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224" w14:textId="77777777" w:rsidR="00D42204" w:rsidRDefault="004E439D">
            <w:pPr>
              <w:jc w:val="right"/>
              <w:textAlignment w:val="center"/>
            </w:pPr>
            <w:r>
              <w:rPr>
                <w:rFonts w:ascii="Times New Roman" w:eastAsia="宋体" w:hAnsi="Times New Roman"/>
                <w:color w:val="000000"/>
                <w:sz w:val="16"/>
                <w:szCs w:val="16"/>
              </w:rPr>
              <w:t>(2,803)</w:t>
            </w:r>
          </w:p>
        </w:tc>
        <w:tc>
          <w:tcPr>
            <w:tcW w:w="0" w:type="auto"/>
            <w:shd w:val="clear" w:color="auto" w:fill="CCEEFF"/>
            <w:tcMar>
              <w:top w:w="40" w:type="dxa"/>
              <w:left w:w="0" w:type="dxa"/>
              <w:bottom w:w="40" w:type="dxa"/>
              <w:right w:w="20" w:type="dxa"/>
            </w:tcMar>
            <w:vAlign w:val="center"/>
          </w:tcPr>
          <w:p w14:paraId="35D0B22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226"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227"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22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229" w14:textId="77777777" w:rsidR="00D42204" w:rsidRDefault="004E439D">
            <w:pPr>
              <w:jc w:val="right"/>
              <w:textAlignment w:val="center"/>
            </w:pPr>
            <w:r>
              <w:rPr>
                <w:rFonts w:ascii="Times New Roman" w:eastAsia="宋体" w:hAnsi="Times New Roman"/>
                <w:color w:val="000000"/>
                <w:sz w:val="16"/>
                <w:szCs w:val="16"/>
              </w:rPr>
              <w:t>(3,115)</w:t>
            </w:r>
          </w:p>
        </w:tc>
        <w:tc>
          <w:tcPr>
            <w:tcW w:w="0" w:type="auto"/>
            <w:shd w:val="clear" w:color="auto" w:fill="CCEEFF"/>
            <w:tcMar>
              <w:top w:w="40" w:type="dxa"/>
              <w:left w:w="0" w:type="dxa"/>
              <w:bottom w:w="40" w:type="dxa"/>
              <w:right w:w="20" w:type="dxa"/>
            </w:tcMar>
            <w:vAlign w:val="center"/>
          </w:tcPr>
          <w:p w14:paraId="35D0B22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22B"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22C" w14:textId="77777777" w:rsidR="00D42204" w:rsidRDefault="00D42204">
            <w:pPr>
              <w:rPr>
                <w:rFonts w:ascii="宋体"/>
              </w:rPr>
            </w:pPr>
          </w:p>
        </w:tc>
      </w:tr>
      <w:tr w:rsidR="00D42204" w14:paraId="35D0B23D" w14:textId="77777777">
        <w:tc>
          <w:tcPr>
            <w:tcW w:w="0" w:type="auto"/>
            <w:gridSpan w:val="3"/>
            <w:shd w:val="clear" w:color="auto" w:fill="FFFFFF"/>
            <w:tcMar>
              <w:top w:w="40" w:type="dxa"/>
              <w:left w:w="20" w:type="dxa"/>
              <w:bottom w:w="40" w:type="dxa"/>
              <w:right w:w="20" w:type="dxa"/>
            </w:tcMar>
            <w:vAlign w:val="center"/>
          </w:tcPr>
          <w:p w14:paraId="35D0B22E" w14:textId="77777777" w:rsidR="00D42204" w:rsidRDefault="004E439D">
            <w:pPr>
              <w:textAlignment w:val="center"/>
            </w:pPr>
            <w:r>
              <w:rPr>
                <w:rFonts w:ascii="Times New Roman" w:eastAsia="宋体" w:hAnsi="Times New Roman"/>
                <w:b/>
                <w:bCs/>
                <w:color w:val="000000"/>
                <w:sz w:val="16"/>
                <w:szCs w:val="16"/>
              </w:rPr>
              <w:t xml:space="preserve">Long-term </w:t>
            </w:r>
            <w:r>
              <w:rPr>
                <w:rFonts w:ascii="Times New Roman" w:eastAsia="宋体" w:hAnsi="Times New Roman"/>
                <w:b/>
                <w:bCs/>
                <w:color w:val="000000"/>
                <w:sz w:val="16"/>
                <w:szCs w:val="16"/>
              </w:rPr>
              <w:t>debt</w:t>
            </w:r>
          </w:p>
        </w:tc>
        <w:tc>
          <w:tcPr>
            <w:tcW w:w="0" w:type="auto"/>
            <w:gridSpan w:val="3"/>
            <w:shd w:val="clear" w:color="auto" w:fill="FFFFFF"/>
            <w:tcMar>
              <w:top w:w="0" w:type="dxa"/>
              <w:left w:w="20" w:type="dxa"/>
              <w:bottom w:w="0" w:type="dxa"/>
              <w:right w:w="20" w:type="dxa"/>
            </w:tcMar>
            <w:vAlign w:val="bottom"/>
          </w:tcPr>
          <w:p w14:paraId="35D0B22F"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230"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231"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B232"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B233" w14:textId="77777777" w:rsidR="00D42204" w:rsidRDefault="004E439D">
            <w:pPr>
              <w:jc w:val="right"/>
              <w:textAlignment w:val="center"/>
            </w:pPr>
            <w:r>
              <w:rPr>
                <w:rFonts w:ascii="Times New Roman" w:eastAsia="宋体" w:hAnsi="Times New Roman"/>
                <w:color w:val="000000"/>
                <w:sz w:val="16"/>
                <w:szCs w:val="16"/>
              </w:rPr>
              <w:t>34,864 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B23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235"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236"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237"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B238"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B239" w14:textId="77777777" w:rsidR="00D42204" w:rsidRDefault="004E439D">
            <w:pPr>
              <w:jc w:val="right"/>
              <w:textAlignment w:val="center"/>
            </w:pPr>
            <w:r>
              <w:rPr>
                <w:rFonts w:ascii="Times New Roman" w:eastAsia="宋体" w:hAnsi="Times New Roman"/>
                <w:color w:val="000000"/>
                <w:sz w:val="16"/>
                <w:szCs w:val="16"/>
              </w:rPr>
              <w:t>41,194 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B23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23B"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23C" w14:textId="77777777" w:rsidR="00D42204" w:rsidRDefault="00D42204">
            <w:pPr>
              <w:rPr>
                <w:rFonts w:ascii="宋体"/>
              </w:rPr>
            </w:pPr>
          </w:p>
        </w:tc>
      </w:tr>
    </w:tbl>
    <w:p w14:paraId="35D0B23E" w14:textId="77777777" w:rsidR="00D42204" w:rsidRDefault="004E439D">
      <w:pPr>
        <w:ind w:hanging="36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The average rate represents the weighted-average stated rate for each corresponding debt category, based on year-end balances and year-end interest rates. </w:t>
      </w:r>
    </w:p>
    <w:p w14:paraId="35D0B23F" w14:textId="77777777" w:rsidR="00D42204" w:rsidRDefault="004E439D">
      <w:pPr>
        <w:ind w:hanging="360"/>
      </w:pPr>
      <w:r>
        <w:rPr>
          <w:rFonts w:ascii="Times New Roman" w:eastAsia="宋体" w:hAnsi="Times New Roman"/>
          <w:color w:val="000000"/>
          <w:sz w:val="10"/>
          <w:szCs w:val="10"/>
        </w:rPr>
        <w:t>(2)</w:t>
      </w:r>
      <w:r>
        <w:rPr>
          <w:rFonts w:ascii="Times New Roman" w:eastAsia="宋体" w:hAnsi="Times New Roman"/>
          <w:color w:val="000000"/>
          <w:sz w:val="16"/>
          <w:szCs w:val="16"/>
        </w:rPr>
        <w:t xml:space="preserve">Includes deferred loan costs, discounts, fair value hedges, foreign-held debt and secured debt. </w:t>
      </w:r>
    </w:p>
    <w:p w14:paraId="35D0B240" w14:textId="77777777" w:rsidR="00D42204" w:rsidRDefault="004E439D">
      <w:pPr>
        <w:spacing w:before="180"/>
      </w:pPr>
      <w:r>
        <w:rPr>
          <w:rFonts w:ascii="Times New Roman" w:eastAsia="宋体" w:hAnsi="Times New Roman"/>
          <w:color w:val="000000"/>
          <w:sz w:val="20"/>
          <w:szCs w:val="20"/>
        </w:rPr>
        <w:t>Annual maturities of long-term debt during the next five years and thereafter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825"/>
        <w:gridCol w:w="36"/>
        <w:gridCol w:w="36"/>
        <w:gridCol w:w="36"/>
        <w:gridCol w:w="36"/>
        <w:gridCol w:w="101"/>
        <w:gridCol w:w="1179"/>
        <w:gridCol w:w="36"/>
      </w:tblGrid>
      <w:tr w:rsidR="00D42204" w14:paraId="35D0B24A" w14:textId="77777777">
        <w:trPr>
          <w:jc w:val="center"/>
        </w:trPr>
        <w:tc>
          <w:tcPr>
            <w:tcW w:w="50" w:type="pct"/>
            <w:shd w:val="clear" w:color="auto" w:fill="auto"/>
            <w:vAlign w:val="bottom"/>
          </w:tcPr>
          <w:p w14:paraId="35D0B241" w14:textId="77777777" w:rsidR="00D42204" w:rsidRDefault="00D42204">
            <w:pPr>
              <w:rPr>
                <w:rFonts w:ascii="宋体"/>
              </w:rPr>
            </w:pPr>
          </w:p>
        </w:tc>
        <w:tc>
          <w:tcPr>
            <w:tcW w:w="4111" w:type="pct"/>
            <w:shd w:val="clear" w:color="auto" w:fill="auto"/>
            <w:vAlign w:val="bottom"/>
          </w:tcPr>
          <w:p w14:paraId="35D0B242" w14:textId="77777777" w:rsidR="00D42204" w:rsidRDefault="00D42204">
            <w:pPr>
              <w:rPr>
                <w:rFonts w:ascii="宋体"/>
              </w:rPr>
            </w:pPr>
          </w:p>
        </w:tc>
        <w:tc>
          <w:tcPr>
            <w:tcW w:w="5" w:type="pct"/>
            <w:shd w:val="clear" w:color="auto" w:fill="auto"/>
            <w:vAlign w:val="bottom"/>
          </w:tcPr>
          <w:p w14:paraId="35D0B243" w14:textId="77777777" w:rsidR="00D42204" w:rsidRDefault="00D42204">
            <w:pPr>
              <w:rPr>
                <w:rFonts w:ascii="宋体"/>
              </w:rPr>
            </w:pPr>
          </w:p>
        </w:tc>
        <w:tc>
          <w:tcPr>
            <w:tcW w:w="5" w:type="pct"/>
            <w:shd w:val="clear" w:color="auto" w:fill="auto"/>
            <w:vAlign w:val="bottom"/>
          </w:tcPr>
          <w:p w14:paraId="35D0B244" w14:textId="77777777" w:rsidR="00D42204" w:rsidRDefault="00D42204">
            <w:pPr>
              <w:rPr>
                <w:rFonts w:ascii="宋体"/>
              </w:rPr>
            </w:pPr>
          </w:p>
        </w:tc>
        <w:tc>
          <w:tcPr>
            <w:tcW w:w="26" w:type="pct"/>
            <w:shd w:val="clear" w:color="auto" w:fill="auto"/>
            <w:vAlign w:val="bottom"/>
          </w:tcPr>
          <w:p w14:paraId="35D0B245" w14:textId="77777777" w:rsidR="00D42204" w:rsidRDefault="00D42204">
            <w:pPr>
              <w:rPr>
                <w:rFonts w:ascii="宋体"/>
              </w:rPr>
            </w:pPr>
          </w:p>
        </w:tc>
        <w:tc>
          <w:tcPr>
            <w:tcW w:w="5" w:type="pct"/>
            <w:shd w:val="clear" w:color="auto" w:fill="auto"/>
            <w:vAlign w:val="bottom"/>
          </w:tcPr>
          <w:p w14:paraId="35D0B246" w14:textId="77777777" w:rsidR="00D42204" w:rsidRDefault="00D42204">
            <w:pPr>
              <w:rPr>
                <w:rFonts w:ascii="宋体"/>
              </w:rPr>
            </w:pPr>
          </w:p>
        </w:tc>
        <w:tc>
          <w:tcPr>
            <w:tcW w:w="50" w:type="pct"/>
            <w:shd w:val="clear" w:color="auto" w:fill="auto"/>
            <w:vAlign w:val="bottom"/>
          </w:tcPr>
          <w:p w14:paraId="35D0B247" w14:textId="77777777" w:rsidR="00D42204" w:rsidRDefault="00D42204">
            <w:pPr>
              <w:rPr>
                <w:rFonts w:ascii="宋体"/>
              </w:rPr>
            </w:pPr>
          </w:p>
        </w:tc>
        <w:tc>
          <w:tcPr>
            <w:tcW w:w="741" w:type="pct"/>
            <w:shd w:val="clear" w:color="auto" w:fill="auto"/>
            <w:vAlign w:val="bottom"/>
          </w:tcPr>
          <w:p w14:paraId="35D0B248" w14:textId="77777777" w:rsidR="00D42204" w:rsidRDefault="00D42204">
            <w:pPr>
              <w:rPr>
                <w:rFonts w:ascii="宋体"/>
              </w:rPr>
            </w:pPr>
          </w:p>
        </w:tc>
        <w:tc>
          <w:tcPr>
            <w:tcW w:w="5" w:type="pct"/>
            <w:shd w:val="clear" w:color="auto" w:fill="auto"/>
            <w:vAlign w:val="bottom"/>
          </w:tcPr>
          <w:p w14:paraId="35D0B249" w14:textId="77777777" w:rsidR="00D42204" w:rsidRDefault="00D42204">
            <w:pPr>
              <w:rPr>
                <w:rFonts w:ascii="宋体"/>
              </w:rPr>
            </w:pPr>
          </w:p>
        </w:tc>
      </w:tr>
      <w:tr w:rsidR="00D42204" w14:paraId="35D0B24E" w14:textId="77777777">
        <w:trPr>
          <w:jc w:val="center"/>
        </w:trPr>
        <w:tc>
          <w:tcPr>
            <w:tcW w:w="0" w:type="auto"/>
            <w:gridSpan w:val="3"/>
            <w:shd w:val="clear" w:color="auto" w:fill="auto"/>
            <w:tcMar>
              <w:top w:w="40" w:type="dxa"/>
              <w:left w:w="20" w:type="dxa"/>
              <w:bottom w:w="40" w:type="dxa"/>
              <w:right w:w="20" w:type="dxa"/>
            </w:tcMar>
            <w:vAlign w:val="bottom"/>
          </w:tcPr>
          <w:p w14:paraId="35D0B24B"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24C"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24D" w14:textId="77777777" w:rsidR="00D42204" w:rsidRDefault="004E439D">
            <w:pPr>
              <w:jc w:val="center"/>
              <w:textAlignment w:val="bottom"/>
            </w:pPr>
            <w:r>
              <w:rPr>
                <w:rFonts w:ascii="Times New Roman" w:eastAsia="宋体" w:hAnsi="Times New Roman"/>
                <w:b/>
                <w:bCs/>
                <w:color w:val="000000"/>
                <w:sz w:val="16"/>
                <w:szCs w:val="16"/>
              </w:rPr>
              <w:t>Annual</w:t>
            </w:r>
          </w:p>
        </w:tc>
      </w:tr>
      <w:tr w:rsidR="00D42204" w14:paraId="35D0B252" w14:textId="77777777">
        <w:trPr>
          <w:jc w:val="center"/>
        </w:trPr>
        <w:tc>
          <w:tcPr>
            <w:tcW w:w="0" w:type="auto"/>
            <w:gridSpan w:val="3"/>
            <w:shd w:val="clear" w:color="auto" w:fill="auto"/>
            <w:tcMar>
              <w:top w:w="40" w:type="dxa"/>
              <w:left w:w="20" w:type="dxa"/>
              <w:bottom w:w="40" w:type="dxa"/>
              <w:right w:w="20" w:type="dxa"/>
            </w:tcMar>
            <w:vAlign w:val="bottom"/>
          </w:tcPr>
          <w:p w14:paraId="35D0B24F" w14:textId="77777777" w:rsidR="00D42204" w:rsidRDefault="004E439D">
            <w:pPr>
              <w:textAlignment w:val="bottom"/>
            </w:pPr>
            <w:r>
              <w:rPr>
                <w:rFonts w:ascii="Times New Roman" w:eastAsia="宋体" w:hAnsi="Times New Roman"/>
                <w:b/>
                <w:bCs/>
                <w:color w:val="000000"/>
                <w:sz w:val="16"/>
                <w:szCs w:val="16"/>
              </w:rPr>
              <w:t>Fiscal Year</w:t>
            </w:r>
          </w:p>
        </w:tc>
        <w:tc>
          <w:tcPr>
            <w:tcW w:w="0" w:type="auto"/>
            <w:gridSpan w:val="3"/>
            <w:shd w:val="clear" w:color="auto" w:fill="auto"/>
            <w:tcMar>
              <w:top w:w="0" w:type="dxa"/>
              <w:left w:w="20" w:type="dxa"/>
              <w:bottom w:w="0" w:type="dxa"/>
              <w:right w:w="20" w:type="dxa"/>
            </w:tcMar>
            <w:vAlign w:val="bottom"/>
          </w:tcPr>
          <w:p w14:paraId="35D0B250"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251" w14:textId="77777777" w:rsidR="00D42204" w:rsidRDefault="004E439D">
            <w:pPr>
              <w:jc w:val="center"/>
              <w:textAlignment w:val="bottom"/>
            </w:pPr>
            <w:r>
              <w:rPr>
                <w:rFonts w:ascii="Times New Roman" w:eastAsia="宋体" w:hAnsi="Times New Roman"/>
                <w:b/>
                <w:bCs/>
                <w:color w:val="000000"/>
                <w:sz w:val="16"/>
                <w:szCs w:val="16"/>
              </w:rPr>
              <w:t>Maturities</w:t>
            </w:r>
          </w:p>
        </w:tc>
      </w:tr>
      <w:tr w:rsidR="00D42204" w14:paraId="35D0B258" w14:textId="77777777">
        <w:trPr>
          <w:jc w:val="center"/>
        </w:trPr>
        <w:tc>
          <w:tcPr>
            <w:tcW w:w="0" w:type="auto"/>
            <w:gridSpan w:val="3"/>
            <w:shd w:val="clear" w:color="auto" w:fill="CCEEFF"/>
            <w:tcMar>
              <w:top w:w="40" w:type="dxa"/>
              <w:left w:w="20" w:type="dxa"/>
              <w:bottom w:w="40" w:type="dxa"/>
              <w:right w:w="20" w:type="dxa"/>
            </w:tcMar>
            <w:vAlign w:val="center"/>
          </w:tcPr>
          <w:p w14:paraId="35D0B253" w14:textId="77777777" w:rsidR="00D42204" w:rsidRDefault="004E439D">
            <w:pPr>
              <w:textAlignment w:val="center"/>
            </w:pPr>
            <w:r>
              <w:rPr>
                <w:rFonts w:ascii="Times New Roman" w:eastAsia="宋体" w:hAnsi="Times New Roman"/>
                <w:color w:val="000000"/>
                <w:sz w:val="16"/>
                <w:szCs w:val="16"/>
              </w:rPr>
              <w:t>2023</w:t>
            </w:r>
          </w:p>
        </w:tc>
        <w:tc>
          <w:tcPr>
            <w:tcW w:w="0" w:type="auto"/>
            <w:gridSpan w:val="3"/>
            <w:shd w:val="clear" w:color="auto" w:fill="CCEEFF"/>
            <w:tcMar>
              <w:top w:w="0" w:type="dxa"/>
              <w:left w:w="20" w:type="dxa"/>
              <w:bottom w:w="0" w:type="dxa"/>
              <w:right w:w="20" w:type="dxa"/>
            </w:tcMar>
            <w:vAlign w:val="bottom"/>
          </w:tcPr>
          <w:p w14:paraId="35D0B254"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255"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256" w14:textId="77777777" w:rsidR="00D42204" w:rsidRDefault="004E439D">
            <w:pPr>
              <w:jc w:val="right"/>
              <w:textAlignment w:val="center"/>
            </w:pPr>
            <w:r>
              <w:rPr>
                <w:rFonts w:ascii="Times New Roman" w:eastAsia="宋体" w:hAnsi="Times New Roman"/>
                <w:color w:val="000000"/>
                <w:sz w:val="16"/>
                <w:szCs w:val="16"/>
              </w:rPr>
              <w:t>2,803 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257" w14:textId="77777777" w:rsidR="00D42204" w:rsidRDefault="00D42204">
            <w:pPr>
              <w:jc w:val="right"/>
              <w:rPr>
                <w:rFonts w:ascii="宋体"/>
              </w:rPr>
            </w:pPr>
          </w:p>
        </w:tc>
      </w:tr>
      <w:tr w:rsidR="00D42204" w14:paraId="35D0B25D" w14:textId="77777777">
        <w:trPr>
          <w:jc w:val="center"/>
        </w:trPr>
        <w:tc>
          <w:tcPr>
            <w:tcW w:w="0" w:type="auto"/>
            <w:gridSpan w:val="3"/>
            <w:shd w:val="clear" w:color="auto" w:fill="FFFFFF"/>
            <w:tcMar>
              <w:top w:w="40" w:type="dxa"/>
              <w:left w:w="20" w:type="dxa"/>
              <w:bottom w:w="40" w:type="dxa"/>
              <w:right w:w="20" w:type="dxa"/>
            </w:tcMar>
            <w:vAlign w:val="center"/>
          </w:tcPr>
          <w:p w14:paraId="35D0B259" w14:textId="77777777" w:rsidR="00D42204" w:rsidRDefault="004E439D">
            <w:pPr>
              <w:textAlignment w:val="center"/>
            </w:pPr>
            <w:r>
              <w:rPr>
                <w:rFonts w:ascii="Times New Roman" w:eastAsia="宋体" w:hAnsi="Times New Roman"/>
                <w:color w:val="000000"/>
                <w:sz w:val="16"/>
                <w:szCs w:val="16"/>
              </w:rPr>
              <w:t>2024</w:t>
            </w:r>
          </w:p>
        </w:tc>
        <w:tc>
          <w:tcPr>
            <w:tcW w:w="0" w:type="auto"/>
            <w:gridSpan w:val="3"/>
            <w:shd w:val="clear" w:color="auto" w:fill="FFFFFF"/>
            <w:tcMar>
              <w:top w:w="0" w:type="dxa"/>
              <w:left w:w="20" w:type="dxa"/>
              <w:bottom w:w="0" w:type="dxa"/>
              <w:right w:w="20" w:type="dxa"/>
            </w:tcMar>
            <w:vAlign w:val="bottom"/>
          </w:tcPr>
          <w:p w14:paraId="35D0B25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25B" w14:textId="77777777" w:rsidR="00D42204" w:rsidRDefault="004E439D">
            <w:pPr>
              <w:jc w:val="right"/>
              <w:textAlignment w:val="center"/>
            </w:pPr>
            <w:r>
              <w:rPr>
                <w:rFonts w:ascii="Times New Roman" w:eastAsia="宋体" w:hAnsi="Times New Roman"/>
                <w:color w:val="000000"/>
                <w:sz w:val="16"/>
                <w:szCs w:val="16"/>
              </w:rPr>
              <w:t>4,224 </w:t>
            </w:r>
          </w:p>
        </w:tc>
        <w:tc>
          <w:tcPr>
            <w:tcW w:w="0" w:type="auto"/>
            <w:shd w:val="clear" w:color="auto" w:fill="FFFFFF"/>
            <w:tcMar>
              <w:top w:w="40" w:type="dxa"/>
              <w:left w:w="0" w:type="dxa"/>
              <w:bottom w:w="40" w:type="dxa"/>
              <w:right w:w="20" w:type="dxa"/>
            </w:tcMar>
            <w:vAlign w:val="center"/>
          </w:tcPr>
          <w:p w14:paraId="35D0B25C" w14:textId="77777777" w:rsidR="00D42204" w:rsidRDefault="00D42204">
            <w:pPr>
              <w:jc w:val="right"/>
              <w:rPr>
                <w:rFonts w:ascii="宋体"/>
              </w:rPr>
            </w:pPr>
          </w:p>
        </w:tc>
      </w:tr>
      <w:tr w:rsidR="00D42204" w14:paraId="35D0B262" w14:textId="77777777">
        <w:trPr>
          <w:jc w:val="center"/>
        </w:trPr>
        <w:tc>
          <w:tcPr>
            <w:tcW w:w="0" w:type="auto"/>
            <w:gridSpan w:val="3"/>
            <w:shd w:val="clear" w:color="auto" w:fill="CCEEFF"/>
            <w:tcMar>
              <w:top w:w="40" w:type="dxa"/>
              <w:left w:w="20" w:type="dxa"/>
              <w:bottom w:w="40" w:type="dxa"/>
              <w:right w:w="20" w:type="dxa"/>
            </w:tcMar>
            <w:vAlign w:val="center"/>
          </w:tcPr>
          <w:p w14:paraId="35D0B25E" w14:textId="77777777" w:rsidR="00D42204" w:rsidRDefault="004E439D">
            <w:pPr>
              <w:textAlignment w:val="center"/>
            </w:pPr>
            <w:r>
              <w:rPr>
                <w:rFonts w:ascii="Times New Roman" w:eastAsia="宋体" w:hAnsi="Times New Roman"/>
                <w:color w:val="000000"/>
                <w:sz w:val="16"/>
                <w:szCs w:val="16"/>
              </w:rPr>
              <w:t>2025</w:t>
            </w:r>
          </w:p>
        </w:tc>
        <w:tc>
          <w:tcPr>
            <w:tcW w:w="0" w:type="auto"/>
            <w:gridSpan w:val="3"/>
            <w:shd w:val="clear" w:color="auto" w:fill="CCEEFF"/>
            <w:tcMar>
              <w:top w:w="0" w:type="dxa"/>
              <w:left w:w="20" w:type="dxa"/>
              <w:bottom w:w="0" w:type="dxa"/>
              <w:right w:w="20" w:type="dxa"/>
            </w:tcMar>
            <w:vAlign w:val="bottom"/>
          </w:tcPr>
          <w:p w14:paraId="35D0B25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260" w14:textId="77777777" w:rsidR="00D42204" w:rsidRDefault="004E439D">
            <w:pPr>
              <w:jc w:val="right"/>
              <w:textAlignment w:val="center"/>
            </w:pPr>
            <w:r>
              <w:rPr>
                <w:rFonts w:ascii="Times New Roman" w:eastAsia="宋体" w:hAnsi="Times New Roman"/>
                <w:color w:val="000000"/>
                <w:sz w:val="16"/>
                <w:szCs w:val="16"/>
              </w:rPr>
              <w:t>3,565 </w:t>
            </w:r>
          </w:p>
        </w:tc>
        <w:tc>
          <w:tcPr>
            <w:tcW w:w="0" w:type="auto"/>
            <w:shd w:val="clear" w:color="auto" w:fill="CCEEFF"/>
            <w:tcMar>
              <w:top w:w="40" w:type="dxa"/>
              <w:left w:w="0" w:type="dxa"/>
              <w:bottom w:w="40" w:type="dxa"/>
              <w:right w:w="20" w:type="dxa"/>
            </w:tcMar>
            <w:vAlign w:val="center"/>
          </w:tcPr>
          <w:p w14:paraId="35D0B261" w14:textId="77777777" w:rsidR="00D42204" w:rsidRDefault="00D42204">
            <w:pPr>
              <w:jc w:val="right"/>
              <w:rPr>
                <w:rFonts w:ascii="宋体"/>
              </w:rPr>
            </w:pPr>
          </w:p>
        </w:tc>
      </w:tr>
      <w:tr w:rsidR="00D42204" w14:paraId="35D0B267" w14:textId="77777777">
        <w:trPr>
          <w:jc w:val="center"/>
        </w:trPr>
        <w:tc>
          <w:tcPr>
            <w:tcW w:w="0" w:type="auto"/>
            <w:gridSpan w:val="3"/>
            <w:shd w:val="clear" w:color="auto" w:fill="FFFFFF"/>
            <w:tcMar>
              <w:top w:w="40" w:type="dxa"/>
              <w:left w:w="20" w:type="dxa"/>
              <w:bottom w:w="40" w:type="dxa"/>
              <w:right w:w="20" w:type="dxa"/>
            </w:tcMar>
            <w:vAlign w:val="center"/>
          </w:tcPr>
          <w:p w14:paraId="35D0B263" w14:textId="77777777" w:rsidR="00D42204" w:rsidRDefault="004E439D">
            <w:pPr>
              <w:textAlignment w:val="center"/>
            </w:pPr>
            <w:r>
              <w:rPr>
                <w:rFonts w:ascii="Times New Roman" w:eastAsia="宋体" w:hAnsi="Times New Roman"/>
                <w:color w:val="000000"/>
                <w:sz w:val="16"/>
                <w:szCs w:val="16"/>
              </w:rPr>
              <w:t>2026</w:t>
            </w:r>
          </w:p>
        </w:tc>
        <w:tc>
          <w:tcPr>
            <w:tcW w:w="0" w:type="auto"/>
            <w:gridSpan w:val="3"/>
            <w:shd w:val="clear" w:color="auto" w:fill="FFFFFF"/>
            <w:tcMar>
              <w:top w:w="0" w:type="dxa"/>
              <w:left w:w="20" w:type="dxa"/>
              <w:bottom w:w="0" w:type="dxa"/>
              <w:right w:w="20" w:type="dxa"/>
            </w:tcMar>
            <w:vAlign w:val="bottom"/>
          </w:tcPr>
          <w:p w14:paraId="35D0B26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265" w14:textId="77777777" w:rsidR="00D42204" w:rsidRDefault="004E439D">
            <w:pPr>
              <w:jc w:val="right"/>
              <w:textAlignment w:val="center"/>
            </w:pPr>
            <w:r>
              <w:rPr>
                <w:rFonts w:ascii="Times New Roman" w:eastAsia="宋体" w:hAnsi="Times New Roman"/>
                <w:color w:val="000000"/>
                <w:sz w:val="16"/>
                <w:szCs w:val="16"/>
              </w:rPr>
              <w:t>857 </w:t>
            </w:r>
          </w:p>
        </w:tc>
        <w:tc>
          <w:tcPr>
            <w:tcW w:w="0" w:type="auto"/>
            <w:shd w:val="clear" w:color="auto" w:fill="FFFFFF"/>
            <w:tcMar>
              <w:top w:w="40" w:type="dxa"/>
              <w:left w:w="0" w:type="dxa"/>
              <w:bottom w:w="40" w:type="dxa"/>
              <w:right w:w="20" w:type="dxa"/>
            </w:tcMar>
            <w:vAlign w:val="center"/>
          </w:tcPr>
          <w:p w14:paraId="35D0B266" w14:textId="77777777" w:rsidR="00D42204" w:rsidRDefault="00D42204">
            <w:pPr>
              <w:jc w:val="right"/>
              <w:rPr>
                <w:rFonts w:ascii="宋体"/>
              </w:rPr>
            </w:pPr>
          </w:p>
        </w:tc>
      </w:tr>
      <w:tr w:rsidR="00D42204" w14:paraId="35D0B26C" w14:textId="77777777">
        <w:trPr>
          <w:jc w:val="center"/>
        </w:trPr>
        <w:tc>
          <w:tcPr>
            <w:tcW w:w="0" w:type="auto"/>
            <w:gridSpan w:val="3"/>
            <w:shd w:val="clear" w:color="auto" w:fill="CCEEFF"/>
            <w:tcMar>
              <w:top w:w="40" w:type="dxa"/>
              <w:left w:w="20" w:type="dxa"/>
              <w:bottom w:w="40" w:type="dxa"/>
              <w:right w:w="20" w:type="dxa"/>
            </w:tcMar>
            <w:vAlign w:val="center"/>
          </w:tcPr>
          <w:p w14:paraId="35D0B268" w14:textId="77777777" w:rsidR="00D42204" w:rsidRDefault="004E439D">
            <w:pPr>
              <w:textAlignment w:val="center"/>
            </w:pPr>
            <w:r>
              <w:rPr>
                <w:rFonts w:ascii="Times New Roman" w:eastAsia="宋体" w:hAnsi="Times New Roman"/>
                <w:color w:val="000000"/>
                <w:sz w:val="16"/>
                <w:szCs w:val="16"/>
              </w:rPr>
              <w:t>2027</w:t>
            </w:r>
          </w:p>
        </w:tc>
        <w:tc>
          <w:tcPr>
            <w:tcW w:w="0" w:type="auto"/>
            <w:gridSpan w:val="3"/>
            <w:shd w:val="clear" w:color="auto" w:fill="CCEEFF"/>
            <w:tcMar>
              <w:top w:w="0" w:type="dxa"/>
              <w:left w:w="20" w:type="dxa"/>
              <w:bottom w:w="0" w:type="dxa"/>
              <w:right w:w="20" w:type="dxa"/>
            </w:tcMar>
            <w:vAlign w:val="bottom"/>
          </w:tcPr>
          <w:p w14:paraId="35D0B26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26A" w14:textId="77777777" w:rsidR="00D42204" w:rsidRDefault="004E439D">
            <w:pPr>
              <w:jc w:val="right"/>
              <w:textAlignment w:val="center"/>
            </w:pPr>
            <w:r>
              <w:rPr>
                <w:rFonts w:ascii="Times New Roman" w:eastAsia="宋体" w:hAnsi="Times New Roman"/>
                <w:color w:val="000000"/>
                <w:sz w:val="16"/>
                <w:szCs w:val="16"/>
              </w:rPr>
              <w:t>2,757 </w:t>
            </w:r>
          </w:p>
        </w:tc>
        <w:tc>
          <w:tcPr>
            <w:tcW w:w="0" w:type="auto"/>
            <w:shd w:val="clear" w:color="auto" w:fill="CCEEFF"/>
            <w:tcMar>
              <w:top w:w="40" w:type="dxa"/>
              <w:left w:w="0" w:type="dxa"/>
              <w:bottom w:w="40" w:type="dxa"/>
              <w:right w:w="20" w:type="dxa"/>
            </w:tcMar>
            <w:vAlign w:val="center"/>
          </w:tcPr>
          <w:p w14:paraId="35D0B26B" w14:textId="77777777" w:rsidR="00D42204" w:rsidRDefault="00D42204">
            <w:pPr>
              <w:jc w:val="right"/>
              <w:rPr>
                <w:rFonts w:ascii="宋体"/>
              </w:rPr>
            </w:pPr>
          </w:p>
        </w:tc>
      </w:tr>
      <w:tr w:rsidR="00D42204" w14:paraId="35D0B271" w14:textId="77777777">
        <w:trPr>
          <w:jc w:val="center"/>
        </w:trPr>
        <w:tc>
          <w:tcPr>
            <w:tcW w:w="0" w:type="auto"/>
            <w:gridSpan w:val="3"/>
            <w:shd w:val="clear" w:color="auto" w:fill="FFFFFF"/>
            <w:tcMar>
              <w:top w:w="40" w:type="dxa"/>
              <w:left w:w="20" w:type="dxa"/>
              <w:bottom w:w="40" w:type="dxa"/>
              <w:right w:w="20" w:type="dxa"/>
            </w:tcMar>
            <w:vAlign w:val="center"/>
          </w:tcPr>
          <w:p w14:paraId="35D0B26D" w14:textId="77777777" w:rsidR="00D42204" w:rsidRDefault="004E439D">
            <w:pPr>
              <w:textAlignment w:val="center"/>
            </w:pPr>
            <w:r>
              <w:rPr>
                <w:rFonts w:ascii="Times New Roman" w:eastAsia="宋体" w:hAnsi="Times New Roman"/>
                <w:color w:val="000000"/>
                <w:sz w:val="16"/>
                <w:szCs w:val="16"/>
              </w:rPr>
              <w:t>Thereafter</w:t>
            </w:r>
          </w:p>
        </w:tc>
        <w:tc>
          <w:tcPr>
            <w:tcW w:w="0" w:type="auto"/>
            <w:gridSpan w:val="3"/>
            <w:shd w:val="clear" w:color="auto" w:fill="FFFFFF"/>
            <w:tcMar>
              <w:top w:w="0" w:type="dxa"/>
              <w:left w:w="20" w:type="dxa"/>
              <w:bottom w:w="0" w:type="dxa"/>
              <w:right w:w="20" w:type="dxa"/>
            </w:tcMar>
            <w:vAlign w:val="bottom"/>
          </w:tcPr>
          <w:p w14:paraId="35D0B26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26F" w14:textId="77777777" w:rsidR="00D42204" w:rsidRDefault="004E439D">
            <w:pPr>
              <w:jc w:val="right"/>
              <w:textAlignment w:val="center"/>
            </w:pPr>
            <w:r>
              <w:rPr>
                <w:rFonts w:ascii="Times New Roman" w:eastAsia="宋体" w:hAnsi="Times New Roman"/>
                <w:color w:val="000000"/>
                <w:sz w:val="16"/>
                <w:szCs w:val="16"/>
              </w:rPr>
              <w:t>23,461 </w:t>
            </w:r>
          </w:p>
        </w:tc>
        <w:tc>
          <w:tcPr>
            <w:tcW w:w="0" w:type="auto"/>
            <w:shd w:val="clear" w:color="auto" w:fill="FFFFFF"/>
            <w:tcMar>
              <w:top w:w="40" w:type="dxa"/>
              <w:left w:w="0" w:type="dxa"/>
              <w:bottom w:w="40" w:type="dxa"/>
              <w:right w:w="20" w:type="dxa"/>
            </w:tcMar>
            <w:vAlign w:val="center"/>
          </w:tcPr>
          <w:p w14:paraId="35D0B270" w14:textId="77777777" w:rsidR="00D42204" w:rsidRDefault="00D42204">
            <w:pPr>
              <w:jc w:val="right"/>
              <w:rPr>
                <w:rFonts w:ascii="宋体"/>
              </w:rPr>
            </w:pPr>
          </w:p>
        </w:tc>
      </w:tr>
      <w:tr w:rsidR="00D42204" w14:paraId="35D0B277" w14:textId="77777777">
        <w:trPr>
          <w:jc w:val="center"/>
        </w:trPr>
        <w:tc>
          <w:tcPr>
            <w:tcW w:w="0" w:type="auto"/>
            <w:gridSpan w:val="3"/>
            <w:shd w:val="clear" w:color="auto" w:fill="CCEEFF"/>
            <w:tcMar>
              <w:top w:w="40" w:type="dxa"/>
              <w:left w:w="20" w:type="dxa"/>
              <w:bottom w:w="40" w:type="dxa"/>
              <w:right w:w="20" w:type="dxa"/>
            </w:tcMar>
            <w:vAlign w:val="center"/>
          </w:tcPr>
          <w:p w14:paraId="35D0B272" w14:textId="77777777" w:rsidR="00D42204" w:rsidRDefault="004E439D">
            <w:pPr>
              <w:textAlignment w:val="center"/>
            </w:pPr>
            <w:r>
              <w:rPr>
                <w:rFonts w:ascii="Times New Roman" w:eastAsia="宋体" w:hAnsi="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bottom"/>
          </w:tcPr>
          <w:p w14:paraId="35D0B273"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D0B274"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D0B275" w14:textId="77777777" w:rsidR="00D42204" w:rsidRDefault="004E439D">
            <w:pPr>
              <w:jc w:val="right"/>
              <w:textAlignment w:val="bottom"/>
            </w:pPr>
            <w:r>
              <w:rPr>
                <w:rFonts w:ascii="Times New Roman" w:eastAsia="宋体" w:hAnsi="Times New Roman"/>
                <w:color w:val="000000"/>
                <w:sz w:val="16"/>
                <w:szCs w:val="16"/>
              </w:rPr>
              <w:t>37,667 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D0B276" w14:textId="77777777" w:rsidR="00D42204" w:rsidRDefault="00D42204">
            <w:pPr>
              <w:jc w:val="right"/>
              <w:rPr>
                <w:rFonts w:ascii="宋体"/>
              </w:rPr>
            </w:pPr>
          </w:p>
        </w:tc>
      </w:tr>
    </w:tbl>
    <w:p w14:paraId="35D0B278" w14:textId="77777777" w:rsidR="00D42204" w:rsidRDefault="004E439D">
      <w:pPr>
        <w:jc w:val="center"/>
      </w:pPr>
      <w:r>
        <w:rPr>
          <w:rFonts w:ascii="Times New Roman" w:eastAsia="宋体" w:hAnsi="Times New Roman"/>
          <w:color w:val="000000"/>
          <w:sz w:val="20"/>
          <w:szCs w:val="20"/>
        </w:rPr>
        <w:t>67</w:t>
      </w:r>
    </w:p>
    <w:p w14:paraId="35D0B279" w14:textId="77777777" w:rsidR="00D42204" w:rsidRDefault="004E439D">
      <w:r>
        <w:pict w14:anchorId="35D0C39E">
          <v:rect id="_x0000_i1091" style="width:415.3pt;height:1.5pt" o:hralign="center" o:hrstd="t" o:hr="t" fillcolor="#a0a0a0" stroked="f"/>
        </w:pict>
      </w:r>
    </w:p>
    <w:p w14:paraId="35D0B27A" w14:textId="77777777" w:rsidR="00D42204" w:rsidRDefault="00D42204"/>
    <w:p w14:paraId="35D0B27B" w14:textId="77777777" w:rsidR="00D42204" w:rsidRDefault="004E439D">
      <w:pPr>
        <w:spacing w:before="140"/>
      </w:pPr>
      <w:r>
        <w:rPr>
          <w:rFonts w:ascii="Times New Roman" w:eastAsia="宋体" w:hAnsi="Times New Roman"/>
          <w:i/>
          <w:iCs/>
          <w:color w:val="000000"/>
          <w:sz w:val="20"/>
          <w:szCs w:val="20"/>
        </w:rPr>
        <w:t>Debt Issuances</w:t>
      </w:r>
    </w:p>
    <w:p w14:paraId="35D0B27C" w14:textId="77777777" w:rsidR="00D42204" w:rsidRDefault="004E439D">
      <w:pPr>
        <w:spacing w:before="100"/>
      </w:pPr>
      <w:r>
        <w:rPr>
          <w:rFonts w:ascii="Times New Roman" w:eastAsia="宋体" w:hAnsi="Times New Roman"/>
          <w:color w:val="000000"/>
          <w:sz w:val="20"/>
          <w:szCs w:val="20"/>
        </w:rPr>
        <w:t xml:space="preserve">Information on significant long-term debt issued during fiscal 2022, for general corporate purposes and </w:t>
      </w:r>
      <w:r>
        <w:rPr>
          <w:rFonts w:ascii="Times New Roman" w:eastAsia="宋体" w:hAnsi="Times New Roman"/>
          <w:color w:val="000000"/>
          <w:sz w:val="20"/>
          <w:szCs w:val="20"/>
        </w:rPr>
        <w:t>certain eligible green investment initiatives,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1820"/>
        <w:gridCol w:w="38"/>
        <w:gridCol w:w="36"/>
        <w:gridCol w:w="36"/>
        <w:gridCol w:w="36"/>
        <w:gridCol w:w="47"/>
        <w:gridCol w:w="1083"/>
        <w:gridCol w:w="36"/>
        <w:gridCol w:w="36"/>
        <w:gridCol w:w="36"/>
        <w:gridCol w:w="36"/>
        <w:gridCol w:w="50"/>
        <w:gridCol w:w="1080"/>
        <w:gridCol w:w="37"/>
        <w:gridCol w:w="36"/>
        <w:gridCol w:w="36"/>
        <w:gridCol w:w="36"/>
        <w:gridCol w:w="42"/>
        <w:gridCol w:w="1088"/>
        <w:gridCol w:w="36"/>
        <w:gridCol w:w="36"/>
        <w:gridCol w:w="36"/>
        <w:gridCol w:w="36"/>
        <w:gridCol w:w="40"/>
        <w:gridCol w:w="1092"/>
        <w:gridCol w:w="36"/>
        <w:gridCol w:w="36"/>
        <w:gridCol w:w="36"/>
        <w:gridCol w:w="36"/>
        <w:gridCol w:w="101"/>
        <w:gridCol w:w="1080"/>
        <w:gridCol w:w="36"/>
      </w:tblGrid>
      <w:tr w:rsidR="00D42204" w14:paraId="35D0B29E" w14:textId="77777777">
        <w:trPr>
          <w:jc w:val="center"/>
        </w:trPr>
        <w:tc>
          <w:tcPr>
            <w:tcW w:w="50" w:type="pct"/>
            <w:shd w:val="clear" w:color="auto" w:fill="auto"/>
            <w:vAlign w:val="bottom"/>
          </w:tcPr>
          <w:p w14:paraId="35D0B27D" w14:textId="77777777" w:rsidR="00D42204" w:rsidRDefault="00D42204">
            <w:pPr>
              <w:rPr>
                <w:rFonts w:ascii="宋体"/>
              </w:rPr>
            </w:pPr>
          </w:p>
        </w:tc>
        <w:tc>
          <w:tcPr>
            <w:tcW w:w="1107" w:type="pct"/>
            <w:shd w:val="clear" w:color="auto" w:fill="auto"/>
            <w:vAlign w:val="bottom"/>
          </w:tcPr>
          <w:p w14:paraId="35D0B27E" w14:textId="77777777" w:rsidR="00D42204" w:rsidRDefault="00D42204">
            <w:pPr>
              <w:rPr>
                <w:rFonts w:ascii="宋体"/>
              </w:rPr>
            </w:pPr>
          </w:p>
        </w:tc>
        <w:tc>
          <w:tcPr>
            <w:tcW w:w="5" w:type="pct"/>
            <w:shd w:val="clear" w:color="auto" w:fill="auto"/>
            <w:vAlign w:val="bottom"/>
          </w:tcPr>
          <w:p w14:paraId="35D0B27F" w14:textId="77777777" w:rsidR="00D42204" w:rsidRDefault="00D42204">
            <w:pPr>
              <w:rPr>
                <w:rFonts w:ascii="宋体"/>
              </w:rPr>
            </w:pPr>
          </w:p>
        </w:tc>
        <w:tc>
          <w:tcPr>
            <w:tcW w:w="5" w:type="pct"/>
            <w:shd w:val="clear" w:color="auto" w:fill="auto"/>
            <w:vAlign w:val="bottom"/>
          </w:tcPr>
          <w:p w14:paraId="35D0B280" w14:textId="77777777" w:rsidR="00D42204" w:rsidRDefault="00D42204">
            <w:pPr>
              <w:rPr>
                <w:rFonts w:ascii="宋体"/>
              </w:rPr>
            </w:pPr>
          </w:p>
        </w:tc>
        <w:tc>
          <w:tcPr>
            <w:tcW w:w="26" w:type="pct"/>
            <w:shd w:val="clear" w:color="auto" w:fill="auto"/>
            <w:vAlign w:val="bottom"/>
          </w:tcPr>
          <w:p w14:paraId="35D0B281" w14:textId="77777777" w:rsidR="00D42204" w:rsidRDefault="00D42204">
            <w:pPr>
              <w:rPr>
                <w:rFonts w:ascii="宋体"/>
              </w:rPr>
            </w:pPr>
          </w:p>
        </w:tc>
        <w:tc>
          <w:tcPr>
            <w:tcW w:w="5" w:type="pct"/>
            <w:shd w:val="clear" w:color="auto" w:fill="auto"/>
            <w:vAlign w:val="bottom"/>
          </w:tcPr>
          <w:p w14:paraId="35D0B282" w14:textId="77777777" w:rsidR="00D42204" w:rsidRDefault="00D42204">
            <w:pPr>
              <w:rPr>
                <w:rFonts w:ascii="宋体"/>
              </w:rPr>
            </w:pPr>
          </w:p>
        </w:tc>
        <w:tc>
          <w:tcPr>
            <w:tcW w:w="50" w:type="pct"/>
            <w:shd w:val="clear" w:color="auto" w:fill="auto"/>
            <w:vAlign w:val="bottom"/>
          </w:tcPr>
          <w:p w14:paraId="35D0B283" w14:textId="77777777" w:rsidR="00D42204" w:rsidRDefault="00D42204">
            <w:pPr>
              <w:rPr>
                <w:rFonts w:ascii="宋体"/>
              </w:rPr>
            </w:pPr>
          </w:p>
        </w:tc>
        <w:tc>
          <w:tcPr>
            <w:tcW w:w="675" w:type="pct"/>
            <w:shd w:val="clear" w:color="auto" w:fill="auto"/>
            <w:vAlign w:val="bottom"/>
          </w:tcPr>
          <w:p w14:paraId="35D0B284" w14:textId="77777777" w:rsidR="00D42204" w:rsidRDefault="00D42204">
            <w:pPr>
              <w:rPr>
                <w:rFonts w:ascii="宋体"/>
              </w:rPr>
            </w:pPr>
          </w:p>
        </w:tc>
        <w:tc>
          <w:tcPr>
            <w:tcW w:w="5" w:type="pct"/>
            <w:shd w:val="clear" w:color="auto" w:fill="auto"/>
            <w:vAlign w:val="bottom"/>
          </w:tcPr>
          <w:p w14:paraId="35D0B285" w14:textId="77777777" w:rsidR="00D42204" w:rsidRDefault="00D42204">
            <w:pPr>
              <w:rPr>
                <w:rFonts w:ascii="宋体"/>
              </w:rPr>
            </w:pPr>
          </w:p>
        </w:tc>
        <w:tc>
          <w:tcPr>
            <w:tcW w:w="5" w:type="pct"/>
            <w:shd w:val="clear" w:color="auto" w:fill="auto"/>
            <w:vAlign w:val="bottom"/>
          </w:tcPr>
          <w:p w14:paraId="35D0B286" w14:textId="77777777" w:rsidR="00D42204" w:rsidRDefault="00D42204">
            <w:pPr>
              <w:rPr>
                <w:rFonts w:ascii="宋体"/>
              </w:rPr>
            </w:pPr>
          </w:p>
        </w:tc>
        <w:tc>
          <w:tcPr>
            <w:tcW w:w="26" w:type="pct"/>
            <w:shd w:val="clear" w:color="auto" w:fill="auto"/>
            <w:vAlign w:val="bottom"/>
          </w:tcPr>
          <w:p w14:paraId="35D0B287" w14:textId="77777777" w:rsidR="00D42204" w:rsidRDefault="00D42204">
            <w:pPr>
              <w:rPr>
                <w:rFonts w:ascii="宋体"/>
              </w:rPr>
            </w:pPr>
          </w:p>
        </w:tc>
        <w:tc>
          <w:tcPr>
            <w:tcW w:w="5" w:type="pct"/>
            <w:shd w:val="clear" w:color="auto" w:fill="auto"/>
            <w:vAlign w:val="bottom"/>
          </w:tcPr>
          <w:p w14:paraId="35D0B288" w14:textId="77777777" w:rsidR="00D42204" w:rsidRDefault="00D42204">
            <w:pPr>
              <w:rPr>
                <w:rFonts w:ascii="宋体"/>
              </w:rPr>
            </w:pPr>
          </w:p>
        </w:tc>
        <w:tc>
          <w:tcPr>
            <w:tcW w:w="50" w:type="pct"/>
            <w:shd w:val="clear" w:color="auto" w:fill="auto"/>
            <w:vAlign w:val="bottom"/>
          </w:tcPr>
          <w:p w14:paraId="35D0B289" w14:textId="77777777" w:rsidR="00D42204" w:rsidRDefault="00D42204">
            <w:pPr>
              <w:rPr>
                <w:rFonts w:ascii="宋体"/>
              </w:rPr>
            </w:pPr>
          </w:p>
        </w:tc>
        <w:tc>
          <w:tcPr>
            <w:tcW w:w="675" w:type="pct"/>
            <w:shd w:val="clear" w:color="auto" w:fill="auto"/>
            <w:vAlign w:val="bottom"/>
          </w:tcPr>
          <w:p w14:paraId="35D0B28A" w14:textId="77777777" w:rsidR="00D42204" w:rsidRDefault="00D42204">
            <w:pPr>
              <w:rPr>
                <w:rFonts w:ascii="宋体"/>
              </w:rPr>
            </w:pPr>
          </w:p>
        </w:tc>
        <w:tc>
          <w:tcPr>
            <w:tcW w:w="5" w:type="pct"/>
            <w:shd w:val="clear" w:color="auto" w:fill="auto"/>
            <w:vAlign w:val="bottom"/>
          </w:tcPr>
          <w:p w14:paraId="35D0B28B" w14:textId="77777777" w:rsidR="00D42204" w:rsidRDefault="00D42204">
            <w:pPr>
              <w:rPr>
                <w:rFonts w:ascii="宋体"/>
              </w:rPr>
            </w:pPr>
          </w:p>
        </w:tc>
        <w:tc>
          <w:tcPr>
            <w:tcW w:w="5" w:type="pct"/>
            <w:shd w:val="clear" w:color="auto" w:fill="auto"/>
            <w:vAlign w:val="bottom"/>
          </w:tcPr>
          <w:p w14:paraId="35D0B28C" w14:textId="77777777" w:rsidR="00D42204" w:rsidRDefault="00D42204">
            <w:pPr>
              <w:rPr>
                <w:rFonts w:ascii="宋体"/>
              </w:rPr>
            </w:pPr>
          </w:p>
        </w:tc>
        <w:tc>
          <w:tcPr>
            <w:tcW w:w="26" w:type="pct"/>
            <w:shd w:val="clear" w:color="auto" w:fill="auto"/>
            <w:vAlign w:val="bottom"/>
          </w:tcPr>
          <w:p w14:paraId="35D0B28D" w14:textId="77777777" w:rsidR="00D42204" w:rsidRDefault="00D42204">
            <w:pPr>
              <w:rPr>
                <w:rFonts w:ascii="宋体"/>
              </w:rPr>
            </w:pPr>
          </w:p>
        </w:tc>
        <w:tc>
          <w:tcPr>
            <w:tcW w:w="5" w:type="pct"/>
            <w:shd w:val="clear" w:color="auto" w:fill="auto"/>
            <w:vAlign w:val="bottom"/>
          </w:tcPr>
          <w:p w14:paraId="35D0B28E" w14:textId="77777777" w:rsidR="00D42204" w:rsidRDefault="00D42204">
            <w:pPr>
              <w:rPr>
                <w:rFonts w:ascii="宋体"/>
              </w:rPr>
            </w:pPr>
          </w:p>
        </w:tc>
        <w:tc>
          <w:tcPr>
            <w:tcW w:w="50" w:type="pct"/>
            <w:shd w:val="clear" w:color="auto" w:fill="auto"/>
            <w:vAlign w:val="bottom"/>
          </w:tcPr>
          <w:p w14:paraId="35D0B28F" w14:textId="77777777" w:rsidR="00D42204" w:rsidRDefault="00D42204">
            <w:pPr>
              <w:rPr>
                <w:rFonts w:ascii="宋体"/>
              </w:rPr>
            </w:pPr>
          </w:p>
        </w:tc>
        <w:tc>
          <w:tcPr>
            <w:tcW w:w="675" w:type="pct"/>
            <w:shd w:val="clear" w:color="auto" w:fill="auto"/>
            <w:vAlign w:val="bottom"/>
          </w:tcPr>
          <w:p w14:paraId="35D0B290" w14:textId="77777777" w:rsidR="00D42204" w:rsidRDefault="00D42204">
            <w:pPr>
              <w:rPr>
                <w:rFonts w:ascii="宋体"/>
              </w:rPr>
            </w:pPr>
          </w:p>
        </w:tc>
        <w:tc>
          <w:tcPr>
            <w:tcW w:w="5" w:type="pct"/>
            <w:shd w:val="clear" w:color="auto" w:fill="auto"/>
            <w:vAlign w:val="bottom"/>
          </w:tcPr>
          <w:p w14:paraId="35D0B291" w14:textId="77777777" w:rsidR="00D42204" w:rsidRDefault="00D42204">
            <w:pPr>
              <w:rPr>
                <w:rFonts w:ascii="宋体"/>
              </w:rPr>
            </w:pPr>
          </w:p>
        </w:tc>
        <w:tc>
          <w:tcPr>
            <w:tcW w:w="5" w:type="pct"/>
            <w:shd w:val="clear" w:color="auto" w:fill="auto"/>
            <w:vAlign w:val="bottom"/>
          </w:tcPr>
          <w:p w14:paraId="35D0B292" w14:textId="77777777" w:rsidR="00D42204" w:rsidRDefault="00D42204">
            <w:pPr>
              <w:rPr>
                <w:rFonts w:ascii="宋体"/>
              </w:rPr>
            </w:pPr>
          </w:p>
        </w:tc>
        <w:tc>
          <w:tcPr>
            <w:tcW w:w="26" w:type="pct"/>
            <w:shd w:val="clear" w:color="auto" w:fill="auto"/>
            <w:vAlign w:val="bottom"/>
          </w:tcPr>
          <w:p w14:paraId="35D0B293" w14:textId="77777777" w:rsidR="00D42204" w:rsidRDefault="00D42204">
            <w:pPr>
              <w:rPr>
                <w:rFonts w:ascii="宋体"/>
              </w:rPr>
            </w:pPr>
          </w:p>
        </w:tc>
        <w:tc>
          <w:tcPr>
            <w:tcW w:w="5" w:type="pct"/>
            <w:shd w:val="clear" w:color="auto" w:fill="auto"/>
            <w:vAlign w:val="bottom"/>
          </w:tcPr>
          <w:p w14:paraId="35D0B294" w14:textId="77777777" w:rsidR="00D42204" w:rsidRDefault="00D42204">
            <w:pPr>
              <w:rPr>
                <w:rFonts w:ascii="宋体"/>
              </w:rPr>
            </w:pPr>
          </w:p>
        </w:tc>
        <w:tc>
          <w:tcPr>
            <w:tcW w:w="50" w:type="pct"/>
            <w:shd w:val="clear" w:color="auto" w:fill="auto"/>
            <w:vAlign w:val="bottom"/>
          </w:tcPr>
          <w:p w14:paraId="35D0B295" w14:textId="77777777" w:rsidR="00D42204" w:rsidRDefault="00D42204">
            <w:pPr>
              <w:rPr>
                <w:rFonts w:ascii="宋体"/>
              </w:rPr>
            </w:pPr>
          </w:p>
        </w:tc>
        <w:tc>
          <w:tcPr>
            <w:tcW w:w="675" w:type="pct"/>
            <w:shd w:val="clear" w:color="auto" w:fill="auto"/>
            <w:vAlign w:val="bottom"/>
          </w:tcPr>
          <w:p w14:paraId="35D0B296" w14:textId="77777777" w:rsidR="00D42204" w:rsidRDefault="00D42204">
            <w:pPr>
              <w:rPr>
                <w:rFonts w:ascii="宋体"/>
              </w:rPr>
            </w:pPr>
          </w:p>
        </w:tc>
        <w:tc>
          <w:tcPr>
            <w:tcW w:w="5" w:type="pct"/>
            <w:shd w:val="clear" w:color="auto" w:fill="auto"/>
            <w:vAlign w:val="bottom"/>
          </w:tcPr>
          <w:p w14:paraId="35D0B297" w14:textId="77777777" w:rsidR="00D42204" w:rsidRDefault="00D42204">
            <w:pPr>
              <w:rPr>
                <w:rFonts w:ascii="宋体"/>
              </w:rPr>
            </w:pPr>
          </w:p>
        </w:tc>
        <w:tc>
          <w:tcPr>
            <w:tcW w:w="5" w:type="pct"/>
            <w:shd w:val="clear" w:color="auto" w:fill="auto"/>
            <w:vAlign w:val="bottom"/>
          </w:tcPr>
          <w:p w14:paraId="35D0B298" w14:textId="77777777" w:rsidR="00D42204" w:rsidRDefault="00D42204">
            <w:pPr>
              <w:rPr>
                <w:rFonts w:ascii="宋体"/>
              </w:rPr>
            </w:pPr>
          </w:p>
        </w:tc>
        <w:tc>
          <w:tcPr>
            <w:tcW w:w="26" w:type="pct"/>
            <w:shd w:val="clear" w:color="auto" w:fill="auto"/>
            <w:vAlign w:val="bottom"/>
          </w:tcPr>
          <w:p w14:paraId="35D0B299" w14:textId="77777777" w:rsidR="00D42204" w:rsidRDefault="00D42204">
            <w:pPr>
              <w:rPr>
                <w:rFonts w:ascii="宋体"/>
              </w:rPr>
            </w:pPr>
          </w:p>
        </w:tc>
        <w:tc>
          <w:tcPr>
            <w:tcW w:w="5" w:type="pct"/>
            <w:shd w:val="clear" w:color="auto" w:fill="auto"/>
            <w:vAlign w:val="bottom"/>
          </w:tcPr>
          <w:p w14:paraId="35D0B29A" w14:textId="77777777" w:rsidR="00D42204" w:rsidRDefault="00D42204">
            <w:pPr>
              <w:rPr>
                <w:rFonts w:ascii="宋体"/>
              </w:rPr>
            </w:pPr>
          </w:p>
        </w:tc>
        <w:tc>
          <w:tcPr>
            <w:tcW w:w="50" w:type="pct"/>
            <w:shd w:val="clear" w:color="auto" w:fill="auto"/>
            <w:vAlign w:val="bottom"/>
          </w:tcPr>
          <w:p w14:paraId="35D0B29B" w14:textId="77777777" w:rsidR="00D42204" w:rsidRDefault="00D42204">
            <w:pPr>
              <w:rPr>
                <w:rFonts w:ascii="宋体"/>
              </w:rPr>
            </w:pPr>
          </w:p>
        </w:tc>
        <w:tc>
          <w:tcPr>
            <w:tcW w:w="676" w:type="pct"/>
            <w:shd w:val="clear" w:color="auto" w:fill="auto"/>
            <w:vAlign w:val="bottom"/>
          </w:tcPr>
          <w:p w14:paraId="35D0B29C" w14:textId="77777777" w:rsidR="00D42204" w:rsidRDefault="00D42204">
            <w:pPr>
              <w:rPr>
                <w:rFonts w:ascii="宋体"/>
              </w:rPr>
            </w:pPr>
          </w:p>
        </w:tc>
        <w:tc>
          <w:tcPr>
            <w:tcW w:w="5" w:type="pct"/>
            <w:shd w:val="clear" w:color="auto" w:fill="auto"/>
            <w:vAlign w:val="bottom"/>
          </w:tcPr>
          <w:p w14:paraId="35D0B29D" w14:textId="77777777" w:rsidR="00D42204" w:rsidRDefault="00D42204">
            <w:pPr>
              <w:rPr>
                <w:rFonts w:ascii="宋体"/>
              </w:rPr>
            </w:pPr>
          </w:p>
        </w:tc>
      </w:tr>
      <w:tr w:rsidR="00D42204" w14:paraId="35D0B2AA" w14:textId="77777777">
        <w:trPr>
          <w:jc w:val="center"/>
        </w:trPr>
        <w:tc>
          <w:tcPr>
            <w:tcW w:w="0" w:type="auto"/>
            <w:gridSpan w:val="3"/>
            <w:shd w:val="clear" w:color="auto" w:fill="auto"/>
            <w:tcMar>
              <w:top w:w="40" w:type="dxa"/>
              <w:left w:w="20" w:type="dxa"/>
              <w:bottom w:w="40" w:type="dxa"/>
              <w:right w:w="20" w:type="dxa"/>
            </w:tcMar>
            <w:vAlign w:val="bottom"/>
          </w:tcPr>
          <w:p w14:paraId="35D0B29F"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2A0"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2A1"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2A2"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2A3"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2A4"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2A5"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2A6"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2A7"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2A8"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2A9" w14:textId="77777777" w:rsidR="00D42204" w:rsidRDefault="00D42204">
            <w:pPr>
              <w:rPr>
                <w:rFonts w:ascii="宋体"/>
              </w:rPr>
            </w:pPr>
          </w:p>
        </w:tc>
      </w:tr>
      <w:tr w:rsidR="00D42204" w14:paraId="35D0B2B6" w14:textId="77777777">
        <w:trPr>
          <w:jc w:val="center"/>
        </w:trPr>
        <w:tc>
          <w:tcPr>
            <w:tcW w:w="0" w:type="auto"/>
            <w:gridSpan w:val="3"/>
            <w:shd w:val="clear" w:color="auto" w:fill="auto"/>
            <w:tcMar>
              <w:top w:w="40" w:type="dxa"/>
              <w:left w:w="20" w:type="dxa"/>
              <w:bottom w:w="40" w:type="dxa"/>
              <w:right w:w="20" w:type="dxa"/>
            </w:tcMar>
            <w:vAlign w:val="bottom"/>
          </w:tcPr>
          <w:p w14:paraId="35D0B2AB" w14:textId="77777777" w:rsidR="00D42204" w:rsidRDefault="004E439D">
            <w:pPr>
              <w:textAlignment w:val="bottom"/>
            </w:pPr>
            <w:r>
              <w:rPr>
                <w:rFonts w:ascii="Times New Roman" w:eastAsia="宋体" w:hAnsi="Times New Roman"/>
                <w:b/>
                <w:bCs/>
                <w:color w:val="000000"/>
                <w:sz w:val="16"/>
                <w:szCs w:val="16"/>
              </w:rPr>
              <w:t>Issue Date</w:t>
            </w:r>
          </w:p>
        </w:tc>
        <w:tc>
          <w:tcPr>
            <w:tcW w:w="0" w:type="auto"/>
            <w:gridSpan w:val="3"/>
            <w:shd w:val="clear" w:color="auto" w:fill="auto"/>
            <w:tcMar>
              <w:top w:w="0" w:type="dxa"/>
              <w:left w:w="20" w:type="dxa"/>
              <w:bottom w:w="0" w:type="dxa"/>
              <w:right w:w="20" w:type="dxa"/>
            </w:tcMar>
            <w:vAlign w:val="bottom"/>
          </w:tcPr>
          <w:p w14:paraId="35D0B2AC"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2AD" w14:textId="77777777" w:rsidR="00D42204" w:rsidRDefault="004E439D">
            <w:pPr>
              <w:jc w:val="center"/>
              <w:textAlignment w:val="bottom"/>
            </w:pPr>
            <w:r>
              <w:rPr>
                <w:rFonts w:ascii="Times New Roman" w:eastAsia="宋体" w:hAnsi="Times New Roman"/>
                <w:b/>
                <w:bCs/>
                <w:color w:val="000000"/>
                <w:sz w:val="16"/>
                <w:szCs w:val="16"/>
              </w:rPr>
              <w:t>Principal Amount</w:t>
            </w:r>
          </w:p>
        </w:tc>
        <w:tc>
          <w:tcPr>
            <w:tcW w:w="0" w:type="auto"/>
            <w:gridSpan w:val="3"/>
            <w:shd w:val="clear" w:color="auto" w:fill="auto"/>
            <w:tcMar>
              <w:top w:w="0" w:type="dxa"/>
              <w:left w:w="20" w:type="dxa"/>
              <w:bottom w:w="0" w:type="dxa"/>
              <w:right w:w="20" w:type="dxa"/>
            </w:tcMar>
            <w:vAlign w:val="bottom"/>
          </w:tcPr>
          <w:p w14:paraId="35D0B2AE"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2AF" w14:textId="77777777" w:rsidR="00D42204" w:rsidRDefault="004E439D">
            <w:pPr>
              <w:jc w:val="center"/>
              <w:textAlignment w:val="bottom"/>
            </w:pPr>
            <w:r>
              <w:rPr>
                <w:rFonts w:ascii="Times New Roman" w:eastAsia="宋体" w:hAnsi="Times New Roman"/>
                <w:b/>
                <w:bCs/>
                <w:color w:val="000000"/>
                <w:sz w:val="16"/>
                <w:szCs w:val="16"/>
              </w:rPr>
              <w:t>Maturity Date</w:t>
            </w:r>
          </w:p>
        </w:tc>
        <w:tc>
          <w:tcPr>
            <w:tcW w:w="0" w:type="auto"/>
            <w:gridSpan w:val="3"/>
            <w:shd w:val="clear" w:color="auto" w:fill="auto"/>
            <w:tcMar>
              <w:top w:w="0" w:type="dxa"/>
              <w:left w:w="20" w:type="dxa"/>
              <w:bottom w:w="0" w:type="dxa"/>
              <w:right w:w="20" w:type="dxa"/>
            </w:tcMar>
            <w:vAlign w:val="bottom"/>
          </w:tcPr>
          <w:p w14:paraId="35D0B2B0"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2B1" w14:textId="77777777" w:rsidR="00D42204" w:rsidRDefault="004E439D">
            <w:pPr>
              <w:jc w:val="center"/>
              <w:textAlignment w:val="bottom"/>
            </w:pPr>
            <w:r>
              <w:rPr>
                <w:rFonts w:ascii="Times New Roman" w:eastAsia="宋体" w:hAnsi="Times New Roman"/>
                <w:b/>
                <w:bCs/>
                <w:color w:val="000000"/>
                <w:sz w:val="16"/>
                <w:szCs w:val="16"/>
              </w:rPr>
              <w:t>Fixed vs. Floating</w:t>
            </w:r>
          </w:p>
        </w:tc>
        <w:tc>
          <w:tcPr>
            <w:tcW w:w="0" w:type="auto"/>
            <w:gridSpan w:val="3"/>
            <w:shd w:val="clear" w:color="auto" w:fill="auto"/>
            <w:tcMar>
              <w:top w:w="0" w:type="dxa"/>
              <w:left w:w="20" w:type="dxa"/>
              <w:bottom w:w="0" w:type="dxa"/>
              <w:right w:w="20" w:type="dxa"/>
            </w:tcMar>
            <w:vAlign w:val="bottom"/>
          </w:tcPr>
          <w:p w14:paraId="35D0B2B2"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2B3" w14:textId="77777777" w:rsidR="00D42204" w:rsidRDefault="004E439D">
            <w:pPr>
              <w:jc w:val="center"/>
              <w:textAlignment w:val="bottom"/>
            </w:pPr>
            <w:r>
              <w:rPr>
                <w:rFonts w:ascii="Times New Roman" w:eastAsia="宋体" w:hAnsi="Times New Roman"/>
                <w:b/>
                <w:bCs/>
                <w:color w:val="000000"/>
                <w:sz w:val="16"/>
                <w:szCs w:val="16"/>
              </w:rPr>
              <w:t>Interest Rate</w:t>
            </w:r>
          </w:p>
        </w:tc>
        <w:tc>
          <w:tcPr>
            <w:tcW w:w="0" w:type="auto"/>
            <w:gridSpan w:val="3"/>
            <w:shd w:val="clear" w:color="auto" w:fill="auto"/>
            <w:tcMar>
              <w:top w:w="0" w:type="dxa"/>
              <w:left w:w="20" w:type="dxa"/>
              <w:bottom w:w="0" w:type="dxa"/>
              <w:right w:w="20" w:type="dxa"/>
            </w:tcMar>
            <w:vAlign w:val="bottom"/>
          </w:tcPr>
          <w:p w14:paraId="35D0B2B4"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2B5" w14:textId="77777777" w:rsidR="00D42204" w:rsidRDefault="004E439D">
            <w:pPr>
              <w:jc w:val="center"/>
              <w:textAlignment w:val="bottom"/>
            </w:pPr>
            <w:r>
              <w:rPr>
                <w:rFonts w:ascii="Times New Roman" w:eastAsia="宋体" w:hAnsi="Times New Roman"/>
                <w:b/>
                <w:bCs/>
                <w:color w:val="000000"/>
                <w:sz w:val="16"/>
                <w:szCs w:val="16"/>
              </w:rPr>
              <w:t>Net Proceeds</w:t>
            </w:r>
          </w:p>
        </w:tc>
      </w:tr>
      <w:tr w:rsidR="00D42204" w14:paraId="35D0B2C4"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D0B2B7" w14:textId="77777777" w:rsidR="00D42204" w:rsidRDefault="004E439D">
            <w:pPr>
              <w:textAlignment w:val="bottom"/>
            </w:pPr>
            <w:r>
              <w:rPr>
                <w:rFonts w:ascii="Times New Roman" w:eastAsia="宋体" w:hAnsi="Times New Roman"/>
                <w:color w:val="000000"/>
                <w:sz w:val="16"/>
                <w:szCs w:val="16"/>
              </w:rPr>
              <w:t>September 17, 2021</w:t>
            </w:r>
          </w:p>
        </w:tc>
        <w:tc>
          <w:tcPr>
            <w:tcW w:w="0" w:type="auto"/>
            <w:gridSpan w:val="3"/>
            <w:shd w:val="clear" w:color="auto" w:fill="CCEEFF"/>
            <w:tcMar>
              <w:top w:w="0" w:type="dxa"/>
              <w:left w:w="20" w:type="dxa"/>
              <w:bottom w:w="0" w:type="dxa"/>
              <w:right w:w="20" w:type="dxa"/>
            </w:tcMar>
            <w:vAlign w:val="bottom"/>
          </w:tcPr>
          <w:p w14:paraId="35D0B2B8"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D0B2B9" w14:textId="77777777" w:rsidR="00D42204" w:rsidRDefault="004E439D">
            <w:pPr>
              <w:jc w:val="center"/>
              <w:textAlignment w:val="bottom"/>
            </w:pPr>
            <w:r>
              <w:rPr>
                <w:rFonts w:ascii="Times New Roman" w:eastAsia="宋体" w:hAnsi="Times New Roman"/>
                <w:color w:val="000000"/>
                <w:sz w:val="16"/>
                <w:szCs w:val="16"/>
              </w:rPr>
              <w:t>$1,250</w:t>
            </w:r>
          </w:p>
        </w:tc>
        <w:tc>
          <w:tcPr>
            <w:tcW w:w="0" w:type="auto"/>
            <w:gridSpan w:val="3"/>
            <w:shd w:val="clear" w:color="auto" w:fill="CCEEFF"/>
            <w:tcMar>
              <w:top w:w="0" w:type="dxa"/>
              <w:left w:w="20" w:type="dxa"/>
              <w:bottom w:w="0" w:type="dxa"/>
              <w:right w:w="20" w:type="dxa"/>
            </w:tcMar>
            <w:vAlign w:val="bottom"/>
          </w:tcPr>
          <w:p w14:paraId="35D0B2BA"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D0B2BB" w14:textId="77777777" w:rsidR="00D42204" w:rsidRDefault="004E439D">
            <w:pPr>
              <w:jc w:val="center"/>
              <w:textAlignment w:val="bottom"/>
            </w:pPr>
            <w:r>
              <w:rPr>
                <w:rFonts w:ascii="Times New Roman" w:eastAsia="宋体" w:hAnsi="Times New Roman"/>
                <w:color w:val="000000"/>
                <w:sz w:val="16"/>
                <w:szCs w:val="16"/>
              </w:rPr>
              <w:t>September 17, 2026</w:t>
            </w:r>
          </w:p>
        </w:tc>
        <w:tc>
          <w:tcPr>
            <w:tcW w:w="0" w:type="auto"/>
            <w:gridSpan w:val="3"/>
            <w:shd w:val="clear" w:color="auto" w:fill="CCEEFF"/>
            <w:tcMar>
              <w:top w:w="0" w:type="dxa"/>
              <w:left w:w="20" w:type="dxa"/>
              <w:bottom w:w="0" w:type="dxa"/>
              <w:right w:w="20" w:type="dxa"/>
            </w:tcMar>
            <w:vAlign w:val="bottom"/>
          </w:tcPr>
          <w:p w14:paraId="35D0B2BC"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D0B2BD"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2BE"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D0B2BF" w14:textId="77777777" w:rsidR="00D42204" w:rsidRDefault="004E439D">
            <w:pPr>
              <w:jc w:val="center"/>
              <w:textAlignment w:val="bottom"/>
            </w:pPr>
            <w:r>
              <w:rPr>
                <w:rFonts w:ascii="Times New Roman" w:eastAsia="宋体" w:hAnsi="Times New Roman"/>
                <w:color w:val="000000"/>
                <w:sz w:val="16"/>
                <w:szCs w:val="16"/>
              </w:rPr>
              <w:t>1.050%</w:t>
            </w:r>
          </w:p>
        </w:tc>
        <w:tc>
          <w:tcPr>
            <w:tcW w:w="0" w:type="auto"/>
            <w:gridSpan w:val="3"/>
            <w:shd w:val="clear" w:color="auto" w:fill="CCEEFF"/>
            <w:tcMar>
              <w:top w:w="0" w:type="dxa"/>
              <w:left w:w="20" w:type="dxa"/>
              <w:bottom w:w="0" w:type="dxa"/>
              <w:right w:w="20" w:type="dxa"/>
            </w:tcMar>
            <w:vAlign w:val="bottom"/>
          </w:tcPr>
          <w:p w14:paraId="35D0B2C0"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D0B2C1"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D0B2C2" w14:textId="77777777" w:rsidR="00D42204" w:rsidRDefault="004E439D">
            <w:pPr>
              <w:jc w:val="right"/>
              <w:textAlignment w:val="bottom"/>
            </w:pPr>
            <w:r>
              <w:rPr>
                <w:rFonts w:ascii="Times New Roman" w:eastAsia="宋体" w:hAnsi="Times New Roman"/>
                <w:color w:val="000000"/>
                <w:sz w:val="16"/>
                <w:szCs w:val="16"/>
              </w:rPr>
              <w:t>1,243 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2C3" w14:textId="77777777" w:rsidR="00D42204" w:rsidRDefault="00D42204">
            <w:pPr>
              <w:jc w:val="right"/>
              <w:rPr>
                <w:rFonts w:ascii="宋体"/>
              </w:rPr>
            </w:pPr>
          </w:p>
        </w:tc>
      </w:tr>
      <w:tr w:rsidR="00D42204" w14:paraId="35D0B2D1" w14:textId="77777777">
        <w:trPr>
          <w:jc w:val="center"/>
        </w:trPr>
        <w:tc>
          <w:tcPr>
            <w:tcW w:w="0" w:type="auto"/>
            <w:gridSpan w:val="3"/>
            <w:shd w:val="clear" w:color="auto" w:fill="FFFFFF"/>
            <w:tcMar>
              <w:top w:w="40" w:type="dxa"/>
              <w:left w:w="20" w:type="dxa"/>
              <w:bottom w:w="40" w:type="dxa"/>
              <w:right w:w="20" w:type="dxa"/>
            </w:tcMar>
            <w:vAlign w:val="bottom"/>
          </w:tcPr>
          <w:p w14:paraId="35D0B2C5" w14:textId="77777777" w:rsidR="00D42204" w:rsidRDefault="004E439D">
            <w:pPr>
              <w:textAlignment w:val="bottom"/>
            </w:pPr>
            <w:r>
              <w:rPr>
                <w:rFonts w:ascii="Times New Roman" w:eastAsia="宋体" w:hAnsi="Times New Roman"/>
                <w:color w:val="000000"/>
                <w:sz w:val="16"/>
                <w:szCs w:val="16"/>
              </w:rPr>
              <w:t>September 22, 2021</w:t>
            </w:r>
          </w:p>
        </w:tc>
        <w:tc>
          <w:tcPr>
            <w:tcW w:w="0" w:type="auto"/>
            <w:gridSpan w:val="3"/>
            <w:shd w:val="clear" w:color="auto" w:fill="FFFFFF"/>
            <w:tcMar>
              <w:top w:w="0" w:type="dxa"/>
              <w:left w:w="20" w:type="dxa"/>
              <w:bottom w:w="0" w:type="dxa"/>
              <w:right w:w="20" w:type="dxa"/>
            </w:tcMar>
            <w:vAlign w:val="bottom"/>
          </w:tcPr>
          <w:p w14:paraId="35D0B2C6"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2C7" w14:textId="77777777" w:rsidR="00D42204" w:rsidRDefault="004E439D">
            <w:pPr>
              <w:jc w:val="center"/>
              <w:textAlignment w:val="bottom"/>
            </w:pPr>
            <w:r>
              <w:rPr>
                <w:rFonts w:ascii="Times New Roman" w:eastAsia="宋体" w:hAnsi="Times New Roman"/>
                <w:color w:val="000000"/>
                <w:sz w:val="16"/>
                <w:szCs w:val="16"/>
              </w:rPr>
              <w:t>$1,250</w:t>
            </w:r>
          </w:p>
        </w:tc>
        <w:tc>
          <w:tcPr>
            <w:tcW w:w="0" w:type="auto"/>
            <w:gridSpan w:val="3"/>
            <w:shd w:val="clear" w:color="auto" w:fill="FFFFFF"/>
            <w:tcMar>
              <w:top w:w="0" w:type="dxa"/>
              <w:left w:w="20" w:type="dxa"/>
              <w:bottom w:w="0" w:type="dxa"/>
              <w:right w:w="20" w:type="dxa"/>
            </w:tcMar>
            <w:vAlign w:val="bottom"/>
          </w:tcPr>
          <w:p w14:paraId="35D0B2C8"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2C9" w14:textId="77777777" w:rsidR="00D42204" w:rsidRDefault="004E439D">
            <w:pPr>
              <w:jc w:val="center"/>
              <w:textAlignment w:val="bottom"/>
            </w:pPr>
            <w:r>
              <w:rPr>
                <w:rFonts w:ascii="Times New Roman" w:eastAsia="宋体" w:hAnsi="Times New Roman"/>
                <w:color w:val="000000"/>
                <w:sz w:val="16"/>
                <w:szCs w:val="16"/>
              </w:rPr>
              <w:t>September 22, 2028</w:t>
            </w:r>
          </w:p>
        </w:tc>
        <w:tc>
          <w:tcPr>
            <w:tcW w:w="0" w:type="auto"/>
            <w:gridSpan w:val="3"/>
            <w:shd w:val="clear" w:color="auto" w:fill="FFFFFF"/>
            <w:tcMar>
              <w:top w:w="0" w:type="dxa"/>
              <w:left w:w="20" w:type="dxa"/>
              <w:bottom w:w="0" w:type="dxa"/>
              <w:right w:w="20" w:type="dxa"/>
            </w:tcMar>
            <w:vAlign w:val="bottom"/>
          </w:tcPr>
          <w:p w14:paraId="35D0B2CA"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2CB"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2CC"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2CD" w14:textId="77777777" w:rsidR="00D42204" w:rsidRDefault="004E439D">
            <w:pPr>
              <w:jc w:val="center"/>
              <w:textAlignment w:val="bottom"/>
            </w:pPr>
            <w:r>
              <w:rPr>
                <w:rFonts w:ascii="Times New Roman" w:eastAsia="宋体" w:hAnsi="Times New Roman"/>
                <w:color w:val="000000"/>
                <w:sz w:val="16"/>
                <w:szCs w:val="16"/>
              </w:rPr>
              <w:t>1.500%</w:t>
            </w:r>
          </w:p>
        </w:tc>
        <w:tc>
          <w:tcPr>
            <w:tcW w:w="0" w:type="auto"/>
            <w:gridSpan w:val="3"/>
            <w:shd w:val="clear" w:color="auto" w:fill="FFFFFF"/>
            <w:tcMar>
              <w:top w:w="0" w:type="dxa"/>
              <w:left w:w="20" w:type="dxa"/>
              <w:bottom w:w="0" w:type="dxa"/>
              <w:right w:w="20" w:type="dxa"/>
            </w:tcMar>
            <w:vAlign w:val="bottom"/>
          </w:tcPr>
          <w:p w14:paraId="35D0B2C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2CF" w14:textId="77777777" w:rsidR="00D42204" w:rsidRDefault="004E439D">
            <w:pPr>
              <w:jc w:val="right"/>
              <w:textAlignment w:val="bottom"/>
            </w:pPr>
            <w:r>
              <w:rPr>
                <w:rFonts w:ascii="Times New Roman" w:eastAsia="宋体" w:hAnsi="Times New Roman"/>
                <w:color w:val="000000"/>
                <w:sz w:val="16"/>
                <w:szCs w:val="16"/>
              </w:rPr>
              <w:t>1,244 </w:t>
            </w:r>
          </w:p>
        </w:tc>
        <w:tc>
          <w:tcPr>
            <w:tcW w:w="0" w:type="auto"/>
            <w:shd w:val="clear" w:color="auto" w:fill="FFFFFF"/>
            <w:tcMar>
              <w:top w:w="40" w:type="dxa"/>
              <w:left w:w="0" w:type="dxa"/>
              <w:bottom w:w="40" w:type="dxa"/>
              <w:right w:w="20" w:type="dxa"/>
            </w:tcMar>
            <w:vAlign w:val="bottom"/>
          </w:tcPr>
          <w:p w14:paraId="35D0B2D0" w14:textId="77777777" w:rsidR="00D42204" w:rsidRDefault="00D42204">
            <w:pPr>
              <w:jc w:val="right"/>
              <w:rPr>
                <w:rFonts w:ascii="宋体"/>
              </w:rPr>
            </w:pPr>
          </w:p>
        </w:tc>
      </w:tr>
      <w:tr w:rsidR="00D42204" w14:paraId="35D0B2DE" w14:textId="77777777">
        <w:trPr>
          <w:jc w:val="center"/>
        </w:trPr>
        <w:tc>
          <w:tcPr>
            <w:tcW w:w="0" w:type="auto"/>
            <w:gridSpan w:val="3"/>
            <w:shd w:val="clear" w:color="auto" w:fill="CCEEFF"/>
            <w:tcMar>
              <w:top w:w="40" w:type="dxa"/>
              <w:left w:w="20" w:type="dxa"/>
              <w:bottom w:w="40" w:type="dxa"/>
              <w:right w:w="20" w:type="dxa"/>
            </w:tcMar>
            <w:vAlign w:val="bottom"/>
          </w:tcPr>
          <w:p w14:paraId="35D0B2D2" w14:textId="77777777" w:rsidR="00D42204" w:rsidRDefault="004E439D">
            <w:pPr>
              <w:textAlignment w:val="bottom"/>
            </w:pPr>
            <w:r>
              <w:rPr>
                <w:rFonts w:ascii="Times New Roman" w:eastAsia="宋体" w:hAnsi="Times New Roman"/>
                <w:color w:val="000000"/>
                <w:sz w:val="16"/>
                <w:szCs w:val="16"/>
              </w:rPr>
              <w:t>Sept</w:t>
            </w:r>
            <w:r>
              <w:rPr>
                <w:rFonts w:ascii="Times New Roman" w:eastAsia="宋体" w:hAnsi="Times New Roman"/>
                <w:color w:val="000000"/>
                <w:sz w:val="16"/>
                <w:szCs w:val="16"/>
              </w:rPr>
              <w:t xml:space="preserve">ember 22, 2021 </w:t>
            </w:r>
            <w:r>
              <w:rPr>
                <w:rFonts w:ascii="Times New Roman" w:eastAsia="宋体" w:hAnsi="Times New Roman"/>
                <w:color w:val="000000"/>
                <w:sz w:val="10"/>
                <w:szCs w:val="10"/>
              </w:rPr>
              <w:t>(1)</w:t>
            </w:r>
          </w:p>
        </w:tc>
        <w:tc>
          <w:tcPr>
            <w:tcW w:w="0" w:type="auto"/>
            <w:gridSpan w:val="3"/>
            <w:shd w:val="clear" w:color="auto" w:fill="CCEEFF"/>
            <w:tcMar>
              <w:top w:w="0" w:type="dxa"/>
              <w:left w:w="20" w:type="dxa"/>
              <w:bottom w:w="0" w:type="dxa"/>
              <w:right w:w="20" w:type="dxa"/>
            </w:tcMar>
            <w:vAlign w:val="bottom"/>
          </w:tcPr>
          <w:p w14:paraId="35D0B2D3"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2D4" w14:textId="77777777" w:rsidR="00D42204" w:rsidRDefault="004E439D">
            <w:pPr>
              <w:jc w:val="center"/>
              <w:textAlignment w:val="bottom"/>
            </w:pPr>
            <w:r>
              <w:rPr>
                <w:rFonts w:ascii="Times New Roman" w:eastAsia="宋体" w:hAnsi="Times New Roman"/>
                <w:color w:val="000000"/>
                <w:sz w:val="16"/>
                <w:szCs w:val="16"/>
              </w:rPr>
              <w:t>$2,000</w:t>
            </w:r>
          </w:p>
        </w:tc>
        <w:tc>
          <w:tcPr>
            <w:tcW w:w="0" w:type="auto"/>
            <w:gridSpan w:val="3"/>
            <w:shd w:val="clear" w:color="auto" w:fill="CCEEFF"/>
            <w:tcMar>
              <w:top w:w="0" w:type="dxa"/>
              <w:left w:w="20" w:type="dxa"/>
              <w:bottom w:w="0" w:type="dxa"/>
              <w:right w:w="20" w:type="dxa"/>
            </w:tcMar>
            <w:vAlign w:val="bottom"/>
          </w:tcPr>
          <w:p w14:paraId="35D0B2D5"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2D6" w14:textId="77777777" w:rsidR="00D42204" w:rsidRDefault="004E439D">
            <w:pPr>
              <w:jc w:val="center"/>
              <w:textAlignment w:val="bottom"/>
            </w:pPr>
            <w:r>
              <w:rPr>
                <w:rFonts w:ascii="Times New Roman" w:eastAsia="宋体" w:hAnsi="Times New Roman"/>
                <w:color w:val="000000"/>
                <w:sz w:val="16"/>
                <w:szCs w:val="16"/>
              </w:rPr>
              <w:t>September 22, 2031</w:t>
            </w:r>
          </w:p>
        </w:tc>
        <w:tc>
          <w:tcPr>
            <w:tcW w:w="0" w:type="auto"/>
            <w:gridSpan w:val="3"/>
            <w:shd w:val="clear" w:color="auto" w:fill="CCEEFF"/>
            <w:tcMar>
              <w:top w:w="0" w:type="dxa"/>
              <w:left w:w="20" w:type="dxa"/>
              <w:bottom w:w="0" w:type="dxa"/>
              <w:right w:w="20" w:type="dxa"/>
            </w:tcMar>
            <w:vAlign w:val="bottom"/>
          </w:tcPr>
          <w:p w14:paraId="35D0B2D7"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2D8"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2D9"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2DA" w14:textId="77777777" w:rsidR="00D42204" w:rsidRDefault="004E439D">
            <w:pPr>
              <w:jc w:val="center"/>
              <w:textAlignment w:val="bottom"/>
            </w:pPr>
            <w:r>
              <w:rPr>
                <w:rFonts w:ascii="Times New Roman" w:eastAsia="宋体" w:hAnsi="Times New Roman"/>
                <w:color w:val="000000"/>
                <w:sz w:val="16"/>
                <w:szCs w:val="16"/>
              </w:rPr>
              <w:t>1.800%</w:t>
            </w:r>
          </w:p>
        </w:tc>
        <w:tc>
          <w:tcPr>
            <w:tcW w:w="0" w:type="auto"/>
            <w:gridSpan w:val="3"/>
            <w:shd w:val="clear" w:color="auto" w:fill="CCEEFF"/>
            <w:tcMar>
              <w:top w:w="0" w:type="dxa"/>
              <w:left w:w="20" w:type="dxa"/>
              <w:bottom w:w="0" w:type="dxa"/>
              <w:right w:w="20" w:type="dxa"/>
            </w:tcMar>
            <w:vAlign w:val="bottom"/>
          </w:tcPr>
          <w:p w14:paraId="35D0B2D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2DC" w14:textId="77777777" w:rsidR="00D42204" w:rsidRDefault="004E439D">
            <w:pPr>
              <w:jc w:val="right"/>
              <w:textAlignment w:val="bottom"/>
            </w:pPr>
            <w:r>
              <w:rPr>
                <w:rFonts w:ascii="Times New Roman" w:eastAsia="宋体" w:hAnsi="Times New Roman"/>
                <w:color w:val="000000"/>
                <w:sz w:val="16"/>
                <w:szCs w:val="16"/>
              </w:rPr>
              <w:t>1,981 </w:t>
            </w:r>
          </w:p>
        </w:tc>
        <w:tc>
          <w:tcPr>
            <w:tcW w:w="0" w:type="auto"/>
            <w:shd w:val="clear" w:color="auto" w:fill="CCEEFF"/>
            <w:tcMar>
              <w:top w:w="40" w:type="dxa"/>
              <w:left w:w="0" w:type="dxa"/>
              <w:bottom w:w="40" w:type="dxa"/>
              <w:right w:w="20" w:type="dxa"/>
            </w:tcMar>
            <w:vAlign w:val="bottom"/>
          </w:tcPr>
          <w:p w14:paraId="35D0B2DD" w14:textId="77777777" w:rsidR="00D42204" w:rsidRDefault="00D42204">
            <w:pPr>
              <w:jc w:val="right"/>
              <w:rPr>
                <w:rFonts w:ascii="宋体"/>
              </w:rPr>
            </w:pPr>
          </w:p>
        </w:tc>
      </w:tr>
      <w:tr w:rsidR="00D42204" w14:paraId="35D0B2EB" w14:textId="77777777">
        <w:trPr>
          <w:jc w:val="center"/>
        </w:trPr>
        <w:tc>
          <w:tcPr>
            <w:tcW w:w="0" w:type="auto"/>
            <w:gridSpan w:val="3"/>
            <w:shd w:val="clear" w:color="auto" w:fill="FFFFFF"/>
            <w:tcMar>
              <w:top w:w="40" w:type="dxa"/>
              <w:left w:w="20" w:type="dxa"/>
              <w:bottom w:w="40" w:type="dxa"/>
              <w:right w:w="20" w:type="dxa"/>
            </w:tcMar>
            <w:vAlign w:val="bottom"/>
          </w:tcPr>
          <w:p w14:paraId="35D0B2DF" w14:textId="77777777" w:rsidR="00D42204" w:rsidRDefault="004E439D">
            <w:pPr>
              <w:textAlignment w:val="bottom"/>
            </w:pPr>
            <w:r>
              <w:rPr>
                <w:rFonts w:ascii="Times New Roman" w:eastAsia="宋体" w:hAnsi="Times New Roman"/>
                <w:color w:val="000000"/>
                <w:sz w:val="16"/>
                <w:szCs w:val="16"/>
              </w:rPr>
              <w:t>September 22, 2021</w:t>
            </w:r>
          </w:p>
        </w:tc>
        <w:tc>
          <w:tcPr>
            <w:tcW w:w="0" w:type="auto"/>
            <w:gridSpan w:val="3"/>
            <w:shd w:val="clear" w:color="auto" w:fill="FFFFFF"/>
            <w:tcMar>
              <w:top w:w="0" w:type="dxa"/>
              <w:left w:w="20" w:type="dxa"/>
              <w:bottom w:w="0" w:type="dxa"/>
              <w:right w:w="20" w:type="dxa"/>
            </w:tcMar>
            <w:vAlign w:val="bottom"/>
          </w:tcPr>
          <w:p w14:paraId="35D0B2E0"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2E1" w14:textId="77777777" w:rsidR="00D42204" w:rsidRDefault="004E439D">
            <w:pPr>
              <w:jc w:val="center"/>
              <w:textAlignment w:val="bottom"/>
            </w:pPr>
            <w:r>
              <w:rPr>
                <w:rFonts w:ascii="Times New Roman" w:eastAsia="宋体" w:hAnsi="Times New Roman"/>
                <w:color w:val="000000"/>
                <w:sz w:val="16"/>
                <w:szCs w:val="16"/>
              </w:rPr>
              <w:t>$1,000</w:t>
            </w:r>
          </w:p>
        </w:tc>
        <w:tc>
          <w:tcPr>
            <w:tcW w:w="0" w:type="auto"/>
            <w:gridSpan w:val="3"/>
            <w:shd w:val="clear" w:color="auto" w:fill="FFFFFF"/>
            <w:tcMar>
              <w:top w:w="0" w:type="dxa"/>
              <w:left w:w="20" w:type="dxa"/>
              <w:bottom w:w="0" w:type="dxa"/>
              <w:right w:w="20" w:type="dxa"/>
            </w:tcMar>
            <w:vAlign w:val="bottom"/>
          </w:tcPr>
          <w:p w14:paraId="35D0B2E2"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2E3" w14:textId="77777777" w:rsidR="00D42204" w:rsidRDefault="004E439D">
            <w:pPr>
              <w:jc w:val="center"/>
              <w:textAlignment w:val="bottom"/>
            </w:pPr>
            <w:r>
              <w:rPr>
                <w:rFonts w:ascii="Times New Roman" w:eastAsia="宋体" w:hAnsi="Times New Roman"/>
                <w:color w:val="000000"/>
                <w:sz w:val="16"/>
                <w:szCs w:val="16"/>
              </w:rPr>
              <w:t>September 22, 2041</w:t>
            </w:r>
          </w:p>
        </w:tc>
        <w:tc>
          <w:tcPr>
            <w:tcW w:w="0" w:type="auto"/>
            <w:gridSpan w:val="3"/>
            <w:shd w:val="clear" w:color="auto" w:fill="FFFFFF"/>
            <w:tcMar>
              <w:top w:w="0" w:type="dxa"/>
              <w:left w:w="20" w:type="dxa"/>
              <w:bottom w:w="0" w:type="dxa"/>
              <w:right w:w="20" w:type="dxa"/>
            </w:tcMar>
            <w:vAlign w:val="bottom"/>
          </w:tcPr>
          <w:p w14:paraId="35D0B2E4"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2E5"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2E6"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2E7" w14:textId="77777777" w:rsidR="00D42204" w:rsidRDefault="004E439D">
            <w:pPr>
              <w:jc w:val="center"/>
              <w:textAlignment w:val="bottom"/>
            </w:pPr>
            <w:r>
              <w:rPr>
                <w:rFonts w:ascii="Times New Roman" w:eastAsia="宋体" w:hAnsi="Times New Roman"/>
                <w:color w:val="000000"/>
                <w:sz w:val="16"/>
                <w:szCs w:val="16"/>
              </w:rPr>
              <w:t>2.500%</w:t>
            </w:r>
          </w:p>
        </w:tc>
        <w:tc>
          <w:tcPr>
            <w:tcW w:w="0" w:type="auto"/>
            <w:gridSpan w:val="3"/>
            <w:shd w:val="clear" w:color="auto" w:fill="FFFFFF"/>
            <w:tcMar>
              <w:top w:w="0" w:type="dxa"/>
              <w:left w:w="20" w:type="dxa"/>
              <w:bottom w:w="0" w:type="dxa"/>
              <w:right w:w="20" w:type="dxa"/>
            </w:tcMar>
            <w:vAlign w:val="bottom"/>
          </w:tcPr>
          <w:p w14:paraId="35D0B2E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2E9" w14:textId="77777777" w:rsidR="00D42204" w:rsidRDefault="004E439D">
            <w:pPr>
              <w:jc w:val="right"/>
              <w:textAlignment w:val="bottom"/>
            </w:pPr>
            <w:r>
              <w:rPr>
                <w:rFonts w:ascii="Times New Roman" w:eastAsia="宋体" w:hAnsi="Times New Roman"/>
                <w:color w:val="000000"/>
                <w:sz w:val="16"/>
                <w:szCs w:val="16"/>
              </w:rPr>
              <w:t>994 </w:t>
            </w:r>
          </w:p>
        </w:tc>
        <w:tc>
          <w:tcPr>
            <w:tcW w:w="0" w:type="auto"/>
            <w:shd w:val="clear" w:color="auto" w:fill="FFFFFF"/>
            <w:tcMar>
              <w:top w:w="40" w:type="dxa"/>
              <w:left w:w="0" w:type="dxa"/>
              <w:bottom w:w="40" w:type="dxa"/>
              <w:right w:w="20" w:type="dxa"/>
            </w:tcMar>
            <w:vAlign w:val="bottom"/>
          </w:tcPr>
          <w:p w14:paraId="35D0B2EA" w14:textId="77777777" w:rsidR="00D42204" w:rsidRDefault="00D42204">
            <w:pPr>
              <w:jc w:val="right"/>
              <w:rPr>
                <w:rFonts w:ascii="宋体"/>
              </w:rPr>
            </w:pPr>
          </w:p>
        </w:tc>
      </w:tr>
      <w:tr w:rsidR="00D42204" w14:paraId="35D0B2F8" w14:textId="77777777">
        <w:trPr>
          <w:jc w:val="center"/>
        </w:trPr>
        <w:tc>
          <w:tcPr>
            <w:tcW w:w="0" w:type="auto"/>
            <w:gridSpan w:val="3"/>
            <w:shd w:val="clear" w:color="auto" w:fill="CCEEFF"/>
            <w:tcMar>
              <w:top w:w="40" w:type="dxa"/>
              <w:left w:w="20" w:type="dxa"/>
              <w:bottom w:w="40" w:type="dxa"/>
              <w:right w:w="20" w:type="dxa"/>
            </w:tcMar>
            <w:vAlign w:val="bottom"/>
          </w:tcPr>
          <w:p w14:paraId="35D0B2EC" w14:textId="77777777" w:rsidR="00D42204" w:rsidRDefault="004E439D">
            <w:pPr>
              <w:textAlignment w:val="bottom"/>
            </w:pPr>
            <w:r>
              <w:rPr>
                <w:rFonts w:ascii="Times New Roman" w:eastAsia="宋体" w:hAnsi="Times New Roman"/>
                <w:color w:val="000000"/>
                <w:sz w:val="16"/>
                <w:szCs w:val="16"/>
              </w:rPr>
              <w:t>Sept</w:t>
            </w:r>
            <w:r>
              <w:rPr>
                <w:rFonts w:ascii="Times New Roman" w:eastAsia="宋体" w:hAnsi="Times New Roman"/>
                <w:color w:val="000000"/>
                <w:sz w:val="16"/>
                <w:szCs w:val="16"/>
              </w:rPr>
              <w:t>ember 22, 2021</w:t>
            </w:r>
          </w:p>
        </w:tc>
        <w:tc>
          <w:tcPr>
            <w:tcW w:w="0" w:type="auto"/>
            <w:gridSpan w:val="3"/>
            <w:shd w:val="clear" w:color="auto" w:fill="CCEEFF"/>
            <w:tcMar>
              <w:top w:w="0" w:type="dxa"/>
              <w:left w:w="20" w:type="dxa"/>
              <w:bottom w:w="0" w:type="dxa"/>
              <w:right w:w="20" w:type="dxa"/>
            </w:tcMar>
            <w:vAlign w:val="bottom"/>
          </w:tcPr>
          <w:p w14:paraId="35D0B2ED"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2EE" w14:textId="77777777" w:rsidR="00D42204" w:rsidRDefault="004E439D">
            <w:pPr>
              <w:jc w:val="center"/>
              <w:textAlignment w:val="bottom"/>
            </w:pPr>
            <w:r>
              <w:rPr>
                <w:rFonts w:ascii="Times New Roman" w:eastAsia="宋体" w:hAnsi="Times New Roman"/>
                <w:color w:val="000000"/>
                <w:sz w:val="16"/>
                <w:szCs w:val="16"/>
              </w:rPr>
              <w:t>$1,500</w:t>
            </w:r>
          </w:p>
        </w:tc>
        <w:tc>
          <w:tcPr>
            <w:tcW w:w="0" w:type="auto"/>
            <w:gridSpan w:val="3"/>
            <w:shd w:val="clear" w:color="auto" w:fill="CCEEFF"/>
            <w:tcMar>
              <w:top w:w="0" w:type="dxa"/>
              <w:left w:w="20" w:type="dxa"/>
              <w:bottom w:w="0" w:type="dxa"/>
              <w:right w:w="20" w:type="dxa"/>
            </w:tcMar>
            <w:vAlign w:val="bottom"/>
          </w:tcPr>
          <w:p w14:paraId="35D0B2EF"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2F0" w14:textId="77777777" w:rsidR="00D42204" w:rsidRDefault="004E439D">
            <w:pPr>
              <w:jc w:val="center"/>
              <w:textAlignment w:val="bottom"/>
            </w:pPr>
            <w:r>
              <w:rPr>
                <w:rFonts w:ascii="Times New Roman" w:eastAsia="宋体" w:hAnsi="Times New Roman"/>
                <w:color w:val="000000"/>
                <w:sz w:val="16"/>
                <w:szCs w:val="16"/>
              </w:rPr>
              <w:t>September 22, 2051</w:t>
            </w:r>
          </w:p>
        </w:tc>
        <w:tc>
          <w:tcPr>
            <w:tcW w:w="0" w:type="auto"/>
            <w:gridSpan w:val="3"/>
            <w:shd w:val="clear" w:color="auto" w:fill="CCEEFF"/>
            <w:tcMar>
              <w:top w:w="0" w:type="dxa"/>
              <w:left w:w="20" w:type="dxa"/>
              <w:bottom w:w="0" w:type="dxa"/>
              <w:right w:w="20" w:type="dxa"/>
            </w:tcMar>
            <w:vAlign w:val="bottom"/>
          </w:tcPr>
          <w:p w14:paraId="35D0B2F1"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2F2"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2F3"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2F4" w14:textId="77777777" w:rsidR="00D42204" w:rsidRDefault="004E439D">
            <w:pPr>
              <w:jc w:val="center"/>
              <w:textAlignment w:val="bottom"/>
            </w:pPr>
            <w:r>
              <w:rPr>
                <w:rFonts w:ascii="Times New Roman" w:eastAsia="宋体" w:hAnsi="Times New Roman"/>
                <w:color w:val="000000"/>
                <w:sz w:val="16"/>
                <w:szCs w:val="16"/>
              </w:rPr>
              <w:t>2.650%</w:t>
            </w:r>
          </w:p>
        </w:tc>
        <w:tc>
          <w:tcPr>
            <w:tcW w:w="0" w:type="auto"/>
            <w:gridSpan w:val="3"/>
            <w:shd w:val="clear" w:color="auto" w:fill="CCEEFF"/>
            <w:tcMar>
              <w:top w:w="0" w:type="dxa"/>
              <w:left w:w="20" w:type="dxa"/>
              <w:bottom w:w="0" w:type="dxa"/>
              <w:right w:w="20" w:type="dxa"/>
            </w:tcMar>
            <w:vAlign w:val="bottom"/>
          </w:tcPr>
          <w:p w14:paraId="35D0B2F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2F6" w14:textId="77777777" w:rsidR="00D42204" w:rsidRDefault="004E439D">
            <w:pPr>
              <w:jc w:val="right"/>
              <w:textAlignment w:val="bottom"/>
            </w:pPr>
            <w:r>
              <w:rPr>
                <w:rFonts w:ascii="Times New Roman" w:eastAsia="宋体" w:hAnsi="Times New Roman"/>
                <w:color w:val="000000"/>
                <w:sz w:val="16"/>
                <w:szCs w:val="16"/>
              </w:rPr>
              <w:t>1,483 </w:t>
            </w:r>
          </w:p>
        </w:tc>
        <w:tc>
          <w:tcPr>
            <w:tcW w:w="0" w:type="auto"/>
            <w:shd w:val="clear" w:color="auto" w:fill="CCEEFF"/>
            <w:tcMar>
              <w:top w:w="40" w:type="dxa"/>
              <w:left w:w="0" w:type="dxa"/>
              <w:bottom w:w="40" w:type="dxa"/>
              <w:right w:w="20" w:type="dxa"/>
            </w:tcMar>
            <w:vAlign w:val="bottom"/>
          </w:tcPr>
          <w:p w14:paraId="35D0B2F7" w14:textId="77777777" w:rsidR="00D42204" w:rsidRDefault="00D42204">
            <w:pPr>
              <w:jc w:val="right"/>
              <w:rPr>
                <w:rFonts w:ascii="宋体"/>
              </w:rPr>
            </w:pPr>
          </w:p>
        </w:tc>
      </w:tr>
      <w:tr w:rsidR="00D42204" w14:paraId="35D0B306" w14:textId="77777777">
        <w:trPr>
          <w:jc w:val="center"/>
        </w:trPr>
        <w:tc>
          <w:tcPr>
            <w:tcW w:w="0" w:type="auto"/>
            <w:gridSpan w:val="3"/>
            <w:shd w:val="clear" w:color="auto" w:fill="FFFFFF"/>
            <w:tcMar>
              <w:top w:w="40" w:type="dxa"/>
              <w:left w:w="20" w:type="dxa"/>
              <w:bottom w:w="40" w:type="dxa"/>
              <w:right w:w="20" w:type="dxa"/>
            </w:tcMar>
            <w:vAlign w:val="bottom"/>
          </w:tcPr>
          <w:p w14:paraId="35D0B2F9" w14:textId="77777777" w:rsidR="00D42204" w:rsidRDefault="004E439D">
            <w:pPr>
              <w:textAlignment w:val="bottom"/>
            </w:pPr>
            <w:r>
              <w:rPr>
                <w:rFonts w:ascii="Times New Roman" w:eastAsia="宋体" w:hAnsi="Times New Roman"/>
                <w:b/>
                <w:bCs/>
                <w:color w:val="000000"/>
                <w:sz w:val="16"/>
                <w:szCs w:val="16"/>
              </w:rPr>
              <w:t>Tota</w:t>
            </w:r>
            <w:r>
              <w:rPr>
                <w:rFonts w:ascii="Times New Roman" w:eastAsia="宋体" w:hAnsi="Times New Roman"/>
                <w:b/>
                <w:bCs/>
                <w:color w:val="000000"/>
                <w:sz w:val="16"/>
                <w:szCs w:val="16"/>
              </w:rPr>
              <w:t>l</w:t>
            </w:r>
          </w:p>
        </w:tc>
        <w:tc>
          <w:tcPr>
            <w:tcW w:w="0" w:type="auto"/>
            <w:gridSpan w:val="3"/>
            <w:shd w:val="clear" w:color="auto" w:fill="FFFFFF"/>
            <w:tcMar>
              <w:top w:w="0" w:type="dxa"/>
              <w:left w:w="20" w:type="dxa"/>
              <w:bottom w:w="0" w:type="dxa"/>
              <w:right w:w="20" w:type="dxa"/>
            </w:tcMar>
            <w:vAlign w:val="bottom"/>
          </w:tcPr>
          <w:p w14:paraId="35D0B2FA"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2FB"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2FC"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2FD"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2FE"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2FF"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300"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301"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302"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5D0B303"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5D0B304" w14:textId="77777777" w:rsidR="00D42204" w:rsidRDefault="004E439D">
            <w:pPr>
              <w:jc w:val="right"/>
              <w:textAlignment w:val="bottom"/>
            </w:pPr>
            <w:r>
              <w:rPr>
                <w:rFonts w:ascii="Times New Roman" w:eastAsia="宋体" w:hAnsi="Times New Roman"/>
                <w:color w:val="000000"/>
                <w:sz w:val="16"/>
                <w:szCs w:val="16"/>
              </w:rPr>
              <w:t>6,945 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5D0B305" w14:textId="77777777" w:rsidR="00D42204" w:rsidRDefault="00D42204">
            <w:pPr>
              <w:jc w:val="right"/>
              <w:rPr>
                <w:rFonts w:ascii="宋体"/>
              </w:rPr>
            </w:pPr>
          </w:p>
        </w:tc>
      </w:tr>
    </w:tbl>
    <w:p w14:paraId="35D0B307" w14:textId="77777777" w:rsidR="00D42204" w:rsidRDefault="004E439D">
      <w:pPr>
        <w:spacing w:before="60"/>
        <w:ind w:hanging="18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     Represents a green bond issuance for which an amount equal to the net proceeds is intended to fund certain eligible green investment initiatives through the maturity date of the bond.</w:t>
      </w:r>
    </w:p>
    <w:p w14:paraId="35D0B308" w14:textId="77777777" w:rsidR="00D42204" w:rsidRDefault="004E439D">
      <w:pPr>
        <w:spacing w:before="60"/>
      </w:pPr>
      <w:r>
        <w:rPr>
          <w:rFonts w:ascii="Times New Roman" w:eastAsia="宋体" w:hAnsi="Times New Roman"/>
          <w:color w:val="000000"/>
          <w:sz w:val="20"/>
          <w:szCs w:val="20"/>
        </w:rPr>
        <w:t>These issuances are senior, unsecured notes which rank equally with</w:t>
      </w:r>
      <w:r>
        <w:rPr>
          <w:rFonts w:ascii="Times New Roman" w:eastAsia="宋体" w:hAnsi="Times New Roman"/>
          <w:color w:val="000000"/>
          <w:sz w:val="20"/>
          <w:szCs w:val="20"/>
        </w:rPr>
        <w:t xml:space="preserve"> all other senior, unsecured debt obligations of the Company, and are not convertible or exchangeable. These issuances do not contain any financial covenants which restrict the Company's ability to pay dividends or repurchase company stock. There were no l</w:t>
      </w:r>
      <w:r>
        <w:rPr>
          <w:rFonts w:ascii="Times New Roman" w:eastAsia="宋体" w:hAnsi="Times New Roman"/>
          <w:color w:val="000000"/>
          <w:sz w:val="20"/>
          <w:szCs w:val="20"/>
        </w:rPr>
        <w:t xml:space="preserve">ong-term debt issuances in fiscal 2021. </w:t>
      </w:r>
    </w:p>
    <w:p w14:paraId="35D0B309" w14:textId="77777777" w:rsidR="00D42204" w:rsidRDefault="004E439D">
      <w:pPr>
        <w:spacing w:before="180"/>
      </w:pPr>
      <w:r>
        <w:rPr>
          <w:rFonts w:ascii="Times New Roman" w:eastAsia="宋体" w:hAnsi="Times New Roman"/>
          <w:i/>
          <w:iCs/>
          <w:color w:val="000000"/>
          <w:sz w:val="20"/>
          <w:szCs w:val="20"/>
        </w:rPr>
        <w:t>Maturities and Extinguishments</w:t>
      </w:r>
    </w:p>
    <w:p w14:paraId="35D0B30A" w14:textId="77777777" w:rsidR="00D42204" w:rsidRDefault="004E439D">
      <w:pPr>
        <w:spacing w:before="100"/>
      </w:pPr>
      <w:r>
        <w:rPr>
          <w:rFonts w:ascii="Times New Roman" w:eastAsia="宋体" w:hAnsi="Times New Roman"/>
          <w:color w:val="000000"/>
          <w:sz w:val="20"/>
          <w:szCs w:val="20"/>
        </w:rPr>
        <w:t>The following table provides details of debt repayments during fiscal 2022:</w:t>
      </w:r>
    </w:p>
    <w:tbl>
      <w:tblPr>
        <w:tblW w:w="5000" w:type="pct"/>
        <w:tblCellMar>
          <w:top w:w="15" w:type="dxa"/>
          <w:left w:w="15" w:type="dxa"/>
          <w:bottom w:w="15" w:type="dxa"/>
          <w:right w:w="15" w:type="dxa"/>
        </w:tblCellMar>
        <w:tblLook w:val="04A0" w:firstRow="1" w:lastRow="0" w:firstColumn="1" w:lastColumn="0" w:noHBand="0" w:noVBand="1"/>
      </w:tblPr>
      <w:tblGrid>
        <w:gridCol w:w="54"/>
        <w:gridCol w:w="3440"/>
        <w:gridCol w:w="37"/>
        <w:gridCol w:w="36"/>
        <w:gridCol w:w="36"/>
        <w:gridCol w:w="36"/>
        <w:gridCol w:w="50"/>
        <w:gridCol w:w="995"/>
        <w:gridCol w:w="36"/>
        <w:gridCol w:w="36"/>
        <w:gridCol w:w="36"/>
        <w:gridCol w:w="36"/>
        <w:gridCol w:w="45"/>
        <w:gridCol w:w="1000"/>
        <w:gridCol w:w="36"/>
        <w:gridCol w:w="36"/>
        <w:gridCol w:w="36"/>
        <w:gridCol w:w="36"/>
        <w:gridCol w:w="43"/>
        <w:gridCol w:w="1002"/>
        <w:gridCol w:w="36"/>
        <w:gridCol w:w="36"/>
        <w:gridCol w:w="36"/>
        <w:gridCol w:w="36"/>
        <w:gridCol w:w="101"/>
        <w:gridCol w:w="993"/>
        <w:gridCol w:w="36"/>
      </w:tblGrid>
      <w:tr w:rsidR="00D42204" w14:paraId="35D0B326" w14:textId="77777777">
        <w:tc>
          <w:tcPr>
            <w:tcW w:w="50" w:type="pct"/>
            <w:shd w:val="clear" w:color="auto" w:fill="auto"/>
            <w:vAlign w:val="bottom"/>
          </w:tcPr>
          <w:p w14:paraId="35D0B30B" w14:textId="77777777" w:rsidR="00D42204" w:rsidRDefault="00D42204">
            <w:pPr>
              <w:rPr>
                <w:rFonts w:ascii="宋体"/>
              </w:rPr>
            </w:pPr>
          </w:p>
        </w:tc>
        <w:tc>
          <w:tcPr>
            <w:tcW w:w="2079" w:type="pct"/>
            <w:shd w:val="clear" w:color="auto" w:fill="auto"/>
            <w:vAlign w:val="bottom"/>
          </w:tcPr>
          <w:p w14:paraId="35D0B30C" w14:textId="77777777" w:rsidR="00D42204" w:rsidRDefault="00D42204">
            <w:pPr>
              <w:rPr>
                <w:rFonts w:ascii="宋体"/>
              </w:rPr>
            </w:pPr>
          </w:p>
        </w:tc>
        <w:tc>
          <w:tcPr>
            <w:tcW w:w="5" w:type="pct"/>
            <w:shd w:val="clear" w:color="auto" w:fill="auto"/>
            <w:vAlign w:val="bottom"/>
          </w:tcPr>
          <w:p w14:paraId="35D0B30D" w14:textId="77777777" w:rsidR="00D42204" w:rsidRDefault="00D42204">
            <w:pPr>
              <w:rPr>
                <w:rFonts w:ascii="宋体"/>
              </w:rPr>
            </w:pPr>
          </w:p>
        </w:tc>
        <w:tc>
          <w:tcPr>
            <w:tcW w:w="5" w:type="pct"/>
            <w:shd w:val="clear" w:color="auto" w:fill="auto"/>
            <w:vAlign w:val="bottom"/>
          </w:tcPr>
          <w:p w14:paraId="35D0B30E" w14:textId="77777777" w:rsidR="00D42204" w:rsidRDefault="00D42204">
            <w:pPr>
              <w:rPr>
                <w:rFonts w:ascii="宋体"/>
              </w:rPr>
            </w:pPr>
          </w:p>
        </w:tc>
        <w:tc>
          <w:tcPr>
            <w:tcW w:w="26" w:type="pct"/>
            <w:shd w:val="clear" w:color="auto" w:fill="auto"/>
            <w:vAlign w:val="bottom"/>
          </w:tcPr>
          <w:p w14:paraId="35D0B30F" w14:textId="77777777" w:rsidR="00D42204" w:rsidRDefault="00D42204">
            <w:pPr>
              <w:rPr>
                <w:rFonts w:ascii="宋体"/>
              </w:rPr>
            </w:pPr>
          </w:p>
        </w:tc>
        <w:tc>
          <w:tcPr>
            <w:tcW w:w="5" w:type="pct"/>
            <w:shd w:val="clear" w:color="auto" w:fill="auto"/>
            <w:vAlign w:val="bottom"/>
          </w:tcPr>
          <w:p w14:paraId="35D0B310" w14:textId="77777777" w:rsidR="00D42204" w:rsidRDefault="00D42204">
            <w:pPr>
              <w:rPr>
                <w:rFonts w:ascii="宋体"/>
              </w:rPr>
            </w:pPr>
          </w:p>
        </w:tc>
        <w:tc>
          <w:tcPr>
            <w:tcW w:w="50" w:type="pct"/>
            <w:shd w:val="clear" w:color="auto" w:fill="auto"/>
            <w:vAlign w:val="bottom"/>
          </w:tcPr>
          <w:p w14:paraId="35D0B311" w14:textId="77777777" w:rsidR="00D42204" w:rsidRDefault="00D42204">
            <w:pPr>
              <w:rPr>
                <w:rFonts w:ascii="宋体"/>
              </w:rPr>
            </w:pPr>
          </w:p>
        </w:tc>
        <w:tc>
          <w:tcPr>
            <w:tcW w:w="624" w:type="pct"/>
            <w:shd w:val="clear" w:color="auto" w:fill="auto"/>
            <w:vAlign w:val="bottom"/>
          </w:tcPr>
          <w:p w14:paraId="35D0B312" w14:textId="77777777" w:rsidR="00D42204" w:rsidRDefault="00D42204">
            <w:pPr>
              <w:rPr>
                <w:rFonts w:ascii="宋体"/>
              </w:rPr>
            </w:pPr>
          </w:p>
        </w:tc>
        <w:tc>
          <w:tcPr>
            <w:tcW w:w="5" w:type="pct"/>
            <w:shd w:val="clear" w:color="auto" w:fill="auto"/>
            <w:vAlign w:val="bottom"/>
          </w:tcPr>
          <w:p w14:paraId="35D0B313" w14:textId="77777777" w:rsidR="00D42204" w:rsidRDefault="00D42204">
            <w:pPr>
              <w:rPr>
                <w:rFonts w:ascii="宋体"/>
              </w:rPr>
            </w:pPr>
          </w:p>
        </w:tc>
        <w:tc>
          <w:tcPr>
            <w:tcW w:w="5" w:type="pct"/>
            <w:shd w:val="clear" w:color="auto" w:fill="auto"/>
            <w:vAlign w:val="bottom"/>
          </w:tcPr>
          <w:p w14:paraId="35D0B314" w14:textId="77777777" w:rsidR="00D42204" w:rsidRDefault="00D42204">
            <w:pPr>
              <w:rPr>
                <w:rFonts w:ascii="宋体"/>
              </w:rPr>
            </w:pPr>
          </w:p>
        </w:tc>
        <w:tc>
          <w:tcPr>
            <w:tcW w:w="26" w:type="pct"/>
            <w:shd w:val="clear" w:color="auto" w:fill="auto"/>
            <w:vAlign w:val="bottom"/>
          </w:tcPr>
          <w:p w14:paraId="35D0B315" w14:textId="77777777" w:rsidR="00D42204" w:rsidRDefault="00D42204">
            <w:pPr>
              <w:rPr>
                <w:rFonts w:ascii="宋体"/>
              </w:rPr>
            </w:pPr>
          </w:p>
        </w:tc>
        <w:tc>
          <w:tcPr>
            <w:tcW w:w="5" w:type="pct"/>
            <w:shd w:val="clear" w:color="auto" w:fill="auto"/>
            <w:vAlign w:val="bottom"/>
          </w:tcPr>
          <w:p w14:paraId="35D0B316" w14:textId="77777777" w:rsidR="00D42204" w:rsidRDefault="00D42204">
            <w:pPr>
              <w:rPr>
                <w:rFonts w:ascii="宋体"/>
              </w:rPr>
            </w:pPr>
          </w:p>
        </w:tc>
        <w:tc>
          <w:tcPr>
            <w:tcW w:w="50" w:type="pct"/>
            <w:shd w:val="clear" w:color="auto" w:fill="auto"/>
            <w:vAlign w:val="bottom"/>
          </w:tcPr>
          <w:p w14:paraId="35D0B317" w14:textId="77777777" w:rsidR="00D42204" w:rsidRDefault="00D42204">
            <w:pPr>
              <w:rPr>
                <w:rFonts w:ascii="宋体"/>
              </w:rPr>
            </w:pPr>
          </w:p>
        </w:tc>
        <w:tc>
          <w:tcPr>
            <w:tcW w:w="624" w:type="pct"/>
            <w:shd w:val="clear" w:color="auto" w:fill="auto"/>
            <w:vAlign w:val="bottom"/>
          </w:tcPr>
          <w:p w14:paraId="35D0B318" w14:textId="77777777" w:rsidR="00D42204" w:rsidRDefault="00D42204">
            <w:pPr>
              <w:rPr>
                <w:rFonts w:ascii="宋体"/>
              </w:rPr>
            </w:pPr>
          </w:p>
        </w:tc>
        <w:tc>
          <w:tcPr>
            <w:tcW w:w="5" w:type="pct"/>
            <w:shd w:val="clear" w:color="auto" w:fill="auto"/>
            <w:vAlign w:val="bottom"/>
          </w:tcPr>
          <w:p w14:paraId="35D0B319" w14:textId="77777777" w:rsidR="00D42204" w:rsidRDefault="00D42204">
            <w:pPr>
              <w:rPr>
                <w:rFonts w:ascii="宋体"/>
              </w:rPr>
            </w:pPr>
          </w:p>
        </w:tc>
        <w:tc>
          <w:tcPr>
            <w:tcW w:w="5" w:type="pct"/>
            <w:shd w:val="clear" w:color="auto" w:fill="auto"/>
            <w:vAlign w:val="bottom"/>
          </w:tcPr>
          <w:p w14:paraId="35D0B31A" w14:textId="77777777" w:rsidR="00D42204" w:rsidRDefault="00D42204">
            <w:pPr>
              <w:rPr>
                <w:rFonts w:ascii="宋体"/>
              </w:rPr>
            </w:pPr>
          </w:p>
        </w:tc>
        <w:tc>
          <w:tcPr>
            <w:tcW w:w="26" w:type="pct"/>
            <w:shd w:val="clear" w:color="auto" w:fill="auto"/>
            <w:vAlign w:val="bottom"/>
          </w:tcPr>
          <w:p w14:paraId="35D0B31B" w14:textId="77777777" w:rsidR="00D42204" w:rsidRDefault="00D42204">
            <w:pPr>
              <w:rPr>
                <w:rFonts w:ascii="宋体"/>
              </w:rPr>
            </w:pPr>
          </w:p>
        </w:tc>
        <w:tc>
          <w:tcPr>
            <w:tcW w:w="5" w:type="pct"/>
            <w:shd w:val="clear" w:color="auto" w:fill="auto"/>
            <w:vAlign w:val="bottom"/>
          </w:tcPr>
          <w:p w14:paraId="35D0B31C" w14:textId="77777777" w:rsidR="00D42204" w:rsidRDefault="00D42204">
            <w:pPr>
              <w:rPr>
                <w:rFonts w:ascii="宋体"/>
              </w:rPr>
            </w:pPr>
          </w:p>
        </w:tc>
        <w:tc>
          <w:tcPr>
            <w:tcW w:w="50" w:type="pct"/>
            <w:shd w:val="clear" w:color="auto" w:fill="auto"/>
            <w:vAlign w:val="bottom"/>
          </w:tcPr>
          <w:p w14:paraId="35D0B31D" w14:textId="77777777" w:rsidR="00D42204" w:rsidRDefault="00D42204">
            <w:pPr>
              <w:rPr>
                <w:rFonts w:ascii="宋体"/>
              </w:rPr>
            </w:pPr>
          </w:p>
        </w:tc>
        <w:tc>
          <w:tcPr>
            <w:tcW w:w="624" w:type="pct"/>
            <w:shd w:val="clear" w:color="auto" w:fill="auto"/>
            <w:vAlign w:val="bottom"/>
          </w:tcPr>
          <w:p w14:paraId="35D0B31E" w14:textId="77777777" w:rsidR="00D42204" w:rsidRDefault="00D42204">
            <w:pPr>
              <w:rPr>
                <w:rFonts w:ascii="宋体"/>
              </w:rPr>
            </w:pPr>
          </w:p>
        </w:tc>
        <w:tc>
          <w:tcPr>
            <w:tcW w:w="5" w:type="pct"/>
            <w:shd w:val="clear" w:color="auto" w:fill="auto"/>
            <w:vAlign w:val="bottom"/>
          </w:tcPr>
          <w:p w14:paraId="35D0B31F" w14:textId="77777777" w:rsidR="00D42204" w:rsidRDefault="00D42204">
            <w:pPr>
              <w:rPr>
                <w:rFonts w:ascii="宋体"/>
              </w:rPr>
            </w:pPr>
          </w:p>
        </w:tc>
        <w:tc>
          <w:tcPr>
            <w:tcW w:w="5" w:type="pct"/>
            <w:shd w:val="clear" w:color="auto" w:fill="auto"/>
            <w:vAlign w:val="bottom"/>
          </w:tcPr>
          <w:p w14:paraId="35D0B320" w14:textId="77777777" w:rsidR="00D42204" w:rsidRDefault="00D42204">
            <w:pPr>
              <w:rPr>
                <w:rFonts w:ascii="宋体"/>
              </w:rPr>
            </w:pPr>
          </w:p>
        </w:tc>
        <w:tc>
          <w:tcPr>
            <w:tcW w:w="26" w:type="pct"/>
            <w:shd w:val="clear" w:color="auto" w:fill="auto"/>
            <w:vAlign w:val="bottom"/>
          </w:tcPr>
          <w:p w14:paraId="35D0B321" w14:textId="77777777" w:rsidR="00D42204" w:rsidRDefault="00D42204">
            <w:pPr>
              <w:rPr>
                <w:rFonts w:ascii="宋体"/>
              </w:rPr>
            </w:pPr>
          </w:p>
        </w:tc>
        <w:tc>
          <w:tcPr>
            <w:tcW w:w="5" w:type="pct"/>
            <w:shd w:val="clear" w:color="auto" w:fill="auto"/>
            <w:vAlign w:val="bottom"/>
          </w:tcPr>
          <w:p w14:paraId="35D0B322" w14:textId="77777777" w:rsidR="00D42204" w:rsidRDefault="00D42204">
            <w:pPr>
              <w:rPr>
                <w:rFonts w:ascii="宋体"/>
              </w:rPr>
            </w:pPr>
          </w:p>
        </w:tc>
        <w:tc>
          <w:tcPr>
            <w:tcW w:w="50" w:type="pct"/>
            <w:shd w:val="clear" w:color="auto" w:fill="auto"/>
            <w:vAlign w:val="bottom"/>
          </w:tcPr>
          <w:p w14:paraId="35D0B323" w14:textId="77777777" w:rsidR="00D42204" w:rsidRDefault="00D42204">
            <w:pPr>
              <w:rPr>
                <w:rFonts w:ascii="宋体"/>
              </w:rPr>
            </w:pPr>
          </w:p>
        </w:tc>
        <w:tc>
          <w:tcPr>
            <w:tcW w:w="625" w:type="pct"/>
            <w:shd w:val="clear" w:color="auto" w:fill="auto"/>
            <w:vAlign w:val="bottom"/>
          </w:tcPr>
          <w:p w14:paraId="35D0B324" w14:textId="77777777" w:rsidR="00D42204" w:rsidRDefault="00D42204">
            <w:pPr>
              <w:rPr>
                <w:rFonts w:ascii="宋体"/>
              </w:rPr>
            </w:pPr>
          </w:p>
        </w:tc>
        <w:tc>
          <w:tcPr>
            <w:tcW w:w="5" w:type="pct"/>
            <w:shd w:val="clear" w:color="auto" w:fill="auto"/>
            <w:vAlign w:val="bottom"/>
          </w:tcPr>
          <w:p w14:paraId="35D0B325" w14:textId="77777777" w:rsidR="00D42204" w:rsidRDefault="00D42204">
            <w:pPr>
              <w:rPr>
                <w:rFonts w:ascii="宋体"/>
              </w:rPr>
            </w:pPr>
          </w:p>
        </w:tc>
      </w:tr>
      <w:tr w:rsidR="00D42204" w14:paraId="35D0B330" w14:textId="77777777">
        <w:tc>
          <w:tcPr>
            <w:tcW w:w="0" w:type="auto"/>
            <w:gridSpan w:val="3"/>
            <w:shd w:val="clear" w:color="auto" w:fill="auto"/>
            <w:tcMar>
              <w:top w:w="40" w:type="dxa"/>
              <w:left w:w="20" w:type="dxa"/>
              <w:bottom w:w="40" w:type="dxa"/>
              <w:right w:w="20" w:type="dxa"/>
            </w:tcMar>
            <w:vAlign w:val="bottom"/>
          </w:tcPr>
          <w:p w14:paraId="35D0B327"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328"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329"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32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32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32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32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32E"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32F" w14:textId="77777777" w:rsidR="00D42204" w:rsidRDefault="00D42204">
            <w:pPr>
              <w:rPr>
                <w:rFonts w:ascii="宋体"/>
              </w:rPr>
            </w:pPr>
          </w:p>
        </w:tc>
      </w:tr>
      <w:tr w:rsidR="00D42204" w14:paraId="35D0B33A" w14:textId="77777777">
        <w:tc>
          <w:tcPr>
            <w:tcW w:w="0" w:type="auto"/>
            <w:gridSpan w:val="3"/>
            <w:shd w:val="clear" w:color="auto" w:fill="auto"/>
            <w:tcMar>
              <w:top w:w="40" w:type="dxa"/>
              <w:left w:w="20" w:type="dxa"/>
              <w:bottom w:w="40" w:type="dxa"/>
              <w:right w:w="20" w:type="dxa"/>
            </w:tcMar>
            <w:vAlign w:val="bottom"/>
          </w:tcPr>
          <w:p w14:paraId="35D0B331" w14:textId="77777777" w:rsidR="00D42204" w:rsidRDefault="004E439D">
            <w:pPr>
              <w:textAlignment w:val="bottom"/>
            </w:pPr>
            <w:r>
              <w:rPr>
                <w:rFonts w:ascii="Times New Roman" w:eastAsia="宋体" w:hAnsi="Times New Roman"/>
                <w:b/>
                <w:bCs/>
                <w:color w:val="000000"/>
                <w:sz w:val="16"/>
                <w:szCs w:val="16"/>
              </w:rPr>
              <w:t>Maturity Date</w:t>
            </w:r>
          </w:p>
        </w:tc>
        <w:tc>
          <w:tcPr>
            <w:tcW w:w="0" w:type="auto"/>
            <w:gridSpan w:val="3"/>
            <w:shd w:val="clear" w:color="auto" w:fill="auto"/>
            <w:tcMar>
              <w:top w:w="0" w:type="dxa"/>
              <w:left w:w="20" w:type="dxa"/>
              <w:bottom w:w="0" w:type="dxa"/>
              <w:right w:w="20" w:type="dxa"/>
            </w:tcMar>
            <w:vAlign w:val="bottom"/>
          </w:tcPr>
          <w:p w14:paraId="35D0B332"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333" w14:textId="77777777" w:rsidR="00D42204" w:rsidRDefault="004E439D">
            <w:pPr>
              <w:jc w:val="center"/>
              <w:textAlignment w:val="bottom"/>
            </w:pPr>
            <w:r>
              <w:rPr>
                <w:rFonts w:ascii="Times New Roman" w:eastAsia="宋体" w:hAnsi="Times New Roman"/>
                <w:b/>
                <w:bCs/>
                <w:color w:val="000000"/>
                <w:sz w:val="16"/>
                <w:szCs w:val="16"/>
              </w:rPr>
              <w:t>Principal Amount</w:t>
            </w:r>
          </w:p>
        </w:tc>
        <w:tc>
          <w:tcPr>
            <w:tcW w:w="0" w:type="auto"/>
            <w:gridSpan w:val="3"/>
            <w:shd w:val="clear" w:color="auto" w:fill="auto"/>
            <w:tcMar>
              <w:top w:w="0" w:type="dxa"/>
              <w:left w:w="20" w:type="dxa"/>
              <w:bottom w:w="0" w:type="dxa"/>
              <w:right w:w="20" w:type="dxa"/>
            </w:tcMar>
            <w:vAlign w:val="bottom"/>
          </w:tcPr>
          <w:p w14:paraId="35D0B334"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335" w14:textId="77777777" w:rsidR="00D42204" w:rsidRDefault="004E439D">
            <w:pPr>
              <w:jc w:val="center"/>
              <w:textAlignment w:val="bottom"/>
            </w:pPr>
            <w:r>
              <w:rPr>
                <w:rFonts w:ascii="Times New Roman" w:eastAsia="宋体" w:hAnsi="Times New Roman"/>
                <w:b/>
                <w:bCs/>
                <w:color w:val="000000"/>
                <w:sz w:val="16"/>
                <w:szCs w:val="16"/>
              </w:rPr>
              <w:t>Fixed vs. Floating</w:t>
            </w:r>
          </w:p>
        </w:tc>
        <w:tc>
          <w:tcPr>
            <w:tcW w:w="0" w:type="auto"/>
            <w:gridSpan w:val="3"/>
            <w:shd w:val="clear" w:color="auto" w:fill="auto"/>
            <w:tcMar>
              <w:top w:w="0" w:type="dxa"/>
              <w:left w:w="20" w:type="dxa"/>
              <w:bottom w:w="0" w:type="dxa"/>
              <w:right w:w="20" w:type="dxa"/>
            </w:tcMar>
            <w:vAlign w:val="bottom"/>
          </w:tcPr>
          <w:p w14:paraId="35D0B336"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337" w14:textId="77777777" w:rsidR="00D42204" w:rsidRDefault="004E439D">
            <w:pPr>
              <w:jc w:val="center"/>
              <w:textAlignment w:val="bottom"/>
            </w:pPr>
            <w:r>
              <w:rPr>
                <w:rFonts w:ascii="Times New Roman" w:eastAsia="宋体" w:hAnsi="Times New Roman"/>
                <w:b/>
                <w:bCs/>
                <w:color w:val="000000"/>
                <w:sz w:val="16"/>
                <w:szCs w:val="16"/>
              </w:rPr>
              <w:t>Interest Rate</w:t>
            </w:r>
          </w:p>
        </w:tc>
        <w:tc>
          <w:tcPr>
            <w:tcW w:w="0" w:type="auto"/>
            <w:gridSpan w:val="3"/>
            <w:shd w:val="clear" w:color="auto" w:fill="auto"/>
            <w:tcMar>
              <w:top w:w="0" w:type="dxa"/>
              <w:left w:w="20" w:type="dxa"/>
              <w:bottom w:w="0" w:type="dxa"/>
              <w:right w:w="20" w:type="dxa"/>
            </w:tcMar>
            <w:vAlign w:val="bottom"/>
          </w:tcPr>
          <w:p w14:paraId="35D0B338"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339" w14:textId="77777777" w:rsidR="00D42204" w:rsidRDefault="004E439D">
            <w:pPr>
              <w:jc w:val="center"/>
              <w:textAlignment w:val="bottom"/>
            </w:pPr>
            <w:r>
              <w:rPr>
                <w:rFonts w:ascii="Times New Roman" w:eastAsia="宋体" w:hAnsi="Times New Roman"/>
                <w:b/>
                <w:bCs/>
                <w:color w:val="000000"/>
                <w:sz w:val="16"/>
                <w:szCs w:val="16"/>
              </w:rPr>
              <w:t>Repayment</w:t>
            </w:r>
          </w:p>
        </w:tc>
      </w:tr>
      <w:tr w:rsidR="00D42204" w14:paraId="35D0B346"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D0B33B" w14:textId="77777777" w:rsidR="00D42204" w:rsidRDefault="004E439D">
            <w:pPr>
              <w:textAlignment w:val="bottom"/>
            </w:pPr>
            <w:r>
              <w:rPr>
                <w:rFonts w:ascii="Times New Roman" w:eastAsia="宋体" w:hAnsi="Times New Roman"/>
                <w:color w:val="000000"/>
                <w:sz w:val="16"/>
                <w:szCs w:val="16"/>
              </w:rPr>
              <w:t>April 15, 2021</w:t>
            </w:r>
          </w:p>
        </w:tc>
        <w:tc>
          <w:tcPr>
            <w:tcW w:w="0" w:type="auto"/>
            <w:gridSpan w:val="3"/>
            <w:shd w:val="clear" w:color="auto" w:fill="CCEEFF"/>
            <w:tcMar>
              <w:top w:w="0" w:type="dxa"/>
              <w:left w:w="20" w:type="dxa"/>
              <w:bottom w:w="0" w:type="dxa"/>
              <w:right w:w="20" w:type="dxa"/>
            </w:tcMar>
            <w:vAlign w:val="bottom"/>
          </w:tcPr>
          <w:p w14:paraId="35D0B33C"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D0B33D" w14:textId="77777777" w:rsidR="00D42204" w:rsidRDefault="004E439D">
            <w:pPr>
              <w:jc w:val="center"/>
              <w:textAlignment w:val="bottom"/>
            </w:pPr>
            <w:r>
              <w:rPr>
                <w:rFonts w:ascii="Times New Roman" w:eastAsia="宋体" w:hAnsi="Times New Roman"/>
                <w:color w:val="000000"/>
                <w:sz w:val="16"/>
                <w:szCs w:val="16"/>
              </w:rPr>
              <w:t>$510</w:t>
            </w:r>
          </w:p>
        </w:tc>
        <w:tc>
          <w:tcPr>
            <w:tcW w:w="0" w:type="auto"/>
            <w:gridSpan w:val="3"/>
            <w:shd w:val="clear" w:color="auto" w:fill="CCEEFF"/>
            <w:tcMar>
              <w:top w:w="0" w:type="dxa"/>
              <w:left w:w="20" w:type="dxa"/>
              <w:bottom w:w="0" w:type="dxa"/>
              <w:right w:w="20" w:type="dxa"/>
            </w:tcMar>
            <w:vAlign w:val="bottom"/>
          </w:tcPr>
          <w:p w14:paraId="35D0B33E"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D0B33F"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340"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D0B341" w14:textId="77777777" w:rsidR="00D42204" w:rsidRDefault="004E439D">
            <w:pPr>
              <w:jc w:val="center"/>
              <w:textAlignment w:val="bottom"/>
            </w:pPr>
            <w:r>
              <w:rPr>
                <w:rFonts w:ascii="Times New Roman" w:eastAsia="宋体" w:hAnsi="Times New Roman"/>
                <w:color w:val="000000"/>
                <w:sz w:val="16"/>
                <w:szCs w:val="16"/>
              </w:rPr>
              <w:t>4.250%</w:t>
            </w:r>
          </w:p>
        </w:tc>
        <w:tc>
          <w:tcPr>
            <w:tcW w:w="0" w:type="auto"/>
            <w:gridSpan w:val="3"/>
            <w:shd w:val="clear" w:color="auto" w:fill="CCEEFF"/>
            <w:tcMar>
              <w:top w:w="0" w:type="dxa"/>
              <w:left w:w="20" w:type="dxa"/>
              <w:bottom w:w="0" w:type="dxa"/>
              <w:right w:w="20" w:type="dxa"/>
            </w:tcMar>
            <w:vAlign w:val="bottom"/>
          </w:tcPr>
          <w:p w14:paraId="35D0B342"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D0B343"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D0B344" w14:textId="77777777" w:rsidR="00D42204" w:rsidRDefault="004E439D">
            <w:pPr>
              <w:jc w:val="right"/>
              <w:textAlignment w:val="bottom"/>
            </w:pPr>
            <w:r>
              <w:rPr>
                <w:rFonts w:ascii="Times New Roman" w:eastAsia="宋体" w:hAnsi="Times New Roman"/>
                <w:color w:val="000000"/>
                <w:sz w:val="16"/>
                <w:szCs w:val="16"/>
              </w:rPr>
              <w:t>510 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345" w14:textId="77777777" w:rsidR="00D42204" w:rsidRDefault="00D42204">
            <w:pPr>
              <w:jc w:val="right"/>
              <w:rPr>
                <w:rFonts w:ascii="宋体"/>
              </w:rPr>
            </w:pPr>
          </w:p>
        </w:tc>
      </w:tr>
      <w:tr w:rsidR="00D42204" w14:paraId="35D0B350" w14:textId="77777777">
        <w:tc>
          <w:tcPr>
            <w:tcW w:w="0" w:type="auto"/>
            <w:gridSpan w:val="3"/>
            <w:shd w:val="clear" w:color="auto" w:fill="FFFFFF"/>
            <w:tcMar>
              <w:top w:w="40" w:type="dxa"/>
              <w:left w:w="20" w:type="dxa"/>
              <w:bottom w:w="40" w:type="dxa"/>
              <w:right w:w="20" w:type="dxa"/>
            </w:tcMar>
            <w:vAlign w:val="bottom"/>
          </w:tcPr>
          <w:p w14:paraId="35D0B347" w14:textId="77777777" w:rsidR="00D42204" w:rsidRDefault="004E439D">
            <w:pPr>
              <w:textAlignment w:val="bottom"/>
            </w:pPr>
            <w:r>
              <w:rPr>
                <w:rFonts w:ascii="Times New Roman" w:eastAsia="宋体" w:hAnsi="Times New Roman"/>
                <w:color w:val="000000"/>
                <w:sz w:val="16"/>
                <w:szCs w:val="16"/>
              </w:rPr>
              <w:t>June 23, 2021</w:t>
            </w:r>
          </w:p>
        </w:tc>
        <w:tc>
          <w:tcPr>
            <w:tcW w:w="0" w:type="auto"/>
            <w:gridSpan w:val="3"/>
            <w:shd w:val="clear" w:color="auto" w:fill="FFFFFF"/>
            <w:tcMar>
              <w:top w:w="0" w:type="dxa"/>
              <w:left w:w="20" w:type="dxa"/>
              <w:bottom w:w="0" w:type="dxa"/>
              <w:right w:w="20" w:type="dxa"/>
            </w:tcMar>
            <w:vAlign w:val="bottom"/>
          </w:tcPr>
          <w:p w14:paraId="35D0B348"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49" w14:textId="77777777" w:rsidR="00D42204" w:rsidRDefault="004E439D">
            <w:pPr>
              <w:jc w:val="center"/>
              <w:textAlignment w:val="bottom"/>
            </w:pPr>
            <w:r>
              <w:rPr>
                <w:rFonts w:ascii="Times New Roman" w:eastAsia="宋体" w:hAnsi="Times New Roman"/>
                <w:color w:val="000000"/>
                <w:sz w:val="16"/>
                <w:szCs w:val="16"/>
              </w:rPr>
              <w:t>$750</w:t>
            </w:r>
          </w:p>
        </w:tc>
        <w:tc>
          <w:tcPr>
            <w:tcW w:w="0" w:type="auto"/>
            <w:gridSpan w:val="3"/>
            <w:shd w:val="clear" w:color="auto" w:fill="FFFFFF"/>
            <w:tcMar>
              <w:top w:w="0" w:type="dxa"/>
              <w:left w:w="20" w:type="dxa"/>
              <w:bottom w:w="0" w:type="dxa"/>
              <w:right w:w="20" w:type="dxa"/>
            </w:tcMar>
            <w:vAlign w:val="bottom"/>
          </w:tcPr>
          <w:p w14:paraId="35D0B34A"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4B" w14:textId="77777777" w:rsidR="00D42204" w:rsidRDefault="004E439D">
            <w:pPr>
              <w:jc w:val="center"/>
              <w:textAlignment w:val="bottom"/>
            </w:pPr>
            <w:r>
              <w:rPr>
                <w:rFonts w:ascii="Times New Roman" w:eastAsia="宋体" w:hAnsi="Times New Roman"/>
                <w:color w:val="000000"/>
                <w:sz w:val="16"/>
                <w:szCs w:val="16"/>
              </w:rPr>
              <w:t>Floating</w:t>
            </w:r>
          </w:p>
        </w:tc>
        <w:tc>
          <w:tcPr>
            <w:tcW w:w="0" w:type="auto"/>
            <w:gridSpan w:val="3"/>
            <w:shd w:val="clear" w:color="auto" w:fill="FFFFFF"/>
            <w:tcMar>
              <w:top w:w="0" w:type="dxa"/>
              <w:left w:w="20" w:type="dxa"/>
              <w:bottom w:w="0" w:type="dxa"/>
              <w:right w:w="20" w:type="dxa"/>
            </w:tcMar>
            <w:vAlign w:val="bottom"/>
          </w:tcPr>
          <w:p w14:paraId="35D0B34C"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4D" w14:textId="77777777" w:rsidR="00D42204" w:rsidRDefault="004E439D">
            <w:pPr>
              <w:jc w:val="center"/>
              <w:textAlignment w:val="bottom"/>
            </w:pPr>
            <w:r>
              <w:rPr>
                <w:rFonts w:ascii="Times New Roman" w:eastAsia="宋体" w:hAnsi="Times New Roman"/>
                <w:color w:val="000000"/>
                <w:sz w:val="16"/>
                <w:szCs w:val="16"/>
              </w:rPr>
              <w:t>Floating</w:t>
            </w:r>
          </w:p>
        </w:tc>
        <w:tc>
          <w:tcPr>
            <w:tcW w:w="0" w:type="auto"/>
            <w:gridSpan w:val="3"/>
            <w:shd w:val="clear" w:color="auto" w:fill="FFFFFF"/>
            <w:tcMar>
              <w:top w:w="0" w:type="dxa"/>
              <w:left w:w="20" w:type="dxa"/>
              <w:bottom w:w="0" w:type="dxa"/>
              <w:right w:w="20" w:type="dxa"/>
            </w:tcMar>
            <w:vAlign w:val="bottom"/>
          </w:tcPr>
          <w:p w14:paraId="35D0B34E"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4F" w14:textId="77777777" w:rsidR="00D42204" w:rsidRDefault="004E439D">
            <w:pPr>
              <w:jc w:val="right"/>
              <w:textAlignment w:val="bottom"/>
            </w:pPr>
            <w:r>
              <w:rPr>
                <w:rFonts w:ascii="Times New Roman" w:eastAsia="宋体" w:hAnsi="Times New Roman"/>
                <w:color w:val="000000"/>
                <w:sz w:val="16"/>
                <w:szCs w:val="16"/>
              </w:rPr>
              <w:t>750</w:t>
            </w:r>
          </w:p>
        </w:tc>
      </w:tr>
      <w:tr w:rsidR="00D42204" w14:paraId="35D0B35A" w14:textId="77777777">
        <w:tc>
          <w:tcPr>
            <w:tcW w:w="0" w:type="auto"/>
            <w:gridSpan w:val="3"/>
            <w:shd w:val="clear" w:color="auto" w:fill="CCEEFF"/>
            <w:tcMar>
              <w:top w:w="40" w:type="dxa"/>
              <w:left w:w="20" w:type="dxa"/>
              <w:bottom w:w="40" w:type="dxa"/>
              <w:right w:w="20" w:type="dxa"/>
            </w:tcMar>
            <w:vAlign w:val="bottom"/>
          </w:tcPr>
          <w:p w14:paraId="35D0B351" w14:textId="77777777" w:rsidR="00D42204" w:rsidRDefault="004E439D">
            <w:pPr>
              <w:textAlignment w:val="bottom"/>
            </w:pPr>
            <w:r>
              <w:rPr>
                <w:rFonts w:ascii="Times New Roman" w:eastAsia="宋体" w:hAnsi="Times New Roman"/>
                <w:color w:val="000000"/>
                <w:sz w:val="16"/>
                <w:szCs w:val="16"/>
              </w:rPr>
              <w:t>June 23, 2021</w:t>
            </w:r>
          </w:p>
        </w:tc>
        <w:tc>
          <w:tcPr>
            <w:tcW w:w="0" w:type="auto"/>
            <w:gridSpan w:val="3"/>
            <w:shd w:val="clear" w:color="auto" w:fill="CCEEFF"/>
            <w:tcMar>
              <w:top w:w="0" w:type="dxa"/>
              <w:left w:w="20" w:type="dxa"/>
              <w:bottom w:w="0" w:type="dxa"/>
              <w:right w:w="20" w:type="dxa"/>
            </w:tcMar>
            <w:vAlign w:val="bottom"/>
          </w:tcPr>
          <w:p w14:paraId="35D0B352"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53" w14:textId="77777777" w:rsidR="00D42204" w:rsidRDefault="004E439D">
            <w:pPr>
              <w:jc w:val="center"/>
              <w:textAlignment w:val="bottom"/>
            </w:pPr>
            <w:r>
              <w:rPr>
                <w:rFonts w:ascii="Times New Roman" w:eastAsia="宋体" w:hAnsi="Times New Roman"/>
                <w:color w:val="000000"/>
                <w:sz w:val="16"/>
                <w:szCs w:val="16"/>
              </w:rPr>
              <w:t>$1,750</w:t>
            </w:r>
          </w:p>
        </w:tc>
        <w:tc>
          <w:tcPr>
            <w:tcW w:w="0" w:type="auto"/>
            <w:gridSpan w:val="3"/>
            <w:shd w:val="clear" w:color="auto" w:fill="CCEEFF"/>
            <w:tcMar>
              <w:top w:w="0" w:type="dxa"/>
              <w:left w:w="20" w:type="dxa"/>
              <w:bottom w:w="0" w:type="dxa"/>
              <w:right w:w="20" w:type="dxa"/>
            </w:tcMar>
            <w:vAlign w:val="bottom"/>
          </w:tcPr>
          <w:p w14:paraId="35D0B354"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55"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356"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57" w14:textId="77777777" w:rsidR="00D42204" w:rsidRDefault="004E439D">
            <w:pPr>
              <w:jc w:val="center"/>
              <w:textAlignment w:val="bottom"/>
            </w:pPr>
            <w:r>
              <w:rPr>
                <w:rFonts w:ascii="Times New Roman" w:eastAsia="宋体" w:hAnsi="Times New Roman"/>
                <w:color w:val="000000"/>
                <w:sz w:val="16"/>
                <w:szCs w:val="16"/>
              </w:rPr>
              <w:t>3.125%</w:t>
            </w:r>
          </w:p>
        </w:tc>
        <w:tc>
          <w:tcPr>
            <w:tcW w:w="0" w:type="auto"/>
            <w:gridSpan w:val="3"/>
            <w:shd w:val="clear" w:color="auto" w:fill="CCEEFF"/>
            <w:tcMar>
              <w:top w:w="0" w:type="dxa"/>
              <w:left w:w="20" w:type="dxa"/>
              <w:bottom w:w="0" w:type="dxa"/>
              <w:right w:w="20" w:type="dxa"/>
            </w:tcMar>
            <w:vAlign w:val="bottom"/>
          </w:tcPr>
          <w:p w14:paraId="35D0B358"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59" w14:textId="77777777" w:rsidR="00D42204" w:rsidRDefault="004E439D">
            <w:pPr>
              <w:jc w:val="right"/>
              <w:textAlignment w:val="bottom"/>
            </w:pPr>
            <w:r>
              <w:rPr>
                <w:rFonts w:ascii="Times New Roman" w:eastAsia="宋体" w:hAnsi="Times New Roman"/>
                <w:color w:val="000000"/>
                <w:sz w:val="16"/>
                <w:szCs w:val="16"/>
              </w:rPr>
              <w:t>1,750</w:t>
            </w:r>
          </w:p>
        </w:tc>
      </w:tr>
      <w:tr w:rsidR="00D42204" w14:paraId="35D0B364" w14:textId="77777777">
        <w:tc>
          <w:tcPr>
            <w:tcW w:w="0" w:type="auto"/>
            <w:gridSpan w:val="3"/>
            <w:shd w:val="clear" w:color="auto" w:fill="FFFFFF"/>
            <w:tcMar>
              <w:top w:w="40" w:type="dxa"/>
              <w:left w:w="245" w:type="dxa"/>
              <w:bottom w:w="40" w:type="dxa"/>
              <w:right w:w="20" w:type="dxa"/>
            </w:tcMar>
            <w:vAlign w:val="bottom"/>
          </w:tcPr>
          <w:p w14:paraId="35D0B35B" w14:textId="77777777" w:rsidR="00D42204" w:rsidRDefault="004E439D">
            <w:pPr>
              <w:textAlignment w:val="bottom"/>
            </w:pPr>
            <w:r>
              <w:rPr>
                <w:rFonts w:ascii="Times New Roman" w:eastAsia="宋体" w:hAnsi="Times New Roman"/>
                <w:b/>
                <w:bCs/>
                <w:color w:val="000000"/>
                <w:sz w:val="16"/>
                <w:szCs w:val="16"/>
              </w:rPr>
              <w:t>Total repayment of matured debt</w:t>
            </w:r>
          </w:p>
        </w:tc>
        <w:tc>
          <w:tcPr>
            <w:tcW w:w="0" w:type="auto"/>
            <w:gridSpan w:val="3"/>
            <w:shd w:val="clear" w:color="auto" w:fill="FFFFFF"/>
            <w:tcMar>
              <w:top w:w="0" w:type="dxa"/>
              <w:left w:w="20" w:type="dxa"/>
              <w:bottom w:w="0" w:type="dxa"/>
              <w:right w:w="20" w:type="dxa"/>
            </w:tcMar>
            <w:vAlign w:val="bottom"/>
          </w:tcPr>
          <w:p w14:paraId="35D0B35C"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35D"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35E"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35F"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360"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361"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362" w14:textId="77777777" w:rsidR="00D42204" w:rsidRDefault="00D42204">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35D0B363" w14:textId="77777777" w:rsidR="00D42204" w:rsidRDefault="004E439D">
            <w:pPr>
              <w:jc w:val="right"/>
              <w:textAlignment w:val="bottom"/>
            </w:pPr>
            <w:r>
              <w:rPr>
                <w:rFonts w:ascii="Times New Roman" w:eastAsia="宋体" w:hAnsi="Times New Roman"/>
                <w:color w:val="000000"/>
                <w:sz w:val="16"/>
                <w:szCs w:val="16"/>
              </w:rPr>
              <w:t>3,010</w:t>
            </w:r>
          </w:p>
        </w:tc>
      </w:tr>
      <w:tr w:rsidR="00D42204" w14:paraId="35D0B36E" w14:textId="77777777">
        <w:trPr>
          <w:trHeight w:val="240"/>
        </w:trPr>
        <w:tc>
          <w:tcPr>
            <w:tcW w:w="0" w:type="auto"/>
            <w:gridSpan w:val="3"/>
            <w:shd w:val="clear" w:color="auto" w:fill="CCEEFF"/>
            <w:tcMar>
              <w:top w:w="0" w:type="dxa"/>
              <w:left w:w="20" w:type="dxa"/>
              <w:bottom w:w="0" w:type="dxa"/>
              <w:right w:w="20" w:type="dxa"/>
            </w:tcMar>
            <w:vAlign w:val="bottom"/>
          </w:tcPr>
          <w:p w14:paraId="35D0B365"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366"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367"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36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369"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36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36B"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36C"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36D" w14:textId="77777777" w:rsidR="00D42204" w:rsidRDefault="00D42204">
            <w:pPr>
              <w:rPr>
                <w:rFonts w:ascii="宋体"/>
              </w:rPr>
            </w:pPr>
          </w:p>
        </w:tc>
      </w:tr>
      <w:tr w:rsidR="00D42204" w14:paraId="35D0B379" w14:textId="77777777">
        <w:tc>
          <w:tcPr>
            <w:tcW w:w="0" w:type="auto"/>
            <w:gridSpan w:val="3"/>
            <w:shd w:val="clear" w:color="auto" w:fill="FFFFFF"/>
            <w:tcMar>
              <w:top w:w="40" w:type="dxa"/>
              <w:left w:w="20" w:type="dxa"/>
              <w:bottom w:w="40" w:type="dxa"/>
              <w:right w:w="20" w:type="dxa"/>
            </w:tcMar>
            <w:vAlign w:val="bottom"/>
          </w:tcPr>
          <w:p w14:paraId="35D0B36F" w14:textId="77777777" w:rsidR="00D42204" w:rsidRDefault="004E439D">
            <w:pPr>
              <w:textAlignment w:val="bottom"/>
            </w:pPr>
            <w:r>
              <w:rPr>
                <w:rFonts w:ascii="Times New Roman" w:eastAsia="宋体" w:hAnsi="Times New Roman"/>
                <w:color w:val="000000"/>
                <w:sz w:val="16"/>
                <w:szCs w:val="16"/>
              </w:rPr>
              <w:t>June 26, 2023</w:t>
            </w:r>
          </w:p>
        </w:tc>
        <w:tc>
          <w:tcPr>
            <w:tcW w:w="0" w:type="auto"/>
            <w:gridSpan w:val="3"/>
            <w:shd w:val="clear" w:color="auto" w:fill="FFFFFF"/>
            <w:tcMar>
              <w:top w:w="0" w:type="dxa"/>
              <w:left w:w="20" w:type="dxa"/>
              <w:bottom w:w="0" w:type="dxa"/>
              <w:right w:w="20" w:type="dxa"/>
            </w:tcMar>
            <w:vAlign w:val="bottom"/>
          </w:tcPr>
          <w:p w14:paraId="35D0B370"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71" w14:textId="77777777" w:rsidR="00D42204" w:rsidRDefault="004E439D">
            <w:pPr>
              <w:jc w:val="center"/>
              <w:textAlignment w:val="bottom"/>
            </w:pPr>
            <w:r>
              <w:rPr>
                <w:rFonts w:ascii="Times New Roman" w:eastAsia="宋体" w:hAnsi="Times New Roman"/>
                <w:color w:val="000000"/>
                <w:sz w:val="16"/>
                <w:szCs w:val="16"/>
              </w:rPr>
              <w:t>$2,750</w:t>
            </w:r>
          </w:p>
        </w:tc>
        <w:tc>
          <w:tcPr>
            <w:tcW w:w="0" w:type="auto"/>
            <w:gridSpan w:val="3"/>
            <w:shd w:val="clear" w:color="auto" w:fill="FFFFFF"/>
            <w:tcMar>
              <w:top w:w="0" w:type="dxa"/>
              <w:left w:w="20" w:type="dxa"/>
              <w:bottom w:w="0" w:type="dxa"/>
              <w:right w:w="20" w:type="dxa"/>
            </w:tcMar>
            <w:vAlign w:val="bottom"/>
          </w:tcPr>
          <w:p w14:paraId="35D0B372"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73"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374"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75" w14:textId="77777777" w:rsidR="00D42204" w:rsidRDefault="004E439D">
            <w:pPr>
              <w:jc w:val="center"/>
              <w:textAlignment w:val="bottom"/>
            </w:pPr>
            <w:r>
              <w:rPr>
                <w:rFonts w:ascii="Times New Roman" w:eastAsia="宋体" w:hAnsi="Times New Roman"/>
                <w:color w:val="000000"/>
                <w:sz w:val="16"/>
                <w:szCs w:val="16"/>
              </w:rPr>
              <w:t>3.400%</w:t>
            </w:r>
          </w:p>
        </w:tc>
        <w:tc>
          <w:tcPr>
            <w:tcW w:w="0" w:type="auto"/>
            <w:gridSpan w:val="3"/>
            <w:shd w:val="clear" w:color="auto" w:fill="FFFFFF"/>
            <w:tcMar>
              <w:top w:w="0" w:type="dxa"/>
              <w:left w:w="20" w:type="dxa"/>
              <w:bottom w:w="0" w:type="dxa"/>
              <w:right w:w="20" w:type="dxa"/>
            </w:tcMar>
            <w:vAlign w:val="bottom"/>
          </w:tcPr>
          <w:p w14:paraId="35D0B37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377" w14:textId="77777777" w:rsidR="00D42204" w:rsidRDefault="004E439D">
            <w:pPr>
              <w:jc w:val="right"/>
              <w:textAlignment w:val="bottom"/>
            </w:pPr>
            <w:r>
              <w:rPr>
                <w:rFonts w:ascii="Times New Roman" w:eastAsia="宋体" w:hAnsi="Times New Roman"/>
                <w:color w:val="000000"/>
                <w:sz w:val="16"/>
                <w:szCs w:val="16"/>
              </w:rPr>
              <w:t>470 </w:t>
            </w:r>
          </w:p>
        </w:tc>
        <w:tc>
          <w:tcPr>
            <w:tcW w:w="0" w:type="auto"/>
            <w:shd w:val="clear" w:color="auto" w:fill="FFFFFF"/>
            <w:tcMar>
              <w:top w:w="40" w:type="dxa"/>
              <w:left w:w="0" w:type="dxa"/>
              <w:bottom w:w="40" w:type="dxa"/>
              <w:right w:w="20" w:type="dxa"/>
            </w:tcMar>
            <w:vAlign w:val="bottom"/>
          </w:tcPr>
          <w:p w14:paraId="35D0B378" w14:textId="77777777" w:rsidR="00D42204" w:rsidRDefault="00D42204">
            <w:pPr>
              <w:jc w:val="right"/>
              <w:rPr>
                <w:rFonts w:ascii="宋体"/>
              </w:rPr>
            </w:pPr>
          </w:p>
        </w:tc>
      </w:tr>
      <w:tr w:rsidR="00D42204" w14:paraId="35D0B384" w14:textId="77777777">
        <w:tc>
          <w:tcPr>
            <w:tcW w:w="0" w:type="auto"/>
            <w:gridSpan w:val="3"/>
            <w:shd w:val="clear" w:color="auto" w:fill="CCEEFF"/>
            <w:tcMar>
              <w:top w:w="40" w:type="dxa"/>
              <w:left w:w="20" w:type="dxa"/>
              <w:bottom w:w="40" w:type="dxa"/>
              <w:right w:w="20" w:type="dxa"/>
            </w:tcMar>
            <w:vAlign w:val="bottom"/>
          </w:tcPr>
          <w:p w14:paraId="35D0B37A" w14:textId="77777777" w:rsidR="00D42204" w:rsidRDefault="004E439D">
            <w:pPr>
              <w:textAlignment w:val="bottom"/>
            </w:pPr>
            <w:r>
              <w:rPr>
                <w:rFonts w:ascii="Times New Roman" w:eastAsia="宋体" w:hAnsi="Times New Roman"/>
                <w:color w:val="000000"/>
                <w:sz w:val="16"/>
                <w:szCs w:val="16"/>
              </w:rPr>
              <w:t>October 15, 2023</w:t>
            </w:r>
          </w:p>
        </w:tc>
        <w:tc>
          <w:tcPr>
            <w:tcW w:w="0" w:type="auto"/>
            <w:gridSpan w:val="3"/>
            <w:shd w:val="clear" w:color="auto" w:fill="CCEEFF"/>
            <w:tcMar>
              <w:top w:w="0" w:type="dxa"/>
              <w:left w:w="20" w:type="dxa"/>
              <w:bottom w:w="0" w:type="dxa"/>
              <w:right w:w="20" w:type="dxa"/>
            </w:tcMar>
            <w:vAlign w:val="bottom"/>
          </w:tcPr>
          <w:p w14:paraId="35D0B37B"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7C" w14:textId="77777777" w:rsidR="00D42204" w:rsidRDefault="004E439D">
            <w:pPr>
              <w:jc w:val="center"/>
              <w:textAlignment w:val="bottom"/>
            </w:pPr>
            <w:r>
              <w:rPr>
                <w:rFonts w:ascii="Times New Roman" w:eastAsia="宋体" w:hAnsi="Times New Roman"/>
                <w:color w:val="000000"/>
                <w:sz w:val="16"/>
                <w:szCs w:val="16"/>
              </w:rPr>
              <w:t>$152</w:t>
            </w:r>
          </w:p>
        </w:tc>
        <w:tc>
          <w:tcPr>
            <w:tcW w:w="0" w:type="auto"/>
            <w:gridSpan w:val="3"/>
            <w:shd w:val="clear" w:color="auto" w:fill="CCEEFF"/>
            <w:tcMar>
              <w:top w:w="0" w:type="dxa"/>
              <w:left w:w="20" w:type="dxa"/>
              <w:bottom w:w="0" w:type="dxa"/>
              <w:right w:w="20" w:type="dxa"/>
            </w:tcMar>
            <w:vAlign w:val="bottom"/>
          </w:tcPr>
          <w:p w14:paraId="35D0B37D"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7E"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37F"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80" w14:textId="77777777" w:rsidR="00D42204" w:rsidRDefault="004E439D">
            <w:pPr>
              <w:jc w:val="center"/>
              <w:textAlignment w:val="bottom"/>
            </w:pPr>
            <w:r>
              <w:rPr>
                <w:rFonts w:ascii="Times New Roman" w:eastAsia="宋体" w:hAnsi="Times New Roman"/>
                <w:color w:val="000000"/>
                <w:sz w:val="16"/>
                <w:szCs w:val="16"/>
              </w:rPr>
              <w:t>6.750%</w:t>
            </w:r>
          </w:p>
        </w:tc>
        <w:tc>
          <w:tcPr>
            <w:tcW w:w="0" w:type="auto"/>
            <w:gridSpan w:val="3"/>
            <w:shd w:val="clear" w:color="auto" w:fill="CCEEFF"/>
            <w:tcMar>
              <w:top w:w="0" w:type="dxa"/>
              <w:left w:w="20" w:type="dxa"/>
              <w:bottom w:w="0" w:type="dxa"/>
              <w:right w:w="20" w:type="dxa"/>
            </w:tcMar>
            <w:vAlign w:val="bottom"/>
          </w:tcPr>
          <w:p w14:paraId="35D0B38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382" w14:textId="77777777" w:rsidR="00D42204" w:rsidRDefault="004E439D">
            <w:pPr>
              <w:jc w:val="right"/>
              <w:textAlignment w:val="bottom"/>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bottom"/>
          </w:tcPr>
          <w:p w14:paraId="35D0B383" w14:textId="77777777" w:rsidR="00D42204" w:rsidRDefault="00D42204">
            <w:pPr>
              <w:jc w:val="right"/>
              <w:rPr>
                <w:rFonts w:ascii="宋体"/>
              </w:rPr>
            </w:pPr>
          </w:p>
        </w:tc>
      </w:tr>
      <w:tr w:rsidR="00D42204" w14:paraId="35D0B38F" w14:textId="77777777">
        <w:tc>
          <w:tcPr>
            <w:tcW w:w="0" w:type="auto"/>
            <w:gridSpan w:val="3"/>
            <w:shd w:val="clear" w:color="auto" w:fill="FFFFFF"/>
            <w:tcMar>
              <w:top w:w="40" w:type="dxa"/>
              <w:left w:w="20" w:type="dxa"/>
              <w:bottom w:w="40" w:type="dxa"/>
              <w:right w:w="20" w:type="dxa"/>
            </w:tcMar>
            <w:vAlign w:val="bottom"/>
          </w:tcPr>
          <w:p w14:paraId="35D0B385" w14:textId="77777777" w:rsidR="00D42204" w:rsidRDefault="004E439D">
            <w:pPr>
              <w:textAlignment w:val="bottom"/>
            </w:pPr>
            <w:r>
              <w:rPr>
                <w:rFonts w:ascii="Times New Roman" w:eastAsia="宋体" w:hAnsi="Times New Roman"/>
                <w:color w:val="000000"/>
                <w:sz w:val="16"/>
                <w:szCs w:val="16"/>
              </w:rPr>
              <w:t xml:space="preserve">July </w:t>
            </w:r>
            <w:r>
              <w:rPr>
                <w:rFonts w:ascii="Times New Roman" w:eastAsia="宋体" w:hAnsi="Times New Roman"/>
                <w:color w:val="000000"/>
                <w:sz w:val="16"/>
                <w:szCs w:val="16"/>
              </w:rPr>
              <w:t>8, 2024</w:t>
            </w:r>
          </w:p>
        </w:tc>
        <w:tc>
          <w:tcPr>
            <w:tcW w:w="0" w:type="auto"/>
            <w:gridSpan w:val="3"/>
            <w:shd w:val="clear" w:color="auto" w:fill="FFFFFF"/>
            <w:tcMar>
              <w:top w:w="0" w:type="dxa"/>
              <w:left w:w="20" w:type="dxa"/>
              <w:bottom w:w="0" w:type="dxa"/>
              <w:right w:w="20" w:type="dxa"/>
            </w:tcMar>
            <w:vAlign w:val="bottom"/>
          </w:tcPr>
          <w:p w14:paraId="35D0B386"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87" w14:textId="77777777" w:rsidR="00D42204" w:rsidRDefault="004E439D">
            <w:pPr>
              <w:jc w:val="center"/>
              <w:textAlignment w:val="bottom"/>
            </w:pPr>
            <w:r>
              <w:rPr>
                <w:rFonts w:ascii="Times New Roman" w:eastAsia="宋体" w:hAnsi="Times New Roman"/>
                <w:color w:val="000000"/>
                <w:sz w:val="16"/>
                <w:szCs w:val="16"/>
              </w:rPr>
              <w:t>$1,500</w:t>
            </w:r>
          </w:p>
        </w:tc>
        <w:tc>
          <w:tcPr>
            <w:tcW w:w="0" w:type="auto"/>
            <w:gridSpan w:val="3"/>
            <w:shd w:val="clear" w:color="auto" w:fill="FFFFFF"/>
            <w:tcMar>
              <w:top w:w="0" w:type="dxa"/>
              <w:left w:w="20" w:type="dxa"/>
              <w:bottom w:w="0" w:type="dxa"/>
              <w:right w:w="20" w:type="dxa"/>
            </w:tcMar>
            <w:vAlign w:val="bottom"/>
          </w:tcPr>
          <w:p w14:paraId="35D0B388"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89"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38A"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8B" w14:textId="77777777" w:rsidR="00D42204" w:rsidRDefault="004E439D">
            <w:pPr>
              <w:jc w:val="center"/>
              <w:textAlignment w:val="bottom"/>
            </w:pPr>
            <w:r>
              <w:rPr>
                <w:rFonts w:ascii="Times New Roman" w:eastAsia="宋体" w:hAnsi="Times New Roman"/>
                <w:color w:val="000000"/>
                <w:sz w:val="16"/>
                <w:szCs w:val="16"/>
              </w:rPr>
              <w:t>2.850%</w:t>
            </w:r>
          </w:p>
        </w:tc>
        <w:tc>
          <w:tcPr>
            <w:tcW w:w="0" w:type="auto"/>
            <w:gridSpan w:val="3"/>
            <w:shd w:val="clear" w:color="auto" w:fill="FFFFFF"/>
            <w:tcMar>
              <w:top w:w="0" w:type="dxa"/>
              <w:left w:w="20" w:type="dxa"/>
              <w:bottom w:w="0" w:type="dxa"/>
              <w:right w:w="20" w:type="dxa"/>
            </w:tcMar>
            <w:vAlign w:val="bottom"/>
          </w:tcPr>
          <w:p w14:paraId="35D0B38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38D" w14:textId="77777777" w:rsidR="00D42204" w:rsidRDefault="004E439D">
            <w:pPr>
              <w:jc w:val="right"/>
              <w:textAlignment w:val="bottom"/>
            </w:pPr>
            <w:r>
              <w:rPr>
                <w:rFonts w:ascii="Times New Roman" w:eastAsia="宋体" w:hAnsi="Times New Roman"/>
                <w:color w:val="000000"/>
                <w:sz w:val="16"/>
                <w:szCs w:val="16"/>
              </w:rPr>
              <w:t>510 </w:t>
            </w:r>
          </w:p>
        </w:tc>
        <w:tc>
          <w:tcPr>
            <w:tcW w:w="0" w:type="auto"/>
            <w:shd w:val="clear" w:color="auto" w:fill="FFFFFF"/>
            <w:tcMar>
              <w:top w:w="40" w:type="dxa"/>
              <w:left w:w="0" w:type="dxa"/>
              <w:bottom w:w="40" w:type="dxa"/>
              <w:right w:w="20" w:type="dxa"/>
            </w:tcMar>
            <w:vAlign w:val="bottom"/>
          </w:tcPr>
          <w:p w14:paraId="35D0B38E" w14:textId="77777777" w:rsidR="00D42204" w:rsidRDefault="00D42204">
            <w:pPr>
              <w:jc w:val="right"/>
              <w:rPr>
                <w:rFonts w:ascii="宋体"/>
              </w:rPr>
            </w:pPr>
          </w:p>
        </w:tc>
      </w:tr>
      <w:tr w:rsidR="00D42204" w14:paraId="35D0B39A" w14:textId="77777777">
        <w:tc>
          <w:tcPr>
            <w:tcW w:w="0" w:type="auto"/>
            <w:gridSpan w:val="3"/>
            <w:shd w:val="clear" w:color="auto" w:fill="CCEEFF"/>
            <w:tcMar>
              <w:top w:w="40" w:type="dxa"/>
              <w:left w:w="20" w:type="dxa"/>
              <w:bottom w:w="40" w:type="dxa"/>
              <w:right w:w="20" w:type="dxa"/>
            </w:tcMar>
            <w:vAlign w:val="bottom"/>
          </w:tcPr>
          <w:p w14:paraId="35D0B390" w14:textId="77777777" w:rsidR="00D42204" w:rsidRDefault="004E439D">
            <w:pPr>
              <w:textAlignment w:val="bottom"/>
            </w:pPr>
            <w:r>
              <w:rPr>
                <w:rFonts w:ascii="Times New Roman" w:eastAsia="宋体" w:hAnsi="Times New Roman"/>
                <w:color w:val="000000"/>
                <w:sz w:val="16"/>
                <w:szCs w:val="16"/>
              </w:rPr>
              <w:t>December 15, 2024</w:t>
            </w:r>
          </w:p>
        </w:tc>
        <w:tc>
          <w:tcPr>
            <w:tcW w:w="0" w:type="auto"/>
            <w:gridSpan w:val="3"/>
            <w:shd w:val="clear" w:color="auto" w:fill="CCEEFF"/>
            <w:tcMar>
              <w:top w:w="0" w:type="dxa"/>
              <w:left w:w="20" w:type="dxa"/>
              <w:bottom w:w="0" w:type="dxa"/>
              <w:right w:w="20" w:type="dxa"/>
            </w:tcMar>
            <w:vAlign w:val="bottom"/>
          </w:tcPr>
          <w:p w14:paraId="35D0B391"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92" w14:textId="77777777" w:rsidR="00D42204" w:rsidRDefault="004E439D">
            <w:pPr>
              <w:jc w:val="center"/>
              <w:textAlignment w:val="bottom"/>
            </w:pPr>
            <w:r>
              <w:rPr>
                <w:rFonts w:ascii="Times New Roman" w:eastAsia="宋体" w:hAnsi="Times New Roman"/>
                <w:color w:val="000000"/>
                <w:sz w:val="16"/>
                <w:szCs w:val="16"/>
              </w:rPr>
              <w:t>$1,000</w:t>
            </w:r>
          </w:p>
        </w:tc>
        <w:tc>
          <w:tcPr>
            <w:tcW w:w="0" w:type="auto"/>
            <w:gridSpan w:val="3"/>
            <w:shd w:val="clear" w:color="auto" w:fill="CCEEFF"/>
            <w:tcMar>
              <w:top w:w="0" w:type="dxa"/>
              <w:left w:w="20" w:type="dxa"/>
              <w:bottom w:w="0" w:type="dxa"/>
              <w:right w:w="20" w:type="dxa"/>
            </w:tcMar>
            <w:vAlign w:val="bottom"/>
          </w:tcPr>
          <w:p w14:paraId="35D0B393"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94"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395"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96" w14:textId="77777777" w:rsidR="00D42204" w:rsidRDefault="004E439D">
            <w:pPr>
              <w:jc w:val="center"/>
              <w:textAlignment w:val="bottom"/>
            </w:pPr>
            <w:r>
              <w:rPr>
                <w:rFonts w:ascii="Times New Roman" w:eastAsia="宋体" w:hAnsi="Times New Roman"/>
                <w:color w:val="000000"/>
                <w:sz w:val="16"/>
                <w:szCs w:val="16"/>
              </w:rPr>
              <w:t>2.650%</w:t>
            </w:r>
          </w:p>
        </w:tc>
        <w:tc>
          <w:tcPr>
            <w:tcW w:w="0" w:type="auto"/>
            <w:gridSpan w:val="3"/>
            <w:shd w:val="clear" w:color="auto" w:fill="CCEEFF"/>
            <w:tcMar>
              <w:top w:w="0" w:type="dxa"/>
              <w:left w:w="20" w:type="dxa"/>
              <w:bottom w:w="0" w:type="dxa"/>
              <w:right w:w="20" w:type="dxa"/>
            </w:tcMar>
            <w:vAlign w:val="bottom"/>
          </w:tcPr>
          <w:p w14:paraId="35D0B39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398" w14:textId="77777777" w:rsidR="00D42204" w:rsidRDefault="004E439D">
            <w:pPr>
              <w:jc w:val="right"/>
              <w:textAlignment w:val="bottom"/>
            </w:pPr>
            <w:r>
              <w:rPr>
                <w:rFonts w:ascii="Times New Roman" w:eastAsia="宋体" w:hAnsi="Times New Roman"/>
                <w:color w:val="000000"/>
                <w:sz w:val="16"/>
                <w:szCs w:val="16"/>
              </w:rPr>
              <w:t>370 </w:t>
            </w:r>
          </w:p>
        </w:tc>
        <w:tc>
          <w:tcPr>
            <w:tcW w:w="0" w:type="auto"/>
            <w:shd w:val="clear" w:color="auto" w:fill="CCEEFF"/>
            <w:tcMar>
              <w:top w:w="40" w:type="dxa"/>
              <w:left w:w="0" w:type="dxa"/>
              <w:bottom w:w="40" w:type="dxa"/>
              <w:right w:w="20" w:type="dxa"/>
            </w:tcMar>
            <w:vAlign w:val="bottom"/>
          </w:tcPr>
          <w:p w14:paraId="35D0B399" w14:textId="77777777" w:rsidR="00D42204" w:rsidRDefault="00D42204">
            <w:pPr>
              <w:jc w:val="right"/>
              <w:rPr>
                <w:rFonts w:ascii="宋体"/>
              </w:rPr>
            </w:pPr>
          </w:p>
        </w:tc>
      </w:tr>
      <w:tr w:rsidR="00D42204" w14:paraId="35D0B3A5" w14:textId="77777777">
        <w:tc>
          <w:tcPr>
            <w:tcW w:w="0" w:type="auto"/>
            <w:gridSpan w:val="3"/>
            <w:shd w:val="clear" w:color="auto" w:fill="FFFFFF"/>
            <w:tcMar>
              <w:top w:w="40" w:type="dxa"/>
              <w:left w:w="20" w:type="dxa"/>
              <w:bottom w:w="40" w:type="dxa"/>
              <w:right w:w="20" w:type="dxa"/>
            </w:tcMar>
            <w:vAlign w:val="bottom"/>
          </w:tcPr>
          <w:p w14:paraId="35D0B39B" w14:textId="77777777" w:rsidR="00D42204" w:rsidRDefault="004E439D">
            <w:pPr>
              <w:textAlignment w:val="bottom"/>
            </w:pPr>
            <w:r>
              <w:rPr>
                <w:rFonts w:ascii="Times New Roman" w:eastAsia="宋体" w:hAnsi="Times New Roman"/>
                <w:color w:val="000000"/>
                <w:sz w:val="16"/>
                <w:szCs w:val="16"/>
              </w:rPr>
              <w:t>June 26, 2025</w:t>
            </w:r>
          </w:p>
        </w:tc>
        <w:tc>
          <w:tcPr>
            <w:tcW w:w="0" w:type="auto"/>
            <w:gridSpan w:val="3"/>
            <w:shd w:val="clear" w:color="auto" w:fill="FFFFFF"/>
            <w:tcMar>
              <w:top w:w="0" w:type="dxa"/>
              <w:left w:w="20" w:type="dxa"/>
              <w:bottom w:w="0" w:type="dxa"/>
              <w:right w:w="20" w:type="dxa"/>
            </w:tcMar>
            <w:vAlign w:val="bottom"/>
          </w:tcPr>
          <w:p w14:paraId="35D0B39C"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9D" w14:textId="77777777" w:rsidR="00D42204" w:rsidRDefault="004E439D">
            <w:pPr>
              <w:jc w:val="center"/>
              <w:textAlignment w:val="bottom"/>
            </w:pPr>
            <w:r>
              <w:rPr>
                <w:rFonts w:ascii="Times New Roman" w:eastAsia="宋体" w:hAnsi="Times New Roman"/>
                <w:color w:val="000000"/>
                <w:sz w:val="16"/>
                <w:szCs w:val="16"/>
              </w:rPr>
              <w:t>$1,500</w:t>
            </w:r>
          </w:p>
        </w:tc>
        <w:tc>
          <w:tcPr>
            <w:tcW w:w="0" w:type="auto"/>
            <w:gridSpan w:val="3"/>
            <w:shd w:val="clear" w:color="auto" w:fill="FFFFFF"/>
            <w:tcMar>
              <w:top w:w="0" w:type="dxa"/>
              <w:left w:w="20" w:type="dxa"/>
              <w:bottom w:w="0" w:type="dxa"/>
              <w:right w:w="20" w:type="dxa"/>
            </w:tcMar>
            <w:vAlign w:val="bottom"/>
          </w:tcPr>
          <w:p w14:paraId="35D0B39E"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9F"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3A0"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A1" w14:textId="77777777" w:rsidR="00D42204" w:rsidRDefault="004E439D">
            <w:pPr>
              <w:jc w:val="center"/>
              <w:textAlignment w:val="bottom"/>
            </w:pPr>
            <w:r>
              <w:rPr>
                <w:rFonts w:ascii="Times New Roman" w:eastAsia="宋体" w:hAnsi="Times New Roman"/>
                <w:color w:val="000000"/>
                <w:sz w:val="16"/>
                <w:szCs w:val="16"/>
              </w:rPr>
              <w:t>3.550%</w:t>
            </w:r>
          </w:p>
        </w:tc>
        <w:tc>
          <w:tcPr>
            <w:tcW w:w="0" w:type="auto"/>
            <w:gridSpan w:val="3"/>
            <w:shd w:val="clear" w:color="auto" w:fill="FFFFFF"/>
            <w:tcMar>
              <w:top w:w="0" w:type="dxa"/>
              <w:left w:w="20" w:type="dxa"/>
              <w:bottom w:w="0" w:type="dxa"/>
              <w:right w:w="20" w:type="dxa"/>
            </w:tcMar>
            <w:vAlign w:val="bottom"/>
          </w:tcPr>
          <w:p w14:paraId="35D0B3A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3A3" w14:textId="77777777" w:rsidR="00D42204" w:rsidRDefault="004E439D">
            <w:pPr>
              <w:jc w:val="right"/>
              <w:textAlignment w:val="bottom"/>
            </w:pPr>
            <w:r>
              <w:rPr>
                <w:rFonts w:ascii="Times New Roman" w:eastAsia="宋体" w:hAnsi="Times New Roman"/>
                <w:color w:val="000000"/>
                <w:sz w:val="16"/>
                <w:szCs w:val="16"/>
              </w:rPr>
              <w:t>625 </w:t>
            </w:r>
          </w:p>
        </w:tc>
        <w:tc>
          <w:tcPr>
            <w:tcW w:w="0" w:type="auto"/>
            <w:shd w:val="clear" w:color="auto" w:fill="FFFFFF"/>
            <w:tcMar>
              <w:top w:w="40" w:type="dxa"/>
              <w:left w:w="0" w:type="dxa"/>
              <w:bottom w:w="40" w:type="dxa"/>
              <w:right w:w="20" w:type="dxa"/>
            </w:tcMar>
            <w:vAlign w:val="bottom"/>
          </w:tcPr>
          <w:p w14:paraId="35D0B3A4" w14:textId="77777777" w:rsidR="00D42204" w:rsidRDefault="00D42204">
            <w:pPr>
              <w:jc w:val="right"/>
              <w:rPr>
                <w:rFonts w:ascii="宋体"/>
              </w:rPr>
            </w:pPr>
          </w:p>
        </w:tc>
      </w:tr>
      <w:tr w:rsidR="00D42204" w14:paraId="35D0B3B0" w14:textId="77777777">
        <w:tc>
          <w:tcPr>
            <w:tcW w:w="0" w:type="auto"/>
            <w:gridSpan w:val="3"/>
            <w:shd w:val="clear" w:color="auto" w:fill="CCEEFF"/>
            <w:tcMar>
              <w:top w:w="40" w:type="dxa"/>
              <w:left w:w="20" w:type="dxa"/>
              <w:bottom w:w="40" w:type="dxa"/>
              <w:right w:w="20" w:type="dxa"/>
            </w:tcMar>
            <w:vAlign w:val="bottom"/>
          </w:tcPr>
          <w:p w14:paraId="35D0B3A6" w14:textId="77777777" w:rsidR="00D42204" w:rsidRDefault="004E439D">
            <w:pPr>
              <w:textAlignment w:val="bottom"/>
            </w:pPr>
            <w:r>
              <w:rPr>
                <w:rFonts w:ascii="Times New Roman" w:eastAsia="宋体" w:hAnsi="Times New Roman"/>
                <w:color w:val="000000"/>
                <w:sz w:val="16"/>
                <w:szCs w:val="16"/>
              </w:rPr>
              <w:t>July 8, 2026</w:t>
            </w:r>
          </w:p>
        </w:tc>
        <w:tc>
          <w:tcPr>
            <w:tcW w:w="0" w:type="auto"/>
            <w:gridSpan w:val="3"/>
            <w:shd w:val="clear" w:color="auto" w:fill="CCEEFF"/>
            <w:tcMar>
              <w:top w:w="0" w:type="dxa"/>
              <w:left w:w="20" w:type="dxa"/>
              <w:bottom w:w="0" w:type="dxa"/>
              <w:right w:w="20" w:type="dxa"/>
            </w:tcMar>
            <w:vAlign w:val="bottom"/>
          </w:tcPr>
          <w:p w14:paraId="35D0B3A7"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A8" w14:textId="77777777" w:rsidR="00D42204" w:rsidRDefault="004E439D">
            <w:pPr>
              <w:jc w:val="center"/>
              <w:textAlignment w:val="bottom"/>
            </w:pPr>
            <w:r>
              <w:rPr>
                <w:rFonts w:ascii="Times New Roman" w:eastAsia="宋体" w:hAnsi="Times New Roman"/>
                <w:color w:val="000000"/>
                <w:sz w:val="16"/>
                <w:szCs w:val="16"/>
              </w:rPr>
              <w:t>$1,250</w:t>
            </w:r>
          </w:p>
        </w:tc>
        <w:tc>
          <w:tcPr>
            <w:tcW w:w="0" w:type="auto"/>
            <w:gridSpan w:val="3"/>
            <w:shd w:val="clear" w:color="auto" w:fill="CCEEFF"/>
            <w:tcMar>
              <w:top w:w="0" w:type="dxa"/>
              <w:left w:w="20" w:type="dxa"/>
              <w:bottom w:w="0" w:type="dxa"/>
              <w:right w:w="20" w:type="dxa"/>
            </w:tcMar>
            <w:vAlign w:val="bottom"/>
          </w:tcPr>
          <w:p w14:paraId="35D0B3A9"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AA"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3AB"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AC" w14:textId="77777777" w:rsidR="00D42204" w:rsidRDefault="004E439D">
            <w:pPr>
              <w:jc w:val="center"/>
              <w:textAlignment w:val="bottom"/>
            </w:pPr>
            <w:r>
              <w:rPr>
                <w:rFonts w:ascii="Times New Roman" w:eastAsia="宋体" w:hAnsi="Times New Roman"/>
                <w:color w:val="000000"/>
                <w:sz w:val="16"/>
                <w:szCs w:val="16"/>
              </w:rPr>
              <w:t>3.050%</w:t>
            </w:r>
          </w:p>
        </w:tc>
        <w:tc>
          <w:tcPr>
            <w:tcW w:w="0" w:type="auto"/>
            <w:gridSpan w:val="3"/>
            <w:shd w:val="clear" w:color="auto" w:fill="CCEEFF"/>
            <w:tcMar>
              <w:top w:w="0" w:type="dxa"/>
              <w:left w:w="20" w:type="dxa"/>
              <w:bottom w:w="0" w:type="dxa"/>
              <w:right w:w="20" w:type="dxa"/>
            </w:tcMar>
            <w:vAlign w:val="bottom"/>
          </w:tcPr>
          <w:p w14:paraId="35D0B3A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3AE" w14:textId="77777777" w:rsidR="00D42204" w:rsidRDefault="004E439D">
            <w:pPr>
              <w:jc w:val="right"/>
              <w:textAlignment w:val="bottom"/>
            </w:pPr>
            <w:r>
              <w:rPr>
                <w:rFonts w:ascii="Times New Roman" w:eastAsia="宋体" w:hAnsi="Times New Roman"/>
                <w:color w:val="000000"/>
                <w:sz w:val="16"/>
                <w:szCs w:val="16"/>
              </w:rPr>
              <w:t>451 </w:t>
            </w:r>
          </w:p>
        </w:tc>
        <w:tc>
          <w:tcPr>
            <w:tcW w:w="0" w:type="auto"/>
            <w:shd w:val="clear" w:color="auto" w:fill="CCEEFF"/>
            <w:tcMar>
              <w:top w:w="40" w:type="dxa"/>
              <w:left w:w="0" w:type="dxa"/>
              <w:bottom w:w="40" w:type="dxa"/>
              <w:right w:w="20" w:type="dxa"/>
            </w:tcMar>
            <w:vAlign w:val="bottom"/>
          </w:tcPr>
          <w:p w14:paraId="35D0B3AF" w14:textId="77777777" w:rsidR="00D42204" w:rsidRDefault="00D42204">
            <w:pPr>
              <w:jc w:val="right"/>
              <w:rPr>
                <w:rFonts w:ascii="宋体"/>
              </w:rPr>
            </w:pPr>
          </w:p>
        </w:tc>
      </w:tr>
      <w:tr w:rsidR="00D42204" w14:paraId="35D0B3BB" w14:textId="77777777">
        <w:tc>
          <w:tcPr>
            <w:tcW w:w="0" w:type="auto"/>
            <w:gridSpan w:val="3"/>
            <w:shd w:val="clear" w:color="auto" w:fill="FFFFFF"/>
            <w:tcMar>
              <w:top w:w="40" w:type="dxa"/>
              <w:left w:w="20" w:type="dxa"/>
              <w:bottom w:w="40" w:type="dxa"/>
              <w:right w:w="20" w:type="dxa"/>
            </w:tcMar>
            <w:vAlign w:val="bottom"/>
          </w:tcPr>
          <w:p w14:paraId="35D0B3B1" w14:textId="77777777" w:rsidR="00D42204" w:rsidRDefault="004E439D">
            <w:pPr>
              <w:textAlignment w:val="bottom"/>
            </w:pPr>
            <w:r>
              <w:rPr>
                <w:rFonts w:ascii="Times New Roman" w:eastAsia="宋体" w:hAnsi="Times New Roman"/>
                <w:color w:val="000000"/>
                <w:sz w:val="16"/>
                <w:szCs w:val="16"/>
              </w:rPr>
              <w:t>April 5, 2027</w:t>
            </w:r>
          </w:p>
        </w:tc>
        <w:tc>
          <w:tcPr>
            <w:tcW w:w="0" w:type="auto"/>
            <w:gridSpan w:val="3"/>
            <w:shd w:val="clear" w:color="auto" w:fill="FFFFFF"/>
            <w:tcMar>
              <w:top w:w="0" w:type="dxa"/>
              <w:left w:w="20" w:type="dxa"/>
              <w:bottom w:w="0" w:type="dxa"/>
              <w:right w:w="20" w:type="dxa"/>
            </w:tcMar>
            <w:vAlign w:val="bottom"/>
          </w:tcPr>
          <w:p w14:paraId="35D0B3B2"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B3" w14:textId="77777777" w:rsidR="00D42204" w:rsidRDefault="004E439D">
            <w:pPr>
              <w:jc w:val="center"/>
              <w:textAlignment w:val="bottom"/>
            </w:pPr>
            <w:r>
              <w:rPr>
                <w:rFonts w:ascii="Times New Roman" w:eastAsia="宋体" w:hAnsi="Times New Roman"/>
                <w:color w:val="000000"/>
                <w:sz w:val="16"/>
                <w:szCs w:val="16"/>
              </w:rPr>
              <w:t>$483</w:t>
            </w:r>
          </w:p>
        </w:tc>
        <w:tc>
          <w:tcPr>
            <w:tcW w:w="0" w:type="auto"/>
            <w:gridSpan w:val="3"/>
            <w:shd w:val="clear" w:color="auto" w:fill="FFFFFF"/>
            <w:tcMar>
              <w:top w:w="0" w:type="dxa"/>
              <w:left w:w="20" w:type="dxa"/>
              <w:bottom w:w="0" w:type="dxa"/>
              <w:right w:w="20" w:type="dxa"/>
            </w:tcMar>
            <w:vAlign w:val="bottom"/>
          </w:tcPr>
          <w:p w14:paraId="35D0B3B4"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B5"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3B6"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B7" w14:textId="77777777" w:rsidR="00D42204" w:rsidRDefault="004E439D">
            <w:pPr>
              <w:jc w:val="center"/>
              <w:textAlignment w:val="bottom"/>
            </w:pPr>
            <w:r>
              <w:rPr>
                <w:rFonts w:ascii="Times New Roman" w:eastAsia="宋体" w:hAnsi="Times New Roman"/>
                <w:color w:val="000000"/>
                <w:sz w:val="16"/>
                <w:szCs w:val="16"/>
              </w:rPr>
              <w:t>5.875%</w:t>
            </w:r>
          </w:p>
        </w:tc>
        <w:tc>
          <w:tcPr>
            <w:tcW w:w="0" w:type="auto"/>
            <w:gridSpan w:val="3"/>
            <w:shd w:val="clear" w:color="auto" w:fill="FFFFFF"/>
            <w:tcMar>
              <w:top w:w="0" w:type="dxa"/>
              <w:left w:w="20" w:type="dxa"/>
              <w:bottom w:w="0" w:type="dxa"/>
              <w:right w:w="20" w:type="dxa"/>
            </w:tcMar>
            <w:vAlign w:val="bottom"/>
          </w:tcPr>
          <w:p w14:paraId="35D0B3B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3B9" w14:textId="77777777" w:rsidR="00D42204" w:rsidRDefault="004E439D">
            <w:pPr>
              <w:jc w:val="right"/>
              <w:textAlignment w:val="bottom"/>
            </w:pPr>
            <w:r>
              <w:rPr>
                <w:rFonts w:ascii="Times New Roman" w:eastAsia="宋体" w:hAnsi="Times New Roman"/>
                <w:color w:val="000000"/>
                <w:sz w:val="16"/>
                <w:szCs w:val="16"/>
              </w:rPr>
              <w:t>110 </w:t>
            </w:r>
          </w:p>
        </w:tc>
        <w:tc>
          <w:tcPr>
            <w:tcW w:w="0" w:type="auto"/>
            <w:shd w:val="clear" w:color="auto" w:fill="FFFFFF"/>
            <w:tcMar>
              <w:top w:w="40" w:type="dxa"/>
              <w:left w:w="0" w:type="dxa"/>
              <w:bottom w:w="40" w:type="dxa"/>
              <w:right w:w="20" w:type="dxa"/>
            </w:tcMar>
            <w:vAlign w:val="bottom"/>
          </w:tcPr>
          <w:p w14:paraId="35D0B3BA" w14:textId="77777777" w:rsidR="00D42204" w:rsidRDefault="00D42204">
            <w:pPr>
              <w:jc w:val="right"/>
              <w:rPr>
                <w:rFonts w:ascii="宋体"/>
              </w:rPr>
            </w:pPr>
          </w:p>
        </w:tc>
      </w:tr>
      <w:tr w:rsidR="00D42204" w14:paraId="35D0B3C6" w14:textId="77777777">
        <w:tc>
          <w:tcPr>
            <w:tcW w:w="0" w:type="auto"/>
            <w:gridSpan w:val="3"/>
            <w:shd w:val="clear" w:color="auto" w:fill="CCEEFF"/>
            <w:tcMar>
              <w:top w:w="40" w:type="dxa"/>
              <w:left w:w="20" w:type="dxa"/>
              <w:bottom w:w="40" w:type="dxa"/>
              <w:right w:w="20" w:type="dxa"/>
            </w:tcMar>
            <w:vAlign w:val="bottom"/>
          </w:tcPr>
          <w:p w14:paraId="35D0B3BC" w14:textId="77777777" w:rsidR="00D42204" w:rsidRDefault="004E439D">
            <w:pPr>
              <w:textAlignment w:val="bottom"/>
            </w:pPr>
            <w:r>
              <w:rPr>
                <w:rFonts w:ascii="Times New Roman" w:eastAsia="宋体" w:hAnsi="Times New Roman"/>
                <w:color w:val="000000"/>
                <w:sz w:val="16"/>
                <w:szCs w:val="16"/>
              </w:rPr>
              <w:t>June 26, 2028</w:t>
            </w:r>
          </w:p>
        </w:tc>
        <w:tc>
          <w:tcPr>
            <w:tcW w:w="0" w:type="auto"/>
            <w:gridSpan w:val="3"/>
            <w:shd w:val="clear" w:color="auto" w:fill="CCEEFF"/>
            <w:tcMar>
              <w:top w:w="0" w:type="dxa"/>
              <w:left w:w="20" w:type="dxa"/>
              <w:bottom w:w="0" w:type="dxa"/>
              <w:right w:w="20" w:type="dxa"/>
            </w:tcMar>
            <w:vAlign w:val="bottom"/>
          </w:tcPr>
          <w:p w14:paraId="35D0B3BD"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BE" w14:textId="77777777" w:rsidR="00D42204" w:rsidRDefault="004E439D">
            <w:pPr>
              <w:jc w:val="center"/>
              <w:textAlignment w:val="bottom"/>
            </w:pPr>
            <w:r>
              <w:rPr>
                <w:rFonts w:ascii="Times New Roman" w:eastAsia="宋体" w:hAnsi="Times New Roman"/>
                <w:color w:val="000000"/>
                <w:sz w:val="16"/>
                <w:szCs w:val="16"/>
              </w:rPr>
              <w:t>$2,750</w:t>
            </w:r>
          </w:p>
        </w:tc>
        <w:tc>
          <w:tcPr>
            <w:tcW w:w="0" w:type="auto"/>
            <w:gridSpan w:val="3"/>
            <w:shd w:val="clear" w:color="auto" w:fill="CCEEFF"/>
            <w:tcMar>
              <w:top w:w="0" w:type="dxa"/>
              <w:left w:w="20" w:type="dxa"/>
              <w:bottom w:w="0" w:type="dxa"/>
              <w:right w:w="20" w:type="dxa"/>
            </w:tcMar>
            <w:vAlign w:val="bottom"/>
          </w:tcPr>
          <w:p w14:paraId="35D0B3BF"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C0"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3C1"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C2" w14:textId="77777777" w:rsidR="00D42204" w:rsidRDefault="004E439D">
            <w:pPr>
              <w:jc w:val="center"/>
              <w:textAlignment w:val="bottom"/>
            </w:pPr>
            <w:r>
              <w:rPr>
                <w:rFonts w:ascii="Times New Roman" w:eastAsia="宋体" w:hAnsi="Times New Roman"/>
                <w:color w:val="000000"/>
                <w:sz w:val="16"/>
                <w:szCs w:val="16"/>
              </w:rPr>
              <w:t>3.700%</w:t>
            </w:r>
          </w:p>
        </w:tc>
        <w:tc>
          <w:tcPr>
            <w:tcW w:w="0" w:type="auto"/>
            <w:gridSpan w:val="3"/>
            <w:shd w:val="clear" w:color="auto" w:fill="CCEEFF"/>
            <w:tcMar>
              <w:top w:w="0" w:type="dxa"/>
              <w:left w:w="20" w:type="dxa"/>
              <w:bottom w:w="0" w:type="dxa"/>
              <w:right w:w="20" w:type="dxa"/>
            </w:tcMar>
            <w:vAlign w:val="bottom"/>
          </w:tcPr>
          <w:p w14:paraId="35D0B3C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3C4" w14:textId="77777777" w:rsidR="00D42204" w:rsidRDefault="004E439D">
            <w:pPr>
              <w:jc w:val="right"/>
              <w:textAlignment w:val="bottom"/>
            </w:pPr>
            <w:r>
              <w:rPr>
                <w:rFonts w:ascii="Times New Roman" w:eastAsia="宋体" w:hAnsi="Times New Roman"/>
                <w:color w:val="000000"/>
                <w:sz w:val="16"/>
                <w:szCs w:val="16"/>
              </w:rPr>
              <w:t>1,271 </w:t>
            </w:r>
          </w:p>
        </w:tc>
        <w:tc>
          <w:tcPr>
            <w:tcW w:w="0" w:type="auto"/>
            <w:shd w:val="clear" w:color="auto" w:fill="CCEEFF"/>
            <w:tcMar>
              <w:top w:w="40" w:type="dxa"/>
              <w:left w:w="0" w:type="dxa"/>
              <w:bottom w:w="40" w:type="dxa"/>
              <w:right w:w="20" w:type="dxa"/>
            </w:tcMar>
            <w:vAlign w:val="bottom"/>
          </w:tcPr>
          <w:p w14:paraId="35D0B3C5" w14:textId="77777777" w:rsidR="00D42204" w:rsidRDefault="00D42204">
            <w:pPr>
              <w:jc w:val="right"/>
              <w:rPr>
                <w:rFonts w:ascii="宋体"/>
              </w:rPr>
            </w:pPr>
          </w:p>
        </w:tc>
      </w:tr>
      <w:tr w:rsidR="00D42204" w14:paraId="35D0B3D1" w14:textId="77777777">
        <w:tc>
          <w:tcPr>
            <w:tcW w:w="0" w:type="auto"/>
            <w:gridSpan w:val="3"/>
            <w:shd w:val="clear" w:color="auto" w:fill="FFFFFF"/>
            <w:tcMar>
              <w:top w:w="40" w:type="dxa"/>
              <w:left w:w="20" w:type="dxa"/>
              <w:bottom w:w="40" w:type="dxa"/>
              <w:right w:w="20" w:type="dxa"/>
            </w:tcMar>
            <w:vAlign w:val="bottom"/>
          </w:tcPr>
          <w:p w14:paraId="35D0B3C7" w14:textId="77777777" w:rsidR="00D42204" w:rsidRDefault="004E439D">
            <w:pPr>
              <w:textAlignment w:val="bottom"/>
            </w:pPr>
            <w:r>
              <w:rPr>
                <w:rFonts w:ascii="Times New Roman" w:eastAsia="宋体" w:hAnsi="Times New Roman"/>
                <w:color w:val="000000"/>
                <w:sz w:val="16"/>
                <w:szCs w:val="16"/>
              </w:rPr>
              <w:t>July 8, 2029</w:t>
            </w:r>
          </w:p>
        </w:tc>
        <w:tc>
          <w:tcPr>
            <w:tcW w:w="0" w:type="auto"/>
            <w:gridSpan w:val="3"/>
            <w:shd w:val="clear" w:color="auto" w:fill="FFFFFF"/>
            <w:tcMar>
              <w:top w:w="0" w:type="dxa"/>
              <w:left w:w="20" w:type="dxa"/>
              <w:bottom w:w="0" w:type="dxa"/>
              <w:right w:w="20" w:type="dxa"/>
            </w:tcMar>
            <w:vAlign w:val="bottom"/>
          </w:tcPr>
          <w:p w14:paraId="35D0B3C8"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C9" w14:textId="77777777" w:rsidR="00D42204" w:rsidRDefault="004E439D">
            <w:pPr>
              <w:jc w:val="center"/>
              <w:textAlignment w:val="bottom"/>
            </w:pPr>
            <w:r>
              <w:rPr>
                <w:rFonts w:ascii="Times New Roman" w:eastAsia="宋体" w:hAnsi="Times New Roman"/>
                <w:color w:val="000000"/>
                <w:sz w:val="16"/>
                <w:szCs w:val="16"/>
              </w:rPr>
              <w:t>$1,250</w:t>
            </w:r>
          </w:p>
        </w:tc>
        <w:tc>
          <w:tcPr>
            <w:tcW w:w="0" w:type="auto"/>
            <w:gridSpan w:val="3"/>
            <w:shd w:val="clear" w:color="auto" w:fill="FFFFFF"/>
            <w:tcMar>
              <w:top w:w="0" w:type="dxa"/>
              <w:left w:w="20" w:type="dxa"/>
              <w:bottom w:w="0" w:type="dxa"/>
              <w:right w:w="20" w:type="dxa"/>
            </w:tcMar>
            <w:vAlign w:val="bottom"/>
          </w:tcPr>
          <w:p w14:paraId="35D0B3CA"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CB"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3CC"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CD" w14:textId="77777777" w:rsidR="00D42204" w:rsidRDefault="004E439D">
            <w:pPr>
              <w:jc w:val="center"/>
              <w:textAlignment w:val="bottom"/>
            </w:pPr>
            <w:r>
              <w:rPr>
                <w:rFonts w:ascii="Times New Roman" w:eastAsia="宋体" w:hAnsi="Times New Roman"/>
                <w:color w:val="000000"/>
                <w:sz w:val="16"/>
                <w:szCs w:val="16"/>
              </w:rPr>
              <w:t>3.250%</w:t>
            </w:r>
          </w:p>
        </w:tc>
        <w:tc>
          <w:tcPr>
            <w:tcW w:w="0" w:type="auto"/>
            <w:gridSpan w:val="3"/>
            <w:shd w:val="clear" w:color="auto" w:fill="FFFFFF"/>
            <w:tcMar>
              <w:top w:w="0" w:type="dxa"/>
              <w:left w:w="20" w:type="dxa"/>
              <w:bottom w:w="0" w:type="dxa"/>
              <w:right w:w="20" w:type="dxa"/>
            </w:tcMar>
            <w:vAlign w:val="bottom"/>
          </w:tcPr>
          <w:p w14:paraId="35D0B3C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3CF" w14:textId="77777777" w:rsidR="00D42204" w:rsidRDefault="004E439D">
            <w:pPr>
              <w:jc w:val="right"/>
              <w:textAlignment w:val="bottom"/>
            </w:pPr>
            <w:r>
              <w:rPr>
                <w:rFonts w:ascii="Times New Roman" w:eastAsia="宋体" w:hAnsi="Times New Roman"/>
                <w:color w:val="000000"/>
                <w:sz w:val="16"/>
                <w:szCs w:val="16"/>
              </w:rPr>
              <w:t>517 </w:t>
            </w:r>
          </w:p>
        </w:tc>
        <w:tc>
          <w:tcPr>
            <w:tcW w:w="0" w:type="auto"/>
            <w:shd w:val="clear" w:color="auto" w:fill="FFFFFF"/>
            <w:tcMar>
              <w:top w:w="40" w:type="dxa"/>
              <w:left w:w="0" w:type="dxa"/>
              <w:bottom w:w="40" w:type="dxa"/>
              <w:right w:w="20" w:type="dxa"/>
            </w:tcMar>
            <w:vAlign w:val="bottom"/>
          </w:tcPr>
          <w:p w14:paraId="35D0B3D0" w14:textId="77777777" w:rsidR="00D42204" w:rsidRDefault="00D42204">
            <w:pPr>
              <w:jc w:val="right"/>
              <w:rPr>
                <w:rFonts w:ascii="宋体"/>
              </w:rPr>
            </w:pPr>
          </w:p>
        </w:tc>
      </w:tr>
      <w:tr w:rsidR="00D42204" w14:paraId="35D0B3DC" w14:textId="77777777">
        <w:tc>
          <w:tcPr>
            <w:tcW w:w="0" w:type="auto"/>
            <w:gridSpan w:val="3"/>
            <w:shd w:val="clear" w:color="auto" w:fill="CCEEFF"/>
            <w:tcMar>
              <w:top w:w="40" w:type="dxa"/>
              <w:left w:w="20" w:type="dxa"/>
              <w:bottom w:w="40" w:type="dxa"/>
              <w:right w:w="20" w:type="dxa"/>
            </w:tcMar>
            <w:vAlign w:val="bottom"/>
          </w:tcPr>
          <w:p w14:paraId="35D0B3D2" w14:textId="77777777" w:rsidR="00D42204" w:rsidRDefault="004E439D">
            <w:pPr>
              <w:textAlignment w:val="bottom"/>
            </w:pPr>
            <w:r>
              <w:rPr>
                <w:rFonts w:ascii="Times New Roman" w:eastAsia="宋体" w:hAnsi="Times New Roman"/>
                <w:color w:val="000000"/>
                <w:sz w:val="16"/>
                <w:szCs w:val="16"/>
              </w:rPr>
              <w:t>September 24, 2029</w:t>
            </w:r>
          </w:p>
        </w:tc>
        <w:tc>
          <w:tcPr>
            <w:tcW w:w="0" w:type="auto"/>
            <w:gridSpan w:val="3"/>
            <w:shd w:val="clear" w:color="auto" w:fill="CCEEFF"/>
            <w:tcMar>
              <w:top w:w="0" w:type="dxa"/>
              <w:left w:w="20" w:type="dxa"/>
              <w:bottom w:w="0" w:type="dxa"/>
              <w:right w:w="20" w:type="dxa"/>
            </w:tcMar>
            <w:vAlign w:val="bottom"/>
          </w:tcPr>
          <w:p w14:paraId="35D0B3D3"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D4" w14:textId="77777777" w:rsidR="00D42204" w:rsidRDefault="004E439D">
            <w:pPr>
              <w:jc w:val="center"/>
              <w:textAlignment w:val="bottom"/>
            </w:pPr>
            <w:r>
              <w:rPr>
                <w:rFonts w:ascii="Times New Roman" w:eastAsia="宋体" w:hAnsi="Times New Roman"/>
                <w:color w:val="000000"/>
                <w:sz w:val="16"/>
                <w:szCs w:val="16"/>
              </w:rPr>
              <w:t>$500</w:t>
            </w:r>
          </w:p>
        </w:tc>
        <w:tc>
          <w:tcPr>
            <w:tcW w:w="0" w:type="auto"/>
            <w:gridSpan w:val="3"/>
            <w:shd w:val="clear" w:color="auto" w:fill="CCEEFF"/>
            <w:tcMar>
              <w:top w:w="0" w:type="dxa"/>
              <w:left w:w="20" w:type="dxa"/>
              <w:bottom w:w="0" w:type="dxa"/>
              <w:right w:w="20" w:type="dxa"/>
            </w:tcMar>
            <w:vAlign w:val="bottom"/>
          </w:tcPr>
          <w:p w14:paraId="35D0B3D5"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D6"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3D7"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D8" w14:textId="77777777" w:rsidR="00D42204" w:rsidRDefault="004E439D">
            <w:pPr>
              <w:jc w:val="center"/>
              <w:textAlignment w:val="bottom"/>
            </w:pPr>
            <w:r>
              <w:rPr>
                <w:rFonts w:ascii="Times New Roman" w:eastAsia="宋体" w:hAnsi="Times New Roman"/>
                <w:color w:val="000000"/>
                <w:sz w:val="16"/>
                <w:szCs w:val="16"/>
              </w:rPr>
              <w:t>2.375%</w:t>
            </w:r>
          </w:p>
        </w:tc>
        <w:tc>
          <w:tcPr>
            <w:tcW w:w="0" w:type="auto"/>
            <w:gridSpan w:val="3"/>
            <w:shd w:val="clear" w:color="auto" w:fill="CCEEFF"/>
            <w:tcMar>
              <w:top w:w="0" w:type="dxa"/>
              <w:left w:w="20" w:type="dxa"/>
              <w:bottom w:w="0" w:type="dxa"/>
              <w:right w:w="20" w:type="dxa"/>
            </w:tcMar>
            <w:vAlign w:val="bottom"/>
          </w:tcPr>
          <w:p w14:paraId="35D0B3D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3DA" w14:textId="77777777" w:rsidR="00D42204" w:rsidRDefault="004E439D">
            <w:pPr>
              <w:jc w:val="right"/>
              <w:textAlignment w:val="bottom"/>
            </w:pPr>
            <w:r>
              <w:rPr>
                <w:rFonts w:ascii="Times New Roman" w:eastAsia="宋体" w:hAnsi="Times New Roman"/>
                <w:color w:val="000000"/>
                <w:sz w:val="16"/>
                <w:szCs w:val="16"/>
              </w:rPr>
              <w:t>181 </w:t>
            </w:r>
          </w:p>
        </w:tc>
        <w:tc>
          <w:tcPr>
            <w:tcW w:w="0" w:type="auto"/>
            <w:shd w:val="clear" w:color="auto" w:fill="CCEEFF"/>
            <w:tcMar>
              <w:top w:w="40" w:type="dxa"/>
              <w:left w:w="0" w:type="dxa"/>
              <w:bottom w:w="40" w:type="dxa"/>
              <w:right w:w="20" w:type="dxa"/>
            </w:tcMar>
            <w:vAlign w:val="bottom"/>
          </w:tcPr>
          <w:p w14:paraId="35D0B3DB" w14:textId="77777777" w:rsidR="00D42204" w:rsidRDefault="00D42204">
            <w:pPr>
              <w:jc w:val="right"/>
              <w:rPr>
                <w:rFonts w:ascii="宋体"/>
              </w:rPr>
            </w:pPr>
          </w:p>
        </w:tc>
      </w:tr>
      <w:tr w:rsidR="00D42204" w14:paraId="35D0B3E7" w14:textId="77777777">
        <w:tc>
          <w:tcPr>
            <w:tcW w:w="0" w:type="auto"/>
            <w:gridSpan w:val="3"/>
            <w:shd w:val="clear" w:color="auto" w:fill="FFFFFF"/>
            <w:tcMar>
              <w:top w:w="40" w:type="dxa"/>
              <w:left w:w="20" w:type="dxa"/>
              <w:bottom w:w="40" w:type="dxa"/>
              <w:right w:w="20" w:type="dxa"/>
            </w:tcMar>
            <w:vAlign w:val="bottom"/>
          </w:tcPr>
          <w:p w14:paraId="35D0B3DD" w14:textId="77777777" w:rsidR="00D42204" w:rsidRDefault="004E439D">
            <w:pPr>
              <w:textAlignment w:val="bottom"/>
            </w:pPr>
            <w:r>
              <w:rPr>
                <w:rFonts w:ascii="Times New Roman" w:eastAsia="宋体" w:hAnsi="Times New Roman"/>
                <w:color w:val="000000"/>
                <w:sz w:val="16"/>
                <w:szCs w:val="16"/>
              </w:rPr>
              <w:t>February 15, 2030</w:t>
            </w:r>
          </w:p>
        </w:tc>
        <w:tc>
          <w:tcPr>
            <w:tcW w:w="0" w:type="auto"/>
            <w:gridSpan w:val="3"/>
            <w:shd w:val="clear" w:color="auto" w:fill="FFFFFF"/>
            <w:tcMar>
              <w:top w:w="0" w:type="dxa"/>
              <w:left w:w="20" w:type="dxa"/>
              <w:bottom w:w="0" w:type="dxa"/>
              <w:right w:w="20" w:type="dxa"/>
            </w:tcMar>
            <w:vAlign w:val="bottom"/>
          </w:tcPr>
          <w:p w14:paraId="35D0B3DE"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DF" w14:textId="77777777" w:rsidR="00D42204" w:rsidRDefault="004E439D">
            <w:pPr>
              <w:jc w:val="center"/>
              <w:textAlignment w:val="bottom"/>
            </w:pPr>
            <w:r>
              <w:rPr>
                <w:rFonts w:ascii="Times New Roman" w:eastAsia="宋体" w:hAnsi="Times New Roman"/>
                <w:color w:val="000000"/>
                <w:sz w:val="16"/>
                <w:szCs w:val="16"/>
              </w:rPr>
              <w:t>$588</w:t>
            </w:r>
          </w:p>
        </w:tc>
        <w:tc>
          <w:tcPr>
            <w:tcW w:w="0" w:type="auto"/>
            <w:gridSpan w:val="3"/>
            <w:shd w:val="clear" w:color="auto" w:fill="FFFFFF"/>
            <w:tcMar>
              <w:top w:w="0" w:type="dxa"/>
              <w:left w:w="20" w:type="dxa"/>
              <w:bottom w:w="0" w:type="dxa"/>
              <w:right w:w="20" w:type="dxa"/>
            </w:tcMar>
            <w:vAlign w:val="bottom"/>
          </w:tcPr>
          <w:p w14:paraId="35D0B3E0"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E1"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3E2"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E3" w14:textId="77777777" w:rsidR="00D42204" w:rsidRDefault="004E439D">
            <w:pPr>
              <w:jc w:val="center"/>
              <w:textAlignment w:val="bottom"/>
            </w:pPr>
            <w:r>
              <w:rPr>
                <w:rFonts w:ascii="Times New Roman" w:eastAsia="宋体" w:hAnsi="Times New Roman"/>
                <w:color w:val="000000"/>
                <w:sz w:val="16"/>
                <w:szCs w:val="16"/>
              </w:rPr>
              <w:t>7.550%</w:t>
            </w:r>
          </w:p>
        </w:tc>
        <w:tc>
          <w:tcPr>
            <w:tcW w:w="0" w:type="auto"/>
            <w:gridSpan w:val="3"/>
            <w:shd w:val="clear" w:color="auto" w:fill="FFFFFF"/>
            <w:tcMar>
              <w:top w:w="0" w:type="dxa"/>
              <w:left w:w="20" w:type="dxa"/>
              <w:bottom w:w="0" w:type="dxa"/>
              <w:right w:w="20" w:type="dxa"/>
            </w:tcMar>
            <w:vAlign w:val="bottom"/>
          </w:tcPr>
          <w:p w14:paraId="35D0B3E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3E5" w14:textId="77777777" w:rsidR="00D42204" w:rsidRDefault="004E439D">
            <w:pPr>
              <w:jc w:val="right"/>
              <w:textAlignment w:val="bottom"/>
            </w:pPr>
            <w:r>
              <w:rPr>
                <w:rFonts w:ascii="Times New Roman" w:eastAsia="宋体" w:hAnsi="Times New Roman"/>
                <w:color w:val="000000"/>
                <w:sz w:val="16"/>
                <w:szCs w:val="16"/>
              </w:rPr>
              <w:t>119 </w:t>
            </w:r>
          </w:p>
        </w:tc>
        <w:tc>
          <w:tcPr>
            <w:tcW w:w="0" w:type="auto"/>
            <w:shd w:val="clear" w:color="auto" w:fill="FFFFFF"/>
            <w:tcMar>
              <w:top w:w="40" w:type="dxa"/>
              <w:left w:w="0" w:type="dxa"/>
              <w:bottom w:w="40" w:type="dxa"/>
              <w:right w:w="20" w:type="dxa"/>
            </w:tcMar>
            <w:vAlign w:val="bottom"/>
          </w:tcPr>
          <w:p w14:paraId="35D0B3E6" w14:textId="77777777" w:rsidR="00D42204" w:rsidRDefault="00D42204">
            <w:pPr>
              <w:jc w:val="right"/>
              <w:rPr>
                <w:rFonts w:ascii="宋体"/>
              </w:rPr>
            </w:pPr>
          </w:p>
        </w:tc>
      </w:tr>
      <w:tr w:rsidR="00D42204" w14:paraId="35D0B3F1" w14:textId="77777777">
        <w:tc>
          <w:tcPr>
            <w:tcW w:w="0" w:type="auto"/>
            <w:gridSpan w:val="3"/>
            <w:shd w:val="clear" w:color="auto" w:fill="CCEEFF"/>
            <w:tcMar>
              <w:top w:w="40" w:type="dxa"/>
              <w:left w:w="20" w:type="dxa"/>
              <w:bottom w:w="40" w:type="dxa"/>
              <w:right w:w="20" w:type="dxa"/>
            </w:tcMar>
            <w:vAlign w:val="bottom"/>
          </w:tcPr>
          <w:p w14:paraId="35D0B3E8" w14:textId="77777777" w:rsidR="00D42204" w:rsidRDefault="004E439D">
            <w:pPr>
              <w:textAlignment w:val="bottom"/>
            </w:pPr>
            <w:r>
              <w:rPr>
                <w:rFonts w:ascii="Times New Roman" w:eastAsia="宋体" w:hAnsi="Times New Roman"/>
                <w:color w:val="000000"/>
                <w:sz w:val="16"/>
                <w:szCs w:val="16"/>
              </w:rPr>
              <w:t>September 1, 2035</w:t>
            </w:r>
          </w:p>
        </w:tc>
        <w:tc>
          <w:tcPr>
            <w:tcW w:w="0" w:type="auto"/>
            <w:gridSpan w:val="3"/>
            <w:shd w:val="clear" w:color="auto" w:fill="CCEEFF"/>
            <w:tcMar>
              <w:top w:w="0" w:type="dxa"/>
              <w:left w:w="20" w:type="dxa"/>
              <w:bottom w:w="0" w:type="dxa"/>
              <w:right w:w="20" w:type="dxa"/>
            </w:tcMar>
            <w:vAlign w:val="bottom"/>
          </w:tcPr>
          <w:p w14:paraId="35D0B3E9"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EA" w14:textId="77777777" w:rsidR="00D42204" w:rsidRDefault="004E439D">
            <w:pPr>
              <w:jc w:val="center"/>
              <w:textAlignment w:val="bottom"/>
            </w:pPr>
            <w:r>
              <w:rPr>
                <w:rFonts w:ascii="Times New Roman" w:eastAsia="宋体" w:hAnsi="Times New Roman"/>
                <w:color w:val="000000"/>
                <w:sz w:val="16"/>
                <w:szCs w:val="16"/>
              </w:rPr>
              <w:t>$1,968</w:t>
            </w:r>
          </w:p>
        </w:tc>
        <w:tc>
          <w:tcPr>
            <w:tcW w:w="0" w:type="auto"/>
            <w:gridSpan w:val="3"/>
            <w:shd w:val="clear" w:color="auto" w:fill="CCEEFF"/>
            <w:tcMar>
              <w:top w:w="0" w:type="dxa"/>
              <w:left w:w="20" w:type="dxa"/>
              <w:bottom w:w="0" w:type="dxa"/>
              <w:right w:w="20" w:type="dxa"/>
            </w:tcMar>
            <w:vAlign w:val="bottom"/>
          </w:tcPr>
          <w:p w14:paraId="35D0B3EB"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EC"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3ED"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EE" w14:textId="77777777" w:rsidR="00D42204" w:rsidRDefault="004E439D">
            <w:pPr>
              <w:jc w:val="center"/>
              <w:textAlignment w:val="bottom"/>
            </w:pPr>
            <w:r>
              <w:rPr>
                <w:rFonts w:ascii="Times New Roman" w:eastAsia="宋体" w:hAnsi="Times New Roman"/>
                <w:color w:val="000000"/>
                <w:sz w:val="16"/>
                <w:szCs w:val="16"/>
              </w:rPr>
              <w:t>5.250%</w:t>
            </w:r>
          </w:p>
        </w:tc>
        <w:tc>
          <w:tcPr>
            <w:tcW w:w="0" w:type="auto"/>
            <w:gridSpan w:val="3"/>
            <w:shd w:val="clear" w:color="auto" w:fill="CCEEFF"/>
            <w:tcMar>
              <w:top w:w="0" w:type="dxa"/>
              <w:left w:w="20" w:type="dxa"/>
              <w:bottom w:w="0" w:type="dxa"/>
              <w:right w:w="20" w:type="dxa"/>
            </w:tcMar>
            <w:vAlign w:val="bottom"/>
          </w:tcPr>
          <w:p w14:paraId="35D0B3EF"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F0" w14:textId="77777777" w:rsidR="00D42204" w:rsidRDefault="004E439D">
            <w:pPr>
              <w:jc w:val="right"/>
              <w:textAlignment w:val="bottom"/>
            </w:pPr>
            <w:r>
              <w:rPr>
                <w:rFonts w:ascii="Times New Roman" w:eastAsia="宋体" w:hAnsi="Times New Roman"/>
                <w:color w:val="000000"/>
                <w:sz w:val="16"/>
                <w:szCs w:val="16"/>
              </w:rPr>
              <w:t>635</w:t>
            </w:r>
          </w:p>
        </w:tc>
      </w:tr>
      <w:tr w:rsidR="00D42204" w14:paraId="35D0B3FB" w14:textId="77777777">
        <w:tc>
          <w:tcPr>
            <w:tcW w:w="0" w:type="auto"/>
            <w:gridSpan w:val="3"/>
            <w:shd w:val="clear" w:color="auto" w:fill="FFFFFF"/>
            <w:tcMar>
              <w:top w:w="40" w:type="dxa"/>
              <w:left w:w="20" w:type="dxa"/>
              <w:bottom w:w="40" w:type="dxa"/>
              <w:right w:w="20" w:type="dxa"/>
            </w:tcMar>
            <w:vAlign w:val="bottom"/>
          </w:tcPr>
          <w:p w14:paraId="35D0B3F2" w14:textId="77777777" w:rsidR="00D42204" w:rsidRDefault="004E439D">
            <w:pPr>
              <w:textAlignment w:val="bottom"/>
            </w:pPr>
            <w:r>
              <w:rPr>
                <w:rFonts w:ascii="Times New Roman" w:eastAsia="宋体" w:hAnsi="Times New Roman"/>
                <w:color w:val="000000"/>
                <w:sz w:val="16"/>
                <w:szCs w:val="16"/>
              </w:rPr>
              <w:t>August 15, 2037</w:t>
            </w:r>
          </w:p>
        </w:tc>
        <w:tc>
          <w:tcPr>
            <w:tcW w:w="0" w:type="auto"/>
            <w:gridSpan w:val="3"/>
            <w:shd w:val="clear" w:color="auto" w:fill="FFFFFF"/>
            <w:tcMar>
              <w:top w:w="0" w:type="dxa"/>
              <w:left w:w="20" w:type="dxa"/>
              <w:bottom w:w="0" w:type="dxa"/>
              <w:right w:w="20" w:type="dxa"/>
            </w:tcMar>
            <w:vAlign w:val="bottom"/>
          </w:tcPr>
          <w:p w14:paraId="35D0B3F3"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F4" w14:textId="77777777" w:rsidR="00D42204" w:rsidRDefault="004E439D">
            <w:pPr>
              <w:jc w:val="center"/>
              <w:textAlignment w:val="bottom"/>
            </w:pPr>
            <w:r>
              <w:rPr>
                <w:rFonts w:ascii="Times New Roman" w:eastAsia="宋体" w:hAnsi="Times New Roman"/>
                <w:color w:val="000000"/>
                <w:sz w:val="16"/>
                <w:szCs w:val="16"/>
              </w:rPr>
              <w:t>$1,300</w:t>
            </w:r>
          </w:p>
        </w:tc>
        <w:tc>
          <w:tcPr>
            <w:tcW w:w="0" w:type="auto"/>
            <w:gridSpan w:val="3"/>
            <w:shd w:val="clear" w:color="auto" w:fill="FFFFFF"/>
            <w:tcMar>
              <w:top w:w="0" w:type="dxa"/>
              <w:left w:w="20" w:type="dxa"/>
              <w:bottom w:w="0" w:type="dxa"/>
              <w:right w:w="20" w:type="dxa"/>
            </w:tcMar>
            <w:vAlign w:val="bottom"/>
          </w:tcPr>
          <w:p w14:paraId="35D0B3F5"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F6"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3F7"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F8" w14:textId="77777777" w:rsidR="00D42204" w:rsidRDefault="004E439D">
            <w:pPr>
              <w:jc w:val="center"/>
              <w:textAlignment w:val="bottom"/>
            </w:pPr>
            <w:r>
              <w:rPr>
                <w:rFonts w:ascii="Times New Roman" w:eastAsia="宋体" w:hAnsi="Times New Roman"/>
                <w:color w:val="000000"/>
                <w:sz w:val="16"/>
                <w:szCs w:val="16"/>
              </w:rPr>
              <w:t>6.500%</w:t>
            </w:r>
          </w:p>
        </w:tc>
        <w:tc>
          <w:tcPr>
            <w:tcW w:w="0" w:type="auto"/>
            <w:gridSpan w:val="3"/>
            <w:shd w:val="clear" w:color="auto" w:fill="FFFFFF"/>
            <w:tcMar>
              <w:top w:w="0" w:type="dxa"/>
              <w:left w:w="20" w:type="dxa"/>
              <w:bottom w:w="0" w:type="dxa"/>
              <w:right w:w="20" w:type="dxa"/>
            </w:tcMar>
            <w:vAlign w:val="bottom"/>
          </w:tcPr>
          <w:p w14:paraId="35D0B3F9"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3FA" w14:textId="77777777" w:rsidR="00D42204" w:rsidRDefault="004E439D">
            <w:pPr>
              <w:jc w:val="right"/>
              <w:textAlignment w:val="bottom"/>
            </w:pPr>
            <w:r>
              <w:rPr>
                <w:rFonts w:ascii="Times New Roman" w:eastAsia="宋体" w:hAnsi="Times New Roman"/>
                <w:color w:val="000000"/>
                <w:sz w:val="16"/>
                <w:szCs w:val="16"/>
              </w:rPr>
              <w:t>262</w:t>
            </w:r>
          </w:p>
        </w:tc>
      </w:tr>
      <w:tr w:rsidR="00D42204" w14:paraId="35D0B405" w14:textId="77777777">
        <w:tc>
          <w:tcPr>
            <w:tcW w:w="0" w:type="auto"/>
            <w:gridSpan w:val="3"/>
            <w:shd w:val="clear" w:color="auto" w:fill="CCEEFF"/>
            <w:tcMar>
              <w:top w:w="40" w:type="dxa"/>
              <w:left w:w="20" w:type="dxa"/>
              <w:bottom w:w="40" w:type="dxa"/>
              <w:right w:w="20" w:type="dxa"/>
            </w:tcMar>
            <w:vAlign w:val="bottom"/>
          </w:tcPr>
          <w:p w14:paraId="35D0B3FC" w14:textId="77777777" w:rsidR="00D42204" w:rsidRDefault="004E439D">
            <w:pPr>
              <w:textAlignment w:val="bottom"/>
            </w:pPr>
            <w:r>
              <w:rPr>
                <w:rFonts w:ascii="Times New Roman" w:eastAsia="宋体" w:hAnsi="Times New Roman"/>
                <w:color w:val="000000"/>
                <w:sz w:val="16"/>
                <w:szCs w:val="16"/>
              </w:rPr>
              <w:t>April 15, 2038</w:t>
            </w:r>
          </w:p>
        </w:tc>
        <w:tc>
          <w:tcPr>
            <w:tcW w:w="0" w:type="auto"/>
            <w:gridSpan w:val="3"/>
            <w:shd w:val="clear" w:color="auto" w:fill="CCEEFF"/>
            <w:tcMar>
              <w:top w:w="0" w:type="dxa"/>
              <w:left w:w="20" w:type="dxa"/>
              <w:bottom w:w="0" w:type="dxa"/>
              <w:right w:w="20" w:type="dxa"/>
            </w:tcMar>
            <w:vAlign w:val="bottom"/>
          </w:tcPr>
          <w:p w14:paraId="35D0B3FD"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3FE" w14:textId="77777777" w:rsidR="00D42204" w:rsidRDefault="004E439D">
            <w:pPr>
              <w:jc w:val="center"/>
              <w:textAlignment w:val="bottom"/>
            </w:pPr>
            <w:r>
              <w:rPr>
                <w:rFonts w:ascii="Times New Roman" w:eastAsia="宋体" w:hAnsi="Times New Roman"/>
                <w:color w:val="000000"/>
                <w:sz w:val="16"/>
                <w:szCs w:val="16"/>
              </w:rPr>
              <w:t>$919</w:t>
            </w:r>
          </w:p>
        </w:tc>
        <w:tc>
          <w:tcPr>
            <w:tcW w:w="0" w:type="auto"/>
            <w:gridSpan w:val="3"/>
            <w:shd w:val="clear" w:color="auto" w:fill="CCEEFF"/>
            <w:tcMar>
              <w:top w:w="0" w:type="dxa"/>
              <w:left w:w="20" w:type="dxa"/>
              <w:bottom w:w="0" w:type="dxa"/>
              <w:right w:w="20" w:type="dxa"/>
            </w:tcMar>
            <w:vAlign w:val="bottom"/>
          </w:tcPr>
          <w:p w14:paraId="35D0B3FF"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00"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401"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02" w14:textId="77777777" w:rsidR="00D42204" w:rsidRDefault="004E439D">
            <w:pPr>
              <w:jc w:val="center"/>
              <w:textAlignment w:val="bottom"/>
            </w:pPr>
            <w:r>
              <w:rPr>
                <w:rFonts w:ascii="Times New Roman" w:eastAsia="宋体" w:hAnsi="Times New Roman"/>
                <w:color w:val="000000"/>
                <w:sz w:val="16"/>
                <w:szCs w:val="16"/>
              </w:rPr>
              <w:t>6.200%</w:t>
            </w:r>
          </w:p>
        </w:tc>
        <w:tc>
          <w:tcPr>
            <w:tcW w:w="0" w:type="auto"/>
            <w:gridSpan w:val="3"/>
            <w:shd w:val="clear" w:color="auto" w:fill="CCEEFF"/>
            <w:tcMar>
              <w:top w:w="0" w:type="dxa"/>
              <w:left w:w="20" w:type="dxa"/>
              <w:bottom w:w="0" w:type="dxa"/>
              <w:right w:w="20" w:type="dxa"/>
            </w:tcMar>
            <w:vAlign w:val="bottom"/>
          </w:tcPr>
          <w:p w14:paraId="35D0B403"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04" w14:textId="77777777" w:rsidR="00D42204" w:rsidRDefault="004E439D">
            <w:pPr>
              <w:jc w:val="right"/>
              <w:textAlignment w:val="bottom"/>
            </w:pPr>
            <w:r>
              <w:rPr>
                <w:rFonts w:ascii="Times New Roman" w:eastAsia="宋体" w:hAnsi="Times New Roman"/>
                <w:color w:val="000000"/>
                <w:sz w:val="16"/>
                <w:szCs w:val="16"/>
              </w:rPr>
              <w:t>116</w:t>
            </w:r>
          </w:p>
        </w:tc>
      </w:tr>
      <w:tr w:rsidR="00D42204" w14:paraId="35D0B40F" w14:textId="77777777">
        <w:tc>
          <w:tcPr>
            <w:tcW w:w="0" w:type="auto"/>
            <w:gridSpan w:val="3"/>
            <w:shd w:val="clear" w:color="auto" w:fill="FFFFFF"/>
            <w:tcMar>
              <w:top w:w="40" w:type="dxa"/>
              <w:left w:w="20" w:type="dxa"/>
              <w:bottom w:w="40" w:type="dxa"/>
              <w:right w:w="20" w:type="dxa"/>
            </w:tcMar>
            <w:vAlign w:val="bottom"/>
          </w:tcPr>
          <w:p w14:paraId="35D0B406" w14:textId="77777777" w:rsidR="00D42204" w:rsidRDefault="004E439D">
            <w:pPr>
              <w:textAlignment w:val="bottom"/>
            </w:pPr>
            <w:r>
              <w:rPr>
                <w:rFonts w:ascii="Times New Roman" w:eastAsia="宋体" w:hAnsi="Times New Roman"/>
                <w:color w:val="000000"/>
                <w:sz w:val="16"/>
                <w:szCs w:val="16"/>
              </w:rPr>
              <w:t>June 28, 2038</w:t>
            </w:r>
          </w:p>
        </w:tc>
        <w:tc>
          <w:tcPr>
            <w:tcW w:w="0" w:type="auto"/>
            <w:gridSpan w:val="3"/>
            <w:shd w:val="clear" w:color="auto" w:fill="FFFFFF"/>
            <w:tcMar>
              <w:top w:w="0" w:type="dxa"/>
              <w:left w:w="20" w:type="dxa"/>
              <w:bottom w:w="0" w:type="dxa"/>
              <w:right w:w="20" w:type="dxa"/>
            </w:tcMar>
            <w:vAlign w:val="bottom"/>
          </w:tcPr>
          <w:p w14:paraId="35D0B407"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08" w14:textId="77777777" w:rsidR="00D42204" w:rsidRDefault="004E439D">
            <w:pPr>
              <w:jc w:val="center"/>
              <w:textAlignment w:val="bottom"/>
            </w:pPr>
            <w:r>
              <w:rPr>
                <w:rFonts w:ascii="Times New Roman" w:eastAsia="宋体" w:hAnsi="Times New Roman"/>
                <w:color w:val="000000"/>
                <w:sz w:val="16"/>
                <w:szCs w:val="16"/>
              </w:rPr>
              <w:t>$1,500</w:t>
            </w:r>
          </w:p>
        </w:tc>
        <w:tc>
          <w:tcPr>
            <w:tcW w:w="0" w:type="auto"/>
            <w:gridSpan w:val="3"/>
            <w:shd w:val="clear" w:color="auto" w:fill="FFFFFF"/>
            <w:tcMar>
              <w:top w:w="0" w:type="dxa"/>
              <w:left w:w="20" w:type="dxa"/>
              <w:bottom w:w="0" w:type="dxa"/>
              <w:right w:w="20" w:type="dxa"/>
            </w:tcMar>
            <w:vAlign w:val="bottom"/>
          </w:tcPr>
          <w:p w14:paraId="35D0B409"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0A"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40B"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0C" w14:textId="77777777" w:rsidR="00D42204" w:rsidRDefault="004E439D">
            <w:pPr>
              <w:jc w:val="center"/>
              <w:textAlignment w:val="bottom"/>
            </w:pPr>
            <w:r>
              <w:rPr>
                <w:rFonts w:ascii="Times New Roman" w:eastAsia="宋体" w:hAnsi="Times New Roman"/>
                <w:color w:val="000000"/>
                <w:sz w:val="16"/>
                <w:szCs w:val="16"/>
              </w:rPr>
              <w:t>3.950%</w:t>
            </w:r>
          </w:p>
        </w:tc>
        <w:tc>
          <w:tcPr>
            <w:tcW w:w="0" w:type="auto"/>
            <w:gridSpan w:val="3"/>
            <w:shd w:val="clear" w:color="auto" w:fill="FFFFFF"/>
            <w:tcMar>
              <w:top w:w="0" w:type="dxa"/>
              <w:left w:w="20" w:type="dxa"/>
              <w:bottom w:w="0" w:type="dxa"/>
              <w:right w:w="20" w:type="dxa"/>
            </w:tcMar>
            <w:vAlign w:val="bottom"/>
          </w:tcPr>
          <w:p w14:paraId="35D0B40D"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0E" w14:textId="77777777" w:rsidR="00D42204" w:rsidRDefault="004E439D">
            <w:pPr>
              <w:jc w:val="right"/>
              <w:textAlignment w:val="bottom"/>
            </w:pPr>
            <w:r>
              <w:rPr>
                <w:rFonts w:ascii="Times New Roman" w:eastAsia="宋体" w:hAnsi="Times New Roman"/>
                <w:color w:val="000000"/>
                <w:sz w:val="16"/>
                <w:szCs w:val="16"/>
              </w:rPr>
              <w:t>925</w:t>
            </w:r>
          </w:p>
        </w:tc>
      </w:tr>
      <w:tr w:rsidR="00D42204" w14:paraId="35D0B419" w14:textId="77777777">
        <w:tc>
          <w:tcPr>
            <w:tcW w:w="0" w:type="auto"/>
            <w:gridSpan w:val="3"/>
            <w:shd w:val="clear" w:color="auto" w:fill="CCEEFF"/>
            <w:tcMar>
              <w:top w:w="40" w:type="dxa"/>
              <w:left w:w="20" w:type="dxa"/>
              <w:bottom w:w="40" w:type="dxa"/>
              <w:right w:w="20" w:type="dxa"/>
            </w:tcMar>
            <w:vAlign w:val="bottom"/>
          </w:tcPr>
          <w:p w14:paraId="35D0B410" w14:textId="77777777" w:rsidR="00D42204" w:rsidRDefault="004E439D">
            <w:pPr>
              <w:textAlignment w:val="bottom"/>
            </w:pPr>
            <w:r>
              <w:rPr>
                <w:rFonts w:ascii="Times New Roman" w:eastAsia="宋体" w:hAnsi="Times New Roman"/>
                <w:color w:val="000000"/>
                <w:sz w:val="16"/>
                <w:szCs w:val="16"/>
              </w:rPr>
              <w:t>April 1, 2040</w:t>
            </w:r>
          </w:p>
        </w:tc>
        <w:tc>
          <w:tcPr>
            <w:tcW w:w="0" w:type="auto"/>
            <w:gridSpan w:val="3"/>
            <w:shd w:val="clear" w:color="auto" w:fill="CCEEFF"/>
            <w:tcMar>
              <w:top w:w="0" w:type="dxa"/>
              <w:left w:w="20" w:type="dxa"/>
              <w:bottom w:w="0" w:type="dxa"/>
              <w:right w:w="20" w:type="dxa"/>
            </w:tcMar>
            <w:vAlign w:val="bottom"/>
          </w:tcPr>
          <w:p w14:paraId="35D0B411"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12" w14:textId="77777777" w:rsidR="00D42204" w:rsidRDefault="004E439D">
            <w:pPr>
              <w:jc w:val="center"/>
              <w:textAlignment w:val="bottom"/>
            </w:pPr>
            <w:r>
              <w:rPr>
                <w:rFonts w:ascii="Times New Roman" w:eastAsia="宋体" w:hAnsi="Times New Roman"/>
                <w:color w:val="000000"/>
                <w:sz w:val="16"/>
                <w:szCs w:val="16"/>
              </w:rPr>
              <w:t>$751</w:t>
            </w:r>
          </w:p>
        </w:tc>
        <w:tc>
          <w:tcPr>
            <w:tcW w:w="0" w:type="auto"/>
            <w:gridSpan w:val="3"/>
            <w:shd w:val="clear" w:color="auto" w:fill="CCEEFF"/>
            <w:tcMar>
              <w:top w:w="0" w:type="dxa"/>
              <w:left w:w="20" w:type="dxa"/>
              <w:bottom w:w="0" w:type="dxa"/>
              <w:right w:w="20" w:type="dxa"/>
            </w:tcMar>
            <w:vAlign w:val="bottom"/>
          </w:tcPr>
          <w:p w14:paraId="35D0B413"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14"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415"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16" w14:textId="77777777" w:rsidR="00D42204" w:rsidRDefault="004E439D">
            <w:pPr>
              <w:jc w:val="center"/>
              <w:textAlignment w:val="bottom"/>
            </w:pPr>
            <w:r>
              <w:rPr>
                <w:rFonts w:ascii="Times New Roman" w:eastAsia="宋体" w:hAnsi="Times New Roman"/>
                <w:color w:val="000000"/>
                <w:sz w:val="16"/>
                <w:szCs w:val="16"/>
              </w:rPr>
              <w:t>5.625%</w:t>
            </w:r>
          </w:p>
        </w:tc>
        <w:tc>
          <w:tcPr>
            <w:tcW w:w="0" w:type="auto"/>
            <w:gridSpan w:val="3"/>
            <w:shd w:val="clear" w:color="auto" w:fill="CCEEFF"/>
            <w:tcMar>
              <w:top w:w="0" w:type="dxa"/>
              <w:left w:w="20" w:type="dxa"/>
              <w:bottom w:w="0" w:type="dxa"/>
              <w:right w:w="20" w:type="dxa"/>
            </w:tcMar>
            <w:vAlign w:val="bottom"/>
          </w:tcPr>
          <w:p w14:paraId="35D0B417"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18" w14:textId="77777777" w:rsidR="00D42204" w:rsidRDefault="004E439D">
            <w:pPr>
              <w:jc w:val="right"/>
              <w:textAlignment w:val="bottom"/>
            </w:pPr>
            <w:r>
              <w:rPr>
                <w:rFonts w:ascii="Times New Roman" w:eastAsia="宋体" w:hAnsi="Times New Roman"/>
                <w:color w:val="000000"/>
                <w:sz w:val="16"/>
                <w:szCs w:val="16"/>
              </w:rPr>
              <w:t>142</w:t>
            </w:r>
          </w:p>
        </w:tc>
      </w:tr>
      <w:tr w:rsidR="00D42204" w14:paraId="35D0B423" w14:textId="77777777">
        <w:tc>
          <w:tcPr>
            <w:tcW w:w="0" w:type="auto"/>
            <w:gridSpan w:val="3"/>
            <w:shd w:val="clear" w:color="auto" w:fill="FFFFFF"/>
            <w:tcMar>
              <w:top w:w="40" w:type="dxa"/>
              <w:left w:w="20" w:type="dxa"/>
              <w:bottom w:w="40" w:type="dxa"/>
              <w:right w:w="20" w:type="dxa"/>
            </w:tcMar>
            <w:vAlign w:val="bottom"/>
          </w:tcPr>
          <w:p w14:paraId="35D0B41A" w14:textId="77777777" w:rsidR="00D42204" w:rsidRDefault="004E439D">
            <w:pPr>
              <w:textAlignment w:val="bottom"/>
            </w:pPr>
            <w:r>
              <w:rPr>
                <w:rFonts w:ascii="Times New Roman" w:eastAsia="宋体" w:hAnsi="Times New Roman"/>
                <w:color w:val="000000"/>
                <w:sz w:val="16"/>
                <w:szCs w:val="16"/>
              </w:rPr>
              <w:t>July 8, 2040</w:t>
            </w:r>
          </w:p>
        </w:tc>
        <w:tc>
          <w:tcPr>
            <w:tcW w:w="0" w:type="auto"/>
            <w:gridSpan w:val="3"/>
            <w:shd w:val="clear" w:color="auto" w:fill="FFFFFF"/>
            <w:tcMar>
              <w:top w:w="0" w:type="dxa"/>
              <w:left w:w="20" w:type="dxa"/>
              <w:bottom w:w="0" w:type="dxa"/>
              <w:right w:w="20" w:type="dxa"/>
            </w:tcMar>
            <w:vAlign w:val="bottom"/>
          </w:tcPr>
          <w:p w14:paraId="35D0B41B"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1C" w14:textId="77777777" w:rsidR="00D42204" w:rsidRDefault="004E439D">
            <w:pPr>
              <w:jc w:val="center"/>
              <w:textAlignment w:val="bottom"/>
            </w:pPr>
            <w:r>
              <w:rPr>
                <w:rFonts w:ascii="Times New Roman" w:eastAsia="宋体" w:hAnsi="Times New Roman"/>
                <w:color w:val="000000"/>
                <w:sz w:val="16"/>
                <w:szCs w:val="16"/>
              </w:rPr>
              <w:t>$378</w:t>
            </w:r>
          </w:p>
        </w:tc>
        <w:tc>
          <w:tcPr>
            <w:tcW w:w="0" w:type="auto"/>
            <w:gridSpan w:val="3"/>
            <w:shd w:val="clear" w:color="auto" w:fill="FFFFFF"/>
            <w:tcMar>
              <w:top w:w="0" w:type="dxa"/>
              <w:left w:w="20" w:type="dxa"/>
              <w:bottom w:w="0" w:type="dxa"/>
              <w:right w:w="20" w:type="dxa"/>
            </w:tcMar>
            <w:vAlign w:val="bottom"/>
          </w:tcPr>
          <w:p w14:paraId="35D0B41D"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1E"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41F"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20" w14:textId="77777777" w:rsidR="00D42204" w:rsidRDefault="004E439D">
            <w:pPr>
              <w:jc w:val="center"/>
              <w:textAlignment w:val="bottom"/>
            </w:pPr>
            <w:r>
              <w:rPr>
                <w:rFonts w:ascii="Times New Roman" w:eastAsia="宋体" w:hAnsi="Times New Roman"/>
                <w:color w:val="000000"/>
                <w:sz w:val="16"/>
                <w:szCs w:val="16"/>
              </w:rPr>
              <w:t>4.875%</w:t>
            </w:r>
          </w:p>
        </w:tc>
        <w:tc>
          <w:tcPr>
            <w:tcW w:w="0" w:type="auto"/>
            <w:gridSpan w:val="3"/>
            <w:shd w:val="clear" w:color="auto" w:fill="FFFFFF"/>
            <w:tcMar>
              <w:top w:w="0" w:type="dxa"/>
              <w:left w:w="20" w:type="dxa"/>
              <w:bottom w:w="0" w:type="dxa"/>
              <w:right w:w="20" w:type="dxa"/>
            </w:tcMar>
            <w:vAlign w:val="bottom"/>
          </w:tcPr>
          <w:p w14:paraId="35D0B421"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22" w14:textId="77777777" w:rsidR="00D42204" w:rsidRDefault="004E439D">
            <w:pPr>
              <w:jc w:val="right"/>
              <w:textAlignment w:val="bottom"/>
            </w:pPr>
            <w:r>
              <w:rPr>
                <w:rFonts w:ascii="Times New Roman" w:eastAsia="宋体" w:hAnsi="Times New Roman"/>
                <w:color w:val="000000"/>
                <w:sz w:val="16"/>
                <w:szCs w:val="16"/>
              </w:rPr>
              <w:t>101</w:t>
            </w:r>
          </w:p>
        </w:tc>
      </w:tr>
      <w:tr w:rsidR="00D42204" w14:paraId="35D0B42D" w14:textId="77777777">
        <w:tc>
          <w:tcPr>
            <w:tcW w:w="0" w:type="auto"/>
            <w:gridSpan w:val="3"/>
            <w:shd w:val="clear" w:color="auto" w:fill="CCEEFF"/>
            <w:tcMar>
              <w:top w:w="40" w:type="dxa"/>
              <w:left w:w="20" w:type="dxa"/>
              <w:bottom w:w="40" w:type="dxa"/>
              <w:right w:w="20" w:type="dxa"/>
            </w:tcMar>
            <w:vAlign w:val="bottom"/>
          </w:tcPr>
          <w:p w14:paraId="35D0B424" w14:textId="77777777" w:rsidR="00D42204" w:rsidRDefault="004E439D">
            <w:pPr>
              <w:textAlignment w:val="bottom"/>
            </w:pPr>
            <w:r>
              <w:rPr>
                <w:rFonts w:ascii="Times New Roman" w:eastAsia="宋体" w:hAnsi="Times New Roman"/>
                <w:color w:val="000000"/>
                <w:sz w:val="16"/>
                <w:szCs w:val="16"/>
              </w:rPr>
              <w:t>October 25, 2040</w:t>
            </w:r>
          </w:p>
        </w:tc>
        <w:tc>
          <w:tcPr>
            <w:tcW w:w="0" w:type="auto"/>
            <w:gridSpan w:val="3"/>
            <w:shd w:val="clear" w:color="auto" w:fill="CCEEFF"/>
            <w:tcMar>
              <w:top w:w="0" w:type="dxa"/>
              <w:left w:w="20" w:type="dxa"/>
              <w:bottom w:w="0" w:type="dxa"/>
              <w:right w:w="20" w:type="dxa"/>
            </w:tcMar>
            <w:vAlign w:val="bottom"/>
          </w:tcPr>
          <w:p w14:paraId="35D0B425"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26" w14:textId="77777777" w:rsidR="00D42204" w:rsidRDefault="004E439D">
            <w:pPr>
              <w:jc w:val="center"/>
              <w:textAlignment w:val="bottom"/>
            </w:pPr>
            <w:r>
              <w:rPr>
                <w:rFonts w:ascii="Times New Roman" w:eastAsia="宋体" w:hAnsi="Times New Roman"/>
                <w:color w:val="000000"/>
                <w:sz w:val="16"/>
                <w:szCs w:val="16"/>
              </w:rPr>
              <w:t>$519</w:t>
            </w:r>
          </w:p>
        </w:tc>
        <w:tc>
          <w:tcPr>
            <w:tcW w:w="0" w:type="auto"/>
            <w:gridSpan w:val="3"/>
            <w:shd w:val="clear" w:color="auto" w:fill="CCEEFF"/>
            <w:tcMar>
              <w:top w:w="0" w:type="dxa"/>
              <w:left w:w="20" w:type="dxa"/>
              <w:bottom w:w="0" w:type="dxa"/>
              <w:right w:w="20" w:type="dxa"/>
            </w:tcMar>
            <w:vAlign w:val="bottom"/>
          </w:tcPr>
          <w:p w14:paraId="35D0B427"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28"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429"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2A" w14:textId="77777777" w:rsidR="00D42204" w:rsidRDefault="004E439D">
            <w:pPr>
              <w:jc w:val="center"/>
              <w:textAlignment w:val="bottom"/>
            </w:pPr>
            <w:r>
              <w:rPr>
                <w:rFonts w:ascii="Times New Roman" w:eastAsia="宋体" w:hAnsi="Times New Roman"/>
                <w:color w:val="000000"/>
                <w:sz w:val="16"/>
                <w:szCs w:val="16"/>
              </w:rPr>
              <w:t>5.000%</w:t>
            </w:r>
          </w:p>
        </w:tc>
        <w:tc>
          <w:tcPr>
            <w:tcW w:w="0" w:type="auto"/>
            <w:gridSpan w:val="3"/>
            <w:shd w:val="clear" w:color="auto" w:fill="CCEEFF"/>
            <w:tcMar>
              <w:top w:w="0" w:type="dxa"/>
              <w:left w:w="20" w:type="dxa"/>
              <w:bottom w:w="0" w:type="dxa"/>
              <w:right w:w="20" w:type="dxa"/>
            </w:tcMar>
            <w:vAlign w:val="bottom"/>
          </w:tcPr>
          <w:p w14:paraId="35D0B42B"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2C" w14:textId="77777777" w:rsidR="00D42204" w:rsidRDefault="004E439D">
            <w:pPr>
              <w:jc w:val="right"/>
              <w:textAlignment w:val="bottom"/>
            </w:pPr>
            <w:r>
              <w:rPr>
                <w:rFonts w:ascii="Times New Roman" w:eastAsia="宋体" w:hAnsi="Times New Roman"/>
                <w:color w:val="000000"/>
                <w:sz w:val="16"/>
                <w:szCs w:val="16"/>
              </w:rPr>
              <w:t>125</w:t>
            </w:r>
          </w:p>
        </w:tc>
      </w:tr>
      <w:tr w:rsidR="00D42204" w14:paraId="35D0B437" w14:textId="77777777">
        <w:tc>
          <w:tcPr>
            <w:tcW w:w="0" w:type="auto"/>
            <w:gridSpan w:val="3"/>
            <w:shd w:val="clear" w:color="auto" w:fill="FFFFFF"/>
            <w:tcMar>
              <w:top w:w="40" w:type="dxa"/>
              <w:left w:w="20" w:type="dxa"/>
              <w:bottom w:w="40" w:type="dxa"/>
              <w:right w:w="20" w:type="dxa"/>
            </w:tcMar>
            <w:vAlign w:val="bottom"/>
          </w:tcPr>
          <w:p w14:paraId="35D0B42E" w14:textId="77777777" w:rsidR="00D42204" w:rsidRDefault="004E439D">
            <w:pPr>
              <w:textAlignment w:val="bottom"/>
            </w:pPr>
            <w:r>
              <w:rPr>
                <w:rFonts w:ascii="Times New Roman" w:eastAsia="宋体" w:hAnsi="Times New Roman"/>
                <w:color w:val="000000"/>
                <w:sz w:val="16"/>
                <w:szCs w:val="16"/>
              </w:rPr>
              <w:t>April 15, 2041</w:t>
            </w:r>
          </w:p>
        </w:tc>
        <w:tc>
          <w:tcPr>
            <w:tcW w:w="0" w:type="auto"/>
            <w:gridSpan w:val="3"/>
            <w:shd w:val="clear" w:color="auto" w:fill="FFFFFF"/>
            <w:tcMar>
              <w:top w:w="0" w:type="dxa"/>
              <w:left w:w="20" w:type="dxa"/>
              <w:bottom w:w="0" w:type="dxa"/>
              <w:right w:w="20" w:type="dxa"/>
            </w:tcMar>
            <w:vAlign w:val="bottom"/>
          </w:tcPr>
          <w:p w14:paraId="35D0B42F"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30" w14:textId="77777777" w:rsidR="00D42204" w:rsidRDefault="004E439D">
            <w:pPr>
              <w:jc w:val="center"/>
              <w:textAlignment w:val="bottom"/>
            </w:pPr>
            <w:r>
              <w:rPr>
                <w:rFonts w:ascii="Times New Roman" w:eastAsia="宋体" w:hAnsi="Times New Roman"/>
                <w:color w:val="000000"/>
                <w:sz w:val="16"/>
                <w:szCs w:val="16"/>
              </w:rPr>
              <w:t>$918</w:t>
            </w:r>
          </w:p>
        </w:tc>
        <w:tc>
          <w:tcPr>
            <w:tcW w:w="0" w:type="auto"/>
            <w:gridSpan w:val="3"/>
            <w:shd w:val="clear" w:color="auto" w:fill="FFFFFF"/>
            <w:tcMar>
              <w:top w:w="0" w:type="dxa"/>
              <w:left w:w="20" w:type="dxa"/>
              <w:bottom w:w="0" w:type="dxa"/>
              <w:right w:w="20" w:type="dxa"/>
            </w:tcMar>
            <w:vAlign w:val="bottom"/>
          </w:tcPr>
          <w:p w14:paraId="35D0B431"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32"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433"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34" w14:textId="77777777" w:rsidR="00D42204" w:rsidRDefault="004E439D">
            <w:pPr>
              <w:jc w:val="center"/>
              <w:textAlignment w:val="bottom"/>
            </w:pPr>
            <w:r>
              <w:rPr>
                <w:rFonts w:ascii="Times New Roman" w:eastAsia="宋体" w:hAnsi="Times New Roman"/>
                <w:color w:val="000000"/>
                <w:sz w:val="16"/>
                <w:szCs w:val="16"/>
              </w:rPr>
              <w:t>5.625%</w:t>
            </w:r>
          </w:p>
        </w:tc>
        <w:tc>
          <w:tcPr>
            <w:tcW w:w="0" w:type="auto"/>
            <w:gridSpan w:val="3"/>
            <w:shd w:val="clear" w:color="auto" w:fill="FFFFFF"/>
            <w:tcMar>
              <w:top w:w="0" w:type="dxa"/>
              <w:left w:w="20" w:type="dxa"/>
              <w:bottom w:w="0" w:type="dxa"/>
              <w:right w:w="20" w:type="dxa"/>
            </w:tcMar>
            <w:vAlign w:val="bottom"/>
          </w:tcPr>
          <w:p w14:paraId="35D0B435"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36" w14:textId="77777777" w:rsidR="00D42204" w:rsidRDefault="004E439D">
            <w:pPr>
              <w:jc w:val="right"/>
              <w:textAlignment w:val="bottom"/>
            </w:pPr>
            <w:r>
              <w:rPr>
                <w:rFonts w:ascii="Times New Roman" w:eastAsia="宋体" w:hAnsi="Times New Roman"/>
                <w:color w:val="000000"/>
                <w:sz w:val="16"/>
                <w:szCs w:val="16"/>
              </w:rPr>
              <w:t>305</w:t>
            </w:r>
          </w:p>
        </w:tc>
      </w:tr>
      <w:tr w:rsidR="00D42204" w14:paraId="35D0B441" w14:textId="77777777">
        <w:tc>
          <w:tcPr>
            <w:tcW w:w="0" w:type="auto"/>
            <w:gridSpan w:val="3"/>
            <w:shd w:val="clear" w:color="auto" w:fill="CCEEFF"/>
            <w:tcMar>
              <w:top w:w="40" w:type="dxa"/>
              <w:left w:w="20" w:type="dxa"/>
              <w:bottom w:w="40" w:type="dxa"/>
              <w:right w:w="20" w:type="dxa"/>
            </w:tcMar>
            <w:vAlign w:val="bottom"/>
          </w:tcPr>
          <w:p w14:paraId="35D0B438" w14:textId="77777777" w:rsidR="00D42204" w:rsidRDefault="004E439D">
            <w:pPr>
              <w:textAlignment w:val="bottom"/>
            </w:pPr>
            <w:r>
              <w:rPr>
                <w:rFonts w:ascii="Times New Roman" w:eastAsia="宋体" w:hAnsi="Times New Roman"/>
                <w:color w:val="000000"/>
                <w:sz w:val="16"/>
                <w:szCs w:val="16"/>
              </w:rPr>
              <w:t>April 11, 2043</w:t>
            </w:r>
          </w:p>
        </w:tc>
        <w:tc>
          <w:tcPr>
            <w:tcW w:w="0" w:type="auto"/>
            <w:gridSpan w:val="3"/>
            <w:shd w:val="clear" w:color="auto" w:fill="CCEEFF"/>
            <w:tcMar>
              <w:top w:w="0" w:type="dxa"/>
              <w:left w:w="20" w:type="dxa"/>
              <w:bottom w:w="0" w:type="dxa"/>
              <w:right w:w="20" w:type="dxa"/>
            </w:tcMar>
            <w:vAlign w:val="bottom"/>
          </w:tcPr>
          <w:p w14:paraId="35D0B439"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3A" w14:textId="77777777" w:rsidR="00D42204" w:rsidRDefault="004E439D">
            <w:pPr>
              <w:jc w:val="center"/>
              <w:textAlignment w:val="bottom"/>
            </w:pPr>
            <w:r>
              <w:rPr>
                <w:rFonts w:ascii="Times New Roman" w:eastAsia="宋体" w:hAnsi="Times New Roman"/>
                <w:color w:val="000000"/>
                <w:sz w:val="16"/>
                <w:szCs w:val="16"/>
              </w:rPr>
              <w:t>$709</w:t>
            </w:r>
          </w:p>
        </w:tc>
        <w:tc>
          <w:tcPr>
            <w:tcW w:w="0" w:type="auto"/>
            <w:gridSpan w:val="3"/>
            <w:shd w:val="clear" w:color="auto" w:fill="CCEEFF"/>
            <w:tcMar>
              <w:top w:w="0" w:type="dxa"/>
              <w:left w:w="20" w:type="dxa"/>
              <w:bottom w:w="0" w:type="dxa"/>
              <w:right w:w="20" w:type="dxa"/>
            </w:tcMar>
            <w:vAlign w:val="bottom"/>
          </w:tcPr>
          <w:p w14:paraId="35D0B43B"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3C"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43D"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3E" w14:textId="77777777" w:rsidR="00D42204" w:rsidRDefault="004E439D">
            <w:pPr>
              <w:jc w:val="center"/>
              <w:textAlignment w:val="bottom"/>
            </w:pPr>
            <w:r>
              <w:rPr>
                <w:rFonts w:ascii="Times New Roman" w:eastAsia="宋体" w:hAnsi="Times New Roman"/>
                <w:color w:val="000000"/>
                <w:sz w:val="16"/>
                <w:szCs w:val="16"/>
              </w:rPr>
              <w:t>4.000%</w:t>
            </w:r>
          </w:p>
        </w:tc>
        <w:tc>
          <w:tcPr>
            <w:tcW w:w="0" w:type="auto"/>
            <w:gridSpan w:val="3"/>
            <w:shd w:val="clear" w:color="auto" w:fill="CCEEFF"/>
            <w:tcMar>
              <w:top w:w="0" w:type="dxa"/>
              <w:left w:w="20" w:type="dxa"/>
              <w:bottom w:w="0" w:type="dxa"/>
              <w:right w:w="20" w:type="dxa"/>
            </w:tcMar>
            <w:vAlign w:val="bottom"/>
          </w:tcPr>
          <w:p w14:paraId="35D0B43F"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40" w14:textId="77777777" w:rsidR="00D42204" w:rsidRDefault="004E439D">
            <w:pPr>
              <w:jc w:val="right"/>
              <w:textAlignment w:val="bottom"/>
            </w:pPr>
            <w:r>
              <w:rPr>
                <w:rFonts w:ascii="Times New Roman" w:eastAsia="宋体" w:hAnsi="Times New Roman"/>
                <w:color w:val="000000"/>
                <w:sz w:val="16"/>
                <w:szCs w:val="16"/>
              </w:rPr>
              <w:t>296</w:t>
            </w:r>
          </w:p>
        </w:tc>
      </w:tr>
      <w:tr w:rsidR="00D42204" w14:paraId="35D0B44B" w14:textId="77777777">
        <w:tc>
          <w:tcPr>
            <w:tcW w:w="0" w:type="auto"/>
            <w:gridSpan w:val="3"/>
            <w:shd w:val="clear" w:color="auto" w:fill="FFFFFF"/>
            <w:tcMar>
              <w:top w:w="40" w:type="dxa"/>
              <w:left w:w="20" w:type="dxa"/>
              <w:bottom w:w="40" w:type="dxa"/>
              <w:right w:w="20" w:type="dxa"/>
            </w:tcMar>
            <w:vAlign w:val="bottom"/>
          </w:tcPr>
          <w:p w14:paraId="35D0B442" w14:textId="77777777" w:rsidR="00D42204" w:rsidRDefault="004E439D">
            <w:pPr>
              <w:textAlignment w:val="bottom"/>
            </w:pPr>
            <w:r>
              <w:rPr>
                <w:rFonts w:ascii="Times New Roman" w:eastAsia="宋体" w:hAnsi="Times New Roman"/>
                <w:color w:val="000000"/>
                <w:sz w:val="16"/>
                <w:szCs w:val="16"/>
              </w:rPr>
              <w:t>October 2, 2043</w:t>
            </w:r>
          </w:p>
        </w:tc>
        <w:tc>
          <w:tcPr>
            <w:tcW w:w="0" w:type="auto"/>
            <w:gridSpan w:val="3"/>
            <w:shd w:val="clear" w:color="auto" w:fill="FFFFFF"/>
            <w:tcMar>
              <w:top w:w="0" w:type="dxa"/>
              <w:left w:w="20" w:type="dxa"/>
              <w:bottom w:w="0" w:type="dxa"/>
              <w:right w:w="20" w:type="dxa"/>
            </w:tcMar>
            <w:vAlign w:val="bottom"/>
          </w:tcPr>
          <w:p w14:paraId="35D0B443"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44" w14:textId="77777777" w:rsidR="00D42204" w:rsidRDefault="004E439D">
            <w:pPr>
              <w:jc w:val="center"/>
              <w:textAlignment w:val="bottom"/>
            </w:pPr>
            <w:r>
              <w:rPr>
                <w:rFonts w:ascii="Times New Roman" w:eastAsia="宋体" w:hAnsi="Times New Roman"/>
                <w:color w:val="000000"/>
                <w:sz w:val="16"/>
                <w:szCs w:val="16"/>
              </w:rPr>
              <w:t>$269</w:t>
            </w:r>
          </w:p>
        </w:tc>
        <w:tc>
          <w:tcPr>
            <w:tcW w:w="0" w:type="auto"/>
            <w:gridSpan w:val="3"/>
            <w:shd w:val="clear" w:color="auto" w:fill="FFFFFF"/>
            <w:tcMar>
              <w:top w:w="0" w:type="dxa"/>
              <w:left w:w="20" w:type="dxa"/>
              <w:bottom w:w="0" w:type="dxa"/>
              <w:right w:w="20" w:type="dxa"/>
            </w:tcMar>
            <w:vAlign w:val="bottom"/>
          </w:tcPr>
          <w:p w14:paraId="35D0B445"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46"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447"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48" w14:textId="77777777" w:rsidR="00D42204" w:rsidRDefault="004E439D">
            <w:pPr>
              <w:jc w:val="center"/>
              <w:textAlignment w:val="bottom"/>
            </w:pPr>
            <w:r>
              <w:rPr>
                <w:rFonts w:ascii="Times New Roman" w:eastAsia="宋体" w:hAnsi="Times New Roman"/>
                <w:color w:val="000000"/>
                <w:sz w:val="16"/>
                <w:szCs w:val="16"/>
              </w:rPr>
              <w:t>4.750%</w:t>
            </w:r>
          </w:p>
        </w:tc>
        <w:tc>
          <w:tcPr>
            <w:tcW w:w="0" w:type="auto"/>
            <w:gridSpan w:val="3"/>
            <w:shd w:val="clear" w:color="auto" w:fill="FFFFFF"/>
            <w:tcMar>
              <w:top w:w="0" w:type="dxa"/>
              <w:left w:w="20" w:type="dxa"/>
              <w:bottom w:w="0" w:type="dxa"/>
              <w:right w:w="20" w:type="dxa"/>
            </w:tcMar>
            <w:vAlign w:val="bottom"/>
          </w:tcPr>
          <w:p w14:paraId="35D0B449"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4A" w14:textId="77777777" w:rsidR="00D42204" w:rsidRDefault="004E439D">
            <w:pPr>
              <w:jc w:val="right"/>
              <w:textAlignment w:val="bottom"/>
            </w:pPr>
            <w:r>
              <w:rPr>
                <w:rFonts w:ascii="Times New Roman" w:eastAsia="宋体" w:hAnsi="Times New Roman"/>
                <w:color w:val="000000"/>
                <w:sz w:val="16"/>
                <w:szCs w:val="16"/>
              </w:rPr>
              <w:t>38</w:t>
            </w:r>
          </w:p>
        </w:tc>
      </w:tr>
      <w:tr w:rsidR="00D42204" w14:paraId="35D0B455" w14:textId="77777777">
        <w:tc>
          <w:tcPr>
            <w:tcW w:w="0" w:type="auto"/>
            <w:gridSpan w:val="3"/>
            <w:shd w:val="clear" w:color="auto" w:fill="CCEEFF"/>
            <w:tcMar>
              <w:top w:w="40" w:type="dxa"/>
              <w:left w:w="20" w:type="dxa"/>
              <w:bottom w:w="40" w:type="dxa"/>
              <w:right w:w="20" w:type="dxa"/>
            </w:tcMar>
            <w:vAlign w:val="bottom"/>
          </w:tcPr>
          <w:p w14:paraId="35D0B44C" w14:textId="77777777" w:rsidR="00D42204" w:rsidRDefault="004E439D">
            <w:pPr>
              <w:textAlignment w:val="bottom"/>
            </w:pPr>
            <w:r>
              <w:rPr>
                <w:rFonts w:ascii="Times New Roman" w:eastAsia="宋体" w:hAnsi="Times New Roman"/>
                <w:color w:val="000000"/>
                <w:sz w:val="16"/>
                <w:szCs w:val="16"/>
              </w:rPr>
              <w:t>April 22, 2044</w:t>
            </w:r>
          </w:p>
        </w:tc>
        <w:tc>
          <w:tcPr>
            <w:tcW w:w="0" w:type="auto"/>
            <w:gridSpan w:val="3"/>
            <w:shd w:val="clear" w:color="auto" w:fill="CCEEFF"/>
            <w:tcMar>
              <w:top w:w="0" w:type="dxa"/>
              <w:left w:w="20" w:type="dxa"/>
              <w:bottom w:w="0" w:type="dxa"/>
              <w:right w:w="20" w:type="dxa"/>
            </w:tcMar>
            <w:vAlign w:val="bottom"/>
          </w:tcPr>
          <w:p w14:paraId="35D0B44D"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4E" w14:textId="77777777" w:rsidR="00D42204" w:rsidRDefault="004E439D">
            <w:pPr>
              <w:jc w:val="center"/>
              <w:textAlignment w:val="bottom"/>
            </w:pPr>
            <w:r>
              <w:rPr>
                <w:rFonts w:ascii="Times New Roman" w:eastAsia="宋体" w:hAnsi="Times New Roman"/>
                <w:color w:val="000000"/>
                <w:sz w:val="16"/>
                <w:szCs w:val="16"/>
              </w:rPr>
              <w:t>$502</w:t>
            </w:r>
          </w:p>
        </w:tc>
        <w:tc>
          <w:tcPr>
            <w:tcW w:w="0" w:type="auto"/>
            <w:gridSpan w:val="3"/>
            <w:shd w:val="clear" w:color="auto" w:fill="CCEEFF"/>
            <w:tcMar>
              <w:top w:w="0" w:type="dxa"/>
              <w:left w:w="20" w:type="dxa"/>
              <w:bottom w:w="0" w:type="dxa"/>
              <w:right w:w="20" w:type="dxa"/>
            </w:tcMar>
            <w:vAlign w:val="bottom"/>
          </w:tcPr>
          <w:p w14:paraId="35D0B44F"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50"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451"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52" w14:textId="77777777" w:rsidR="00D42204" w:rsidRDefault="004E439D">
            <w:pPr>
              <w:jc w:val="center"/>
              <w:textAlignment w:val="bottom"/>
            </w:pPr>
            <w:r>
              <w:rPr>
                <w:rFonts w:ascii="Times New Roman" w:eastAsia="宋体" w:hAnsi="Times New Roman"/>
                <w:color w:val="000000"/>
                <w:sz w:val="16"/>
                <w:szCs w:val="16"/>
              </w:rPr>
              <w:t>4.300%</w:t>
            </w:r>
          </w:p>
        </w:tc>
        <w:tc>
          <w:tcPr>
            <w:tcW w:w="0" w:type="auto"/>
            <w:gridSpan w:val="3"/>
            <w:shd w:val="clear" w:color="auto" w:fill="CCEEFF"/>
            <w:tcMar>
              <w:top w:w="0" w:type="dxa"/>
              <w:left w:w="20" w:type="dxa"/>
              <w:bottom w:w="0" w:type="dxa"/>
              <w:right w:w="20" w:type="dxa"/>
            </w:tcMar>
            <w:vAlign w:val="bottom"/>
          </w:tcPr>
          <w:p w14:paraId="35D0B453"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54" w14:textId="77777777" w:rsidR="00D42204" w:rsidRDefault="004E439D">
            <w:pPr>
              <w:jc w:val="right"/>
              <w:textAlignment w:val="bottom"/>
            </w:pPr>
            <w:r>
              <w:rPr>
                <w:rFonts w:ascii="Times New Roman" w:eastAsia="宋体" w:hAnsi="Times New Roman"/>
                <w:color w:val="000000"/>
                <w:sz w:val="16"/>
                <w:szCs w:val="16"/>
              </w:rPr>
              <w:t>172</w:t>
            </w:r>
          </w:p>
        </w:tc>
      </w:tr>
      <w:tr w:rsidR="00D42204" w14:paraId="35D0B45F" w14:textId="77777777">
        <w:tc>
          <w:tcPr>
            <w:tcW w:w="0" w:type="auto"/>
            <w:gridSpan w:val="3"/>
            <w:shd w:val="clear" w:color="auto" w:fill="FFFFFF"/>
            <w:tcMar>
              <w:top w:w="40" w:type="dxa"/>
              <w:left w:w="20" w:type="dxa"/>
              <w:bottom w:w="40" w:type="dxa"/>
              <w:right w:w="20" w:type="dxa"/>
            </w:tcMar>
            <w:vAlign w:val="bottom"/>
          </w:tcPr>
          <w:p w14:paraId="35D0B456" w14:textId="77777777" w:rsidR="00D42204" w:rsidRDefault="004E439D">
            <w:pPr>
              <w:textAlignment w:val="bottom"/>
            </w:pPr>
            <w:r>
              <w:rPr>
                <w:rFonts w:ascii="Times New Roman" w:eastAsia="宋体" w:hAnsi="Times New Roman"/>
                <w:color w:val="000000"/>
                <w:sz w:val="16"/>
                <w:szCs w:val="16"/>
              </w:rPr>
              <w:t>December 15, 2047</w:t>
            </w:r>
          </w:p>
        </w:tc>
        <w:tc>
          <w:tcPr>
            <w:tcW w:w="0" w:type="auto"/>
            <w:gridSpan w:val="3"/>
            <w:shd w:val="clear" w:color="auto" w:fill="FFFFFF"/>
            <w:tcMar>
              <w:top w:w="0" w:type="dxa"/>
              <w:left w:w="20" w:type="dxa"/>
              <w:bottom w:w="0" w:type="dxa"/>
              <w:right w:w="20" w:type="dxa"/>
            </w:tcMar>
            <w:vAlign w:val="bottom"/>
          </w:tcPr>
          <w:p w14:paraId="35D0B457"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58" w14:textId="77777777" w:rsidR="00D42204" w:rsidRDefault="004E439D">
            <w:pPr>
              <w:jc w:val="center"/>
              <w:textAlignment w:val="bottom"/>
            </w:pPr>
            <w:r>
              <w:rPr>
                <w:rFonts w:ascii="Times New Roman" w:eastAsia="宋体" w:hAnsi="Times New Roman"/>
                <w:color w:val="000000"/>
                <w:sz w:val="16"/>
                <w:szCs w:val="16"/>
              </w:rPr>
              <w:t>$1,000</w:t>
            </w:r>
          </w:p>
        </w:tc>
        <w:tc>
          <w:tcPr>
            <w:tcW w:w="0" w:type="auto"/>
            <w:gridSpan w:val="3"/>
            <w:shd w:val="clear" w:color="auto" w:fill="FFFFFF"/>
            <w:tcMar>
              <w:top w:w="0" w:type="dxa"/>
              <w:left w:w="20" w:type="dxa"/>
              <w:bottom w:w="0" w:type="dxa"/>
              <w:right w:w="20" w:type="dxa"/>
            </w:tcMar>
            <w:vAlign w:val="bottom"/>
          </w:tcPr>
          <w:p w14:paraId="35D0B459"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5A"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45B"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5C" w14:textId="77777777" w:rsidR="00D42204" w:rsidRDefault="004E439D">
            <w:pPr>
              <w:jc w:val="center"/>
              <w:textAlignment w:val="bottom"/>
            </w:pPr>
            <w:r>
              <w:rPr>
                <w:rFonts w:ascii="Times New Roman" w:eastAsia="宋体" w:hAnsi="Times New Roman"/>
                <w:color w:val="000000"/>
                <w:sz w:val="16"/>
                <w:szCs w:val="16"/>
              </w:rPr>
              <w:t>3.625%</w:t>
            </w:r>
          </w:p>
        </w:tc>
        <w:tc>
          <w:tcPr>
            <w:tcW w:w="0" w:type="auto"/>
            <w:gridSpan w:val="3"/>
            <w:shd w:val="clear" w:color="auto" w:fill="FFFFFF"/>
            <w:tcMar>
              <w:top w:w="0" w:type="dxa"/>
              <w:left w:w="20" w:type="dxa"/>
              <w:bottom w:w="0" w:type="dxa"/>
              <w:right w:w="20" w:type="dxa"/>
            </w:tcMar>
            <w:vAlign w:val="bottom"/>
          </w:tcPr>
          <w:p w14:paraId="35D0B45D"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5E" w14:textId="77777777" w:rsidR="00D42204" w:rsidRDefault="004E439D">
            <w:pPr>
              <w:jc w:val="right"/>
              <w:textAlignment w:val="bottom"/>
            </w:pPr>
            <w:r>
              <w:rPr>
                <w:rFonts w:ascii="Times New Roman" w:eastAsia="宋体" w:hAnsi="Times New Roman"/>
                <w:color w:val="000000"/>
                <w:sz w:val="16"/>
                <w:szCs w:val="16"/>
              </w:rPr>
              <w:t>566</w:t>
            </w:r>
          </w:p>
        </w:tc>
      </w:tr>
      <w:tr w:rsidR="00D42204" w14:paraId="35D0B469" w14:textId="77777777">
        <w:tc>
          <w:tcPr>
            <w:tcW w:w="0" w:type="auto"/>
            <w:gridSpan w:val="3"/>
            <w:shd w:val="clear" w:color="auto" w:fill="CCEEFF"/>
            <w:tcMar>
              <w:top w:w="40" w:type="dxa"/>
              <w:left w:w="20" w:type="dxa"/>
              <w:bottom w:w="40" w:type="dxa"/>
              <w:right w:w="20" w:type="dxa"/>
            </w:tcMar>
            <w:vAlign w:val="bottom"/>
          </w:tcPr>
          <w:p w14:paraId="35D0B460" w14:textId="77777777" w:rsidR="00D42204" w:rsidRDefault="004E439D">
            <w:pPr>
              <w:textAlignment w:val="bottom"/>
            </w:pPr>
            <w:r>
              <w:rPr>
                <w:rFonts w:ascii="Times New Roman" w:eastAsia="宋体" w:hAnsi="Times New Roman"/>
                <w:color w:val="000000"/>
                <w:sz w:val="16"/>
                <w:szCs w:val="16"/>
              </w:rPr>
              <w:t>June 29, 2048</w:t>
            </w:r>
          </w:p>
        </w:tc>
        <w:tc>
          <w:tcPr>
            <w:tcW w:w="0" w:type="auto"/>
            <w:gridSpan w:val="3"/>
            <w:shd w:val="clear" w:color="auto" w:fill="CCEEFF"/>
            <w:tcMar>
              <w:top w:w="0" w:type="dxa"/>
              <w:left w:w="20" w:type="dxa"/>
              <w:bottom w:w="0" w:type="dxa"/>
              <w:right w:w="20" w:type="dxa"/>
            </w:tcMar>
            <w:vAlign w:val="bottom"/>
          </w:tcPr>
          <w:p w14:paraId="35D0B461"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62" w14:textId="77777777" w:rsidR="00D42204" w:rsidRDefault="004E439D">
            <w:pPr>
              <w:jc w:val="center"/>
              <w:textAlignment w:val="bottom"/>
            </w:pPr>
            <w:r>
              <w:rPr>
                <w:rFonts w:ascii="Times New Roman" w:eastAsia="宋体" w:hAnsi="Times New Roman"/>
                <w:color w:val="000000"/>
                <w:sz w:val="16"/>
                <w:szCs w:val="16"/>
              </w:rPr>
              <w:t>$3,000</w:t>
            </w:r>
          </w:p>
        </w:tc>
        <w:tc>
          <w:tcPr>
            <w:tcW w:w="0" w:type="auto"/>
            <w:gridSpan w:val="3"/>
            <w:shd w:val="clear" w:color="auto" w:fill="CCEEFF"/>
            <w:tcMar>
              <w:top w:w="0" w:type="dxa"/>
              <w:left w:w="20" w:type="dxa"/>
              <w:bottom w:w="0" w:type="dxa"/>
              <w:right w:w="20" w:type="dxa"/>
            </w:tcMar>
            <w:vAlign w:val="bottom"/>
          </w:tcPr>
          <w:p w14:paraId="35D0B463"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64"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465"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66" w14:textId="77777777" w:rsidR="00D42204" w:rsidRDefault="004E439D">
            <w:pPr>
              <w:jc w:val="center"/>
              <w:textAlignment w:val="bottom"/>
            </w:pPr>
            <w:r>
              <w:rPr>
                <w:rFonts w:ascii="Times New Roman" w:eastAsia="宋体" w:hAnsi="Times New Roman"/>
                <w:color w:val="000000"/>
                <w:sz w:val="16"/>
                <w:szCs w:val="16"/>
              </w:rPr>
              <w:t>4.050%</w:t>
            </w:r>
          </w:p>
        </w:tc>
        <w:tc>
          <w:tcPr>
            <w:tcW w:w="0" w:type="auto"/>
            <w:gridSpan w:val="3"/>
            <w:shd w:val="clear" w:color="auto" w:fill="CCEEFF"/>
            <w:tcMar>
              <w:top w:w="0" w:type="dxa"/>
              <w:left w:w="20" w:type="dxa"/>
              <w:bottom w:w="0" w:type="dxa"/>
              <w:right w:w="20" w:type="dxa"/>
            </w:tcMar>
            <w:vAlign w:val="bottom"/>
          </w:tcPr>
          <w:p w14:paraId="35D0B467"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68" w14:textId="77777777" w:rsidR="00D42204" w:rsidRDefault="004E439D">
            <w:pPr>
              <w:jc w:val="right"/>
              <w:textAlignment w:val="bottom"/>
            </w:pPr>
            <w:r>
              <w:rPr>
                <w:rFonts w:ascii="Times New Roman" w:eastAsia="宋体" w:hAnsi="Times New Roman"/>
                <w:color w:val="000000"/>
                <w:sz w:val="16"/>
                <w:szCs w:val="16"/>
              </w:rPr>
              <w:t>1,317</w:t>
            </w:r>
          </w:p>
        </w:tc>
      </w:tr>
      <w:tr w:rsidR="00D42204" w14:paraId="35D0B473" w14:textId="77777777">
        <w:tc>
          <w:tcPr>
            <w:tcW w:w="0" w:type="auto"/>
            <w:gridSpan w:val="3"/>
            <w:shd w:val="clear" w:color="auto" w:fill="FFFFFF"/>
            <w:tcMar>
              <w:top w:w="40" w:type="dxa"/>
              <w:left w:w="20" w:type="dxa"/>
              <w:bottom w:w="40" w:type="dxa"/>
              <w:right w:w="20" w:type="dxa"/>
            </w:tcMar>
            <w:vAlign w:val="bottom"/>
          </w:tcPr>
          <w:p w14:paraId="35D0B46A" w14:textId="77777777" w:rsidR="00D42204" w:rsidRDefault="004E439D">
            <w:pPr>
              <w:textAlignment w:val="bottom"/>
            </w:pPr>
            <w:r>
              <w:rPr>
                <w:rFonts w:ascii="Times New Roman" w:eastAsia="宋体" w:hAnsi="Times New Roman"/>
                <w:color w:val="000000"/>
                <w:sz w:val="16"/>
                <w:szCs w:val="16"/>
              </w:rPr>
              <w:t>September 24, 2049</w:t>
            </w:r>
          </w:p>
        </w:tc>
        <w:tc>
          <w:tcPr>
            <w:tcW w:w="0" w:type="auto"/>
            <w:gridSpan w:val="3"/>
            <w:shd w:val="clear" w:color="auto" w:fill="FFFFFF"/>
            <w:tcMar>
              <w:top w:w="0" w:type="dxa"/>
              <w:left w:w="20" w:type="dxa"/>
              <w:bottom w:w="0" w:type="dxa"/>
              <w:right w:w="20" w:type="dxa"/>
            </w:tcMar>
            <w:vAlign w:val="bottom"/>
          </w:tcPr>
          <w:p w14:paraId="35D0B46B"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6C" w14:textId="77777777" w:rsidR="00D42204" w:rsidRDefault="004E439D">
            <w:pPr>
              <w:jc w:val="center"/>
              <w:textAlignment w:val="bottom"/>
            </w:pPr>
            <w:r>
              <w:rPr>
                <w:rFonts w:ascii="Times New Roman" w:eastAsia="宋体" w:hAnsi="Times New Roman"/>
                <w:color w:val="000000"/>
                <w:sz w:val="16"/>
                <w:szCs w:val="16"/>
              </w:rPr>
              <w:t>$1,000</w:t>
            </w:r>
          </w:p>
        </w:tc>
        <w:tc>
          <w:tcPr>
            <w:tcW w:w="0" w:type="auto"/>
            <w:gridSpan w:val="3"/>
            <w:shd w:val="clear" w:color="auto" w:fill="FFFFFF"/>
            <w:tcMar>
              <w:top w:w="0" w:type="dxa"/>
              <w:left w:w="20" w:type="dxa"/>
              <w:bottom w:w="0" w:type="dxa"/>
              <w:right w:w="20" w:type="dxa"/>
            </w:tcMar>
            <w:vAlign w:val="bottom"/>
          </w:tcPr>
          <w:p w14:paraId="35D0B46D"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6E"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46F"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70" w14:textId="77777777" w:rsidR="00D42204" w:rsidRDefault="004E439D">
            <w:pPr>
              <w:jc w:val="center"/>
              <w:textAlignment w:val="bottom"/>
            </w:pPr>
            <w:r>
              <w:rPr>
                <w:rFonts w:ascii="Times New Roman" w:eastAsia="宋体" w:hAnsi="Times New Roman"/>
                <w:color w:val="000000"/>
                <w:sz w:val="16"/>
                <w:szCs w:val="16"/>
              </w:rPr>
              <w:t>2.950%</w:t>
            </w:r>
          </w:p>
        </w:tc>
        <w:tc>
          <w:tcPr>
            <w:tcW w:w="0" w:type="auto"/>
            <w:gridSpan w:val="3"/>
            <w:shd w:val="clear" w:color="auto" w:fill="FFFFFF"/>
            <w:tcMar>
              <w:top w:w="0" w:type="dxa"/>
              <w:left w:w="20" w:type="dxa"/>
              <w:bottom w:w="0" w:type="dxa"/>
              <w:right w:w="20" w:type="dxa"/>
            </w:tcMar>
            <w:vAlign w:val="bottom"/>
          </w:tcPr>
          <w:p w14:paraId="35D0B471"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72" w14:textId="77777777" w:rsidR="00D42204" w:rsidRDefault="004E439D">
            <w:pPr>
              <w:jc w:val="right"/>
              <w:textAlignment w:val="bottom"/>
            </w:pPr>
            <w:r>
              <w:rPr>
                <w:rFonts w:ascii="Times New Roman" w:eastAsia="宋体" w:hAnsi="Times New Roman"/>
                <w:color w:val="000000"/>
                <w:sz w:val="16"/>
                <w:szCs w:val="16"/>
              </w:rPr>
              <w:t>371</w:t>
            </w:r>
          </w:p>
        </w:tc>
      </w:tr>
      <w:tr w:rsidR="00D42204" w14:paraId="35D0B47E" w14:textId="77777777">
        <w:tc>
          <w:tcPr>
            <w:tcW w:w="0" w:type="auto"/>
            <w:gridSpan w:val="3"/>
            <w:shd w:val="clear" w:color="auto" w:fill="CCEEFF"/>
            <w:tcMar>
              <w:top w:w="40" w:type="dxa"/>
              <w:left w:w="20" w:type="dxa"/>
              <w:bottom w:w="40" w:type="dxa"/>
              <w:right w:w="20" w:type="dxa"/>
            </w:tcMar>
            <w:vAlign w:val="bottom"/>
          </w:tcPr>
          <w:p w14:paraId="35D0B474" w14:textId="77777777" w:rsidR="00D42204" w:rsidRDefault="004E439D">
            <w:pPr>
              <w:textAlignment w:val="bottom"/>
            </w:pPr>
            <w:r>
              <w:rPr>
                <w:rFonts w:ascii="Times New Roman" w:eastAsia="宋体" w:hAnsi="Times New Roman"/>
                <w:b/>
                <w:bCs/>
                <w:color w:val="000000"/>
                <w:sz w:val="16"/>
                <w:szCs w:val="16"/>
              </w:rPr>
              <w:t>Total repayment of extinguished debt</w:t>
            </w:r>
            <w:r>
              <w:rPr>
                <w:rFonts w:ascii="Times New Roman" w:eastAsia="宋体" w:hAnsi="Times New Roman"/>
                <w:b/>
                <w:bCs/>
                <w:color w:val="000000"/>
                <w:sz w:val="10"/>
                <w:szCs w:val="10"/>
              </w:rPr>
              <w:t>(1)</w:t>
            </w:r>
          </w:p>
        </w:tc>
        <w:tc>
          <w:tcPr>
            <w:tcW w:w="0" w:type="auto"/>
            <w:gridSpan w:val="3"/>
            <w:shd w:val="clear" w:color="auto" w:fill="CCEEFF"/>
            <w:tcMar>
              <w:top w:w="0" w:type="dxa"/>
              <w:left w:w="20" w:type="dxa"/>
              <w:bottom w:w="0" w:type="dxa"/>
              <w:right w:w="20" w:type="dxa"/>
            </w:tcMar>
            <w:vAlign w:val="bottom"/>
          </w:tcPr>
          <w:p w14:paraId="35D0B475"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476"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477"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47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479"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47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47B"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D0B47C" w14:textId="77777777" w:rsidR="00D42204" w:rsidRDefault="004E439D">
            <w:pPr>
              <w:jc w:val="right"/>
              <w:textAlignment w:val="bottom"/>
            </w:pPr>
            <w:r>
              <w:rPr>
                <w:rFonts w:ascii="Times New Roman" w:eastAsia="宋体" w:hAnsi="Times New Roman"/>
                <w:color w:val="000000"/>
                <w:sz w:val="16"/>
                <w:szCs w:val="16"/>
              </w:rPr>
              <w:t>10,000 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47D" w14:textId="77777777" w:rsidR="00D42204" w:rsidRDefault="00D42204">
            <w:pPr>
              <w:jc w:val="right"/>
              <w:rPr>
                <w:rFonts w:ascii="宋体"/>
              </w:rPr>
            </w:pPr>
          </w:p>
        </w:tc>
      </w:tr>
      <w:tr w:rsidR="00D42204" w14:paraId="35D0B48A" w14:textId="77777777">
        <w:tc>
          <w:tcPr>
            <w:tcW w:w="0" w:type="auto"/>
            <w:gridSpan w:val="3"/>
            <w:shd w:val="clear" w:color="auto" w:fill="FFFFFF"/>
            <w:tcMar>
              <w:top w:w="40" w:type="dxa"/>
              <w:left w:w="245" w:type="dxa"/>
              <w:bottom w:w="40" w:type="dxa"/>
              <w:right w:w="20" w:type="dxa"/>
            </w:tcMar>
            <w:vAlign w:val="bottom"/>
          </w:tcPr>
          <w:p w14:paraId="35D0B47F" w14:textId="77777777" w:rsidR="00D42204" w:rsidRDefault="004E439D">
            <w:pPr>
              <w:textAlignment w:val="bottom"/>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35D0B480"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481"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482"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483"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484"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485"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486"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5D0B487"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5D0B488" w14:textId="77777777" w:rsidR="00D42204" w:rsidRDefault="004E439D">
            <w:pPr>
              <w:jc w:val="right"/>
              <w:textAlignment w:val="bottom"/>
            </w:pPr>
            <w:r>
              <w:rPr>
                <w:rFonts w:ascii="Times New Roman" w:eastAsia="宋体" w:hAnsi="Times New Roman"/>
                <w:color w:val="000000"/>
                <w:sz w:val="16"/>
                <w:szCs w:val="16"/>
              </w:rPr>
              <w:t>13,010 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5D0B489" w14:textId="77777777" w:rsidR="00D42204" w:rsidRDefault="00D42204">
            <w:pPr>
              <w:jc w:val="right"/>
              <w:rPr>
                <w:rFonts w:ascii="宋体"/>
              </w:rPr>
            </w:pPr>
          </w:p>
        </w:tc>
      </w:tr>
    </w:tbl>
    <w:p w14:paraId="35D0B48B" w14:textId="77777777" w:rsidR="00D42204" w:rsidRDefault="004E439D">
      <w:pPr>
        <w:spacing w:before="100"/>
      </w:pPr>
      <w:r>
        <w:rPr>
          <w:rFonts w:ascii="Times New Roman" w:eastAsia="宋体" w:hAnsi="Times New Roman"/>
          <w:color w:val="000000"/>
          <w:sz w:val="10"/>
          <w:szCs w:val="10"/>
        </w:rPr>
        <w:t xml:space="preserve">(1) </w:t>
      </w:r>
      <w:r>
        <w:rPr>
          <w:rFonts w:ascii="Times New Roman" w:eastAsia="宋体" w:hAnsi="Times New Roman"/>
          <w:color w:val="000000"/>
          <w:sz w:val="16"/>
          <w:szCs w:val="16"/>
        </w:rPr>
        <w:t xml:space="preserve">Represents portion of the outstanding principal amount which was repaid during fiscal 2022. Individual repayment amounts may not sum due to </w:t>
      </w:r>
      <w:r>
        <w:rPr>
          <w:rFonts w:ascii="Times New Roman" w:eastAsia="宋体" w:hAnsi="Times New Roman"/>
          <w:color w:val="000000"/>
          <w:sz w:val="16"/>
          <w:szCs w:val="16"/>
        </w:rPr>
        <w:t>rounding.</w:t>
      </w:r>
    </w:p>
    <w:p w14:paraId="35D0B48C" w14:textId="77777777" w:rsidR="00D42204" w:rsidRDefault="004E439D">
      <w:pPr>
        <w:jc w:val="center"/>
      </w:pPr>
      <w:r>
        <w:rPr>
          <w:rFonts w:ascii="Times New Roman" w:eastAsia="宋体" w:hAnsi="Times New Roman"/>
          <w:color w:val="000000"/>
          <w:sz w:val="20"/>
          <w:szCs w:val="20"/>
        </w:rPr>
        <w:t>68</w:t>
      </w:r>
    </w:p>
    <w:p w14:paraId="35D0B48D" w14:textId="77777777" w:rsidR="00D42204" w:rsidRDefault="004E439D">
      <w:r>
        <w:pict w14:anchorId="35D0C39F">
          <v:rect id="_x0000_i1092" style="width:415.3pt;height:1.5pt" o:hralign="center" o:hrstd="t" o:hr="t" fillcolor="#a0a0a0" stroked="f"/>
        </w:pict>
      </w:r>
    </w:p>
    <w:p w14:paraId="35D0B48E" w14:textId="77777777" w:rsidR="00D42204" w:rsidRDefault="00D42204"/>
    <w:p w14:paraId="35D0B48F" w14:textId="77777777" w:rsidR="00D42204" w:rsidRDefault="004E439D">
      <w:pPr>
        <w:spacing w:before="100"/>
      </w:pPr>
      <w:r>
        <w:rPr>
          <w:rFonts w:ascii="Times New Roman" w:eastAsia="宋体" w:hAnsi="Times New Roman"/>
          <w:color w:val="000000"/>
          <w:sz w:val="20"/>
          <w:szCs w:val="20"/>
        </w:rPr>
        <w:t xml:space="preserve">The Company recorded a $2.4 billion loss on extinguishment of debt during fiscal 2022, which included payment of $2.3 billion in early extinguishment premiums. </w:t>
      </w:r>
    </w:p>
    <w:p w14:paraId="35D0B490" w14:textId="77777777" w:rsidR="00D42204" w:rsidRDefault="004E439D">
      <w:pPr>
        <w:spacing w:before="100"/>
      </w:pPr>
      <w:r>
        <w:rPr>
          <w:rFonts w:ascii="Times New Roman" w:eastAsia="宋体" w:hAnsi="Times New Roman"/>
          <w:color w:val="000000"/>
          <w:sz w:val="20"/>
          <w:szCs w:val="20"/>
        </w:rPr>
        <w:t>The following table provides details of debt repayments during fiscal 2021:</w:t>
      </w:r>
    </w:p>
    <w:tbl>
      <w:tblPr>
        <w:tblW w:w="4978" w:type="pct"/>
        <w:jc w:val="center"/>
        <w:tblCellMar>
          <w:top w:w="15" w:type="dxa"/>
          <w:left w:w="15" w:type="dxa"/>
          <w:bottom w:w="15" w:type="dxa"/>
          <w:right w:w="15" w:type="dxa"/>
        </w:tblCellMar>
        <w:tblLook w:val="04A0" w:firstRow="1" w:lastRow="0" w:firstColumn="1" w:lastColumn="0" w:noHBand="0" w:noVBand="1"/>
      </w:tblPr>
      <w:tblGrid>
        <w:gridCol w:w="53"/>
        <w:gridCol w:w="2622"/>
        <w:gridCol w:w="37"/>
        <w:gridCol w:w="36"/>
        <w:gridCol w:w="36"/>
        <w:gridCol w:w="36"/>
        <w:gridCol w:w="43"/>
        <w:gridCol w:w="1198"/>
        <w:gridCol w:w="36"/>
        <w:gridCol w:w="36"/>
        <w:gridCol w:w="36"/>
        <w:gridCol w:w="36"/>
        <w:gridCol w:w="39"/>
        <w:gridCol w:w="1202"/>
        <w:gridCol w:w="36"/>
        <w:gridCol w:w="36"/>
        <w:gridCol w:w="36"/>
        <w:gridCol w:w="36"/>
        <w:gridCol w:w="37"/>
        <w:gridCol w:w="1204"/>
        <w:gridCol w:w="36"/>
        <w:gridCol w:w="36"/>
        <w:gridCol w:w="36"/>
        <w:gridCol w:w="36"/>
        <w:gridCol w:w="101"/>
        <w:gridCol w:w="1187"/>
        <w:gridCol w:w="36"/>
      </w:tblGrid>
      <w:tr w:rsidR="00D42204" w14:paraId="35D0B4AC" w14:textId="77777777">
        <w:trPr>
          <w:jc w:val="center"/>
        </w:trPr>
        <w:tc>
          <w:tcPr>
            <w:tcW w:w="50" w:type="pct"/>
            <w:shd w:val="clear" w:color="auto" w:fill="auto"/>
            <w:vAlign w:val="bottom"/>
          </w:tcPr>
          <w:p w14:paraId="35D0B491" w14:textId="77777777" w:rsidR="00D42204" w:rsidRDefault="00D42204">
            <w:pPr>
              <w:rPr>
                <w:rFonts w:ascii="宋体"/>
              </w:rPr>
            </w:pPr>
          </w:p>
        </w:tc>
        <w:tc>
          <w:tcPr>
            <w:tcW w:w="1596" w:type="pct"/>
            <w:shd w:val="clear" w:color="auto" w:fill="auto"/>
            <w:vAlign w:val="bottom"/>
          </w:tcPr>
          <w:p w14:paraId="35D0B492" w14:textId="77777777" w:rsidR="00D42204" w:rsidRDefault="00D42204">
            <w:pPr>
              <w:rPr>
                <w:rFonts w:ascii="宋体"/>
              </w:rPr>
            </w:pPr>
          </w:p>
        </w:tc>
        <w:tc>
          <w:tcPr>
            <w:tcW w:w="5" w:type="pct"/>
            <w:shd w:val="clear" w:color="auto" w:fill="auto"/>
            <w:vAlign w:val="bottom"/>
          </w:tcPr>
          <w:p w14:paraId="35D0B493" w14:textId="77777777" w:rsidR="00D42204" w:rsidRDefault="00D42204">
            <w:pPr>
              <w:rPr>
                <w:rFonts w:ascii="宋体"/>
              </w:rPr>
            </w:pPr>
          </w:p>
        </w:tc>
        <w:tc>
          <w:tcPr>
            <w:tcW w:w="5" w:type="pct"/>
            <w:shd w:val="clear" w:color="auto" w:fill="auto"/>
            <w:vAlign w:val="bottom"/>
          </w:tcPr>
          <w:p w14:paraId="35D0B494" w14:textId="77777777" w:rsidR="00D42204" w:rsidRDefault="00D42204">
            <w:pPr>
              <w:rPr>
                <w:rFonts w:ascii="宋体"/>
              </w:rPr>
            </w:pPr>
          </w:p>
        </w:tc>
        <w:tc>
          <w:tcPr>
            <w:tcW w:w="26" w:type="pct"/>
            <w:shd w:val="clear" w:color="auto" w:fill="auto"/>
            <w:vAlign w:val="bottom"/>
          </w:tcPr>
          <w:p w14:paraId="35D0B495" w14:textId="77777777" w:rsidR="00D42204" w:rsidRDefault="00D42204">
            <w:pPr>
              <w:rPr>
                <w:rFonts w:ascii="宋体"/>
              </w:rPr>
            </w:pPr>
          </w:p>
        </w:tc>
        <w:tc>
          <w:tcPr>
            <w:tcW w:w="5" w:type="pct"/>
            <w:shd w:val="clear" w:color="auto" w:fill="auto"/>
            <w:vAlign w:val="bottom"/>
          </w:tcPr>
          <w:p w14:paraId="35D0B496" w14:textId="77777777" w:rsidR="00D42204" w:rsidRDefault="00D42204">
            <w:pPr>
              <w:rPr>
                <w:rFonts w:ascii="宋体"/>
              </w:rPr>
            </w:pPr>
          </w:p>
        </w:tc>
        <w:tc>
          <w:tcPr>
            <w:tcW w:w="50" w:type="pct"/>
            <w:shd w:val="clear" w:color="auto" w:fill="auto"/>
            <w:vAlign w:val="bottom"/>
          </w:tcPr>
          <w:p w14:paraId="35D0B497" w14:textId="77777777" w:rsidR="00D42204" w:rsidRDefault="00D42204">
            <w:pPr>
              <w:rPr>
                <w:rFonts w:ascii="宋体"/>
              </w:rPr>
            </w:pPr>
          </w:p>
        </w:tc>
        <w:tc>
          <w:tcPr>
            <w:tcW w:w="745" w:type="pct"/>
            <w:shd w:val="clear" w:color="auto" w:fill="auto"/>
            <w:vAlign w:val="bottom"/>
          </w:tcPr>
          <w:p w14:paraId="35D0B498" w14:textId="77777777" w:rsidR="00D42204" w:rsidRDefault="00D42204">
            <w:pPr>
              <w:rPr>
                <w:rFonts w:ascii="宋体"/>
              </w:rPr>
            </w:pPr>
          </w:p>
        </w:tc>
        <w:tc>
          <w:tcPr>
            <w:tcW w:w="5" w:type="pct"/>
            <w:shd w:val="clear" w:color="auto" w:fill="auto"/>
            <w:vAlign w:val="bottom"/>
          </w:tcPr>
          <w:p w14:paraId="35D0B499" w14:textId="77777777" w:rsidR="00D42204" w:rsidRDefault="00D42204">
            <w:pPr>
              <w:rPr>
                <w:rFonts w:ascii="宋体"/>
              </w:rPr>
            </w:pPr>
          </w:p>
        </w:tc>
        <w:tc>
          <w:tcPr>
            <w:tcW w:w="5" w:type="pct"/>
            <w:shd w:val="clear" w:color="auto" w:fill="auto"/>
            <w:vAlign w:val="bottom"/>
          </w:tcPr>
          <w:p w14:paraId="35D0B49A" w14:textId="77777777" w:rsidR="00D42204" w:rsidRDefault="00D42204">
            <w:pPr>
              <w:rPr>
                <w:rFonts w:ascii="宋体"/>
              </w:rPr>
            </w:pPr>
          </w:p>
        </w:tc>
        <w:tc>
          <w:tcPr>
            <w:tcW w:w="26" w:type="pct"/>
            <w:shd w:val="clear" w:color="auto" w:fill="auto"/>
            <w:vAlign w:val="bottom"/>
          </w:tcPr>
          <w:p w14:paraId="35D0B49B" w14:textId="77777777" w:rsidR="00D42204" w:rsidRDefault="00D42204">
            <w:pPr>
              <w:rPr>
                <w:rFonts w:ascii="宋体"/>
              </w:rPr>
            </w:pPr>
          </w:p>
        </w:tc>
        <w:tc>
          <w:tcPr>
            <w:tcW w:w="5" w:type="pct"/>
            <w:shd w:val="clear" w:color="auto" w:fill="auto"/>
            <w:vAlign w:val="bottom"/>
          </w:tcPr>
          <w:p w14:paraId="35D0B49C" w14:textId="77777777" w:rsidR="00D42204" w:rsidRDefault="00D42204">
            <w:pPr>
              <w:rPr>
                <w:rFonts w:ascii="宋体"/>
              </w:rPr>
            </w:pPr>
          </w:p>
        </w:tc>
        <w:tc>
          <w:tcPr>
            <w:tcW w:w="50" w:type="pct"/>
            <w:shd w:val="clear" w:color="auto" w:fill="auto"/>
            <w:vAlign w:val="bottom"/>
          </w:tcPr>
          <w:p w14:paraId="35D0B49D" w14:textId="77777777" w:rsidR="00D42204" w:rsidRDefault="00D42204">
            <w:pPr>
              <w:rPr>
                <w:rFonts w:ascii="宋体"/>
              </w:rPr>
            </w:pPr>
          </w:p>
        </w:tc>
        <w:tc>
          <w:tcPr>
            <w:tcW w:w="745" w:type="pct"/>
            <w:shd w:val="clear" w:color="auto" w:fill="auto"/>
            <w:vAlign w:val="bottom"/>
          </w:tcPr>
          <w:p w14:paraId="35D0B49E" w14:textId="77777777" w:rsidR="00D42204" w:rsidRDefault="00D42204">
            <w:pPr>
              <w:rPr>
                <w:rFonts w:ascii="宋体"/>
              </w:rPr>
            </w:pPr>
          </w:p>
        </w:tc>
        <w:tc>
          <w:tcPr>
            <w:tcW w:w="5" w:type="pct"/>
            <w:shd w:val="clear" w:color="auto" w:fill="auto"/>
            <w:vAlign w:val="bottom"/>
          </w:tcPr>
          <w:p w14:paraId="35D0B49F" w14:textId="77777777" w:rsidR="00D42204" w:rsidRDefault="00D42204">
            <w:pPr>
              <w:rPr>
                <w:rFonts w:ascii="宋体"/>
              </w:rPr>
            </w:pPr>
          </w:p>
        </w:tc>
        <w:tc>
          <w:tcPr>
            <w:tcW w:w="5" w:type="pct"/>
            <w:shd w:val="clear" w:color="auto" w:fill="auto"/>
            <w:vAlign w:val="bottom"/>
          </w:tcPr>
          <w:p w14:paraId="35D0B4A0" w14:textId="77777777" w:rsidR="00D42204" w:rsidRDefault="00D42204">
            <w:pPr>
              <w:rPr>
                <w:rFonts w:ascii="宋体"/>
              </w:rPr>
            </w:pPr>
          </w:p>
        </w:tc>
        <w:tc>
          <w:tcPr>
            <w:tcW w:w="26" w:type="pct"/>
            <w:shd w:val="clear" w:color="auto" w:fill="auto"/>
            <w:vAlign w:val="bottom"/>
          </w:tcPr>
          <w:p w14:paraId="35D0B4A1" w14:textId="77777777" w:rsidR="00D42204" w:rsidRDefault="00D42204">
            <w:pPr>
              <w:rPr>
                <w:rFonts w:ascii="宋体"/>
              </w:rPr>
            </w:pPr>
          </w:p>
        </w:tc>
        <w:tc>
          <w:tcPr>
            <w:tcW w:w="5" w:type="pct"/>
            <w:shd w:val="clear" w:color="auto" w:fill="auto"/>
            <w:vAlign w:val="bottom"/>
          </w:tcPr>
          <w:p w14:paraId="35D0B4A2" w14:textId="77777777" w:rsidR="00D42204" w:rsidRDefault="00D42204">
            <w:pPr>
              <w:rPr>
                <w:rFonts w:ascii="宋体"/>
              </w:rPr>
            </w:pPr>
          </w:p>
        </w:tc>
        <w:tc>
          <w:tcPr>
            <w:tcW w:w="50" w:type="pct"/>
            <w:shd w:val="clear" w:color="auto" w:fill="auto"/>
            <w:vAlign w:val="bottom"/>
          </w:tcPr>
          <w:p w14:paraId="35D0B4A3" w14:textId="77777777" w:rsidR="00D42204" w:rsidRDefault="00D42204">
            <w:pPr>
              <w:rPr>
                <w:rFonts w:ascii="宋体"/>
              </w:rPr>
            </w:pPr>
          </w:p>
        </w:tc>
        <w:tc>
          <w:tcPr>
            <w:tcW w:w="745" w:type="pct"/>
            <w:shd w:val="clear" w:color="auto" w:fill="auto"/>
            <w:vAlign w:val="bottom"/>
          </w:tcPr>
          <w:p w14:paraId="35D0B4A4" w14:textId="77777777" w:rsidR="00D42204" w:rsidRDefault="00D42204">
            <w:pPr>
              <w:rPr>
                <w:rFonts w:ascii="宋体"/>
              </w:rPr>
            </w:pPr>
          </w:p>
        </w:tc>
        <w:tc>
          <w:tcPr>
            <w:tcW w:w="5" w:type="pct"/>
            <w:shd w:val="clear" w:color="auto" w:fill="auto"/>
            <w:vAlign w:val="bottom"/>
          </w:tcPr>
          <w:p w14:paraId="35D0B4A5" w14:textId="77777777" w:rsidR="00D42204" w:rsidRDefault="00D42204">
            <w:pPr>
              <w:rPr>
                <w:rFonts w:ascii="宋体"/>
              </w:rPr>
            </w:pPr>
          </w:p>
        </w:tc>
        <w:tc>
          <w:tcPr>
            <w:tcW w:w="5" w:type="pct"/>
            <w:shd w:val="clear" w:color="auto" w:fill="auto"/>
            <w:vAlign w:val="bottom"/>
          </w:tcPr>
          <w:p w14:paraId="35D0B4A6" w14:textId="77777777" w:rsidR="00D42204" w:rsidRDefault="00D42204">
            <w:pPr>
              <w:rPr>
                <w:rFonts w:ascii="宋体"/>
              </w:rPr>
            </w:pPr>
          </w:p>
        </w:tc>
        <w:tc>
          <w:tcPr>
            <w:tcW w:w="26" w:type="pct"/>
            <w:shd w:val="clear" w:color="auto" w:fill="auto"/>
            <w:vAlign w:val="bottom"/>
          </w:tcPr>
          <w:p w14:paraId="35D0B4A7" w14:textId="77777777" w:rsidR="00D42204" w:rsidRDefault="00D42204">
            <w:pPr>
              <w:rPr>
                <w:rFonts w:ascii="宋体"/>
              </w:rPr>
            </w:pPr>
          </w:p>
        </w:tc>
        <w:tc>
          <w:tcPr>
            <w:tcW w:w="5" w:type="pct"/>
            <w:shd w:val="clear" w:color="auto" w:fill="auto"/>
            <w:vAlign w:val="bottom"/>
          </w:tcPr>
          <w:p w14:paraId="35D0B4A8" w14:textId="77777777" w:rsidR="00D42204" w:rsidRDefault="00D42204">
            <w:pPr>
              <w:rPr>
                <w:rFonts w:ascii="宋体"/>
              </w:rPr>
            </w:pPr>
          </w:p>
        </w:tc>
        <w:tc>
          <w:tcPr>
            <w:tcW w:w="50" w:type="pct"/>
            <w:shd w:val="clear" w:color="auto" w:fill="auto"/>
            <w:vAlign w:val="bottom"/>
          </w:tcPr>
          <w:p w14:paraId="35D0B4A9" w14:textId="77777777" w:rsidR="00D42204" w:rsidRDefault="00D42204">
            <w:pPr>
              <w:rPr>
                <w:rFonts w:ascii="宋体"/>
              </w:rPr>
            </w:pPr>
          </w:p>
        </w:tc>
        <w:tc>
          <w:tcPr>
            <w:tcW w:w="745" w:type="pct"/>
            <w:shd w:val="clear" w:color="auto" w:fill="auto"/>
            <w:vAlign w:val="bottom"/>
          </w:tcPr>
          <w:p w14:paraId="35D0B4AA" w14:textId="77777777" w:rsidR="00D42204" w:rsidRDefault="00D42204">
            <w:pPr>
              <w:rPr>
                <w:rFonts w:ascii="宋体"/>
              </w:rPr>
            </w:pPr>
          </w:p>
        </w:tc>
        <w:tc>
          <w:tcPr>
            <w:tcW w:w="5" w:type="pct"/>
            <w:shd w:val="clear" w:color="auto" w:fill="auto"/>
            <w:vAlign w:val="bottom"/>
          </w:tcPr>
          <w:p w14:paraId="35D0B4AB" w14:textId="77777777" w:rsidR="00D42204" w:rsidRDefault="00D42204">
            <w:pPr>
              <w:rPr>
                <w:rFonts w:ascii="宋体"/>
              </w:rPr>
            </w:pPr>
          </w:p>
        </w:tc>
      </w:tr>
      <w:tr w:rsidR="00D42204" w14:paraId="35D0B4B6" w14:textId="77777777">
        <w:trPr>
          <w:jc w:val="center"/>
        </w:trPr>
        <w:tc>
          <w:tcPr>
            <w:tcW w:w="0" w:type="auto"/>
            <w:gridSpan w:val="3"/>
            <w:shd w:val="clear" w:color="auto" w:fill="auto"/>
            <w:tcMar>
              <w:top w:w="40" w:type="dxa"/>
              <w:left w:w="20" w:type="dxa"/>
              <w:bottom w:w="40" w:type="dxa"/>
              <w:right w:w="20" w:type="dxa"/>
            </w:tcMar>
            <w:vAlign w:val="bottom"/>
          </w:tcPr>
          <w:p w14:paraId="35D0B4AD"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4AE"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4AF"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4B0"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4B1"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4B2"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4B3"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4B4"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4B5" w14:textId="77777777" w:rsidR="00D42204" w:rsidRDefault="00D42204">
            <w:pPr>
              <w:rPr>
                <w:rFonts w:ascii="宋体"/>
              </w:rPr>
            </w:pPr>
          </w:p>
        </w:tc>
      </w:tr>
      <w:tr w:rsidR="00D42204" w14:paraId="35D0B4C0" w14:textId="77777777">
        <w:trPr>
          <w:jc w:val="center"/>
        </w:trPr>
        <w:tc>
          <w:tcPr>
            <w:tcW w:w="0" w:type="auto"/>
            <w:gridSpan w:val="3"/>
            <w:shd w:val="clear" w:color="auto" w:fill="auto"/>
            <w:tcMar>
              <w:top w:w="40" w:type="dxa"/>
              <w:left w:w="20" w:type="dxa"/>
              <w:bottom w:w="40" w:type="dxa"/>
              <w:right w:w="20" w:type="dxa"/>
            </w:tcMar>
            <w:vAlign w:val="bottom"/>
          </w:tcPr>
          <w:p w14:paraId="35D0B4B7" w14:textId="77777777" w:rsidR="00D42204" w:rsidRDefault="004E439D">
            <w:pPr>
              <w:textAlignment w:val="bottom"/>
            </w:pPr>
            <w:r>
              <w:rPr>
                <w:rFonts w:ascii="Times New Roman" w:eastAsia="宋体" w:hAnsi="Times New Roman"/>
                <w:b/>
                <w:bCs/>
                <w:color w:val="000000"/>
                <w:sz w:val="16"/>
                <w:szCs w:val="16"/>
              </w:rPr>
              <w:t>Maturity Date</w:t>
            </w:r>
          </w:p>
        </w:tc>
        <w:tc>
          <w:tcPr>
            <w:tcW w:w="0" w:type="auto"/>
            <w:gridSpan w:val="3"/>
            <w:shd w:val="clear" w:color="auto" w:fill="auto"/>
            <w:tcMar>
              <w:top w:w="0" w:type="dxa"/>
              <w:left w:w="20" w:type="dxa"/>
              <w:bottom w:w="0" w:type="dxa"/>
              <w:right w:w="20" w:type="dxa"/>
            </w:tcMar>
            <w:vAlign w:val="bottom"/>
          </w:tcPr>
          <w:p w14:paraId="35D0B4B8"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4B9" w14:textId="77777777" w:rsidR="00D42204" w:rsidRDefault="004E439D">
            <w:pPr>
              <w:jc w:val="center"/>
              <w:textAlignment w:val="bottom"/>
            </w:pPr>
            <w:r>
              <w:rPr>
                <w:rFonts w:ascii="Times New Roman" w:eastAsia="宋体" w:hAnsi="Times New Roman"/>
                <w:b/>
                <w:bCs/>
                <w:color w:val="000000"/>
                <w:sz w:val="16"/>
                <w:szCs w:val="16"/>
              </w:rPr>
              <w:t>Principal Amount</w:t>
            </w:r>
          </w:p>
        </w:tc>
        <w:tc>
          <w:tcPr>
            <w:tcW w:w="0" w:type="auto"/>
            <w:gridSpan w:val="3"/>
            <w:shd w:val="clear" w:color="auto" w:fill="auto"/>
            <w:tcMar>
              <w:top w:w="0" w:type="dxa"/>
              <w:left w:w="20" w:type="dxa"/>
              <w:bottom w:w="0" w:type="dxa"/>
              <w:right w:w="20" w:type="dxa"/>
            </w:tcMar>
            <w:vAlign w:val="bottom"/>
          </w:tcPr>
          <w:p w14:paraId="35D0B4BA"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4BB" w14:textId="77777777" w:rsidR="00D42204" w:rsidRDefault="004E439D">
            <w:pPr>
              <w:jc w:val="center"/>
              <w:textAlignment w:val="bottom"/>
            </w:pPr>
            <w:r>
              <w:rPr>
                <w:rFonts w:ascii="Times New Roman" w:eastAsia="宋体" w:hAnsi="Times New Roman"/>
                <w:b/>
                <w:bCs/>
                <w:color w:val="000000"/>
                <w:sz w:val="16"/>
                <w:szCs w:val="16"/>
              </w:rPr>
              <w:t>Fixed vs. Floating</w:t>
            </w:r>
          </w:p>
        </w:tc>
        <w:tc>
          <w:tcPr>
            <w:tcW w:w="0" w:type="auto"/>
            <w:gridSpan w:val="3"/>
            <w:shd w:val="clear" w:color="auto" w:fill="auto"/>
            <w:tcMar>
              <w:top w:w="0" w:type="dxa"/>
              <w:left w:w="20" w:type="dxa"/>
              <w:bottom w:w="0" w:type="dxa"/>
              <w:right w:w="20" w:type="dxa"/>
            </w:tcMar>
            <w:vAlign w:val="bottom"/>
          </w:tcPr>
          <w:p w14:paraId="35D0B4BC"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4BD" w14:textId="77777777" w:rsidR="00D42204" w:rsidRDefault="004E439D">
            <w:pPr>
              <w:jc w:val="center"/>
              <w:textAlignment w:val="bottom"/>
            </w:pPr>
            <w:r>
              <w:rPr>
                <w:rFonts w:ascii="Times New Roman" w:eastAsia="宋体" w:hAnsi="Times New Roman"/>
                <w:b/>
                <w:bCs/>
                <w:color w:val="000000"/>
                <w:sz w:val="16"/>
                <w:szCs w:val="16"/>
              </w:rPr>
              <w:t>Interest Rate</w:t>
            </w:r>
          </w:p>
        </w:tc>
        <w:tc>
          <w:tcPr>
            <w:tcW w:w="0" w:type="auto"/>
            <w:gridSpan w:val="3"/>
            <w:shd w:val="clear" w:color="auto" w:fill="auto"/>
            <w:tcMar>
              <w:top w:w="0" w:type="dxa"/>
              <w:left w:w="20" w:type="dxa"/>
              <w:bottom w:w="0" w:type="dxa"/>
              <w:right w:w="20" w:type="dxa"/>
            </w:tcMar>
            <w:vAlign w:val="bottom"/>
          </w:tcPr>
          <w:p w14:paraId="35D0B4BE"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4BF" w14:textId="77777777" w:rsidR="00D42204" w:rsidRDefault="004E439D">
            <w:pPr>
              <w:jc w:val="center"/>
              <w:textAlignment w:val="bottom"/>
            </w:pPr>
            <w:r>
              <w:rPr>
                <w:rFonts w:ascii="Times New Roman" w:eastAsia="宋体" w:hAnsi="Times New Roman"/>
                <w:b/>
                <w:bCs/>
                <w:color w:val="000000"/>
                <w:sz w:val="16"/>
                <w:szCs w:val="16"/>
              </w:rPr>
              <w:t>Repayment</w:t>
            </w:r>
          </w:p>
        </w:tc>
      </w:tr>
      <w:tr w:rsidR="00D42204" w14:paraId="35D0B4CC"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D0B4C1" w14:textId="77777777" w:rsidR="00D42204" w:rsidRDefault="004E439D">
            <w:pPr>
              <w:textAlignment w:val="bottom"/>
            </w:pPr>
            <w:r>
              <w:rPr>
                <w:rFonts w:ascii="Times New Roman" w:eastAsia="宋体" w:hAnsi="Times New Roman"/>
                <w:color w:val="000000"/>
                <w:sz w:val="16"/>
                <w:szCs w:val="16"/>
              </w:rPr>
              <w:t>June 23, 2020</w:t>
            </w:r>
          </w:p>
        </w:tc>
        <w:tc>
          <w:tcPr>
            <w:tcW w:w="0" w:type="auto"/>
            <w:gridSpan w:val="3"/>
            <w:shd w:val="clear" w:color="auto" w:fill="CCEEFF"/>
            <w:tcMar>
              <w:top w:w="0" w:type="dxa"/>
              <w:left w:w="20" w:type="dxa"/>
              <w:bottom w:w="0" w:type="dxa"/>
              <w:right w:w="20" w:type="dxa"/>
            </w:tcMar>
            <w:vAlign w:val="bottom"/>
          </w:tcPr>
          <w:p w14:paraId="35D0B4C2"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D0B4C3" w14:textId="77777777" w:rsidR="00D42204" w:rsidRDefault="004E439D">
            <w:pPr>
              <w:jc w:val="center"/>
              <w:textAlignment w:val="bottom"/>
            </w:pPr>
            <w:r>
              <w:rPr>
                <w:rFonts w:ascii="Times New Roman" w:eastAsia="宋体" w:hAnsi="Times New Roman"/>
                <w:color w:val="000000"/>
                <w:sz w:val="16"/>
                <w:szCs w:val="16"/>
              </w:rPr>
              <w:t>$750</w:t>
            </w:r>
          </w:p>
        </w:tc>
        <w:tc>
          <w:tcPr>
            <w:tcW w:w="0" w:type="auto"/>
            <w:gridSpan w:val="3"/>
            <w:shd w:val="clear" w:color="auto" w:fill="CCEEFF"/>
            <w:tcMar>
              <w:top w:w="0" w:type="dxa"/>
              <w:left w:w="20" w:type="dxa"/>
              <w:bottom w:w="0" w:type="dxa"/>
              <w:right w:w="20" w:type="dxa"/>
            </w:tcMar>
            <w:vAlign w:val="bottom"/>
          </w:tcPr>
          <w:p w14:paraId="35D0B4C4"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D0B4C5" w14:textId="77777777" w:rsidR="00D42204" w:rsidRDefault="004E439D">
            <w:pPr>
              <w:jc w:val="center"/>
              <w:textAlignment w:val="bottom"/>
            </w:pPr>
            <w:r>
              <w:rPr>
                <w:rFonts w:ascii="Times New Roman" w:eastAsia="宋体" w:hAnsi="Times New Roman"/>
                <w:color w:val="000000"/>
                <w:sz w:val="16"/>
                <w:szCs w:val="16"/>
              </w:rPr>
              <w:t>Floating</w:t>
            </w:r>
          </w:p>
        </w:tc>
        <w:tc>
          <w:tcPr>
            <w:tcW w:w="0" w:type="auto"/>
            <w:gridSpan w:val="3"/>
            <w:shd w:val="clear" w:color="auto" w:fill="CCEEFF"/>
            <w:tcMar>
              <w:top w:w="0" w:type="dxa"/>
              <w:left w:w="20" w:type="dxa"/>
              <w:bottom w:w="0" w:type="dxa"/>
              <w:right w:w="20" w:type="dxa"/>
            </w:tcMar>
            <w:vAlign w:val="bottom"/>
          </w:tcPr>
          <w:p w14:paraId="35D0B4C6"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35D0B4C7" w14:textId="77777777" w:rsidR="00D42204" w:rsidRDefault="004E439D">
            <w:pPr>
              <w:jc w:val="center"/>
              <w:textAlignment w:val="bottom"/>
            </w:pPr>
            <w:r>
              <w:rPr>
                <w:rFonts w:ascii="Times New Roman" w:eastAsia="宋体" w:hAnsi="Times New Roman"/>
                <w:color w:val="000000"/>
                <w:sz w:val="16"/>
                <w:szCs w:val="16"/>
              </w:rPr>
              <w:t>Floating</w:t>
            </w:r>
          </w:p>
        </w:tc>
        <w:tc>
          <w:tcPr>
            <w:tcW w:w="0" w:type="auto"/>
            <w:gridSpan w:val="3"/>
            <w:shd w:val="clear" w:color="auto" w:fill="CCEEFF"/>
            <w:tcMar>
              <w:top w:w="0" w:type="dxa"/>
              <w:left w:w="20" w:type="dxa"/>
              <w:bottom w:w="0" w:type="dxa"/>
              <w:right w:w="20" w:type="dxa"/>
            </w:tcMar>
            <w:vAlign w:val="bottom"/>
          </w:tcPr>
          <w:p w14:paraId="35D0B4C8"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D0B4C9"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D0B4CA" w14:textId="77777777" w:rsidR="00D42204" w:rsidRDefault="004E439D">
            <w:pPr>
              <w:jc w:val="right"/>
              <w:textAlignment w:val="bottom"/>
            </w:pPr>
            <w:r>
              <w:rPr>
                <w:rFonts w:ascii="Times New Roman" w:eastAsia="宋体" w:hAnsi="Times New Roman"/>
                <w:color w:val="000000"/>
                <w:sz w:val="16"/>
                <w:szCs w:val="16"/>
              </w:rPr>
              <w:t>750 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4CB" w14:textId="77777777" w:rsidR="00D42204" w:rsidRDefault="00D42204">
            <w:pPr>
              <w:jc w:val="right"/>
              <w:rPr>
                <w:rFonts w:ascii="宋体"/>
              </w:rPr>
            </w:pPr>
          </w:p>
        </w:tc>
      </w:tr>
      <w:tr w:rsidR="00D42204" w14:paraId="35D0B4D6" w14:textId="77777777">
        <w:trPr>
          <w:jc w:val="center"/>
        </w:trPr>
        <w:tc>
          <w:tcPr>
            <w:tcW w:w="0" w:type="auto"/>
            <w:gridSpan w:val="3"/>
            <w:shd w:val="clear" w:color="auto" w:fill="FFFFFF"/>
            <w:tcMar>
              <w:top w:w="40" w:type="dxa"/>
              <w:left w:w="20" w:type="dxa"/>
              <w:bottom w:w="40" w:type="dxa"/>
              <w:right w:w="20" w:type="dxa"/>
            </w:tcMar>
            <w:vAlign w:val="bottom"/>
          </w:tcPr>
          <w:p w14:paraId="35D0B4CD" w14:textId="77777777" w:rsidR="00D42204" w:rsidRDefault="004E439D">
            <w:pPr>
              <w:textAlignment w:val="bottom"/>
            </w:pPr>
            <w:r>
              <w:rPr>
                <w:rFonts w:ascii="Times New Roman" w:eastAsia="宋体" w:hAnsi="Times New Roman"/>
                <w:color w:val="000000"/>
                <w:sz w:val="16"/>
                <w:szCs w:val="16"/>
              </w:rPr>
              <w:t>June 23, 2020</w:t>
            </w:r>
          </w:p>
        </w:tc>
        <w:tc>
          <w:tcPr>
            <w:tcW w:w="0" w:type="auto"/>
            <w:gridSpan w:val="3"/>
            <w:shd w:val="clear" w:color="auto" w:fill="FFFFFF"/>
            <w:tcMar>
              <w:top w:w="0" w:type="dxa"/>
              <w:left w:w="20" w:type="dxa"/>
              <w:bottom w:w="0" w:type="dxa"/>
              <w:right w:w="20" w:type="dxa"/>
            </w:tcMar>
            <w:vAlign w:val="bottom"/>
          </w:tcPr>
          <w:p w14:paraId="35D0B4CE"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CF" w14:textId="77777777" w:rsidR="00D42204" w:rsidRDefault="004E439D">
            <w:pPr>
              <w:jc w:val="center"/>
              <w:textAlignment w:val="bottom"/>
            </w:pPr>
            <w:r>
              <w:rPr>
                <w:rFonts w:ascii="Times New Roman" w:eastAsia="宋体" w:hAnsi="Times New Roman"/>
                <w:color w:val="000000"/>
                <w:sz w:val="16"/>
                <w:szCs w:val="16"/>
              </w:rPr>
              <w:t>$1,250</w:t>
            </w:r>
          </w:p>
        </w:tc>
        <w:tc>
          <w:tcPr>
            <w:tcW w:w="0" w:type="auto"/>
            <w:gridSpan w:val="3"/>
            <w:shd w:val="clear" w:color="auto" w:fill="FFFFFF"/>
            <w:tcMar>
              <w:top w:w="0" w:type="dxa"/>
              <w:left w:w="20" w:type="dxa"/>
              <w:bottom w:w="0" w:type="dxa"/>
              <w:right w:w="20" w:type="dxa"/>
            </w:tcMar>
            <w:vAlign w:val="bottom"/>
          </w:tcPr>
          <w:p w14:paraId="35D0B4D0"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D1"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4D2"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D3" w14:textId="77777777" w:rsidR="00D42204" w:rsidRDefault="004E439D">
            <w:pPr>
              <w:jc w:val="center"/>
              <w:textAlignment w:val="bottom"/>
            </w:pPr>
            <w:r>
              <w:rPr>
                <w:rFonts w:ascii="Times New Roman" w:eastAsia="宋体" w:hAnsi="Times New Roman"/>
                <w:color w:val="000000"/>
                <w:sz w:val="16"/>
                <w:szCs w:val="16"/>
              </w:rPr>
              <w:t>2.850%</w:t>
            </w:r>
          </w:p>
        </w:tc>
        <w:tc>
          <w:tcPr>
            <w:tcW w:w="0" w:type="auto"/>
            <w:gridSpan w:val="3"/>
            <w:shd w:val="clear" w:color="auto" w:fill="FFFFFF"/>
            <w:tcMar>
              <w:top w:w="0" w:type="dxa"/>
              <w:left w:w="20" w:type="dxa"/>
              <w:bottom w:w="0" w:type="dxa"/>
              <w:right w:w="20" w:type="dxa"/>
            </w:tcMar>
            <w:vAlign w:val="bottom"/>
          </w:tcPr>
          <w:p w14:paraId="35D0B4D4"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D5" w14:textId="77777777" w:rsidR="00D42204" w:rsidRDefault="004E439D">
            <w:pPr>
              <w:jc w:val="right"/>
              <w:textAlignment w:val="bottom"/>
            </w:pPr>
            <w:r>
              <w:rPr>
                <w:rFonts w:ascii="Times New Roman" w:eastAsia="宋体" w:hAnsi="Times New Roman"/>
                <w:color w:val="000000"/>
                <w:sz w:val="16"/>
                <w:szCs w:val="16"/>
              </w:rPr>
              <w:t>1,250</w:t>
            </w:r>
          </w:p>
        </w:tc>
      </w:tr>
      <w:tr w:rsidR="00D42204" w14:paraId="35D0B4E0" w14:textId="77777777">
        <w:trPr>
          <w:jc w:val="center"/>
        </w:trPr>
        <w:tc>
          <w:tcPr>
            <w:tcW w:w="0" w:type="auto"/>
            <w:gridSpan w:val="3"/>
            <w:shd w:val="clear" w:color="auto" w:fill="CCEEFF"/>
            <w:tcMar>
              <w:top w:w="40" w:type="dxa"/>
              <w:left w:w="20" w:type="dxa"/>
              <w:bottom w:w="40" w:type="dxa"/>
              <w:right w:w="20" w:type="dxa"/>
            </w:tcMar>
            <w:vAlign w:val="bottom"/>
          </w:tcPr>
          <w:p w14:paraId="35D0B4D7" w14:textId="77777777" w:rsidR="00D42204" w:rsidRDefault="004E439D">
            <w:pPr>
              <w:textAlignment w:val="bottom"/>
            </w:pPr>
            <w:r>
              <w:rPr>
                <w:rFonts w:ascii="Times New Roman" w:eastAsia="宋体" w:hAnsi="Times New Roman"/>
                <w:color w:val="000000"/>
                <w:sz w:val="16"/>
                <w:szCs w:val="16"/>
              </w:rPr>
              <w:t>July 8, 2020</w:t>
            </w:r>
          </w:p>
        </w:tc>
        <w:tc>
          <w:tcPr>
            <w:tcW w:w="0" w:type="auto"/>
            <w:gridSpan w:val="3"/>
            <w:shd w:val="clear" w:color="auto" w:fill="CCEEFF"/>
            <w:tcMar>
              <w:top w:w="0" w:type="dxa"/>
              <w:left w:w="20" w:type="dxa"/>
              <w:bottom w:w="0" w:type="dxa"/>
              <w:right w:w="20" w:type="dxa"/>
            </w:tcMar>
            <w:vAlign w:val="bottom"/>
          </w:tcPr>
          <w:p w14:paraId="35D0B4D8"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D9" w14:textId="77777777" w:rsidR="00D42204" w:rsidRDefault="004E439D">
            <w:pPr>
              <w:jc w:val="center"/>
              <w:textAlignment w:val="bottom"/>
            </w:pPr>
            <w:r>
              <w:rPr>
                <w:rFonts w:ascii="Times New Roman" w:eastAsia="宋体" w:hAnsi="Times New Roman"/>
                <w:color w:val="000000"/>
                <w:sz w:val="16"/>
                <w:szCs w:val="16"/>
              </w:rPr>
              <w:t>$840</w:t>
            </w:r>
          </w:p>
        </w:tc>
        <w:tc>
          <w:tcPr>
            <w:tcW w:w="0" w:type="auto"/>
            <w:gridSpan w:val="3"/>
            <w:shd w:val="clear" w:color="auto" w:fill="CCEEFF"/>
            <w:tcMar>
              <w:top w:w="0" w:type="dxa"/>
              <w:left w:w="20" w:type="dxa"/>
              <w:bottom w:w="0" w:type="dxa"/>
              <w:right w:w="20" w:type="dxa"/>
            </w:tcMar>
            <w:vAlign w:val="bottom"/>
          </w:tcPr>
          <w:p w14:paraId="35D0B4DA"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DB"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4DC"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DD" w14:textId="77777777" w:rsidR="00D42204" w:rsidRDefault="004E439D">
            <w:pPr>
              <w:jc w:val="center"/>
              <w:textAlignment w:val="bottom"/>
            </w:pPr>
            <w:r>
              <w:rPr>
                <w:rFonts w:ascii="Times New Roman" w:eastAsia="宋体" w:hAnsi="Times New Roman"/>
                <w:color w:val="000000"/>
                <w:sz w:val="16"/>
                <w:szCs w:val="16"/>
              </w:rPr>
              <w:t>3.630%</w:t>
            </w:r>
          </w:p>
        </w:tc>
        <w:tc>
          <w:tcPr>
            <w:tcW w:w="0" w:type="auto"/>
            <w:gridSpan w:val="3"/>
            <w:shd w:val="clear" w:color="auto" w:fill="CCEEFF"/>
            <w:tcMar>
              <w:top w:w="0" w:type="dxa"/>
              <w:left w:w="20" w:type="dxa"/>
              <w:bottom w:w="0" w:type="dxa"/>
              <w:right w:w="20" w:type="dxa"/>
            </w:tcMar>
            <w:vAlign w:val="bottom"/>
          </w:tcPr>
          <w:p w14:paraId="35D0B4DE"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DF" w14:textId="77777777" w:rsidR="00D42204" w:rsidRDefault="004E439D">
            <w:pPr>
              <w:jc w:val="right"/>
              <w:textAlignment w:val="bottom"/>
            </w:pPr>
            <w:r>
              <w:rPr>
                <w:rFonts w:ascii="Times New Roman" w:eastAsia="宋体" w:hAnsi="Times New Roman"/>
                <w:color w:val="000000"/>
                <w:sz w:val="16"/>
                <w:szCs w:val="16"/>
              </w:rPr>
              <w:t>840</w:t>
            </w:r>
          </w:p>
        </w:tc>
      </w:tr>
      <w:tr w:rsidR="00D42204" w14:paraId="35D0B4EA" w14:textId="77777777">
        <w:trPr>
          <w:jc w:val="center"/>
        </w:trPr>
        <w:tc>
          <w:tcPr>
            <w:tcW w:w="0" w:type="auto"/>
            <w:gridSpan w:val="3"/>
            <w:shd w:val="clear" w:color="auto" w:fill="FFFFFF"/>
            <w:tcMar>
              <w:top w:w="40" w:type="dxa"/>
              <w:left w:w="20" w:type="dxa"/>
              <w:bottom w:w="40" w:type="dxa"/>
              <w:right w:w="20" w:type="dxa"/>
            </w:tcMar>
            <w:vAlign w:val="bottom"/>
          </w:tcPr>
          <w:p w14:paraId="35D0B4E1" w14:textId="77777777" w:rsidR="00D42204" w:rsidRDefault="004E439D">
            <w:pPr>
              <w:textAlignment w:val="bottom"/>
            </w:pPr>
            <w:r>
              <w:rPr>
                <w:rFonts w:ascii="Times New Roman" w:eastAsia="宋体" w:hAnsi="Times New Roman"/>
                <w:color w:val="000000"/>
                <w:sz w:val="16"/>
                <w:szCs w:val="16"/>
              </w:rPr>
              <w:t>July 28, 2020</w:t>
            </w:r>
          </w:p>
        </w:tc>
        <w:tc>
          <w:tcPr>
            <w:tcW w:w="0" w:type="auto"/>
            <w:gridSpan w:val="3"/>
            <w:shd w:val="clear" w:color="auto" w:fill="FFFFFF"/>
            <w:tcMar>
              <w:top w:w="0" w:type="dxa"/>
              <w:left w:w="20" w:type="dxa"/>
              <w:bottom w:w="0" w:type="dxa"/>
              <w:right w:w="20" w:type="dxa"/>
            </w:tcMar>
            <w:vAlign w:val="bottom"/>
          </w:tcPr>
          <w:p w14:paraId="35D0B4E2"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E3" w14:textId="77777777" w:rsidR="00D42204" w:rsidRDefault="004E439D">
            <w:pPr>
              <w:jc w:val="center"/>
              <w:textAlignment w:val="bottom"/>
            </w:pPr>
            <w:r>
              <w:rPr>
                <w:rFonts w:ascii="Times New Roman" w:eastAsia="宋体" w:hAnsi="Times New Roman"/>
                <w:color w:val="000000"/>
                <w:sz w:val="16"/>
                <w:szCs w:val="16"/>
              </w:rPr>
              <w:t>¥10,000</w:t>
            </w:r>
          </w:p>
        </w:tc>
        <w:tc>
          <w:tcPr>
            <w:tcW w:w="0" w:type="auto"/>
            <w:gridSpan w:val="3"/>
            <w:shd w:val="clear" w:color="auto" w:fill="FFFFFF"/>
            <w:tcMar>
              <w:top w:w="0" w:type="dxa"/>
              <w:left w:w="20" w:type="dxa"/>
              <w:bottom w:w="0" w:type="dxa"/>
              <w:right w:w="20" w:type="dxa"/>
            </w:tcMar>
            <w:vAlign w:val="bottom"/>
          </w:tcPr>
          <w:p w14:paraId="35D0B4E4"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E5"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4E6"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E7" w14:textId="77777777" w:rsidR="00D42204" w:rsidRDefault="004E439D">
            <w:pPr>
              <w:jc w:val="center"/>
              <w:textAlignment w:val="bottom"/>
            </w:pPr>
            <w:r>
              <w:rPr>
                <w:rFonts w:ascii="Times New Roman" w:eastAsia="宋体" w:hAnsi="Times New Roman"/>
                <w:color w:val="000000"/>
                <w:sz w:val="16"/>
                <w:szCs w:val="16"/>
              </w:rPr>
              <w:t>1.600%</w:t>
            </w:r>
          </w:p>
        </w:tc>
        <w:tc>
          <w:tcPr>
            <w:tcW w:w="0" w:type="auto"/>
            <w:gridSpan w:val="3"/>
            <w:shd w:val="clear" w:color="auto" w:fill="FFFFFF"/>
            <w:tcMar>
              <w:top w:w="0" w:type="dxa"/>
              <w:left w:w="20" w:type="dxa"/>
              <w:bottom w:w="0" w:type="dxa"/>
              <w:right w:w="20" w:type="dxa"/>
            </w:tcMar>
            <w:vAlign w:val="bottom"/>
          </w:tcPr>
          <w:p w14:paraId="35D0B4E8"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E9" w14:textId="77777777" w:rsidR="00D42204" w:rsidRDefault="004E439D">
            <w:pPr>
              <w:jc w:val="right"/>
              <w:textAlignment w:val="bottom"/>
            </w:pPr>
            <w:r>
              <w:rPr>
                <w:rFonts w:ascii="Times New Roman" w:eastAsia="宋体" w:hAnsi="Times New Roman"/>
                <w:color w:val="000000"/>
                <w:sz w:val="16"/>
                <w:szCs w:val="16"/>
              </w:rPr>
              <w:t>95</w:t>
            </w:r>
          </w:p>
        </w:tc>
      </w:tr>
      <w:tr w:rsidR="00D42204" w14:paraId="35D0B4F4" w14:textId="77777777">
        <w:trPr>
          <w:jc w:val="center"/>
        </w:trPr>
        <w:tc>
          <w:tcPr>
            <w:tcW w:w="0" w:type="auto"/>
            <w:gridSpan w:val="3"/>
            <w:shd w:val="clear" w:color="auto" w:fill="CCEEFF"/>
            <w:tcMar>
              <w:top w:w="40" w:type="dxa"/>
              <w:left w:w="20" w:type="dxa"/>
              <w:bottom w:w="40" w:type="dxa"/>
              <w:right w:w="20" w:type="dxa"/>
            </w:tcMar>
            <w:vAlign w:val="bottom"/>
          </w:tcPr>
          <w:p w14:paraId="35D0B4EB" w14:textId="77777777" w:rsidR="00D42204" w:rsidRDefault="004E439D">
            <w:pPr>
              <w:textAlignment w:val="bottom"/>
            </w:pPr>
            <w:r>
              <w:rPr>
                <w:rFonts w:ascii="Times New Roman" w:eastAsia="宋体" w:hAnsi="Times New Roman"/>
                <w:color w:val="000000"/>
                <w:sz w:val="16"/>
                <w:szCs w:val="16"/>
              </w:rPr>
              <w:t>October 25, 2020</w:t>
            </w:r>
          </w:p>
        </w:tc>
        <w:tc>
          <w:tcPr>
            <w:tcW w:w="0" w:type="auto"/>
            <w:gridSpan w:val="3"/>
            <w:shd w:val="clear" w:color="auto" w:fill="CCEEFF"/>
            <w:tcMar>
              <w:top w:w="0" w:type="dxa"/>
              <w:left w:w="20" w:type="dxa"/>
              <w:bottom w:w="0" w:type="dxa"/>
              <w:right w:w="20" w:type="dxa"/>
            </w:tcMar>
            <w:vAlign w:val="bottom"/>
          </w:tcPr>
          <w:p w14:paraId="35D0B4EC"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ED" w14:textId="77777777" w:rsidR="00D42204" w:rsidRDefault="004E439D">
            <w:pPr>
              <w:jc w:val="center"/>
              <w:textAlignment w:val="bottom"/>
            </w:pPr>
            <w:r>
              <w:rPr>
                <w:rFonts w:ascii="Times New Roman" w:eastAsia="宋体" w:hAnsi="Times New Roman"/>
                <w:color w:val="000000"/>
                <w:sz w:val="16"/>
                <w:szCs w:val="16"/>
              </w:rPr>
              <w:t>$1,197</w:t>
            </w:r>
          </w:p>
        </w:tc>
        <w:tc>
          <w:tcPr>
            <w:tcW w:w="0" w:type="auto"/>
            <w:gridSpan w:val="3"/>
            <w:shd w:val="clear" w:color="auto" w:fill="CCEEFF"/>
            <w:tcMar>
              <w:top w:w="0" w:type="dxa"/>
              <w:left w:w="20" w:type="dxa"/>
              <w:bottom w:w="0" w:type="dxa"/>
              <w:right w:w="20" w:type="dxa"/>
            </w:tcMar>
            <w:vAlign w:val="bottom"/>
          </w:tcPr>
          <w:p w14:paraId="35D0B4EE"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EF"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CCEEFF"/>
            <w:tcMar>
              <w:top w:w="0" w:type="dxa"/>
              <w:left w:w="20" w:type="dxa"/>
              <w:bottom w:w="0" w:type="dxa"/>
              <w:right w:w="20" w:type="dxa"/>
            </w:tcMar>
            <w:vAlign w:val="bottom"/>
          </w:tcPr>
          <w:p w14:paraId="35D0B4F0"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F1" w14:textId="77777777" w:rsidR="00D42204" w:rsidRDefault="004E439D">
            <w:pPr>
              <w:jc w:val="center"/>
              <w:textAlignment w:val="bottom"/>
            </w:pPr>
            <w:r>
              <w:rPr>
                <w:rFonts w:ascii="Times New Roman" w:eastAsia="宋体" w:hAnsi="Times New Roman"/>
                <w:color w:val="000000"/>
                <w:sz w:val="16"/>
                <w:szCs w:val="16"/>
              </w:rPr>
              <w:t>3.250%</w:t>
            </w:r>
          </w:p>
        </w:tc>
        <w:tc>
          <w:tcPr>
            <w:tcW w:w="0" w:type="auto"/>
            <w:gridSpan w:val="3"/>
            <w:shd w:val="clear" w:color="auto" w:fill="CCEEFF"/>
            <w:tcMar>
              <w:top w:w="0" w:type="dxa"/>
              <w:left w:w="20" w:type="dxa"/>
              <w:bottom w:w="0" w:type="dxa"/>
              <w:right w:w="20" w:type="dxa"/>
            </w:tcMar>
            <w:vAlign w:val="bottom"/>
          </w:tcPr>
          <w:p w14:paraId="35D0B4F2" w14:textId="77777777" w:rsidR="00D42204" w:rsidRDefault="00D42204">
            <w:pPr>
              <w:rPr>
                <w:rFonts w:ascii="宋体"/>
              </w:rPr>
            </w:pPr>
          </w:p>
        </w:tc>
        <w:tc>
          <w:tcPr>
            <w:tcW w:w="0" w:type="auto"/>
            <w:gridSpan w:val="3"/>
            <w:shd w:val="clear" w:color="auto" w:fill="CCEEFF"/>
            <w:tcMar>
              <w:top w:w="40" w:type="dxa"/>
              <w:left w:w="20" w:type="dxa"/>
              <w:bottom w:w="40" w:type="dxa"/>
              <w:right w:w="20" w:type="dxa"/>
            </w:tcMar>
            <w:vAlign w:val="bottom"/>
          </w:tcPr>
          <w:p w14:paraId="35D0B4F3" w14:textId="77777777" w:rsidR="00D42204" w:rsidRDefault="004E439D">
            <w:pPr>
              <w:jc w:val="right"/>
              <w:textAlignment w:val="bottom"/>
            </w:pPr>
            <w:r>
              <w:rPr>
                <w:rFonts w:ascii="Times New Roman" w:eastAsia="宋体" w:hAnsi="Times New Roman"/>
                <w:color w:val="000000"/>
                <w:sz w:val="16"/>
                <w:szCs w:val="16"/>
              </w:rPr>
              <w:t>1,197</w:t>
            </w:r>
          </w:p>
        </w:tc>
      </w:tr>
      <w:tr w:rsidR="00D42204" w14:paraId="35D0B4FE" w14:textId="77777777">
        <w:trPr>
          <w:jc w:val="center"/>
        </w:trPr>
        <w:tc>
          <w:tcPr>
            <w:tcW w:w="0" w:type="auto"/>
            <w:gridSpan w:val="3"/>
            <w:shd w:val="clear" w:color="auto" w:fill="FFFFFF"/>
            <w:tcMar>
              <w:top w:w="40" w:type="dxa"/>
              <w:left w:w="20" w:type="dxa"/>
              <w:bottom w:w="40" w:type="dxa"/>
              <w:right w:w="20" w:type="dxa"/>
            </w:tcMar>
            <w:vAlign w:val="bottom"/>
          </w:tcPr>
          <w:p w14:paraId="35D0B4F5" w14:textId="77777777" w:rsidR="00D42204" w:rsidRDefault="004E439D">
            <w:pPr>
              <w:textAlignment w:val="bottom"/>
            </w:pPr>
            <w:r>
              <w:rPr>
                <w:rFonts w:ascii="Times New Roman" w:eastAsia="宋体" w:hAnsi="Times New Roman"/>
                <w:color w:val="000000"/>
                <w:sz w:val="16"/>
                <w:szCs w:val="16"/>
              </w:rPr>
              <w:t>December 15, 2020</w:t>
            </w:r>
          </w:p>
        </w:tc>
        <w:tc>
          <w:tcPr>
            <w:tcW w:w="0" w:type="auto"/>
            <w:gridSpan w:val="3"/>
            <w:shd w:val="clear" w:color="auto" w:fill="FFFFFF"/>
            <w:tcMar>
              <w:top w:w="0" w:type="dxa"/>
              <w:left w:w="20" w:type="dxa"/>
              <w:bottom w:w="0" w:type="dxa"/>
              <w:right w:w="20" w:type="dxa"/>
            </w:tcMar>
            <w:vAlign w:val="bottom"/>
          </w:tcPr>
          <w:p w14:paraId="35D0B4F6"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F7" w14:textId="77777777" w:rsidR="00D42204" w:rsidRDefault="004E439D">
            <w:pPr>
              <w:jc w:val="center"/>
              <w:textAlignment w:val="bottom"/>
            </w:pPr>
            <w:r>
              <w:rPr>
                <w:rFonts w:ascii="Times New Roman" w:eastAsia="宋体" w:hAnsi="Times New Roman"/>
                <w:color w:val="000000"/>
                <w:sz w:val="16"/>
                <w:szCs w:val="16"/>
              </w:rPr>
              <w:t>$1,250</w:t>
            </w:r>
          </w:p>
        </w:tc>
        <w:tc>
          <w:tcPr>
            <w:tcW w:w="0" w:type="auto"/>
            <w:gridSpan w:val="3"/>
            <w:shd w:val="clear" w:color="auto" w:fill="FFFFFF"/>
            <w:tcMar>
              <w:top w:w="0" w:type="dxa"/>
              <w:left w:w="20" w:type="dxa"/>
              <w:bottom w:w="0" w:type="dxa"/>
              <w:right w:w="20" w:type="dxa"/>
            </w:tcMar>
            <w:vAlign w:val="bottom"/>
          </w:tcPr>
          <w:p w14:paraId="35D0B4F8"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F9" w14:textId="77777777" w:rsidR="00D42204" w:rsidRDefault="004E439D">
            <w:pPr>
              <w:jc w:val="center"/>
              <w:textAlignment w:val="bottom"/>
            </w:pPr>
            <w:r>
              <w:rPr>
                <w:rFonts w:ascii="Times New Roman" w:eastAsia="宋体" w:hAnsi="Times New Roman"/>
                <w:color w:val="000000"/>
                <w:sz w:val="16"/>
                <w:szCs w:val="16"/>
              </w:rPr>
              <w:t>Fixed</w:t>
            </w:r>
          </w:p>
        </w:tc>
        <w:tc>
          <w:tcPr>
            <w:tcW w:w="0" w:type="auto"/>
            <w:gridSpan w:val="3"/>
            <w:shd w:val="clear" w:color="auto" w:fill="FFFFFF"/>
            <w:tcMar>
              <w:top w:w="0" w:type="dxa"/>
              <w:left w:w="20" w:type="dxa"/>
              <w:bottom w:w="0" w:type="dxa"/>
              <w:right w:w="20" w:type="dxa"/>
            </w:tcMar>
            <w:vAlign w:val="bottom"/>
          </w:tcPr>
          <w:p w14:paraId="35D0B4FA"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FB" w14:textId="77777777" w:rsidR="00D42204" w:rsidRDefault="004E439D">
            <w:pPr>
              <w:jc w:val="center"/>
              <w:textAlignment w:val="bottom"/>
            </w:pPr>
            <w:r>
              <w:rPr>
                <w:rFonts w:ascii="Times New Roman" w:eastAsia="宋体" w:hAnsi="Times New Roman"/>
                <w:color w:val="000000"/>
                <w:sz w:val="16"/>
                <w:szCs w:val="16"/>
              </w:rPr>
              <w:t>1.900%</w:t>
            </w:r>
          </w:p>
        </w:tc>
        <w:tc>
          <w:tcPr>
            <w:tcW w:w="0" w:type="auto"/>
            <w:gridSpan w:val="3"/>
            <w:shd w:val="clear" w:color="auto" w:fill="FFFFFF"/>
            <w:tcMar>
              <w:top w:w="0" w:type="dxa"/>
              <w:left w:w="20" w:type="dxa"/>
              <w:bottom w:w="0" w:type="dxa"/>
              <w:right w:w="20" w:type="dxa"/>
            </w:tcMar>
            <w:vAlign w:val="bottom"/>
          </w:tcPr>
          <w:p w14:paraId="35D0B4FC" w14:textId="77777777" w:rsidR="00D42204" w:rsidRDefault="00D42204">
            <w:pPr>
              <w:rPr>
                <w:rFonts w:ascii="宋体"/>
              </w:rPr>
            </w:pPr>
          </w:p>
        </w:tc>
        <w:tc>
          <w:tcPr>
            <w:tcW w:w="0" w:type="auto"/>
            <w:gridSpan w:val="3"/>
            <w:shd w:val="clear" w:color="auto" w:fill="FFFFFF"/>
            <w:tcMar>
              <w:top w:w="40" w:type="dxa"/>
              <w:left w:w="20" w:type="dxa"/>
              <w:bottom w:w="40" w:type="dxa"/>
              <w:right w:w="20" w:type="dxa"/>
            </w:tcMar>
            <w:vAlign w:val="bottom"/>
          </w:tcPr>
          <w:p w14:paraId="35D0B4FD" w14:textId="77777777" w:rsidR="00D42204" w:rsidRDefault="004E439D">
            <w:pPr>
              <w:jc w:val="right"/>
              <w:textAlignment w:val="bottom"/>
            </w:pPr>
            <w:r>
              <w:rPr>
                <w:rFonts w:ascii="Times New Roman" w:eastAsia="宋体" w:hAnsi="Times New Roman"/>
                <w:color w:val="000000"/>
                <w:sz w:val="16"/>
                <w:szCs w:val="16"/>
              </w:rPr>
              <w:t>1,250</w:t>
            </w:r>
          </w:p>
        </w:tc>
      </w:tr>
      <w:tr w:rsidR="00D42204" w14:paraId="35D0B50A" w14:textId="77777777">
        <w:trPr>
          <w:jc w:val="center"/>
        </w:trPr>
        <w:tc>
          <w:tcPr>
            <w:tcW w:w="0" w:type="auto"/>
            <w:gridSpan w:val="3"/>
            <w:shd w:val="clear" w:color="auto" w:fill="CCEEFF"/>
            <w:tcMar>
              <w:top w:w="40" w:type="dxa"/>
              <w:left w:w="245" w:type="dxa"/>
              <w:bottom w:w="40" w:type="dxa"/>
              <w:right w:w="20" w:type="dxa"/>
            </w:tcMar>
            <w:vAlign w:val="bottom"/>
          </w:tcPr>
          <w:p w14:paraId="35D0B4FF" w14:textId="77777777" w:rsidR="00D42204" w:rsidRDefault="004E439D">
            <w:pPr>
              <w:textAlignment w:val="bottom"/>
            </w:pPr>
            <w:r>
              <w:rPr>
                <w:rFonts w:ascii="Times New Roman" w:eastAsia="宋体" w:hAnsi="Times New Roman"/>
                <w:b/>
                <w:bCs/>
                <w:color w:val="000000"/>
                <w:sz w:val="16"/>
                <w:szCs w:val="16"/>
              </w:rPr>
              <w:t xml:space="preserve">Total </w:t>
            </w:r>
            <w:r>
              <w:rPr>
                <w:rFonts w:ascii="Times New Roman" w:eastAsia="宋体" w:hAnsi="Times New Roman"/>
                <w:b/>
                <w:bCs/>
                <w:color w:val="000000"/>
                <w:sz w:val="16"/>
                <w:szCs w:val="16"/>
              </w:rPr>
              <w:t>repayment of matured debt</w:t>
            </w:r>
          </w:p>
        </w:tc>
        <w:tc>
          <w:tcPr>
            <w:tcW w:w="0" w:type="auto"/>
            <w:gridSpan w:val="3"/>
            <w:shd w:val="clear" w:color="auto" w:fill="CCEEFF"/>
            <w:tcMar>
              <w:top w:w="0" w:type="dxa"/>
              <w:left w:w="20" w:type="dxa"/>
              <w:bottom w:w="0" w:type="dxa"/>
              <w:right w:w="20" w:type="dxa"/>
            </w:tcMar>
            <w:vAlign w:val="bottom"/>
          </w:tcPr>
          <w:p w14:paraId="35D0B500"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501"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50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503"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504"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505"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506"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D0B507"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D0B508" w14:textId="77777777" w:rsidR="00D42204" w:rsidRDefault="004E439D">
            <w:pPr>
              <w:jc w:val="right"/>
              <w:textAlignment w:val="bottom"/>
            </w:pPr>
            <w:r>
              <w:rPr>
                <w:rFonts w:ascii="Times New Roman" w:eastAsia="宋体" w:hAnsi="Times New Roman"/>
                <w:color w:val="000000"/>
                <w:sz w:val="16"/>
                <w:szCs w:val="16"/>
              </w:rPr>
              <w:t>5,382 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D0B509" w14:textId="77777777" w:rsidR="00D42204" w:rsidRDefault="00D42204">
            <w:pPr>
              <w:jc w:val="right"/>
              <w:rPr>
                <w:rFonts w:ascii="宋体"/>
              </w:rPr>
            </w:pPr>
          </w:p>
        </w:tc>
      </w:tr>
    </w:tbl>
    <w:p w14:paraId="35D0B50B" w14:textId="77777777" w:rsidR="00D42204" w:rsidRDefault="004E439D">
      <w:pPr>
        <w:spacing w:before="180"/>
      </w:pPr>
      <w:r>
        <w:rPr>
          <w:rFonts w:ascii="Times New Roman" w:eastAsia="宋体" w:hAnsi="Times New Roman"/>
          <w:b/>
          <w:bCs/>
          <w:color w:val="000000"/>
          <w:sz w:val="20"/>
          <w:szCs w:val="20"/>
        </w:rPr>
        <w:t>Note 7. Leases</w:t>
      </w:r>
    </w:p>
    <w:p w14:paraId="35D0B50C" w14:textId="77777777" w:rsidR="00D42204" w:rsidRDefault="004E439D">
      <w:pPr>
        <w:spacing w:before="90"/>
      </w:pPr>
      <w:r>
        <w:rPr>
          <w:rFonts w:ascii="Times New Roman" w:eastAsia="宋体" w:hAnsi="Times New Roman"/>
          <w:color w:val="000000"/>
          <w:sz w:val="20"/>
          <w:szCs w:val="20"/>
        </w:rPr>
        <w:t xml:space="preserve">The Company leases certain retail locations, distribution and fulfillment centers, warehouses, office spaces, land and equipment throughout the U.S. and internationally. The Company's lease </w:t>
      </w:r>
      <w:r>
        <w:rPr>
          <w:rFonts w:ascii="Times New Roman" w:eastAsia="宋体" w:hAnsi="Times New Roman"/>
          <w:color w:val="000000"/>
          <w:sz w:val="20"/>
          <w:szCs w:val="20"/>
        </w:rPr>
        <w:t>costs recognized in the Consolidated Statement of Income consist of the following:</w:t>
      </w:r>
    </w:p>
    <w:tbl>
      <w:tblPr>
        <w:tblW w:w="5000" w:type="pct"/>
        <w:tblCellMar>
          <w:top w:w="15" w:type="dxa"/>
          <w:left w:w="15" w:type="dxa"/>
          <w:bottom w:w="15" w:type="dxa"/>
          <w:right w:w="15" w:type="dxa"/>
        </w:tblCellMar>
        <w:tblLook w:val="04A0" w:firstRow="1" w:lastRow="0" w:firstColumn="1" w:lastColumn="0" w:noHBand="0" w:noVBand="1"/>
      </w:tblPr>
      <w:tblGrid>
        <w:gridCol w:w="38"/>
        <w:gridCol w:w="5101"/>
        <w:gridCol w:w="37"/>
        <w:gridCol w:w="36"/>
        <w:gridCol w:w="36"/>
        <w:gridCol w:w="36"/>
        <w:gridCol w:w="100"/>
        <w:gridCol w:w="793"/>
        <w:gridCol w:w="36"/>
        <w:gridCol w:w="36"/>
        <w:gridCol w:w="36"/>
        <w:gridCol w:w="36"/>
        <w:gridCol w:w="101"/>
        <w:gridCol w:w="795"/>
        <w:gridCol w:w="37"/>
        <w:gridCol w:w="36"/>
        <w:gridCol w:w="36"/>
        <w:gridCol w:w="36"/>
        <w:gridCol w:w="101"/>
        <w:gridCol w:w="837"/>
        <w:gridCol w:w="36"/>
      </w:tblGrid>
      <w:tr w:rsidR="00D42204" w14:paraId="35D0B522" w14:textId="77777777">
        <w:tc>
          <w:tcPr>
            <w:tcW w:w="50" w:type="pct"/>
            <w:shd w:val="clear" w:color="auto" w:fill="auto"/>
            <w:vAlign w:val="bottom"/>
          </w:tcPr>
          <w:p w14:paraId="35D0B50D" w14:textId="77777777" w:rsidR="00D42204" w:rsidRDefault="00D42204">
            <w:pPr>
              <w:rPr>
                <w:rFonts w:ascii="宋体"/>
              </w:rPr>
            </w:pPr>
          </w:p>
        </w:tc>
        <w:tc>
          <w:tcPr>
            <w:tcW w:w="3088" w:type="pct"/>
            <w:shd w:val="clear" w:color="auto" w:fill="auto"/>
            <w:vAlign w:val="bottom"/>
          </w:tcPr>
          <w:p w14:paraId="35D0B50E" w14:textId="77777777" w:rsidR="00D42204" w:rsidRDefault="00D42204">
            <w:pPr>
              <w:rPr>
                <w:rFonts w:ascii="宋体"/>
              </w:rPr>
            </w:pPr>
          </w:p>
        </w:tc>
        <w:tc>
          <w:tcPr>
            <w:tcW w:w="5" w:type="pct"/>
            <w:shd w:val="clear" w:color="auto" w:fill="auto"/>
            <w:vAlign w:val="bottom"/>
          </w:tcPr>
          <w:p w14:paraId="35D0B50F" w14:textId="77777777" w:rsidR="00D42204" w:rsidRDefault="00D42204">
            <w:pPr>
              <w:rPr>
                <w:rFonts w:ascii="宋体"/>
              </w:rPr>
            </w:pPr>
          </w:p>
        </w:tc>
        <w:tc>
          <w:tcPr>
            <w:tcW w:w="5" w:type="pct"/>
            <w:shd w:val="clear" w:color="auto" w:fill="auto"/>
            <w:vAlign w:val="bottom"/>
          </w:tcPr>
          <w:p w14:paraId="35D0B510" w14:textId="77777777" w:rsidR="00D42204" w:rsidRDefault="00D42204">
            <w:pPr>
              <w:rPr>
                <w:rFonts w:ascii="宋体"/>
              </w:rPr>
            </w:pPr>
          </w:p>
        </w:tc>
        <w:tc>
          <w:tcPr>
            <w:tcW w:w="26" w:type="pct"/>
            <w:shd w:val="clear" w:color="auto" w:fill="auto"/>
            <w:vAlign w:val="bottom"/>
          </w:tcPr>
          <w:p w14:paraId="35D0B511" w14:textId="77777777" w:rsidR="00D42204" w:rsidRDefault="00D42204">
            <w:pPr>
              <w:rPr>
                <w:rFonts w:ascii="宋体"/>
              </w:rPr>
            </w:pPr>
          </w:p>
        </w:tc>
        <w:tc>
          <w:tcPr>
            <w:tcW w:w="5" w:type="pct"/>
            <w:shd w:val="clear" w:color="auto" w:fill="auto"/>
            <w:vAlign w:val="bottom"/>
          </w:tcPr>
          <w:p w14:paraId="35D0B512" w14:textId="77777777" w:rsidR="00D42204" w:rsidRDefault="00D42204">
            <w:pPr>
              <w:rPr>
                <w:rFonts w:ascii="宋体"/>
              </w:rPr>
            </w:pPr>
          </w:p>
        </w:tc>
        <w:tc>
          <w:tcPr>
            <w:tcW w:w="50" w:type="pct"/>
            <w:shd w:val="clear" w:color="auto" w:fill="auto"/>
            <w:vAlign w:val="bottom"/>
          </w:tcPr>
          <w:p w14:paraId="35D0B513" w14:textId="77777777" w:rsidR="00D42204" w:rsidRDefault="00D42204">
            <w:pPr>
              <w:rPr>
                <w:rFonts w:ascii="宋体"/>
              </w:rPr>
            </w:pPr>
          </w:p>
        </w:tc>
        <w:tc>
          <w:tcPr>
            <w:tcW w:w="529" w:type="pct"/>
            <w:shd w:val="clear" w:color="auto" w:fill="auto"/>
            <w:vAlign w:val="bottom"/>
          </w:tcPr>
          <w:p w14:paraId="35D0B514" w14:textId="77777777" w:rsidR="00D42204" w:rsidRDefault="00D42204">
            <w:pPr>
              <w:rPr>
                <w:rFonts w:ascii="宋体"/>
              </w:rPr>
            </w:pPr>
          </w:p>
        </w:tc>
        <w:tc>
          <w:tcPr>
            <w:tcW w:w="5" w:type="pct"/>
            <w:shd w:val="clear" w:color="auto" w:fill="auto"/>
            <w:vAlign w:val="bottom"/>
          </w:tcPr>
          <w:p w14:paraId="35D0B515" w14:textId="77777777" w:rsidR="00D42204" w:rsidRDefault="00D42204">
            <w:pPr>
              <w:rPr>
                <w:rFonts w:ascii="宋体"/>
              </w:rPr>
            </w:pPr>
          </w:p>
        </w:tc>
        <w:tc>
          <w:tcPr>
            <w:tcW w:w="5" w:type="pct"/>
            <w:shd w:val="clear" w:color="auto" w:fill="auto"/>
            <w:vAlign w:val="bottom"/>
          </w:tcPr>
          <w:p w14:paraId="35D0B516" w14:textId="77777777" w:rsidR="00D42204" w:rsidRDefault="00D42204">
            <w:pPr>
              <w:rPr>
                <w:rFonts w:ascii="宋体"/>
              </w:rPr>
            </w:pPr>
          </w:p>
        </w:tc>
        <w:tc>
          <w:tcPr>
            <w:tcW w:w="26" w:type="pct"/>
            <w:shd w:val="clear" w:color="auto" w:fill="auto"/>
            <w:vAlign w:val="bottom"/>
          </w:tcPr>
          <w:p w14:paraId="35D0B517" w14:textId="77777777" w:rsidR="00D42204" w:rsidRDefault="00D42204">
            <w:pPr>
              <w:rPr>
                <w:rFonts w:ascii="宋体"/>
              </w:rPr>
            </w:pPr>
          </w:p>
        </w:tc>
        <w:tc>
          <w:tcPr>
            <w:tcW w:w="5" w:type="pct"/>
            <w:shd w:val="clear" w:color="auto" w:fill="auto"/>
            <w:vAlign w:val="bottom"/>
          </w:tcPr>
          <w:p w14:paraId="35D0B518" w14:textId="77777777" w:rsidR="00D42204" w:rsidRDefault="00D42204">
            <w:pPr>
              <w:rPr>
                <w:rFonts w:ascii="宋体"/>
              </w:rPr>
            </w:pPr>
          </w:p>
        </w:tc>
        <w:tc>
          <w:tcPr>
            <w:tcW w:w="50" w:type="pct"/>
            <w:shd w:val="clear" w:color="auto" w:fill="auto"/>
            <w:vAlign w:val="bottom"/>
          </w:tcPr>
          <w:p w14:paraId="35D0B519" w14:textId="77777777" w:rsidR="00D42204" w:rsidRDefault="00D42204">
            <w:pPr>
              <w:rPr>
                <w:rFonts w:ascii="宋体"/>
              </w:rPr>
            </w:pPr>
          </w:p>
        </w:tc>
        <w:tc>
          <w:tcPr>
            <w:tcW w:w="529" w:type="pct"/>
            <w:shd w:val="clear" w:color="auto" w:fill="auto"/>
            <w:vAlign w:val="bottom"/>
          </w:tcPr>
          <w:p w14:paraId="35D0B51A" w14:textId="77777777" w:rsidR="00D42204" w:rsidRDefault="00D42204">
            <w:pPr>
              <w:rPr>
                <w:rFonts w:ascii="宋体"/>
              </w:rPr>
            </w:pPr>
          </w:p>
        </w:tc>
        <w:tc>
          <w:tcPr>
            <w:tcW w:w="5" w:type="pct"/>
            <w:shd w:val="clear" w:color="auto" w:fill="auto"/>
            <w:vAlign w:val="bottom"/>
          </w:tcPr>
          <w:p w14:paraId="35D0B51B" w14:textId="77777777" w:rsidR="00D42204" w:rsidRDefault="00D42204">
            <w:pPr>
              <w:rPr>
                <w:rFonts w:ascii="宋体"/>
              </w:rPr>
            </w:pPr>
          </w:p>
        </w:tc>
        <w:tc>
          <w:tcPr>
            <w:tcW w:w="5" w:type="pct"/>
            <w:shd w:val="clear" w:color="auto" w:fill="auto"/>
            <w:vAlign w:val="bottom"/>
          </w:tcPr>
          <w:p w14:paraId="35D0B51C" w14:textId="77777777" w:rsidR="00D42204" w:rsidRDefault="00D42204">
            <w:pPr>
              <w:rPr>
                <w:rFonts w:ascii="宋体"/>
              </w:rPr>
            </w:pPr>
          </w:p>
        </w:tc>
        <w:tc>
          <w:tcPr>
            <w:tcW w:w="19" w:type="pct"/>
            <w:shd w:val="clear" w:color="auto" w:fill="auto"/>
            <w:vAlign w:val="bottom"/>
          </w:tcPr>
          <w:p w14:paraId="35D0B51D" w14:textId="77777777" w:rsidR="00D42204" w:rsidRDefault="00D42204">
            <w:pPr>
              <w:rPr>
                <w:rFonts w:ascii="宋体"/>
              </w:rPr>
            </w:pPr>
          </w:p>
        </w:tc>
        <w:tc>
          <w:tcPr>
            <w:tcW w:w="5" w:type="pct"/>
            <w:shd w:val="clear" w:color="auto" w:fill="auto"/>
            <w:vAlign w:val="bottom"/>
          </w:tcPr>
          <w:p w14:paraId="35D0B51E" w14:textId="77777777" w:rsidR="00D42204" w:rsidRDefault="00D42204">
            <w:pPr>
              <w:rPr>
                <w:rFonts w:ascii="宋体"/>
              </w:rPr>
            </w:pPr>
          </w:p>
        </w:tc>
        <w:tc>
          <w:tcPr>
            <w:tcW w:w="50" w:type="pct"/>
            <w:shd w:val="clear" w:color="auto" w:fill="auto"/>
            <w:vAlign w:val="bottom"/>
          </w:tcPr>
          <w:p w14:paraId="35D0B51F" w14:textId="77777777" w:rsidR="00D42204" w:rsidRDefault="00D42204">
            <w:pPr>
              <w:rPr>
                <w:rFonts w:ascii="宋体"/>
              </w:rPr>
            </w:pPr>
          </w:p>
        </w:tc>
        <w:tc>
          <w:tcPr>
            <w:tcW w:w="530" w:type="pct"/>
            <w:shd w:val="clear" w:color="auto" w:fill="auto"/>
            <w:vAlign w:val="bottom"/>
          </w:tcPr>
          <w:p w14:paraId="35D0B520" w14:textId="77777777" w:rsidR="00D42204" w:rsidRDefault="00D42204">
            <w:pPr>
              <w:rPr>
                <w:rFonts w:ascii="宋体"/>
              </w:rPr>
            </w:pPr>
          </w:p>
        </w:tc>
        <w:tc>
          <w:tcPr>
            <w:tcW w:w="5" w:type="pct"/>
            <w:shd w:val="clear" w:color="auto" w:fill="auto"/>
            <w:vAlign w:val="bottom"/>
          </w:tcPr>
          <w:p w14:paraId="35D0B521" w14:textId="77777777" w:rsidR="00D42204" w:rsidRDefault="00D42204">
            <w:pPr>
              <w:rPr>
                <w:rFonts w:ascii="宋体"/>
              </w:rPr>
            </w:pPr>
          </w:p>
        </w:tc>
      </w:tr>
      <w:tr w:rsidR="00D42204" w14:paraId="35D0B526" w14:textId="77777777">
        <w:tc>
          <w:tcPr>
            <w:tcW w:w="0" w:type="auto"/>
            <w:gridSpan w:val="3"/>
            <w:shd w:val="clear" w:color="auto" w:fill="auto"/>
            <w:tcMar>
              <w:top w:w="0" w:type="dxa"/>
              <w:left w:w="20" w:type="dxa"/>
              <w:bottom w:w="0" w:type="dxa"/>
              <w:right w:w="20" w:type="dxa"/>
            </w:tcMar>
            <w:vAlign w:val="bottom"/>
          </w:tcPr>
          <w:p w14:paraId="35D0B523"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524"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B525" w14:textId="77777777" w:rsidR="00D42204" w:rsidRDefault="004E439D">
            <w:pPr>
              <w:jc w:val="center"/>
              <w:textAlignment w:val="bottom"/>
            </w:pPr>
            <w:r>
              <w:rPr>
                <w:rFonts w:ascii="Times New Roman" w:eastAsia="宋体" w:hAnsi="Times New Roman"/>
                <w:b/>
                <w:bCs/>
                <w:color w:val="000000"/>
                <w:sz w:val="16"/>
                <w:szCs w:val="16"/>
              </w:rPr>
              <w:t>Fiscal y</w:t>
            </w:r>
            <w:r>
              <w:rPr>
                <w:rFonts w:ascii="Times New Roman" w:eastAsia="宋体" w:hAnsi="Times New Roman"/>
                <w:b/>
                <w:bCs/>
                <w:color w:val="000000"/>
                <w:sz w:val="16"/>
                <w:szCs w:val="16"/>
              </w:rPr>
              <w:t>ears ended January 31,</w:t>
            </w:r>
          </w:p>
        </w:tc>
      </w:tr>
      <w:tr w:rsidR="00D42204" w14:paraId="35D0B52E" w14:textId="77777777">
        <w:tc>
          <w:tcPr>
            <w:tcW w:w="0" w:type="auto"/>
            <w:gridSpan w:val="3"/>
            <w:shd w:val="clear" w:color="auto" w:fill="auto"/>
            <w:tcMar>
              <w:top w:w="40" w:type="dxa"/>
              <w:left w:w="65" w:type="dxa"/>
              <w:bottom w:w="40" w:type="dxa"/>
              <w:right w:w="20" w:type="dxa"/>
            </w:tcMar>
            <w:vAlign w:val="bottom"/>
          </w:tcPr>
          <w:p w14:paraId="35D0B527"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528"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529"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35D0B52A" w14:textId="77777777" w:rsidR="00D42204" w:rsidRDefault="00D42204">
            <w:pPr>
              <w:rPr>
                <w:rFonts w:ascii="宋体"/>
              </w:rPr>
            </w:pPr>
          </w:p>
        </w:tc>
        <w:tc>
          <w:tcPr>
            <w:tcW w:w="0" w:type="auto"/>
            <w:gridSpan w:val="3"/>
            <w:shd w:val="clear" w:color="auto" w:fill="auto"/>
            <w:tcMar>
              <w:top w:w="40" w:type="dxa"/>
              <w:left w:w="42" w:type="dxa"/>
              <w:bottom w:w="40" w:type="dxa"/>
              <w:right w:w="42" w:type="dxa"/>
            </w:tcMar>
            <w:vAlign w:val="bottom"/>
          </w:tcPr>
          <w:p w14:paraId="35D0B52B"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5D0B52C"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52D"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B53A" w14:textId="77777777">
        <w:tc>
          <w:tcPr>
            <w:tcW w:w="0" w:type="auto"/>
            <w:gridSpan w:val="3"/>
            <w:shd w:val="clear" w:color="auto" w:fill="CCEEFF"/>
            <w:tcMar>
              <w:top w:w="40" w:type="dxa"/>
              <w:left w:w="20" w:type="dxa"/>
              <w:bottom w:w="40" w:type="dxa"/>
              <w:right w:w="20" w:type="dxa"/>
            </w:tcMar>
            <w:vAlign w:val="bottom"/>
          </w:tcPr>
          <w:p w14:paraId="35D0B52F" w14:textId="77777777" w:rsidR="00D42204" w:rsidRDefault="004E439D">
            <w:pPr>
              <w:textAlignment w:val="bottom"/>
            </w:pPr>
            <w:r>
              <w:rPr>
                <w:rFonts w:ascii="Times New Roman" w:eastAsia="宋体" w:hAnsi="Times New Roman"/>
                <w:color w:val="000000"/>
                <w:sz w:val="16"/>
                <w:szCs w:val="16"/>
              </w:rPr>
              <w:t>Operating lease cost</w:t>
            </w:r>
          </w:p>
        </w:tc>
        <w:tc>
          <w:tcPr>
            <w:tcW w:w="0" w:type="auto"/>
            <w:gridSpan w:val="3"/>
            <w:shd w:val="clear" w:color="auto" w:fill="CCEEFF"/>
            <w:tcMar>
              <w:top w:w="0" w:type="dxa"/>
              <w:left w:w="20" w:type="dxa"/>
              <w:bottom w:w="0" w:type="dxa"/>
              <w:right w:w="20" w:type="dxa"/>
            </w:tcMar>
            <w:vAlign w:val="bottom"/>
          </w:tcPr>
          <w:p w14:paraId="35D0B530"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D0B531"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D0B532" w14:textId="77777777" w:rsidR="00D42204" w:rsidRDefault="004E439D">
            <w:pPr>
              <w:jc w:val="right"/>
              <w:textAlignment w:val="bottom"/>
            </w:pPr>
            <w:r>
              <w:rPr>
                <w:rFonts w:ascii="Times New Roman" w:eastAsia="宋体" w:hAnsi="Times New Roman"/>
                <w:color w:val="000000"/>
                <w:sz w:val="16"/>
                <w:szCs w:val="16"/>
              </w:rPr>
              <w:t>2,274 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53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534"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535" w14:textId="77777777" w:rsidR="00D42204" w:rsidRDefault="004E439D">
            <w:pPr>
              <w:textAlignment w:val="center"/>
            </w:pPr>
            <w:r>
              <w:rPr>
                <w:rFonts w:ascii="Times New Roman" w:eastAsia="宋体" w:hAnsi="Times New Roman"/>
                <w:color w:val="000000"/>
                <w:sz w:val="16"/>
                <w:szCs w:val="16"/>
              </w:rPr>
              <w:t>$</w:t>
            </w:r>
          </w:p>
        </w:tc>
        <w:tc>
          <w:tcPr>
            <w:tcW w:w="0" w:type="auto"/>
            <w:gridSpan w:val="2"/>
            <w:tcBorders>
              <w:top w:val="single" w:sz="8" w:space="0" w:color="000000"/>
            </w:tcBorders>
            <w:shd w:val="clear" w:color="auto" w:fill="CCEEFF"/>
            <w:tcMar>
              <w:top w:w="40" w:type="dxa"/>
              <w:left w:w="0" w:type="dxa"/>
              <w:bottom w:w="40" w:type="dxa"/>
              <w:right w:w="65" w:type="dxa"/>
            </w:tcMar>
            <w:vAlign w:val="center"/>
          </w:tcPr>
          <w:p w14:paraId="35D0B536" w14:textId="77777777" w:rsidR="00D42204" w:rsidRDefault="004E439D">
            <w:pPr>
              <w:jc w:val="right"/>
              <w:textAlignment w:val="center"/>
            </w:pPr>
            <w:r>
              <w:rPr>
                <w:rFonts w:ascii="Times New Roman" w:eastAsia="宋体" w:hAnsi="Times New Roman"/>
                <w:color w:val="000000"/>
                <w:sz w:val="16"/>
                <w:szCs w:val="16"/>
              </w:rPr>
              <w:t>2,626</w:t>
            </w:r>
          </w:p>
        </w:tc>
        <w:tc>
          <w:tcPr>
            <w:tcW w:w="0" w:type="auto"/>
            <w:gridSpan w:val="3"/>
            <w:shd w:val="clear" w:color="auto" w:fill="CCEEFF"/>
            <w:tcMar>
              <w:top w:w="0" w:type="dxa"/>
              <w:left w:w="20" w:type="dxa"/>
              <w:bottom w:w="0" w:type="dxa"/>
              <w:right w:w="20" w:type="dxa"/>
            </w:tcMar>
            <w:vAlign w:val="bottom"/>
          </w:tcPr>
          <w:p w14:paraId="35D0B537"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538" w14:textId="77777777" w:rsidR="00D42204" w:rsidRDefault="004E439D">
            <w:pPr>
              <w:textAlignment w:val="center"/>
            </w:pPr>
            <w:r>
              <w:rPr>
                <w:rFonts w:ascii="Times New Roman" w:eastAsia="宋体" w:hAnsi="Times New Roman"/>
                <w:color w:val="000000"/>
                <w:sz w:val="16"/>
                <w:szCs w:val="16"/>
              </w:rPr>
              <w:t>$</w:t>
            </w:r>
          </w:p>
        </w:tc>
        <w:tc>
          <w:tcPr>
            <w:tcW w:w="0" w:type="auto"/>
            <w:gridSpan w:val="2"/>
            <w:tcBorders>
              <w:top w:val="single" w:sz="8" w:space="0" w:color="000000"/>
            </w:tcBorders>
            <w:shd w:val="clear" w:color="auto" w:fill="CCEEFF"/>
            <w:tcMar>
              <w:top w:w="40" w:type="dxa"/>
              <w:left w:w="0" w:type="dxa"/>
              <w:bottom w:w="40" w:type="dxa"/>
              <w:right w:w="65" w:type="dxa"/>
            </w:tcMar>
            <w:vAlign w:val="center"/>
          </w:tcPr>
          <w:p w14:paraId="35D0B539" w14:textId="77777777" w:rsidR="00D42204" w:rsidRDefault="004E439D">
            <w:pPr>
              <w:jc w:val="right"/>
              <w:textAlignment w:val="center"/>
            </w:pPr>
            <w:r>
              <w:rPr>
                <w:rFonts w:ascii="Times New Roman" w:eastAsia="宋体" w:hAnsi="Times New Roman"/>
                <w:color w:val="000000"/>
                <w:sz w:val="16"/>
                <w:szCs w:val="16"/>
              </w:rPr>
              <w:t>2,670</w:t>
            </w:r>
          </w:p>
        </w:tc>
      </w:tr>
      <w:tr w:rsidR="00D42204" w14:paraId="35D0B542" w14:textId="77777777">
        <w:tc>
          <w:tcPr>
            <w:tcW w:w="0" w:type="auto"/>
            <w:gridSpan w:val="3"/>
            <w:shd w:val="clear" w:color="auto" w:fill="FFFFFF"/>
            <w:tcMar>
              <w:top w:w="40" w:type="dxa"/>
              <w:left w:w="20" w:type="dxa"/>
              <w:bottom w:w="40" w:type="dxa"/>
              <w:right w:w="20" w:type="dxa"/>
            </w:tcMar>
            <w:vAlign w:val="bottom"/>
          </w:tcPr>
          <w:p w14:paraId="35D0B53B" w14:textId="77777777" w:rsidR="00D42204" w:rsidRDefault="004E439D">
            <w:pPr>
              <w:textAlignment w:val="bottom"/>
            </w:pPr>
            <w:r>
              <w:rPr>
                <w:rFonts w:ascii="Times New Roman" w:eastAsia="宋体" w:hAnsi="Times New Roman"/>
                <w:color w:val="000000"/>
                <w:sz w:val="16"/>
                <w:szCs w:val="16"/>
              </w:rPr>
              <w:t>Finance lease cost:</w:t>
            </w:r>
          </w:p>
        </w:tc>
        <w:tc>
          <w:tcPr>
            <w:tcW w:w="0" w:type="auto"/>
            <w:gridSpan w:val="3"/>
            <w:shd w:val="clear" w:color="auto" w:fill="FFFFFF"/>
            <w:tcMar>
              <w:top w:w="0" w:type="dxa"/>
              <w:left w:w="20" w:type="dxa"/>
              <w:bottom w:w="0" w:type="dxa"/>
              <w:right w:w="20" w:type="dxa"/>
            </w:tcMar>
            <w:vAlign w:val="bottom"/>
          </w:tcPr>
          <w:p w14:paraId="35D0B53C"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53D"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53E" w14:textId="77777777" w:rsidR="00D42204" w:rsidRDefault="00D42204">
            <w:pPr>
              <w:rPr>
                <w:rFonts w:ascii="宋体"/>
              </w:rPr>
            </w:pPr>
          </w:p>
        </w:tc>
        <w:tc>
          <w:tcPr>
            <w:tcW w:w="0" w:type="auto"/>
            <w:gridSpan w:val="3"/>
            <w:shd w:val="clear" w:color="auto" w:fill="FFFFFF"/>
            <w:tcMar>
              <w:top w:w="0" w:type="dxa"/>
              <w:left w:w="20" w:type="dxa"/>
              <w:bottom w:w="0" w:type="dxa"/>
              <w:right w:w="65" w:type="dxa"/>
            </w:tcMar>
            <w:vAlign w:val="bottom"/>
          </w:tcPr>
          <w:p w14:paraId="35D0B53F"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540" w14:textId="77777777" w:rsidR="00D42204" w:rsidRDefault="00D42204">
            <w:pPr>
              <w:rPr>
                <w:rFonts w:ascii="宋体"/>
              </w:rPr>
            </w:pPr>
          </w:p>
        </w:tc>
        <w:tc>
          <w:tcPr>
            <w:tcW w:w="0" w:type="auto"/>
            <w:gridSpan w:val="3"/>
            <w:shd w:val="clear" w:color="auto" w:fill="FFFFFF"/>
            <w:tcMar>
              <w:top w:w="0" w:type="dxa"/>
              <w:left w:w="20" w:type="dxa"/>
              <w:bottom w:w="0" w:type="dxa"/>
              <w:right w:w="65" w:type="dxa"/>
            </w:tcMar>
            <w:vAlign w:val="bottom"/>
          </w:tcPr>
          <w:p w14:paraId="35D0B541" w14:textId="77777777" w:rsidR="00D42204" w:rsidRDefault="00D42204">
            <w:pPr>
              <w:rPr>
                <w:rFonts w:ascii="宋体"/>
              </w:rPr>
            </w:pPr>
          </w:p>
        </w:tc>
      </w:tr>
      <w:tr w:rsidR="00D42204" w14:paraId="35D0B54B" w14:textId="77777777">
        <w:tc>
          <w:tcPr>
            <w:tcW w:w="0" w:type="auto"/>
            <w:gridSpan w:val="3"/>
            <w:shd w:val="clear" w:color="auto" w:fill="CCEEFF"/>
            <w:tcMar>
              <w:top w:w="40" w:type="dxa"/>
              <w:left w:w="20" w:type="dxa"/>
              <w:bottom w:w="40" w:type="dxa"/>
              <w:right w:w="20" w:type="dxa"/>
            </w:tcMar>
            <w:vAlign w:val="bottom"/>
          </w:tcPr>
          <w:p w14:paraId="35D0B543" w14:textId="77777777" w:rsidR="00D42204" w:rsidRDefault="004E439D">
            <w:pPr>
              <w:textAlignment w:val="bottom"/>
            </w:pPr>
            <w:r>
              <w:rPr>
                <w:rFonts w:ascii="Times New Roman" w:eastAsia="宋体" w:hAnsi="Times New Roman"/>
                <w:color w:val="000000"/>
                <w:sz w:val="16"/>
                <w:szCs w:val="16"/>
              </w:rPr>
              <w:t>   Amortization of right-of-use assets</w:t>
            </w:r>
          </w:p>
        </w:tc>
        <w:tc>
          <w:tcPr>
            <w:tcW w:w="0" w:type="auto"/>
            <w:gridSpan w:val="3"/>
            <w:shd w:val="clear" w:color="auto" w:fill="CCEEFF"/>
            <w:tcMar>
              <w:top w:w="0" w:type="dxa"/>
              <w:left w:w="20" w:type="dxa"/>
              <w:bottom w:w="0" w:type="dxa"/>
              <w:right w:w="20" w:type="dxa"/>
            </w:tcMar>
            <w:vAlign w:val="bottom"/>
          </w:tcPr>
          <w:p w14:paraId="35D0B54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545" w14:textId="77777777" w:rsidR="00D42204" w:rsidRDefault="004E439D">
            <w:pPr>
              <w:jc w:val="right"/>
              <w:textAlignment w:val="bottom"/>
            </w:pPr>
            <w:r>
              <w:rPr>
                <w:rFonts w:ascii="Times New Roman" w:eastAsia="宋体" w:hAnsi="Times New Roman"/>
                <w:color w:val="000000"/>
                <w:sz w:val="16"/>
                <w:szCs w:val="16"/>
              </w:rPr>
              <w:t>565 </w:t>
            </w:r>
          </w:p>
        </w:tc>
        <w:tc>
          <w:tcPr>
            <w:tcW w:w="0" w:type="auto"/>
            <w:shd w:val="clear" w:color="auto" w:fill="CCEEFF"/>
            <w:tcMar>
              <w:top w:w="40" w:type="dxa"/>
              <w:left w:w="0" w:type="dxa"/>
              <w:bottom w:w="40" w:type="dxa"/>
              <w:right w:w="20" w:type="dxa"/>
            </w:tcMar>
            <w:vAlign w:val="bottom"/>
          </w:tcPr>
          <w:p w14:paraId="35D0B54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547" w14:textId="77777777" w:rsidR="00D42204" w:rsidRDefault="00D42204">
            <w:pPr>
              <w:rPr>
                <w:rFonts w:ascii="宋体"/>
              </w:rPr>
            </w:pPr>
          </w:p>
        </w:tc>
        <w:tc>
          <w:tcPr>
            <w:tcW w:w="0" w:type="auto"/>
            <w:gridSpan w:val="3"/>
            <w:shd w:val="clear" w:color="auto" w:fill="CCEEFF"/>
            <w:tcMar>
              <w:top w:w="40" w:type="dxa"/>
              <w:left w:w="20" w:type="dxa"/>
              <w:bottom w:w="40" w:type="dxa"/>
              <w:right w:w="65" w:type="dxa"/>
            </w:tcMar>
            <w:vAlign w:val="center"/>
          </w:tcPr>
          <w:p w14:paraId="35D0B548" w14:textId="77777777" w:rsidR="00D42204" w:rsidRDefault="004E439D">
            <w:pPr>
              <w:jc w:val="right"/>
              <w:textAlignment w:val="center"/>
            </w:pPr>
            <w:r>
              <w:rPr>
                <w:rFonts w:ascii="Times New Roman" w:eastAsia="宋体" w:hAnsi="Times New Roman"/>
                <w:color w:val="000000"/>
                <w:sz w:val="16"/>
                <w:szCs w:val="16"/>
              </w:rPr>
              <w:t>583</w:t>
            </w:r>
          </w:p>
        </w:tc>
        <w:tc>
          <w:tcPr>
            <w:tcW w:w="0" w:type="auto"/>
            <w:gridSpan w:val="3"/>
            <w:shd w:val="clear" w:color="auto" w:fill="CCEEFF"/>
            <w:tcMar>
              <w:top w:w="0" w:type="dxa"/>
              <w:left w:w="20" w:type="dxa"/>
              <w:bottom w:w="0" w:type="dxa"/>
              <w:right w:w="20" w:type="dxa"/>
            </w:tcMar>
            <w:vAlign w:val="bottom"/>
          </w:tcPr>
          <w:p w14:paraId="35D0B549" w14:textId="77777777" w:rsidR="00D42204" w:rsidRDefault="00D42204">
            <w:pPr>
              <w:rPr>
                <w:rFonts w:ascii="宋体"/>
              </w:rPr>
            </w:pPr>
          </w:p>
        </w:tc>
        <w:tc>
          <w:tcPr>
            <w:tcW w:w="0" w:type="auto"/>
            <w:gridSpan w:val="3"/>
            <w:shd w:val="clear" w:color="auto" w:fill="CCEEFF"/>
            <w:tcMar>
              <w:top w:w="40" w:type="dxa"/>
              <w:left w:w="20" w:type="dxa"/>
              <w:bottom w:w="40" w:type="dxa"/>
              <w:right w:w="65" w:type="dxa"/>
            </w:tcMar>
            <w:vAlign w:val="center"/>
          </w:tcPr>
          <w:p w14:paraId="35D0B54A" w14:textId="77777777" w:rsidR="00D42204" w:rsidRDefault="004E439D">
            <w:pPr>
              <w:jc w:val="right"/>
              <w:textAlignment w:val="center"/>
            </w:pPr>
            <w:r>
              <w:rPr>
                <w:rFonts w:ascii="Times New Roman" w:eastAsia="宋体" w:hAnsi="Times New Roman"/>
                <w:color w:val="000000"/>
                <w:sz w:val="16"/>
                <w:szCs w:val="16"/>
              </w:rPr>
              <w:t>480</w:t>
            </w:r>
          </w:p>
        </w:tc>
      </w:tr>
      <w:tr w:rsidR="00D42204" w14:paraId="35D0B554" w14:textId="77777777">
        <w:tc>
          <w:tcPr>
            <w:tcW w:w="0" w:type="auto"/>
            <w:gridSpan w:val="3"/>
            <w:shd w:val="clear" w:color="auto" w:fill="FFFFFF"/>
            <w:tcMar>
              <w:top w:w="40" w:type="dxa"/>
              <w:left w:w="20" w:type="dxa"/>
              <w:bottom w:w="40" w:type="dxa"/>
              <w:right w:w="20" w:type="dxa"/>
            </w:tcMar>
            <w:vAlign w:val="bottom"/>
          </w:tcPr>
          <w:p w14:paraId="35D0B54C" w14:textId="77777777" w:rsidR="00D42204" w:rsidRDefault="004E439D">
            <w:pPr>
              <w:textAlignment w:val="bottom"/>
            </w:pPr>
            <w:r>
              <w:rPr>
                <w:rFonts w:ascii="Times New Roman" w:eastAsia="宋体" w:hAnsi="Times New Roman"/>
                <w:color w:val="000000"/>
                <w:sz w:val="16"/>
                <w:szCs w:val="16"/>
              </w:rPr>
              <w:t>   Interest on lease obligations</w:t>
            </w:r>
          </w:p>
        </w:tc>
        <w:tc>
          <w:tcPr>
            <w:tcW w:w="0" w:type="auto"/>
            <w:gridSpan w:val="3"/>
            <w:shd w:val="clear" w:color="auto" w:fill="FFFFFF"/>
            <w:tcMar>
              <w:top w:w="0" w:type="dxa"/>
              <w:left w:w="20" w:type="dxa"/>
              <w:bottom w:w="0" w:type="dxa"/>
              <w:right w:w="20" w:type="dxa"/>
            </w:tcMar>
            <w:vAlign w:val="bottom"/>
          </w:tcPr>
          <w:p w14:paraId="35D0B54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54E" w14:textId="77777777" w:rsidR="00D42204" w:rsidRDefault="004E439D">
            <w:pPr>
              <w:jc w:val="right"/>
              <w:textAlignment w:val="bottom"/>
            </w:pPr>
            <w:r>
              <w:rPr>
                <w:rFonts w:ascii="Times New Roman" w:eastAsia="宋体" w:hAnsi="Times New Roman"/>
                <w:color w:val="000000"/>
                <w:sz w:val="16"/>
                <w:szCs w:val="16"/>
              </w:rPr>
              <w:t>232 </w:t>
            </w:r>
          </w:p>
        </w:tc>
        <w:tc>
          <w:tcPr>
            <w:tcW w:w="0" w:type="auto"/>
            <w:shd w:val="clear" w:color="auto" w:fill="FFFFFF"/>
            <w:tcMar>
              <w:top w:w="40" w:type="dxa"/>
              <w:left w:w="0" w:type="dxa"/>
              <w:bottom w:w="40" w:type="dxa"/>
              <w:right w:w="20" w:type="dxa"/>
            </w:tcMar>
            <w:vAlign w:val="bottom"/>
          </w:tcPr>
          <w:p w14:paraId="35D0B54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550" w14:textId="77777777" w:rsidR="00D42204" w:rsidRDefault="00D42204">
            <w:pPr>
              <w:rPr>
                <w:rFonts w:ascii="宋体"/>
              </w:rPr>
            </w:pPr>
          </w:p>
        </w:tc>
        <w:tc>
          <w:tcPr>
            <w:tcW w:w="0" w:type="auto"/>
            <w:gridSpan w:val="3"/>
            <w:shd w:val="clear" w:color="auto" w:fill="FFFFFF"/>
            <w:tcMar>
              <w:top w:w="40" w:type="dxa"/>
              <w:left w:w="20" w:type="dxa"/>
              <w:bottom w:w="40" w:type="dxa"/>
              <w:right w:w="65" w:type="dxa"/>
            </w:tcMar>
            <w:vAlign w:val="center"/>
          </w:tcPr>
          <w:p w14:paraId="35D0B551" w14:textId="77777777" w:rsidR="00D42204" w:rsidRDefault="004E439D">
            <w:pPr>
              <w:jc w:val="right"/>
              <w:textAlignment w:val="center"/>
            </w:pPr>
            <w:r>
              <w:rPr>
                <w:rFonts w:ascii="Times New Roman" w:eastAsia="宋体" w:hAnsi="Times New Roman"/>
                <w:color w:val="000000"/>
                <w:sz w:val="16"/>
                <w:szCs w:val="16"/>
              </w:rPr>
              <w:t>298</w:t>
            </w:r>
          </w:p>
        </w:tc>
        <w:tc>
          <w:tcPr>
            <w:tcW w:w="0" w:type="auto"/>
            <w:gridSpan w:val="3"/>
            <w:shd w:val="clear" w:color="auto" w:fill="FFFFFF"/>
            <w:tcMar>
              <w:top w:w="0" w:type="dxa"/>
              <w:left w:w="20" w:type="dxa"/>
              <w:bottom w:w="0" w:type="dxa"/>
              <w:right w:w="20" w:type="dxa"/>
            </w:tcMar>
            <w:vAlign w:val="bottom"/>
          </w:tcPr>
          <w:p w14:paraId="35D0B552" w14:textId="77777777" w:rsidR="00D42204" w:rsidRDefault="00D42204">
            <w:pPr>
              <w:rPr>
                <w:rFonts w:ascii="宋体"/>
              </w:rPr>
            </w:pPr>
          </w:p>
        </w:tc>
        <w:tc>
          <w:tcPr>
            <w:tcW w:w="0" w:type="auto"/>
            <w:gridSpan w:val="3"/>
            <w:shd w:val="clear" w:color="auto" w:fill="FFFFFF"/>
            <w:tcMar>
              <w:top w:w="40" w:type="dxa"/>
              <w:left w:w="20" w:type="dxa"/>
              <w:bottom w:w="40" w:type="dxa"/>
              <w:right w:w="65" w:type="dxa"/>
            </w:tcMar>
            <w:vAlign w:val="center"/>
          </w:tcPr>
          <w:p w14:paraId="35D0B553" w14:textId="77777777" w:rsidR="00D42204" w:rsidRDefault="004E439D">
            <w:pPr>
              <w:jc w:val="right"/>
              <w:textAlignment w:val="center"/>
            </w:pPr>
            <w:r>
              <w:rPr>
                <w:rFonts w:ascii="Times New Roman" w:eastAsia="宋体" w:hAnsi="Times New Roman"/>
                <w:color w:val="000000"/>
                <w:sz w:val="16"/>
                <w:szCs w:val="16"/>
              </w:rPr>
              <w:t>306</w:t>
            </w:r>
          </w:p>
        </w:tc>
      </w:tr>
      <w:tr w:rsidR="00D42204" w14:paraId="35D0B55D" w14:textId="77777777">
        <w:tc>
          <w:tcPr>
            <w:tcW w:w="0" w:type="auto"/>
            <w:gridSpan w:val="3"/>
            <w:shd w:val="clear" w:color="auto" w:fill="CCEEFF"/>
            <w:tcMar>
              <w:top w:w="40" w:type="dxa"/>
              <w:left w:w="20" w:type="dxa"/>
              <w:bottom w:w="40" w:type="dxa"/>
              <w:right w:w="20" w:type="dxa"/>
            </w:tcMar>
            <w:vAlign w:val="bottom"/>
          </w:tcPr>
          <w:p w14:paraId="35D0B555" w14:textId="77777777" w:rsidR="00D42204" w:rsidRDefault="004E439D">
            <w:pPr>
              <w:textAlignment w:val="bottom"/>
            </w:pPr>
            <w:r>
              <w:rPr>
                <w:rFonts w:ascii="Times New Roman" w:eastAsia="宋体" w:hAnsi="Times New Roman"/>
                <w:color w:val="000000"/>
                <w:sz w:val="16"/>
                <w:szCs w:val="16"/>
              </w:rPr>
              <w:t>Variable lease cost</w:t>
            </w:r>
          </w:p>
        </w:tc>
        <w:tc>
          <w:tcPr>
            <w:tcW w:w="0" w:type="auto"/>
            <w:gridSpan w:val="3"/>
            <w:shd w:val="clear" w:color="auto" w:fill="CCEEFF"/>
            <w:tcMar>
              <w:top w:w="0" w:type="dxa"/>
              <w:left w:w="20" w:type="dxa"/>
              <w:bottom w:w="0" w:type="dxa"/>
              <w:right w:w="20" w:type="dxa"/>
            </w:tcMar>
            <w:vAlign w:val="bottom"/>
          </w:tcPr>
          <w:p w14:paraId="35D0B55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557" w14:textId="77777777" w:rsidR="00D42204" w:rsidRDefault="004E439D">
            <w:pPr>
              <w:jc w:val="right"/>
              <w:textAlignment w:val="bottom"/>
            </w:pPr>
            <w:r>
              <w:rPr>
                <w:rFonts w:ascii="Times New Roman" w:eastAsia="宋体" w:hAnsi="Times New Roman"/>
                <w:color w:val="000000"/>
                <w:sz w:val="16"/>
                <w:szCs w:val="16"/>
              </w:rPr>
              <w:t>823 </w:t>
            </w:r>
          </w:p>
        </w:tc>
        <w:tc>
          <w:tcPr>
            <w:tcW w:w="0" w:type="auto"/>
            <w:shd w:val="clear" w:color="auto" w:fill="CCEEFF"/>
            <w:tcMar>
              <w:top w:w="40" w:type="dxa"/>
              <w:left w:w="0" w:type="dxa"/>
              <w:bottom w:w="40" w:type="dxa"/>
              <w:right w:w="20" w:type="dxa"/>
            </w:tcMar>
            <w:vAlign w:val="bottom"/>
          </w:tcPr>
          <w:p w14:paraId="35D0B55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559" w14:textId="77777777" w:rsidR="00D42204" w:rsidRDefault="00D42204">
            <w:pPr>
              <w:rPr>
                <w:rFonts w:ascii="宋体"/>
              </w:rPr>
            </w:pPr>
          </w:p>
        </w:tc>
        <w:tc>
          <w:tcPr>
            <w:tcW w:w="0" w:type="auto"/>
            <w:gridSpan w:val="3"/>
            <w:shd w:val="clear" w:color="auto" w:fill="CCEEFF"/>
            <w:tcMar>
              <w:top w:w="40" w:type="dxa"/>
              <w:left w:w="20" w:type="dxa"/>
              <w:bottom w:w="40" w:type="dxa"/>
              <w:right w:w="65" w:type="dxa"/>
            </w:tcMar>
            <w:vAlign w:val="center"/>
          </w:tcPr>
          <w:p w14:paraId="35D0B55A" w14:textId="77777777" w:rsidR="00D42204" w:rsidRDefault="004E439D">
            <w:pPr>
              <w:jc w:val="right"/>
              <w:textAlignment w:val="center"/>
            </w:pPr>
            <w:r>
              <w:rPr>
                <w:rFonts w:ascii="Times New Roman" w:eastAsia="宋体" w:hAnsi="Times New Roman"/>
                <w:color w:val="000000"/>
                <w:sz w:val="16"/>
                <w:szCs w:val="16"/>
              </w:rPr>
              <w:t>777</w:t>
            </w:r>
          </w:p>
        </w:tc>
        <w:tc>
          <w:tcPr>
            <w:tcW w:w="0" w:type="auto"/>
            <w:gridSpan w:val="3"/>
            <w:shd w:val="clear" w:color="auto" w:fill="CCEEFF"/>
            <w:tcMar>
              <w:top w:w="0" w:type="dxa"/>
              <w:left w:w="20" w:type="dxa"/>
              <w:bottom w:w="0" w:type="dxa"/>
              <w:right w:w="20" w:type="dxa"/>
            </w:tcMar>
            <w:vAlign w:val="bottom"/>
          </w:tcPr>
          <w:p w14:paraId="35D0B55B" w14:textId="77777777" w:rsidR="00D42204" w:rsidRDefault="00D42204">
            <w:pPr>
              <w:rPr>
                <w:rFonts w:ascii="宋体"/>
              </w:rPr>
            </w:pPr>
          </w:p>
        </w:tc>
        <w:tc>
          <w:tcPr>
            <w:tcW w:w="0" w:type="auto"/>
            <w:gridSpan w:val="3"/>
            <w:shd w:val="clear" w:color="auto" w:fill="CCEEFF"/>
            <w:tcMar>
              <w:top w:w="40" w:type="dxa"/>
              <w:left w:w="20" w:type="dxa"/>
              <w:bottom w:w="40" w:type="dxa"/>
              <w:right w:w="65" w:type="dxa"/>
            </w:tcMar>
            <w:vAlign w:val="center"/>
          </w:tcPr>
          <w:p w14:paraId="35D0B55C" w14:textId="77777777" w:rsidR="00D42204" w:rsidRDefault="004E439D">
            <w:pPr>
              <w:jc w:val="right"/>
              <w:textAlignment w:val="center"/>
            </w:pPr>
            <w:r>
              <w:rPr>
                <w:rFonts w:ascii="Times New Roman" w:eastAsia="宋体" w:hAnsi="Times New Roman"/>
                <w:color w:val="000000"/>
                <w:sz w:val="16"/>
                <w:szCs w:val="16"/>
              </w:rPr>
              <w:t>691</w:t>
            </w:r>
          </w:p>
        </w:tc>
      </w:tr>
    </w:tbl>
    <w:p w14:paraId="35D0B55E" w14:textId="77777777" w:rsidR="00D42204" w:rsidRDefault="004E439D">
      <w:pPr>
        <w:spacing w:before="180"/>
      </w:pPr>
      <w:r>
        <w:rPr>
          <w:rFonts w:ascii="Times New Roman" w:eastAsia="宋体" w:hAnsi="Times New Roman"/>
          <w:color w:val="000000"/>
          <w:sz w:val="20"/>
          <w:szCs w:val="20"/>
        </w:rPr>
        <w:t>Other lease information is as follows:</w:t>
      </w:r>
    </w:p>
    <w:tbl>
      <w:tblPr>
        <w:tblW w:w="5000" w:type="pct"/>
        <w:tblCellMar>
          <w:top w:w="15" w:type="dxa"/>
          <w:left w:w="15" w:type="dxa"/>
          <w:bottom w:w="15" w:type="dxa"/>
          <w:right w:w="15" w:type="dxa"/>
        </w:tblCellMar>
        <w:tblLook w:val="04A0" w:firstRow="1" w:lastRow="0" w:firstColumn="1" w:lastColumn="0" w:noHBand="0" w:noVBand="1"/>
      </w:tblPr>
      <w:tblGrid>
        <w:gridCol w:w="50"/>
        <w:gridCol w:w="5119"/>
        <w:gridCol w:w="37"/>
        <w:gridCol w:w="36"/>
        <w:gridCol w:w="36"/>
        <w:gridCol w:w="36"/>
        <w:gridCol w:w="100"/>
        <w:gridCol w:w="823"/>
        <w:gridCol w:w="36"/>
        <w:gridCol w:w="36"/>
        <w:gridCol w:w="36"/>
        <w:gridCol w:w="36"/>
        <w:gridCol w:w="38"/>
        <w:gridCol w:w="835"/>
        <w:gridCol w:w="36"/>
        <w:gridCol w:w="36"/>
        <w:gridCol w:w="36"/>
        <w:gridCol w:w="36"/>
        <w:gridCol w:w="50"/>
        <w:gridCol w:w="852"/>
        <w:gridCol w:w="36"/>
      </w:tblGrid>
      <w:tr w:rsidR="00D42204" w14:paraId="35D0B574" w14:textId="77777777">
        <w:tc>
          <w:tcPr>
            <w:tcW w:w="50" w:type="pct"/>
            <w:shd w:val="clear" w:color="auto" w:fill="auto"/>
            <w:vAlign w:val="bottom"/>
          </w:tcPr>
          <w:p w14:paraId="35D0B55F" w14:textId="77777777" w:rsidR="00D42204" w:rsidRDefault="00D42204">
            <w:pPr>
              <w:rPr>
                <w:rFonts w:ascii="宋体"/>
              </w:rPr>
            </w:pPr>
          </w:p>
        </w:tc>
        <w:tc>
          <w:tcPr>
            <w:tcW w:w="3088" w:type="pct"/>
            <w:shd w:val="clear" w:color="auto" w:fill="auto"/>
            <w:vAlign w:val="bottom"/>
          </w:tcPr>
          <w:p w14:paraId="35D0B560" w14:textId="77777777" w:rsidR="00D42204" w:rsidRDefault="00D42204">
            <w:pPr>
              <w:rPr>
                <w:rFonts w:ascii="宋体"/>
              </w:rPr>
            </w:pPr>
          </w:p>
        </w:tc>
        <w:tc>
          <w:tcPr>
            <w:tcW w:w="5" w:type="pct"/>
            <w:shd w:val="clear" w:color="auto" w:fill="auto"/>
            <w:vAlign w:val="bottom"/>
          </w:tcPr>
          <w:p w14:paraId="35D0B561" w14:textId="77777777" w:rsidR="00D42204" w:rsidRDefault="00D42204">
            <w:pPr>
              <w:rPr>
                <w:rFonts w:ascii="宋体"/>
              </w:rPr>
            </w:pPr>
          </w:p>
        </w:tc>
        <w:tc>
          <w:tcPr>
            <w:tcW w:w="5" w:type="pct"/>
            <w:shd w:val="clear" w:color="auto" w:fill="auto"/>
            <w:vAlign w:val="bottom"/>
          </w:tcPr>
          <w:p w14:paraId="35D0B562" w14:textId="77777777" w:rsidR="00D42204" w:rsidRDefault="00D42204">
            <w:pPr>
              <w:rPr>
                <w:rFonts w:ascii="宋体"/>
              </w:rPr>
            </w:pPr>
          </w:p>
        </w:tc>
        <w:tc>
          <w:tcPr>
            <w:tcW w:w="26" w:type="pct"/>
            <w:shd w:val="clear" w:color="auto" w:fill="auto"/>
            <w:vAlign w:val="bottom"/>
          </w:tcPr>
          <w:p w14:paraId="35D0B563" w14:textId="77777777" w:rsidR="00D42204" w:rsidRDefault="00D42204">
            <w:pPr>
              <w:rPr>
                <w:rFonts w:ascii="宋体"/>
              </w:rPr>
            </w:pPr>
          </w:p>
        </w:tc>
        <w:tc>
          <w:tcPr>
            <w:tcW w:w="5" w:type="pct"/>
            <w:shd w:val="clear" w:color="auto" w:fill="auto"/>
            <w:vAlign w:val="bottom"/>
          </w:tcPr>
          <w:p w14:paraId="35D0B564" w14:textId="77777777" w:rsidR="00D42204" w:rsidRDefault="00D42204">
            <w:pPr>
              <w:rPr>
                <w:rFonts w:ascii="宋体"/>
              </w:rPr>
            </w:pPr>
          </w:p>
        </w:tc>
        <w:tc>
          <w:tcPr>
            <w:tcW w:w="50" w:type="pct"/>
            <w:shd w:val="clear" w:color="auto" w:fill="auto"/>
            <w:vAlign w:val="bottom"/>
          </w:tcPr>
          <w:p w14:paraId="35D0B565" w14:textId="77777777" w:rsidR="00D42204" w:rsidRDefault="00D42204">
            <w:pPr>
              <w:rPr>
                <w:rFonts w:ascii="宋体"/>
              </w:rPr>
            </w:pPr>
          </w:p>
        </w:tc>
        <w:tc>
          <w:tcPr>
            <w:tcW w:w="529" w:type="pct"/>
            <w:shd w:val="clear" w:color="auto" w:fill="auto"/>
            <w:vAlign w:val="bottom"/>
          </w:tcPr>
          <w:p w14:paraId="35D0B566" w14:textId="77777777" w:rsidR="00D42204" w:rsidRDefault="00D42204">
            <w:pPr>
              <w:rPr>
                <w:rFonts w:ascii="宋体"/>
              </w:rPr>
            </w:pPr>
          </w:p>
        </w:tc>
        <w:tc>
          <w:tcPr>
            <w:tcW w:w="5" w:type="pct"/>
            <w:shd w:val="clear" w:color="auto" w:fill="auto"/>
            <w:vAlign w:val="bottom"/>
          </w:tcPr>
          <w:p w14:paraId="35D0B567" w14:textId="77777777" w:rsidR="00D42204" w:rsidRDefault="00D42204">
            <w:pPr>
              <w:rPr>
                <w:rFonts w:ascii="宋体"/>
              </w:rPr>
            </w:pPr>
          </w:p>
        </w:tc>
        <w:tc>
          <w:tcPr>
            <w:tcW w:w="5" w:type="pct"/>
            <w:shd w:val="clear" w:color="auto" w:fill="auto"/>
            <w:vAlign w:val="bottom"/>
          </w:tcPr>
          <w:p w14:paraId="35D0B568" w14:textId="77777777" w:rsidR="00D42204" w:rsidRDefault="00D42204">
            <w:pPr>
              <w:rPr>
                <w:rFonts w:ascii="宋体"/>
              </w:rPr>
            </w:pPr>
          </w:p>
        </w:tc>
        <w:tc>
          <w:tcPr>
            <w:tcW w:w="26" w:type="pct"/>
            <w:shd w:val="clear" w:color="auto" w:fill="auto"/>
            <w:vAlign w:val="bottom"/>
          </w:tcPr>
          <w:p w14:paraId="35D0B569" w14:textId="77777777" w:rsidR="00D42204" w:rsidRDefault="00D42204">
            <w:pPr>
              <w:rPr>
                <w:rFonts w:ascii="宋体"/>
              </w:rPr>
            </w:pPr>
          </w:p>
        </w:tc>
        <w:tc>
          <w:tcPr>
            <w:tcW w:w="5" w:type="pct"/>
            <w:shd w:val="clear" w:color="auto" w:fill="auto"/>
            <w:vAlign w:val="bottom"/>
          </w:tcPr>
          <w:p w14:paraId="35D0B56A" w14:textId="77777777" w:rsidR="00D42204" w:rsidRDefault="00D42204">
            <w:pPr>
              <w:rPr>
                <w:rFonts w:ascii="宋体"/>
              </w:rPr>
            </w:pPr>
          </w:p>
        </w:tc>
        <w:tc>
          <w:tcPr>
            <w:tcW w:w="50" w:type="pct"/>
            <w:shd w:val="clear" w:color="auto" w:fill="auto"/>
            <w:vAlign w:val="bottom"/>
          </w:tcPr>
          <w:p w14:paraId="35D0B56B" w14:textId="77777777" w:rsidR="00D42204" w:rsidRDefault="00D42204">
            <w:pPr>
              <w:rPr>
                <w:rFonts w:ascii="宋体"/>
              </w:rPr>
            </w:pPr>
          </w:p>
        </w:tc>
        <w:tc>
          <w:tcPr>
            <w:tcW w:w="529" w:type="pct"/>
            <w:shd w:val="clear" w:color="auto" w:fill="auto"/>
            <w:vAlign w:val="bottom"/>
          </w:tcPr>
          <w:p w14:paraId="35D0B56C" w14:textId="77777777" w:rsidR="00D42204" w:rsidRDefault="00D42204">
            <w:pPr>
              <w:rPr>
                <w:rFonts w:ascii="宋体"/>
              </w:rPr>
            </w:pPr>
          </w:p>
        </w:tc>
        <w:tc>
          <w:tcPr>
            <w:tcW w:w="5" w:type="pct"/>
            <w:shd w:val="clear" w:color="auto" w:fill="auto"/>
            <w:vAlign w:val="bottom"/>
          </w:tcPr>
          <w:p w14:paraId="35D0B56D" w14:textId="77777777" w:rsidR="00D42204" w:rsidRDefault="00D42204">
            <w:pPr>
              <w:rPr>
                <w:rFonts w:ascii="宋体"/>
              </w:rPr>
            </w:pPr>
          </w:p>
        </w:tc>
        <w:tc>
          <w:tcPr>
            <w:tcW w:w="5" w:type="pct"/>
            <w:shd w:val="clear" w:color="auto" w:fill="auto"/>
            <w:vAlign w:val="bottom"/>
          </w:tcPr>
          <w:p w14:paraId="35D0B56E" w14:textId="77777777" w:rsidR="00D42204" w:rsidRDefault="00D42204">
            <w:pPr>
              <w:rPr>
                <w:rFonts w:ascii="宋体"/>
              </w:rPr>
            </w:pPr>
          </w:p>
        </w:tc>
        <w:tc>
          <w:tcPr>
            <w:tcW w:w="19" w:type="pct"/>
            <w:shd w:val="clear" w:color="auto" w:fill="auto"/>
            <w:vAlign w:val="bottom"/>
          </w:tcPr>
          <w:p w14:paraId="35D0B56F" w14:textId="77777777" w:rsidR="00D42204" w:rsidRDefault="00D42204">
            <w:pPr>
              <w:rPr>
                <w:rFonts w:ascii="宋体"/>
              </w:rPr>
            </w:pPr>
          </w:p>
        </w:tc>
        <w:tc>
          <w:tcPr>
            <w:tcW w:w="5" w:type="pct"/>
            <w:shd w:val="clear" w:color="auto" w:fill="auto"/>
            <w:vAlign w:val="bottom"/>
          </w:tcPr>
          <w:p w14:paraId="35D0B570" w14:textId="77777777" w:rsidR="00D42204" w:rsidRDefault="00D42204">
            <w:pPr>
              <w:rPr>
                <w:rFonts w:ascii="宋体"/>
              </w:rPr>
            </w:pPr>
          </w:p>
        </w:tc>
        <w:tc>
          <w:tcPr>
            <w:tcW w:w="50" w:type="pct"/>
            <w:shd w:val="clear" w:color="auto" w:fill="auto"/>
            <w:vAlign w:val="bottom"/>
          </w:tcPr>
          <w:p w14:paraId="35D0B571" w14:textId="77777777" w:rsidR="00D42204" w:rsidRDefault="00D42204">
            <w:pPr>
              <w:rPr>
                <w:rFonts w:ascii="宋体"/>
              </w:rPr>
            </w:pPr>
          </w:p>
        </w:tc>
        <w:tc>
          <w:tcPr>
            <w:tcW w:w="530" w:type="pct"/>
            <w:shd w:val="clear" w:color="auto" w:fill="auto"/>
            <w:vAlign w:val="bottom"/>
          </w:tcPr>
          <w:p w14:paraId="35D0B572" w14:textId="77777777" w:rsidR="00D42204" w:rsidRDefault="00D42204">
            <w:pPr>
              <w:rPr>
                <w:rFonts w:ascii="宋体"/>
              </w:rPr>
            </w:pPr>
          </w:p>
        </w:tc>
        <w:tc>
          <w:tcPr>
            <w:tcW w:w="5" w:type="pct"/>
            <w:shd w:val="clear" w:color="auto" w:fill="auto"/>
            <w:vAlign w:val="bottom"/>
          </w:tcPr>
          <w:p w14:paraId="35D0B573" w14:textId="77777777" w:rsidR="00D42204" w:rsidRDefault="00D42204">
            <w:pPr>
              <w:rPr>
                <w:rFonts w:ascii="宋体"/>
              </w:rPr>
            </w:pPr>
          </w:p>
        </w:tc>
      </w:tr>
      <w:tr w:rsidR="00D42204" w14:paraId="35D0B578" w14:textId="77777777">
        <w:tc>
          <w:tcPr>
            <w:tcW w:w="0" w:type="auto"/>
            <w:gridSpan w:val="3"/>
            <w:shd w:val="clear" w:color="auto" w:fill="auto"/>
            <w:tcMar>
              <w:top w:w="0" w:type="dxa"/>
              <w:left w:w="20" w:type="dxa"/>
              <w:bottom w:w="0" w:type="dxa"/>
              <w:right w:w="20" w:type="dxa"/>
            </w:tcMar>
            <w:vAlign w:val="bottom"/>
          </w:tcPr>
          <w:p w14:paraId="35D0B575"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576"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B577" w14:textId="77777777" w:rsidR="00D42204" w:rsidRDefault="004E439D">
            <w:pPr>
              <w:jc w:val="center"/>
              <w:textAlignment w:val="bottom"/>
            </w:pPr>
            <w:r>
              <w:rPr>
                <w:rFonts w:ascii="Times New Roman" w:eastAsia="宋体" w:hAnsi="Times New Roman"/>
                <w:b/>
                <w:bCs/>
                <w:color w:val="000000"/>
                <w:sz w:val="16"/>
                <w:szCs w:val="16"/>
              </w:rPr>
              <w:t>Fiscal years ended January 31,</w:t>
            </w:r>
          </w:p>
        </w:tc>
      </w:tr>
      <w:tr w:rsidR="00D42204" w14:paraId="35D0B580" w14:textId="77777777">
        <w:tc>
          <w:tcPr>
            <w:tcW w:w="0" w:type="auto"/>
            <w:gridSpan w:val="3"/>
            <w:shd w:val="clear" w:color="auto" w:fill="auto"/>
            <w:tcMar>
              <w:top w:w="40" w:type="dxa"/>
              <w:left w:w="65" w:type="dxa"/>
              <w:bottom w:w="40" w:type="dxa"/>
              <w:right w:w="20" w:type="dxa"/>
            </w:tcMar>
            <w:vAlign w:val="bottom"/>
          </w:tcPr>
          <w:p w14:paraId="35D0B579"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57A"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57B"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35D0B57C"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57D"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35D0B57E"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57F"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B588" w14:textId="77777777">
        <w:tc>
          <w:tcPr>
            <w:tcW w:w="0" w:type="auto"/>
            <w:gridSpan w:val="3"/>
            <w:shd w:val="clear" w:color="auto" w:fill="CCEEFF"/>
            <w:tcMar>
              <w:top w:w="40" w:type="dxa"/>
              <w:left w:w="20" w:type="dxa"/>
              <w:bottom w:w="40" w:type="dxa"/>
              <w:right w:w="20" w:type="dxa"/>
            </w:tcMar>
            <w:vAlign w:val="bottom"/>
          </w:tcPr>
          <w:p w14:paraId="35D0B581" w14:textId="77777777" w:rsidR="00D42204" w:rsidRDefault="004E439D">
            <w:pPr>
              <w:textAlignment w:val="bottom"/>
            </w:pPr>
            <w:r>
              <w:rPr>
                <w:rFonts w:ascii="Times New Roman" w:eastAsia="宋体" w:hAnsi="Times New Roman"/>
                <w:color w:val="000000"/>
                <w:sz w:val="16"/>
                <w:szCs w:val="16"/>
              </w:rPr>
              <w:t>Cash paid for amounts included in measurement of lease obligations:</w:t>
            </w:r>
          </w:p>
        </w:tc>
        <w:tc>
          <w:tcPr>
            <w:tcW w:w="0" w:type="auto"/>
            <w:gridSpan w:val="3"/>
            <w:shd w:val="clear" w:color="auto" w:fill="CCEEFF"/>
            <w:tcMar>
              <w:top w:w="0" w:type="dxa"/>
              <w:left w:w="20" w:type="dxa"/>
              <w:bottom w:w="0" w:type="dxa"/>
              <w:right w:w="20" w:type="dxa"/>
            </w:tcMar>
            <w:vAlign w:val="bottom"/>
          </w:tcPr>
          <w:p w14:paraId="35D0B582"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583"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584"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585"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586"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587" w14:textId="77777777" w:rsidR="00D42204" w:rsidRDefault="00D42204">
            <w:pPr>
              <w:rPr>
                <w:rFonts w:ascii="宋体"/>
              </w:rPr>
            </w:pPr>
          </w:p>
        </w:tc>
      </w:tr>
      <w:tr w:rsidR="00D42204" w14:paraId="35D0B594" w14:textId="77777777">
        <w:tc>
          <w:tcPr>
            <w:tcW w:w="0" w:type="auto"/>
            <w:gridSpan w:val="3"/>
            <w:shd w:val="clear" w:color="auto" w:fill="FFFFFF"/>
            <w:tcMar>
              <w:top w:w="40" w:type="dxa"/>
              <w:left w:w="245" w:type="dxa"/>
              <w:bottom w:w="40" w:type="dxa"/>
              <w:right w:w="20" w:type="dxa"/>
            </w:tcMar>
            <w:vAlign w:val="bottom"/>
          </w:tcPr>
          <w:p w14:paraId="35D0B589" w14:textId="77777777" w:rsidR="00D42204" w:rsidRDefault="004E439D">
            <w:pPr>
              <w:textAlignment w:val="bottom"/>
            </w:pPr>
            <w:r>
              <w:rPr>
                <w:rFonts w:ascii="Times New Roman" w:eastAsia="宋体" w:hAnsi="Times New Roman"/>
                <w:color w:val="000000"/>
                <w:sz w:val="16"/>
                <w:szCs w:val="16"/>
              </w:rPr>
              <w:t>Operating cash flows from operating leases</w:t>
            </w:r>
          </w:p>
        </w:tc>
        <w:tc>
          <w:tcPr>
            <w:tcW w:w="0" w:type="auto"/>
            <w:gridSpan w:val="3"/>
            <w:shd w:val="clear" w:color="auto" w:fill="FFFFFF"/>
            <w:tcMar>
              <w:top w:w="0" w:type="dxa"/>
              <w:left w:w="20" w:type="dxa"/>
              <w:bottom w:w="0" w:type="dxa"/>
              <w:right w:w="20" w:type="dxa"/>
            </w:tcMar>
            <w:vAlign w:val="bottom"/>
          </w:tcPr>
          <w:p w14:paraId="35D0B58A" w14:textId="77777777" w:rsidR="00D42204" w:rsidRDefault="00D42204">
            <w:pPr>
              <w:rPr>
                <w:rFonts w:ascii="宋体"/>
              </w:rPr>
            </w:pPr>
          </w:p>
        </w:tc>
        <w:tc>
          <w:tcPr>
            <w:tcW w:w="0" w:type="auto"/>
            <w:shd w:val="clear" w:color="auto" w:fill="FFFFFF"/>
            <w:tcMar>
              <w:top w:w="40" w:type="dxa"/>
              <w:left w:w="20" w:type="dxa"/>
              <w:bottom w:w="40" w:type="dxa"/>
              <w:right w:w="0" w:type="dxa"/>
            </w:tcMar>
            <w:vAlign w:val="bottom"/>
          </w:tcPr>
          <w:p w14:paraId="35D0B58B" w14:textId="77777777" w:rsidR="00D42204" w:rsidRDefault="004E439D">
            <w:pPr>
              <w:textAlignment w:val="bottom"/>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bottom"/>
          </w:tcPr>
          <w:p w14:paraId="35D0B58C" w14:textId="77777777" w:rsidR="00D42204" w:rsidRDefault="004E439D">
            <w:pPr>
              <w:jc w:val="right"/>
              <w:textAlignment w:val="bottom"/>
            </w:pPr>
            <w:r>
              <w:rPr>
                <w:rFonts w:ascii="Times New Roman" w:eastAsia="宋体" w:hAnsi="Times New Roman"/>
                <w:color w:val="000000"/>
                <w:sz w:val="16"/>
                <w:szCs w:val="16"/>
              </w:rPr>
              <w:t>2,234 </w:t>
            </w:r>
          </w:p>
        </w:tc>
        <w:tc>
          <w:tcPr>
            <w:tcW w:w="0" w:type="auto"/>
            <w:shd w:val="clear" w:color="auto" w:fill="FFFFFF"/>
            <w:tcMar>
              <w:top w:w="40" w:type="dxa"/>
              <w:left w:w="0" w:type="dxa"/>
              <w:bottom w:w="40" w:type="dxa"/>
              <w:right w:w="20" w:type="dxa"/>
            </w:tcMar>
            <w:vAlign w:val="bottom"/>
          </w:tcPr>
          <w:p w14:paraId="35D0B58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58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58F" w14:textId="77777777" w:rsidR="00D42204" w:rsidRDefault="004E439D">
            <w:pPr>
              <w:jc w:val="right"/>
              <w:textAlignment w:val="bottom"/>
            </w:pPr>
            <w:r>
              <w:rPr>
                <w:rFonts w:ascii="Times New Roman" w:eastAsia="宋体" w:hAnsi="Times New Roman"/>
                <w:color w:val="000000"/>
                <w:sz w:val="16"/>
                <w:szCs w:val="16"/>
              </w:rPr>
              <w:t>2,629 </w:t>
            </w:r>
          </w:p>
        </w:tc>
        <w:tc>
          <w:tcPr>
            <w:tcW w:w="0" w:type="auto"/>
            <w:shd w:val="clear" w:color="auto" w:fill="FFFFFF"/>
            <w:tcMar>
              <w:top w:w="40" w:type="dxa"/>
              <w:left w:w="0" w:type="dxa"/>
              <w:bottom w:w="40" w:type="dxa"/>
              <w:right w:w="20" w:type="dxa"/>
            </w:tcMar>
            <w:vAlign w:val="bottom"/>
          </w:tcPr>
          <w:p w14:paraId="35D0B59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59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592" w14:textId="77777777" w:rsidR="00D42204" w:rsidRDefault="004E439D">
            <w:pPr>
              <w:jc w:val="right"/>
              <w:textAlignment w:val="bottom"/>
            </w:pPr>
            <w:r>
              <w:rPr>
                <w:rFonts w:ascii="Times New Roman" w:eastAsia="宋体" w:hAnsi="Times New Roman"/>
                <w:color w:val="000000"/>
                <w:sz w:val="16"/>
                <w:szCs w:val="16"/>
              </w:rPr>
              <w:t>2,614 </w:t>
            </w:r>
          </w:p>
        </w:tc>
        <w:tc>
          <w:tcPr>
            <w:tcW w:w="0" w:type="auto"/>
            <w:shd w:val="clear" w:color="auto" w:fill="FFFFFF"/>
            <w:tcMar>
              <w:top w:w="40" w:type="dxa"/>
              <w:left w:w="0" w:type="dxa"/>
              <w:bottom w:w="40" w:type="dxa"/>
              <w:right w:w="20" w:type="dxa"/>
            </w:tcMar>
            <w:vAlign w:val="bottom"/>
          </w:tcPr>
          <w:p w14:paraId="35D0B593" w14:textId="77777777" w:rsidR="00D42204" w:rsidRDefault="00D42204">
            <w:pPr>
              <w:jc w:val="right"/>
              <w:rPr>
                <w:rFonts w:ascii="宋体"/>
              </w:rPr>
            </w:pPr>
          </w:p>
        </w:tc>
      </w:tr>
      <w:tr w:rsidR="00D42204" w14:paraId="35D0B59F" w14:textId="77777777">
        <w:tc>
          <w:tcPr>
            <w:tcW w:w="0" w:type="auto"/>
            <w:gridSpan w:val="3"/>
            <w:shd w:val="clear" w:color="auto" w:fill="CCEEFF"/>
            <w:tcMar>
              <w:top w:w="40" w:type="dxa"/>
              <w:left w:w="245" w:type="dxa"/>
              <w:bottom w:w="40" w:type="dxa"/>
              <w:right w:w="20" w:type="dxa"/>
            </w:tcMar>
            <w:vAlign w:val="bottom"/>
          </w:tcPr>
          <w:p w14:paraId="35D0B595" w14:textId="77777777" w:rsidR="00D42204" w:rsidRDefault="004E439D">
            <w:pPr>
              <w:textAlignment w:val="bottom"/>
            </w:pPr>
            <w:r>
              <w:rPr>
                <w:rFonts w:ascii="Times New Roman" w:eastAsia="宋体" w:hAnsi="Times New Roman"/>
                <w:color w:val="000000"/>
                <w:sz w:val="16"/>
                <w:szCs w:val="16"/>
              </w:rPr>
              <w:t>Operating cash flows from finance leases</w:t>
            </w:r>
          </w:p>
        </w:tc>
        <w:tc>
          <w:tcPr>
            <w:tcW w:w="0" w:type="auto"/>
            <w:gridSpan w:val="3"/>
            <w:shd w:val="clear" w:color="auto" w:fill="CCEEFF"/>
            <w:tcMar>
              <w:top w:w="0" w:type="dxa"/>
              <w:left w:w="20" w:type="dxa"/>
              <w:bottom w:w="0" w:type="dxa"/>
              <w:right w:w="20" w:type="dxa"/>
            </w:tcMar>
            <w:vAlign w:val="bottom"/>
          </w:tcPr>
          <w:p w14:paraId="35D0B59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597" w14:textId="77777777" w:rsidR="00D42204" w:rsidRDefault="004E439D">
            <w:pPr>
              <w:jc w:val="right"/>
              <w:textAlignment w:val="bottom"/>
            </w:pPr>
            <w:r>
              <w:rPr>
                <w:rFonts w:ascii="Times New Roman" w:eastAsia="宋体" w:hAnsi="Times New Roman"/>
                <w:color w:val="000000"/>
                <w:sz w:val="16"/>
                <w:szCs w:val="16"/>
              </w:rPr>
              <w:t>225 </w:t>
            </w:r>
          </w:p>
        </w:tc>
        <w:tc>
          <w:tcPr>
            <w:tcW w:w="0" w:type="auto"/>
            <w:shd w:val="clear" w:color="auto" w:fill="CCEEFF"/>
            <w:tcMar>
              <w:top w:w="40" w:type="dxa"/>
              <w:left w:w="0" w:type="dxa"/>
              <w:bottom w:w="40" w:type="dxa"/>
              <w:right w:w="20" w:type="dxa"/>
            </w:tcMar>
            <w:vAlign w:val="bottom"/>
          </w:tcPr>
          <w:p w14:paraId="35D0B59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59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59A" w14:textId="77777777" w:rsidR="00D42204" w:rsidRDefault="004E439D">
            <w:pPr>
              <w:jc w:val="right"/>
              <w:textAlignment w:val="bottom"/>
            </w:pPr>
            <w:r>
              <w:rPr>
                <w:rFonts w:ascii="Times New Roman" w:eastAsia="宋体" w:hAnsi="Times New Roman"/>
                <w:color w:val="000000"/>
                <w:sz w:val="16"/>
                <w:szCs w:val="16"/>
              </w:rPr>
              <w:t>286 </w:t>
            </w:r>
          </w:p>
        </w:tc>
        <w:tc>
          <w:tcPr>
            <w:tcW w:w="0" w:type="auto"/>
            <w:shd w:val="clear" w:color="auto" w:fill="CCEEFF"/>
            <w:tcMar>
              <w:top w:w="40" w:type="dxa"/>
              <w:left w:w="0" w:type="dxa"/>
              <w:bottom w:w="40" w:type="dxa"/>
              <w:right w:w="20" w:type="dxa"/>
            </w:tcMar>
            <w:vAlign w:val="bottom"/>
          </w:tcPr>
          <w:p w14:paraId="35D0B59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59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59D" w14:textId="77777777" w:rsidR="00D42204" w:rsidRDefault="004E439D">
            <w:pPr>
              <w:jc w:val="right"/>
              <w:textAlignment w:val="bottom"/>
            </w:pPr>
            <w:r>
              <w:rPr>
                <w:rFonts w:ascii="Times New Roman" w:eastAsia="宋体" w:hAnsi="Times New Roman"/>
                <w:color w:val="000000"/>
                <w:sz w:val="16"/>
                <w:szCs w:val="16"/>
              </w:rPr>
              <w:t>278 </w:t>
            </w:r>
          </w:p>
        </w:tc>
        <w:tc>
          <w:tcPr>
            <w:tcW w:w="0" w:type="auto"/>
            <w:shd w:val="clear" w:color="auto" w:fill="CCEEFF"/>
            <w:tcMar>
              <w:top w:w="40" w:type="dxa"/>
              <w:left w:w="0" w:type="dxa"/>
              <w:bottom w:w="40" w:type="dxa"/>
              <w:right w:w="20" w:type="dxa"/>
            </w:tcMar>
            <w:vAlign w:val="bottom"/>
          </w:tcPr>
          <w:p w14:paraId="35D0B59E" w14:textId="77777777" w:rsidR="00D42204" w:rsidRDefault="00D42204">
            <w:pPr>
              <w:jc w:val="right"/>
              <w:rPr>
                <w:rFonts w:ascii="宋体"/>
              </w:rPr>
            </w:pPr>
          </w:p>
        </w:tc>
      </w:tr>
      <w:tr w:rsidR="00D42204" w14:paraId="35D0B5AA" w14:textId="77777777">
        <w:tc>
          <w:tcPr>
            <w:tcW w:w="0" w:type="auto"/>
            <w:gridSpan w:val="3"/>
            <w:shd w:val="clear" w:color="auto" w:fill="FFFFFF"/>
            <w:tcMar>
              <w:top w:w="40" w:type="dxa"/>
              <w:left w:w="245" w:type="dxa"/>
              <w:bottom w:w="40" w:type="dxa"/>
              <w:right w:w="20" w:type="dxa"/>
            </w:tcMar>
            <w:vAlign w:val="bottom"/>
          </w:tcPr>
          <w:p w14:paraId="35D0B5A0" w14:textId="77777777" w:rsidR="00D42204" w:rsidRDefault="004E439D">
            <w:pPr>
              <w:textAlignment w:val="bottom"/>
            </w:pPr>
            <w:r>
              <w:rPr>
                <w:rFonts w:ascii="Times New Roman" w:eastAsia="宋体" w:hAnsi="Times New Roman"/>
                <w:color w:val="000000"/>
                <w:sz w:val="16"/>
                <w:szCs w:val="16"/>
              </w:rPr>
              <w:t>Financing cash flows from finance leases</w:t>
            </w:r>
          </w:p>
        </w:tc>
        <w:tc>
          <w:tcPr>
            <w:tcW w:w="0" w:type="auto"/>
            <w:gridSpan w:val="3"/>
            <w:shd w:val="clear" w:color="auto" w:fill="FFFFFF"/>
            <w:tcMar>
              <w:top w:w="0" w:type="dxa"/>
              <w:left w:w="20" w:type="dxa"/>
              <w:bottom w:w="0" w:type="dxa"/>
              <w:right w:w="20" w:type="dxa"/>
            </w:tcMar>
            <w:vAlign w:val="bottom"/>
          </w:tcPr>
          <w:p w14:paraId="35D0B5A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5A2" w14:textId="77777777" w:rsidR="00D42204" w:rsidRDefault="004E439D">
            <w:pPr>
              <w:jc w:val="right"/>
              <w:textAlignment w:val="bottom"/>
            </w:pPr>
            <w:r>
              <w:rPr>
                <w:rFonts w:ascii="Times New Roman" w:eastAsia="宋体" w:hAnsi="Times New Roman"/>
                <w:color w:val="000000"/>
                <w:sz w:val="16"/>
                <w:szCs w:val="16"/>
              </w:rPr>
              <w:t>538 </w:t>
            </w:r>
          </w:p>
        </w:tc>
        <w:tc>
          <w:tcPr>
            <w:tcW w:w="0" w:type="auto"/>
            <w:shd w:val="clear" w:color="auto" w:fill="FFFFFF"/>
            <w:tcMar>
              <w:top w:w="40" w:type="dxa"/>
              <w:left w:w="0" w:type="dxa"/>
              <w:bottom w:w="40" w:type="dxa"/>
              <w:right w:w="20" w:type="dxa"/>
            </w:tcMar>
            <w:vAlign w:val="bottom"/>
          </w:tcPr>
          <w:p w14:paraId="35D0B5A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5A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5A5" w14:textId="77777777" w:rsidR="00D42204" w:rsidRDefault="004E439D">
            <w:pPr>
              <w:jc w:val="right"/>
              <w:textAlignment w:val="bottom"/>
            </w:pPr>
            <w:r>
              <w:rPr>
                <w:rFonts w:ascii="Times New Roman" w:eastAsia="宋体" w:hAnsi="Times New Roman"/>
                <w:color w:val="000000"/>
                <w:sz w:val="16"/>
                <w:szCs w:val="16"/>
              </w:rPr>
              <w:t>546 </w:t>
            </w:r>
          </w:p>
        </w:tc>
        <w:tc>
          <w:tcPr>
            <w:tcW w:w="0" w:type="auto"/>
            <w:shd w:val="clear" w:color="auto" w:fill="FFFFFF"/>
            <w:tcMar>
              <w:top w:w="40" w:type="dxa"/>
              <w:left w:w="0" w:type="dxa"/>
              <w:bottom w:w="40" w:type="dxa"/>
              <w:right w:w="20" w:type="dxa"/>
            </w:tcMar>
            <w:vAlign w:val="bottom"/>
          </w:tcPr>
          <w:p w14:paraId="35D0B5A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5A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5A8" w14:textId="77777777" w:rsidR="00D42204" w:rsidRDefault="004E439D">
            <w:pPr>
              <w:jc w:val="right"/>
              <w:textAlignment w:val="bottom"/>
            </w:pPr>
            <w:r>
              <w:rPr>
                <w:rFonts w:ascii="Times New Roman" w:eastAsia="宋体" w:hAnsi="Times New Roman"/>
                <w:color w:val="000000"/>
                <w:sz w:val="16"/>
                <w:szCs w:val="16"/>
              </w:rPr>
              <w:t>485 </w:t>
            </w:r>
          </w:p>
        </w:tc>
        <w:tc>
          <w:tcPr>
            <w:tcW w:w="0" w:type="auto"/>
            <w:shd w:val="clear" w:color="auto" w:fill="FFFFFF"/>
            <w:tcMar>
              <w:top w:w="40" w:type="dxa"/>
              <w:left w:w="0" w:type="dxa"/>
              <w:bottom w:w="40" w:type="dxa"/>
              <w:right w:w="20" w:type="dxa"/>
            </w:tcMar>
            <w:vAlign w:val="bottom"/>
          </w:tcPr>
          <w:p w14:paraId="35D0B5A9" w14:textId="77777777" w:rsidR="00D42204" w:rsidRDefault="00D42204">
            <w:pPr>
              <w:jc w:val="right"/>
              <w:rPr>
                <w:rFonts w:ascii="宋体"/>
              </w:rPr>
            </w:pPr>
          </w:p>
        </w:tc>
      </w:tr>
      <w:tr w:rsidR="00D42204" w14:paraId="35D0B5B5" w14:textId="77777777">
        <w:tc>
          <w:tcPr>
            <w:tcW w:w="0" w:type="auto"/>
            <w:gridSpan w:val="3"/>
            <w:shd w:val="clear" w:color="auto" w:fill="CCEEFF"/>
            <w:tcMar>
              <w:top w:w="40" w:type="dxa"/>
              <w:left w:w="20" w:type="dxa"/>
              <w:bottom w:w="40" w:type="dxa"/>
              <w:right w:w="20" w:type="dxa"/>
            </w:tcMar>
            <w:vAlign w:val="bottom"/>
          </w:tcPr>
          <w:p w14:paraId="35D0B5AB" w14:textId="77777777" w:rsidR="00D42204" w:rsidRDefault="004E439D">
            <w:pPr>
              <w:textAlignment w:val="bottom"/>
            </w:pPr>
            <w:r>
              <w:rPr>
                <w:rFonts w:ascii="Times New Roman" w:eastAsia="宋体" w:hAnsi="Times New Roman"/>
                <w:color w:val="000000"/>
                <w:sz w:val="16"/>
                <w:szCs w:val="16"/>
              </w:rPr>
              <w:t>Assets obtained in exchange for operating lease obligations</w:t>
            </w:r>
          </w:p>
        </w:tc>
        <w:tc>
          <w:tcPr>
            <w:tcW w:w="0" w:type="auto"/>
            <w:gridSpan w:val="3"/>
            <w:shd w:val="clear" w:color="auto" w:fill="CCEEFF"/>
            <w:tcMar>
              <w:top w:w="0" w:type="dxa"/>
              <w:left w:w="20" w:type="dxa"/>
              <w:bottom w:w="0" w:type="dxa"/>
              <w:right w:w="20" w:type="dxa"/>
            </w:tcMar>
            <w:vAlign w:val="bottom"/>
          </w:tcPr>
          <w:p w14:paraId="35D0B5A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5AD" w14:textId="77777777" w:rsidR="00D42204" w:rsidRDefault="004E439D">
            <w:pPr>
              <w:jc w:val="right"/>
              <w:textAlignment w:val="bottom"/>
            </w:pPr>
            <w:r>
              <w:rPr>
                <w:rFonts w:ascii="Times New Roman" w:eastAsia="宋体" w:hAnsi="Times New Roman"/>
                <w:color w:val="000000"/>
                <w:sz w:val="16"/>
                <w:szCs w:val="16"/>
              </w:rPr>
              <w:t>1,816 </w:t>
            </w:r>
          </w:p>
        </w:tc>
        <w:tc>
          <w:tcPr>
            <w:tcW w:w="0" w:type="auto"/>
            <w:shd w:val="clear" w:color="auto" w:fill="CCEEFF"/>
            <w:tcMar>
              <w:top w:w="40" w:type="dxa"/>
              <w:left w:w="0" w:type="dxa"/>
              <w:bottom w:w="40" w:type="dxa"/>
              <w:right w:w="20" w:type="dxa"/>
            </w:tcMar>
            <w:vAlign w:val="bottom"/>
          </w:tcPr>
          <w:p w14:paraId="35D0B5A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5A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5B0" w14:textId="77777777" w:rsidR="00D42204" w:rsidRDefault="004E439D">
            <w:pPr>
              <w:jc w:val="right"/>
              <w:textAlignment w:val="bottom"/>
            </w:pPr>
            <w:r>
              <w:rPr>
                <w:rFonts w:ascii="Times New Roman" w:eastAsia="宋体" w:hAnsi="Times New Roman"/>
                <w:color w:val="000000"/>
                <w:sz w:val="16"/>
                <w:szCs w:val="16"/>
              </w:rPr>
              <w:t>2,131 </w:t>
            </w:r>
          </w:p>
        </w:tc>
        <w:tc>
          <w:tcPr>
            <w:tcW w:w="0" w:type="auto"/>
            <w:shd w:val="clear" w:color="auto" w:fill="CCEEFF"/>
            <w:tcMar>
              <w:top w:w="40" w:type="dxa"/>
              <w:left w:w="0" w:type="dxa"/>
              <w:bottom w:w="40" w:type="dxa"/>
              <w:right w:w="20" w:type="dxa"/>
            </w:tcMar>
            <w:vAlign w:val="bottom"/>
          </w:tcPr>
          <w:p w14:paraId="35D0B5B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5B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5B3" w14:textId="77777777" w:rsidR="00D42204" w:rsidRDefault="004E439D">
            <w:pPr>
              <w:jc w:val="right"/>
              <w:textAlignment w:val="bottom"/>
            </w:pPr>
            <w:r>
              <w:rPr>
                <w:rFonts w:ascii="Times New Roman" w:eastAsia="宋体" w:hAnsi="Times New Roman"/>
                <w:color w:val="000000"/>
                <w:sz w:val="16"/>
                <w:szCs w:val="16"/>
              </w:rPr>
              <w:t>2,151 </w:t>
            </w:r>
          </w:p>
        </w:tc>
        <w:tc>
          <w:tcPr>
            <w:tcW w:w="0" w:type="auto"/>
            <w:shd w:val="clear" w:color="auto" w:fill="CCEEFF"/>
            <w:tcMar>
              <w:top w:w="40" w:type="dxa"/>
              <w:left w:w="0" w:type="dxa"/>
              <w:bottom w:w="40" w:type="dxa"/>
              <w:right w:w="20" w:type="dxa"/>
            </w:tcMar>
            <w:vAlign w:val="bottom"/>
          </w:tcPr>
          <w:p w14:paraId="35D0B5B4" w14:textId="77777777" w:rsidR="00D42204" w:rsidRDefault="00D42204">
            <w:pPr>
              <w:jc w:val="right"/>
              <w:rPr>
                <w:rFonts w:ascii="宋体"/>
              </w:rPr>
            </w:pPr>
          </w:p>
        </w:tc>
      </w:tr>
      <w:tr w:rsidR="00D42204" w14:paraId="35D0B5C0" w14:textId="77777777">
        <w:tc>
          <w:tcPr>
            <w:tcW w:w="0" w:type="auto"/>
            <w:gridSpan w:val="3"/>
            <w:shd w:val="clear" w:color="auto" w:fill="FFFFFF"/>
            <w:tcMar>
              <w:top w:w="40" w:type="dxa"/>
              <w:left w:w="20" w:type="dxa"/>
              <w:bottom w:w="40" w:type="dxa"/>
              <w:right w:w="20" w:type="dxa"/>
            </w:tcMar>
            <w:vAlign w:val="bottom"/>
          </w:tcPr>
          <w:p w14:paraId="35D0B5B6" w14:textId="77777777" w:rsidR="00D42204" w:rsidRDefault="004E439D">
            <w:pPr>
              <w:textAlignment w:val="bottom"/>
            </w:pPr>
            <w:r>
              <w:rPr>
                <w:rFonts w:ascii="Times New Roman" w:eastAsia="宋体" w:hAnsi="Times New Roman"/>
                <w:color w:val="000000"/>
                <w:sz w:val="16"/>
                <w:szCs w:val="16"/>
              </w:rPr>
              <w:t xml:space="preserve">Assets obtained in exchange for </w:t>
            </w:r>
            <w:r>
              <w:rPr>
                <w:rFonts w:ascii="Times New Roman" w:eastAsia="宋体" w:hAnsi="Times New Roman"/>
                <w:color w:val="000000"/>
                <w:sz w:val="16"/>
                <w:szCs w:val="16"/>
              </w:rPr>
              <w:t>finance lease obligations</w:t>
            </w:r>
          </w:p>
        </w:tc>
        <w:tc>
          <w:tcPr>
            <w:tcW w:w="0" w:type="auto"/>
            <w:gridSpan w:val="3"/>
            <w:shd w:val="clear" w:color="auto" w:fill="FFFFFF"/>
            <w:tcMar>
              <w:top w:w="0" w:type="dxa"/>
              <w:left w:w="20" w:type="dxa"/>
              <w:bottom w:w="0" w:type="dxa"/>
              <w:right w:w="20" w:type="dxa"/>
            </w:tcMar>
            <w:vAlign w:val="bottom"/>
          </w:tcPr>
          <w:p w14:paraId="35D0B5B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5B8" w14:textId="77777777" w:rsidR="00D42204" w:rsidRDefault="004E439D">
            <w:pPr>
              <w:jc w:val="right"/>
              <w:textAlignment w:val="bottom"/>
            </w:pPr>
            <w:r>
              <w:rPr>
                <w:rFonts w:ascii="Times New Roman" w:eastAsia="宋体" w:hAnsi="Times New Roman"/>
                <w:color w:val="000000"/>
                <w:sz w:val="16"/>
                <w:szCs w:val="16"/>
              </w:rPr>
              <w:t>1,044 </w:t>
            </w:r>
          </w:p>
        </w:tc>
        <w:tc>
          <w:tcPr>
            <w:tcW w:w="0" w:type="auto"/>
            <w:shd w:val="clear" w:color="auto" w:fill="FFFFFF"/>
            <w:tcMar>
              <w:top w:w="40" w:type="dxa"/>
              <w:left w:w="0" w:type="dxa"/>
              <w:bottom w:w="40" w:type="dxa"/>
              <w:right w:w="20" w:type="dxa"/>
            </w:tcMar>
            <w:vAlign w:val="bottom"/>
          </w:tcPr>
          <w:p w14:paraId="35D0B5B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5B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5BB" w14:textId="77777777" w:rsidR="00D42204" w:rsidRDefault="004E439D">
            <w:pPr>
              <w:jc w:val="right"/>
              <w:textAlignment w:val="bottom"/>
            </w:pPr>
            <w:r>
              <w:rPr>
                <w:rFonts w:ascii="Times New Roman" w:eastAsia="宋体" w:hAnsi="Times New Roman"/>
                <w:color w:val="000000"/>
                <w:sz w:val="16"/>
                <w:szCs w:val="16"/>
              </w:rPr>
              <w:t>1,547 </w:t>
            </w:r>
          </w:p>
        </w:tc>
        <w:tc>
          <w:tcPr>
            <w:tcW w:w="0" w:type="auto"/>
            <w:shd w:val="clear" w:color="auto" w:fill="FFFFFF"/>
            <w:tcMar>
              <w:top w:w="40" w:type="dxa"/>
              <w:left w:w="0" w:type="dxa"/>
              <w:bottom w:w="40" w:type="dxa"/>
              <w:right w:w="20" w:type="dxa"/>
            </w:tcMar>
            <w:vAlign w:val="bottom"/>
          </w:tcPr>
          <w:p w14:paraId="35D0B5B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5B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5BE" w14:textId="77777777" w:rsidR="00D42204" w:rsidRDefault="004E439D">
            <w:pPr>
              <w:jc w:val="right"/>
              <w:textAlignment w:val="bottom"/>
            </w:pPr>
            <w:r>
              <w:rPr>
                <w:rFonts w:ascii="Times New Roman" w:eastAsia="宋体" w:hAnsi="Times New Roman"/>
                <w:color w:val="000000"/>
                <w:sz w:val="16"/>
                <w:szCs w:val="16"/>
              </w:rPr>
              <w:t>1,081 </w:t>
            </w:r>
          </w:p>
        </w:tc>
        <w:tc>
          <w:tcPr>
            <w:tcW w:w="0" w:type="auto"/>
            <w:shd w:val="clear" w:color="auto" w:fill="FFFFFF"/>
            <w:tcMar>
              <w:top w:w="40" w:type="dxa"/>
              <w:left w:w="0" w:type="dxa"/>
              <w:bottom w:w="40" w:type="dxa"/>
              <w:right w:w="20" w:type="dxa"/>
            </w:tcMar>
            <w:vAlign w:val="bottom"/>
          </w:tcPr>
          <w:p w14:paraId="35D0B5BF" w14:textId="77777777" w:rsidR="00D42204" w:rsidRDefault="00D42204">
            <w:pPr>
              <w:jc w:val="right"/>
              <w:rPr>
                <w:rFonts w:ascii="宋体"/>
              </w:rPr>
            </w:pPr>
          </w:p>
        </w:tc>
      </w:tr>
    </w:tbl>
    <w:p w14:paraId="35D0B5C1" w14:textId="77777777" w:rsidR="00D42204" w:rsidRDefault="00D42204">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58"/>
        <w:gridCol w:w="5443"/>
        <w:gridCol w:w="36"/>
        <w:gridCol w:w="36"/>
        <w:gridCol w:w="36"/>
        <w:gridCol w:w="36"/>
        <w:gridCol w:w="40"/>
        <w:gridCol w:w="1211"/>
        <w:gridCol w:w="39"/>
        <w:gridCol w:w="37"/>
        <w:gridCol w:w="37"/>
        <w:gridCol w:w="37"/>
        <w:gridCol w:w="41"/>
        <w:gridCol w:w="1211"/>
        <w:gridCol w:w="38"/>
      </w:tblGrid>
      <w:tr w:rsidR="00D42204" w14:paraId="35D0B5D1" w14:textId="77777777">
        <w:tc>
          <w:tcPr>
            <w:tcW w:w="50" w:type="pct"/>
            <w:shd w:val="clear" w:color="auto" w:fill="auto"/>
            <w:vAlign w:val="bottom"/>
          </w:tcPr>
          <w:p w14:paraId="35D0B5C2" w14:textId="77777777" w:rsidR="00D42204" w:rsidRDefault="00D42204">
            <w:pPr>
              <w:rPr>
                <w:rFonts w:ascii="宋体"/>
              </w:rPr>
            </w:pPr>
          </w:p>
        </w:tc>
        <w:tc>
          <w:tcPr>
            <w:tcW w:w="3278" w:type="pct"/>
            <w:shd w:val="clear" w:color="auto" w:fill="auto"/>
            <w:vAlign w:val="bottom"/>
          </w:tcPr>
          <w:p w14:paraId="35D0B5C3" w14:textId="77777777" w:rsidR="00D42204" w:rsidRDefault="00D42204">
            <w:pPr>
              <w:rPr>
                <w:rFonts w:ascii="宋体"/>
              </w:rPr>
            </w:pPr>
          </w:p>
        </w:tc>
        <w:tc>
          <w:tcPr>
            <w:tcW w:w="5" w:type="pct"/>
            <w:shd w:val="clear" w:color="auto" w:fill="auto"/>
            <w:vAlign w:val="bottom"/>
          </w:tcPr>
          <w:p w14:paraId="35D0B5C4" w14:textId="77777777" w:rsidR="00D42204" w:rsidRDefault="00D42204">
            <w:pPr>
              <w:rPr>
                <w:rFonts w:ascii="宋体"/>
              </w:rPr>
            </w:pPr>
          </w:p>
        </w:tc>
        <w:tc>
          <w:tcPr>
            <w:tcW w:w="5" w:type="pct"/>
            <w:shd w:val="clear" w:color="auto" w:fill="auto"/>
            <w:vAlign w:val="bottom"/>
          </w:tcPr>
          <w:p w14:paraId="35D0B5C5" w14:textId="77777777" w:rsidR="00D42204" w:rsidRDefault="00D42204">
            <w:pPr>
              <w:rPr>
                <w:rFonts w:ascii="宋体"/>
              </w:rPr>
            </w:pPr>
          </w:p>
        </w:tc>
        <w:tc>
          <w:tcPr>
            <w:tcW w:w="26" w:type="pct"/>
            <w:shd w:val="clear" w:color="auto" w:fill="auto"/>
            <w:vAlign w:val="bottom"/>
          </w:tcPr>
          <w:p w14:paraId="35D0B5C6" w14:textId="77777777" w:rsidR="00D42204" w:rsidRDefault="00D42204">
            <w:pPr>
              <w:rPr>
                <w:rFonts w:ascii="宋体"/>
              </w:rPr>
            </w:pPr>
          </w:p>
        </w:tc>
        <w:tc>
          <w:tcPr>
            <w:tcW w:w="5" w:type="pct"/>
            <w:shd w:val="clear" w:color="auto" w:fill="auto"/>
            <w:vAlign w:val="bottom"/>
          </w:tcPr>
          <w:p w14:paraId="35D0B5C7" w14:textId="77777777" w:rsidR="00D42204" w:rsidRDefault="00D42204">
            <w:pPr>
              <w:rPr>
                <w:rFonts w:ascii="宋体"/>
              </w:rPr>
            </w:pPr>
          </w:p>
        </w:tc>
        <w:tc>
          <w:tcPr>
            <w:tcW w:w="50" w:type="pct"/>
            <w:shd w:val="clear" w:color="auto" w:fill="auto"/>
            <w:vAlign w:val="bottom"/>
          </w:tcPr>
          <w:p w14:paraId="35D0B5C8" w14:textId="77777777" w:rsidR="00D42204" w:rsidRDefault="00D42204">
            <w:pPr>
              <w:rPr>
                <w:rFonts w:ascii="宋体"/>
              </w:rPr>
            </w:pPr>
          </w:p>
        </w:tc>
        <w:tc>
          <w:tcPr>
            <w:tcW w:w="741" w:type="pct"/>
            <w:shd w:val="clear" w:color="auto" w:fill="auto"/>
            <w:vAlign w:val="bottom"/>
          </w:tcPr>
          <w:p w14:paraId="35D0B5C9" w14:textId="77777777" w:rsidR="00D42204" w:rsidRDefault="00D42204">
            <w:pPr>
              <w:rPr>
                <w:rFonts w:ascii="宋体"/>
              </w:rPr>
            </w:pPr>
          </w:p>
        </w:tc>
        <w:tc>
          <w:tcPr>
            <w:tcW w:w="5" w:type="pct"/>
            <w:shd w:val="clear" w:color="auto" w:fill="auto"/>
            <w:vAlign w:val="bottom"/>
          </w:tcPr>
          <w:p w14:paraId="35D0B5CA" w14:textId="77777777" w:rsidR="00D42204" w:rsidRDefault="00D42204">
            <w:pPr>
              <w:rPr>
                <w:rFonts w:ascii="宋体"/>
              </w:rPr>
            </w:pPr>
          </w:p>
        </w:tc>
        <w:tc>
          <w:tcPr>
            <w:tcW w:w="5" w:type="pct"/>
            <w:shd w:val="clear" w:color="auto" w:fill="auto"/>
            <w:vAlign w:val="bottom"/>
          </w:tcPr>
          <w:p w14:paraId="35D0B5CB" w14:textId="77777777" w:rsidR="00D42204" w:rsidRDefault="00D42204">
            <w:pPr>
              <w:rPr>
                <w:rFonts w:ascii="宋体"/>
              </w:rPr>
            </w:pPr>
          </w:p>
        </w:tc>
        <w:tc>
          <w:tcPr>
            <w:tcW w:w="26" w:type="pct"/>
            <w:shd w:val="clear" w:color="auto" w:fill="auto"/>
            <w:vAlign w:val="bottom"/>
          </w:tcPr>
          <w:p w14:paraId="35D0B5CC" w14:textId="77777777" w:rsidR="00D42204" w:rsidRDefault="00D42204">
            <w:pPr>
              <w:rPr>
                <w:rFonts w:ascii="宋体"/>
              </w:rPr>
            </w:pPr>
          </w:p>
        </w:tc>
        <w:tc>
          <w:tcPr>
            <w:tcW w:w="5" w:type="pct"/>
            <w:shd w:val="clear" w:color="auto" w:fill="auto"/>
            <w:vAlign w:val="bottom"/>
          </w:tcPr>
          <w:p w14:paraId="35D0B5CD" w14:textId="77777777" w:rsidR="00D42204" w:rsidRDefault="00D42204">
            <w:pPr>
              <w:rPr>
                <w:rFonts w:ascii="宋体"/>
              </w:rPr>
            </w:pPr>
          </w:p>
        </w:tc>
        <w:tc>
          <w:tcPr>
            <w:tcW w:w="50" w:type="pct"/>
            <w:shd w:val="clear" w:color="auto" w:fill="auto"/>
            <w:vAlign w:val="bottom"/>
          </w:tcPr>
          <w:p w14:paraId="35D0B5CE" w14:textId="77777777" w:rsidR="00D42204" w:rsidRDefault="00D42204">
            <w:pPr>
              <w:rPr>
                <w:rFonts w:ascii="宋体"/>
              </w:rPr>
            </w:pPr>
          </w:p>
        </w:tc>
        <w:tc>
          <w:tcPr>
            <w:tcW w:w="741" w:type="pct"/>
            <w:shd w:val="clear" w:color="auto" w:fill="auto"/>
            <w:vAlign w:val="bottom"/>
          </w:tcPr>
          <w:p w14:paraId="35D0B5CF" w14:textId="77777777" w:rsidR="00D42204" w:rsidRDefault="00D42204">
            <w:pPr>
              <w:rPr>
                <w:rFonts w:ascii="宋体"/>
              </w:rPr>
            </w:pPr>
          </w:p>
        </w:tc>
        <w:tc>
          <w:tcPr>
            <w:tcW w:w="5" w:type="pct"/>
            <w:shd w:val="clear" w:color="auto" w:fill="auto"/>
            <w:vAlign w:val="bottom"/>
          </w:tcPr>
          <w:p w14:paraId="35D0B5D0" w14:textId="77777777" w:rsidR="00D42204" w:rsidRDefault="00D42204">
            <w:pPr>
              <w:rPr>
                <w:rFonts w:ascii="宋体"/>
              </w:rPr>
            </w:pPr>
          </w:p>
        </w:tc>
      </w:tr>
      <w:tr w:rsidR="00D42204" w14:paraId="35D0B5D5" w14:textId="77777777">
        <w:tc>
          <w:tcPr>
            <w:tcW w:w="0" w:type="auto"/>
            <w:gridSpan w:val="3"/>
            <w:shd w:val="clear" w:color="auto" w:fill="auto"/>
            <w:tcMar>
              <w:top w:w="0" w:type="dxa"/>
              <w:left w:w="20" w:type="dxa"/>
              <w:bottom w:w="0" w:type="dxa"/>
              <w:right w:w="20" w:type="dxa"/>
            </w:tcMar>
            <w:vAlign w:val="bottom"/>
          </w:tcPr>
          <w:p w14:paraId="35D0B5D2"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5D3" w14:textId="77777777" w:rsidR="00D42204" w:rsidRDefault="00D42204">
            <w:pPr>
              <w:rPr>
                <w:rFonts w:ascii="宋体"/>
              </w:rPr>
            </w:pPr>
          </w:p>
        </w:tc>
        <w:tc>
          <w:tcPr>
            <w:tcW w:w="0" w:type="auto"/>
            <w:gridSpan w:val="9"/>
            <w:shd w:val="clear" w:color="auto" w:fill="auto"/>
            <w:tcMar>
              <w:top w:w="40" w:type="dxa"/>
              <w:left w:w="20" w:type="dxa"/>
              <w:bottom w:w="40" w:type="dxa"/>
              <w:right w:w="20" w:type="dxa"/>
            </w:tcMar>
            <w:vAlign w:val="bottom"/>
          </w:tcPr>
          <w:p w14:paraId="35D0B5D4" w14:textId="77777777" w:rsidR="00D42204" w:rsidRDefault="004E439D">
            <w:pPr>
              <w:jc w:val="center"/>
              <w:textAlignment w:val="bottom"/>
            </w:pPr>
            <w:r>
              <w:rPr>
                <w:rFonts w:ascii="Times New Roman" w:eastAsia="宋体" w:hAnsi="Times New Roman"/>
                <w:b/>
                <w:bCs/>
                <w:color w:val="000000"/>
                <w:sz w:val="16"/>
                <w:szCs w:val="16"/>
              </w:rPr>
              <w:t>As of January 31,</w:t>
            </w:r>
          </w:p>
        </w:tc>
      </w:tr>
      <w:tr w:rsidR="00D42204" w14:paraId="35D0B5DB" w14:textId="77777777">
        <w:tc>
          <w:tcPr>
            <w:tcW w:w="0" w:type="auto"/>
            <w:gridSpan w:val="3"/>
            <w:shd w:val="clear" w:color="auto" w:fill="auto"/>
            <w:tcMar>
              <w:top w:w="0" w:type="dxa"/>
              <w:left w:w="20" w:type="dxa"/>
              <w:bottom w:w="0" w:type="dxa"/>
              <w:right w:w="20" w:type="dxa"/>
            </w:tcMar>
            <w:vAlign w:val="bottom"/>
          </w:tcPr>
          <w:p w14:paraId="35D0B5D6"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5D7"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5D8"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shd w:val="clear" w:color="auto" w:fill="auto"/>
            <w:tcMar>
              <w:top w:w="0" w:type="dxa"/>
              <w:left w:w="20" w:type="dxa"/>
              <w:bottom w:w="0" w:type="dxa"/>
              <w:right w:w="20" w:type="dxa"/>
            </w:tcMar>
            <w:vAlign w:val="bottom"/>
          </w:tcPr>
          <w:p w14:paraId="35D0B5D9"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5DA" w14:textId="77777777" w:rsidR="00D42204" w:rsidRDefault="004E439D">
            <w:pPr>
              <w:jc w:val="center"/>
              <w:textAlignment w:val="bottom"/>
            </w:pPr>
            <w:r>
              <w:rPr>
                <w:rFonts w:ascii="Times New Roman" w:eastAsia="宋体" w:hAnsi="Times New Roman"/>
                <w:b/>
                <w:bCs/>
                <w:color w:val="000000"/>
                <w:sz w:val="16"/>
                <w:szCs w:val="16"/>
              </w:rPr>
              <w:t>2021</w:t>
            </w:r>
          </w:p>
        </w:tc>
      </w:tr>
      <w:tr w:rsidR="00D42204" w14:paraId="35D0B5E1" w14:textId="77777777">
        <w:tc>
          <w:tcPr>
            <w:tcW w:w="0" w:type="auto"/>
            <w:gridSpan w:val="3"/>
            <w:shd w:val="clear" w:color="auto" w:fill="CCEEFF"/>
            <w:tcMar>
              <w:top w:w="40" w:type="dxa"/>
              <w:left w:w="20" w:type="dxa"/>
              <w:bottom w:w="40" w:type="dxa"/>
              <w:right w:w="20" w:type="dxa"/>
            </w:tcMar>
            <w:vAlign w:val="bottom"/>
          </w:tcPr>
          <w:p w14:paraId="35D0B5DC" w14:textId="77777777" w:rsidR="00D42204" w:rsidRDefault="004E439D">
            <w:pPr>
              <w:textAlignment w:val="bottom"/>
            </w:pPr>
            <w:r>
              <w:rPr>
                <w:rFonts w:ascii="Times New Roman" w:eastAsia="宋体" w:hAnsi="Times New Roman"/>
                <w:color w:val="000000"/>
                <w:sz w:val="16"/>
                <w:szCs w:val="16"/>
              </w:rPr>
              <w:t>Weighted-average remaining lease term - operating leases</w:t>
            </w:r>
          </w:p>
        </w:tc>
        <w:tc>
          <w:tcPr>
            <w:tcW w:w="0" w:type="auto"/>
            <w:gridSpan w:val="3"/>
            <w:shd w:val="clear" w:color="auto" w:fill="CCEEFF"/>
            <w:tcMar>
              <w:top w:w="0" w:type="dxa"/>
              <w:left w:w="20" w:type="dxa"/>
              <w:bottom w:w="0" w:type="dxa"/>
              <w:right w:w="20" w:type="dxa"/>
            </w:tcMar>
            <w:vAlign w:val="bottom"/>
          </w:tcPr>
          <w:p w14:paraId="35D0B5DD"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65" w:type="dxa"/>
            </w:tcMar>
            <w:vAlign w:val="center"/>
          </w:tcPr>
          <w:p w14:paraId="35D0B5DE" w14:textId="77777777" w:rsidR="00D42204" w:rsidRDefault="004E439D">
            <w:pPr>
              <w:jc w:val="right"/>
              <w:textAlignment w:val="center"/>
            </w:pPr>
            <w:r>
              <w:rPr>
                <w:rFonts w:ascii="Times New Roman" w:eastAsia="宋体" w:hAnsi="Times New Roman"/>
                <w:color w:val="000000"/>
                <w:sz w:val="16"/>
                <w:szCs w:val="16"/>
              </w:rPr>
              <w:t>12.2 years</w:t>
            </w:r>
          </w:p>
        </w:tc>
        <w:tc>
          <w:tcPr>
            <w:tcW w:w="0" w:type="auto"/>
            <w:gridSpan w:val="3"/>
            <w:shd w:val="clear" w:color="auto" w:fill="CCEEFF"/>
            <w:tcMar>
              <w:top w:w="0" w:type="dxa"/>
              <w:left w:w="20" w:type="dxa"/>
              <w:bottom w:w="0" w:type="dxa"/>
              <w:right w:w="20" w:type="dxa"/>
            </w:tcMar>
            <w:vAlign w:val="bottom"/>
          </w:tcPr>
          <w:p w14:paraId="35D0B5DF" w14:textId="77777777" w:rsidR="00D42204" w:rsidRDefault="00D42204">
            <w:pPr>
              <w:rPr>
                <w:rFonts w:ascii="宋体"/>
              </w:rPr>
            </w:pPr>
          </w:p>
        </w:tc>
        <w:tc>
          <w:tcPr>
            <w:tcW w:w="0" w:type="auto"/>
            <w:gridSpan w:val="3"/>
            <w:tcBorders>
              <w:top w:val="single" w:sz="8" w:space="0" w:color="000000"/>
            </w:tcBorders>
            <w:shd w:val="clear" w:color="auto" w:fill="CCEEFF"/>
            <w:tcMar>
              <w:top w:w="40" w:type="dxa"/>
              <w:left w:w="20" w:type="dxa"/>
              <w:bottom w:w="40" w:type="dxa"/>
              <w:right w:w="65" w:type="dxa"/>
            </w:tcMar>
            <w:vAlign w:val="center"/>
          </w:tcPr>
          <w:p w14:paraId="35D0B5E0" w14:textId="77777777" w:rsidR="00D42204" w:rsidRDefault="004E439D">
            <w:pPr>
              <w:jc w:val="right"/>
              <w:textAlignment w:val="center"/>
            </w:pPr>
            <w:r>
              <w:rPr>
                <w:rFonts w:ascii="Times New Roman" w:eastAsia="宋体" w:hAnsi="Times New Roman"/>
                <w:color w:val="000000"/>
                <w:sz w:val="16"/>
                <w:szCs w:val="16"/>
              </w:rPr>
              <w:t>12.5 years</w:t>
            </w:r>
          </w:p>
        </w:tc>
      </w:tr>
      <w:tr w:rsidR="00D42204" w14:paraId="35D0B5E7" w14:textId="77777777">
        <w:tc>
          <w:tcPr>
            <w:tcW w:w="0" w:type="auto"/>
            <w:gridSpan w:val="3"/>
            <w:shd w:val="clear" w:color="auto" w:fill="FFFFFF"/>
            <w:tcMar>
              <w:top w:w="40" w:type="dxa"/>
              <w:left w:w="20" w:type="dxa"/>
              <w:bottom w:w="40" w:type="dxa"/>
              <w:right w:w="20" w:type="dxa"/>
            </w:tcMar>
            <w:vAlign w:val="bottom"/>
          </w:tcPr>
          <w:p w14:paraId="35D0B5E2" w14:textId="77777777" w:rsidR="00D42204" w:rsidRDefault="004E439D">
            <w:pPr>
              <w:textAlignment w:val="bottom"/>
            </w:pPr>
            <w:r>
              <w:rPr>
                <w:rFonts w:ascii="Times New Roman" w:eastAsia="宋体" w:hAnsi="Times New Roman"/>
                <w:color w:val="000000"/>
                <w:sz w:val="16"/>
                <w:szCs w:val="16"/>
              </w:rPr>
              <w:t>Weighted-average remaining lease term - finance leases</w:t>
            </w:r>
          </w:p>
        </w:tc>
        <w:tc>
          <w:tcPr>
            <w:tcW w:w="0" w:type="auto"/>
            <w:gridSpan w:val="3"/>
            <w:shd w:val="clear" w:color="auto" w:fill="FFFFFF"/>
            <w:tcMar>
              <w:top w:w="0" w:type="dxa"/>
              <w:left w:w="20" w:type="dxa"/>
              <w:bottom w:w="0" w:type="dxa"/>
              <w:right w:w="20" w:type="dxa"/>
            </w:tcMar>
            <w:vAlign w:val="bottom"/>
          </w:tcPr>
          <w:p w14:paraId="35D0B5E3" w14:textId="77777777" w:rsidR="00D42204" w:rsidRDefault="00D42204">
            <w:pPr>
              <w:rPr>
                <w:rFonts w:ascii="宋体"/>
              </w:rPr>
            </w:pPr>
          </w:p>
        </w:tc>
        <w:tc>
          <w:tcPr>
            <w:tcW w:w="0" w:type="auto"/>
            <w:gridSpan w:val="3"/>
            <w:shd w:val="clear" w:color="auto" w:fill="FFFFFF"/>
            <w:tcMar>
              <w:top w:w="40" w:type="dxa"/>
              <w:left w:w="20" w:type="dxa"/>
              <w:bottom w:w="40" w:type="dxa"/>
              <w:right w:w="65" w:type="dxa"/>
            </w:tcMar>
            <w:vAlign w:val="center"/>
          </w:tcPr>
          <w:p w14:paraId="35D0B5E4" w14:textId="77777777" w:rsidR="00D42204" w:rsidRDefault="004E439D">
            <w:pPr>
              <w:jc w:val="right"/>
              <w:textAlignment w:val="center"/>
            </w:pPr>
            <w:r>
              <w:rPr>
                <w:rFonts w:ascii="Times New Roman" w:eastAsia="宋体" w:hAnsi="Times New Roman"/>
                <w:color w:val="000000"/>
                <w:sz w:val="16"/>
                <w:szCs w:val="16"/>
              </w:rPr>
              <w:t xml:space="preserve">13.4 </w:t>
            </w:r>
            <w:r>
              <w:rPr>
                <w:rFonts w:ascii="Times New Roman" w:eastAsia="宋体" w:hAnsi="Times New Roman"/>
                <w:color w:val="000000"/>
                <w:sz w:val="16"/>
                <w:szCs w:val="16"/>
              </w:rPr>
              <w:t>years</w:t>
            </w:r>
          </w:p>
        </w:tc>
        <w:tc>
          <w:tcPr>
            <w:tcW w:w="0" w:type="auto"/>
            <w:gridSpan w:val="3"/>
            <w:shd w:val="clear" w:color="auto" w:fill="FFFFFF"/>
            <w:tcMar>
              <w:top w:w="0" w:type="dxa"/>
              <w:left w:w="20" w:type="dxa"/>
              <w:bottom w:w="0" w:type="dxa"/>
              <w:right w:w="20" w:type="dxa"/>
            </w:tcMar>
            <w:vAlign w:val="bottom"/>
          </w:tcPr>
          <w:p w14:paraId="35D0B5E5" w14:textId="77777777" w:rsidR="00D42204" w:rsidRDefault="00D42204">
            <w:pPr>
              <w:rPr>
                <w:rFonts w:ascii="宋体"/>
              </w:rPr>
            </w:pPr>
          </w:p>
        </w:tc>
        <w:tc>
          <w:tcPr>
            <w:tcW w:w="0" w:type="auto"/>
            <w:gridSpan w:val="3"/>
            <w:shd w:val="clear" w:color="auto" w:fill="FFFFFF"/>
            <w:tcMar>
              <w:top w:w="40" w:type="dxa"/>
              <w:left w:w="20" w:type="dxa"/>
              <w:bottom w:w="40" w:type="dxa"/>
              <w:right w:w="65" w:type="dxa"/>
            </w:tcMar>
            <w:vAlign w:val="center"/>
          </w:tcPr>
          <w:p w14:paraId="35D0B5E6" w14:textId="77777777" w:rsidR="00D42204" w:rsidRDefault="004E439D">
            <w:pPr>
              <w:jc w:val="right"/>
              <w:textAlignment w:val="center"/>
            </w:pPr>
            <w:r>
              <w:rPr>
                <w:rFonts w:ascii="Times New Roman" w:eastAsia="宋体" w:hAnsi="Times New Roman"/>
                <w:color w:val="000000"/>
                <w:sz w:val="16"/>
                <w:szCs w:val="16"/>
              </w:rPr>
              <w:t>13.7 years</w:t>
            </w:r>
          </w:p>
        </w:tc>
      </w:tr>
      <w:tr w:rsidR="00D42204" w14:paraId="35D0B5ED" w14:textId="77777777">
        <w:tc>
          <w:tcPr>
            <w:tcW w:w="0" w:type="auto"/>
            <w:gridSpan w:val="3"/>
            <w:shd w:val="clear" w:color="auto" w:fill="CCEEFF"/>
            <w:tcMar>
              <w:top w:w="40" w:type="dxa"/>
              <w:left w:w="20" w:type="dxa"/>
              <w:bottom w:w="40" w:type="dxa"/>
              <w:right w:w="20" w:type="dxa"/>
            </w:tcMar>
            <w:vAlign w:val="bottom"/>
          </w:tcPr>
          <w:p w14:paraId="35D0B5E8" w14:textId="77777777" w:rsidR="00D42204" w:rsidRDefault="004E439D">
            <w:pPr>
              <w:textAlignment w:val="bottom"/>
            </w:pPr>
            <w:r>
              <w:rPr>
                <w:rFonts w:ascii="Times New Roman" w:eastAsia="宋体" w:hAnsi="Times New Roman"/>
                <w:color w:val="000000"/>
                <w:sz w:val="16"/>
                <w:szCs w:val="16"/>
              </w:rPr>
              <w:t>Weighted-average discount rate - operating leases</w:t>
            </w:r>
          </w:p>
        </w:tc>
        <w:tc>
          <w:tcPr>
            <w:tcW w:w="0" w:type="auto"/>
            <w:gridSpan w:val="3"/>
            <w:shd w:val="clear" w:color="auto" w:fill="CCEEFF"/>
            <w:tcMar>
              <w:top w:w="0" w:type="dxa"/>
              <w:left w:w="20" w:type="dxa"/>
              <w:bottom w:w="0" w:type="dxa"/>
              <w:right w:w="20" w:type="dxa"/>
            </w:tcMar>
            <w:vAlign w:val="bottom"/>
          </w:tcPr>
          <w:p w14:paraId="35D0B5E9" w14:textId="77777777" w:rsidR="00D42204" w:rsidRDefault="00D42204">
            <w:pPr>
              <w:rPr>
                <w:rFonts w:ascii="宋体"/>
              </w:rPr>
            </w:pPr>
          </w:p>
        </w:tc>
        <w:tc>
          <w:tcPr>
            <w:tcW w:w="0" w:type="auto"/>
            <w:gridSpan w:val="3"/>
            <w:shd w:val="clear" w:color="auto" w:fill="CCEEFF"/>
            <w:tcMar>
              <w:top w:w="40" w:type="dxa"/>
              <w:left w:w="20" w:type="dxa"/>
              <w:bottom w:w="40" w:type="dxa"/>
              <w:right w:w="65" w:type="dxa"/>
            </w:tcMar>
            <w:vAlign w:val="center"/>
          </w:tcPr>
          <w:p w14:paraId="35D0B5EA" w14:textId="77777777" w:rsidR="00D42204" w:rsidRDefault="004E439D">
            <w:pPr>
              <w:jc w:val="right"/>
              <w:textAlignment w:val="center"/>
            </w:pPr>
            <w:r>
              <w:rPr>
                <w:rFonts w:ascii="Times New Roman" w:eastAsia="宋体" w:hAnsi="Times New Roman"/>
                <w:color w:val="000000"/>
                <w:sz w:val="16"/>
                <w:szCs w:val="16"/>
              </w:rPr>
              <w:t>5.9%</w:t>
            </w:r>
          </w:p>
        </w:tc>
        <w:tc>
          <w:tcPr>
            <w:tcW w:w="0" w:type="auto"/>
            <w:gridSpan w:val="3"/>
            <w:shd w:val="clear" w:color="auto" w:fill="CCEEFF"/>
            <w:tcMar>
              <w:top w:w="0" w:type="dxa"/>
              <w:left w:w="20" w:type="dxa"/>
              <w:bottom w:w="0" w:type="dxa"/>
              <w:right w:w="20" w:type="dxa"/>
            </w:tcMar>
            <w:vAlign w:val="bottom"/>
          </w:tcPr>
          <w:p w14:paraId="35D0B5EB" w14:textId="77777777" w:rsidR="00D42204" w:rsidRDefault="00D42204">
            <w:pPr>
              <w:rPr>
                <w:rFonts w:ascii="宋体"/>
              </w:rPr>
            </w:pPr>
          </w:p>
        </w:tc>
        <w:tc>
          <w:tcPr>
            <w:tcW w:w="0" w:type="auto"/>
            <w:gridSpan w:val="3"/>
            <w:shd w:val="clear" w:color="auto" w:fill="CCEEFF"/>
            <w:tcMar>
              <w:top w:w="40" w:type="dxa"/>
              <w:left w:w="20" w:type="dxa"/>
              <w:bottom w:w="40" w:type="dxa"/>
              <w:right w:w="65" w:type="dxa"/>
            </w:tcMar>
            <w:vAlign w:val="center"/>
          </w:tcPr>
          <w:p w14:paraId="35D0B5EC" w14:textId="77777777" w:rsidR="00D42204" w:rsidRDefault="004E439D">
            <w:pPr>
              <w:jc w:val="right"/>
              <w:textAlignment w:val="center"/>
            </w:pPr>
            <w:r>
              <w:rPr>
                <w:rFonts w:ascii="Times New Roman" w:eastAsia="宋体" w:hAnsi="Times New Roman"/>
                <w:color w:val="000000"/>
                <w:sz w:val="16"/>
                <w:szCs w:val="16"/>
              </w:rPr>
              <w:t>6.1%</w:t>
            </w:r>
          </w:p>
        </w:tc>
      </w:tr>
      <w:tr w:rsidR="00D42204" w14:paraId="35D0B5F3" w14:textId="77777777">
        <w:tc>
          <w:tcPr>
            <w:tcW w:w="0" w:type="auto"/>
            <w:gridSpan w:val="3"/>
            <w:shd w:val="clear" w:color="auto" w:fill="FFFFFF"/>
            <w:tcMar>
              <w:top w:w="40" w:type="dxa"/>
              <w:left w:w="20" w:type="dxa"/>
              <w:bottom w:w="40" w:type="dxa"/>
              <w:right w:w="20" w:type="dxa"/>
            </w:tcMar>
            <w:vAlign w:val="bottom"/>
          </w:tcPr>
          <w:p w14:paraId="35D0B5EE" w14:textId="77777777" w:rsidR="00D42204" w:rsidRDefault="004E439D">
            <w:pPr>
              <w:textAlignment w:val="bottom"/>
            </w:pPr>
            <w:r>
              <w:rPr>
                <w:rFonts w:ascii="Times New Roman" w:eastAsia="宋体" w:hAnsi="Times New Roman"/>
                <w:color w:val="000000"/>
                <w:sz w:val="16"/>
                <w:szCs w:val="16"/>
              </w:rPr>
              <w:t>Weighted-average discount rate - finance leases</w:t>
            </w:r>
          </w:p>
        </w:tc>
        <w:tc>
          <w:tcPr>
            <w:tcW w:w="0" w:type="auto"/>
            <w:gridSpan w:val="3"/>
            <w:shd w:val="clear" w:color="auto" w:fill="FFFFFF"/>
            <w:tcMar>
              <w:top w:w="0" w:type="dxa"/>
              <w:left w:w="20" w:type="dxa"/>
              <w:bottom w:w="0" w:type="dxa"/>
              <w:right w:w="20" w:type="dxa"/>
            </w:tcMar>
            <w:vAlign w:val="bottom"/>
          </w:tcPr>
          <w:p w14:paraId="35D0B5EF" w14:textId="77777777" w:rsidR="00D42204" w:rsidRDefault="00D42204">
            <w:pPr>
              <w:rPr>
                <w:rFonts w:ascii="宋体"/>
              </w:rPr>
            </w:pPr>
          </w:p>
        </w:tc>
        <w:tc>
          <w:tcPr>
            <w:tcW w:w="0" w:type="auto"/>
            <w:gridSpan w:val="3"/>
            <w:shd w:val="clear" w:color="auto" w:fill="FFFFFF"/>
            <w:tcMar>
              <w:top w:w="40" w:type="dxa"/>
              <w:left w:w="20" w:type="dxa"/>
              <w:bottom w:w="40" w:type="dxa"/>
              <w:right w:w="65" w:type="dxa"/>
            </w:tcMar>
            <w:vAlign w:val="center"/>
          </w:tcPr>
          <w:p w14:paraId="35D0B5F0" w14:textId="77777777" w:rsidR="00D42204" w:rsidRDefault="004E439D">
            <w:pPr>
              <w:jc w:val="right"/>
              <w:textAlignment w:val="center"/>
            </w:pPr>
            <w:r>
              <w:rPr>
                <w:rFonts w:ascii="Times New Roman" w:eastAsia="宋体" w:hAnsi="Times New Roman"/>
                <w:color w:val="000000"/>
                <w:sz w:val="16"/>
                <w:szCs w:val="16"/>
              </w:rPr>
              <w:t>6.5%</w:t>
            </w:r>
          </w:p>
        </w:tc>
        <w:tc>
          <w:tcPr>
            <w:tcW w:w="0" w:type="auto"/>
            <w:gridSpan w:val="3"/>
            <w:shd w:val="clear" w:color="auto" w:fill="FFFFFF"/>
            <w:tcMar>
              <w:top w:w="0" w:type="dxa"/>
              <w:left w:w="20" w:type="dxa"/>
              <w:bottom w:w="0" w:type="dxa"/>
              <w:right w:w="20" w:type="dxa"/>
            </w:tcMar>
            <w:vAlign w:val="bottom"/>
          </w:tcPr>
          <w:p w14:paraId="35D0B5F1" w14:textId="77777777" w:rsidR="00D42204" w:rsidRDefault="00D42204">
            <w:pPr>
              <w:rPr>
                <w:rFonts w:ascii="宋体"/>
              </w:rPr>
            </w:pPr>
          </w:p>
        </w:tc>
        <w:tc>
          <w:tcPr>
            <w:tcW w:w="0" w:type="auto"/>
            <w:gridSpan w:val="3"/>
            <w:shd w:val="clear" w:color="auto" w:fill="FFFFFF"/>
            <w:tcMar>
              <w:top w:w="40" w:type="dxa"/>
              <w:left w:w="20" w:type="dxa"/>
              <w:bottom w:w="40" w:type="dxa"/>
              <w:right w:w="65" w:type="dxa"/>
            </w:tcMar>
            <w:vAlign w:val="center"/>
          </w:tcPr>
          <w:p w14:paraId="35D0B5F2" w14:textId="77777777" w:rsidR="00D42204" w:rsidRDefault="004E439D">
            <w:pPr>
              <w:jc w:val="right"/>
              <w:textAlignment w:val="center"/>
            </w:pPr>
            <w:r>
              <w:rPr>
                <w:rFonts w:ascii="Times New Roman" w:eastAsia="宋体" w:hAnsi="Times New Roman"/>
                <w:color w:val="000000"/>
                <w:sz w:val="16"/>
                <w:szCs w:val="16"/>
              </w:rPr>
              <w:t>6.8%</w:t>
            </w:r>
          </w:p>
        </w:tc>
      </w:tr>
    </w:tbl>
    <w:p w14:paraId="35D0B5F4" w14:textId="77777777" w:rsidR="00D42204" w:rsidRDefault="00D42204">
      <w:pPr>
        <w:ind w:hanging="360"/>
      </w:pPr>
    </w:p>
    <w:p w14:paraId="35D0B5F5" w14:textId="77777777" w:rsidR="00D42204" w:rsidRDefault="004E439D">
      <w:pPr>
        <w:spacing w:before="180"/>
      </w:pPr>
      <w:r>
        <w:rPr>
          <w:rFonts w:ascii="Times New Roman" w:eastAsia="宋体" w:hAnsi="Times New Roman"/>
          <w:color w:val="000000"/>
          <w:sz w:val="20"/>
          <w:szCs w:val="20"/>
        </w:rPr>
        <w:t>The aggregate annual lease obligations at January 31, 2022, are as follows:</w:t>
      </w:r>
    </w:p>
    <w:tbl>
      <w:tblPr>
        <w:tblW w:w="4993" w:type="pct"/>
        <w:tblCellMar>
          <w:top w:w="15" w:type="dxa"/>
          <w:left w:w="15" w:type="dxa"/>
          <w:bottom w:w="15" w:type="dxa"/>
          <w:right w:w="15" w:type="dxa"/>
        </w:tblCellMar>
        <w:tblLook w:val="04A0" w:firstRow="1" w:lastRow="0" w:firstColumn="1" w:lastColumn="0" w:noHBand="0" w:noVBand="1"/>
      </w:tblPr>
      <w:tblGrid>
        <w:gridCol w:w="44"/>
        <w:gridCol w:w="5418"/>
        <w:gridCol w:w="37"/>
        <w:gridCol w:w="36"/>
        <w:gridCol w:w="36"/>
        <w:gridCol w:w="36"/>
        <w:gridCol w:w="101"/>
        <w:gridCol w:w="1167"/>
        <w:gridCol w:w="36"/>
        <w:gridCol w:w="36"/>
        <w:gridCol w:w="36"/>
        <w:gridCol w:w="36"/>
        <w:gridCol w:w="101"/>
        <w:gridCol w:w="1168"/>
        <w:gridCol w:w="36"/>
      </w:tblGrid>
      <w:tr w:rsidR="00D42204" w14:paraId="35D0B605" w14:textId="77777777">
        <w:tc>
          <w:tcPr>
            <w:tcW w:w="50" w:type="pct"/>
            <w:shd w:val="clear" w:color="auto" w:fill="auto"/>
            <w:vAlign w:val="bottom"/>
          </w:tcPr>
          <w:p w14:paraId="35D0B5F6" w14:textId="77777777" w:rsidR="00D42204" w:rsidRDefault="00D42204">
            <w:pPr>
              <w:rPr>
                <w:rFonts w:ascii="宋体"/>
              </w:rPr>
            </w:pPr>
          </w:p>
        </w:tc>
        <w:tc>
          <w:tcPr>
            <w:tcW w:w="3275" w:type="pct"/>
            <w:shd w:val="clear" w:color="auto" w:fill="auto"/>
            <w:vAlign w:val="bottom"/>
          </w:tcPr>
          <w:p w14:paraId="35D0B5F7" w14:textId="77777777" w:rsidR="00D42204" w:rsidRDefault="00D42204">
            <w:pPr>
              <w:rPr>
                <w:rFonts w:ascii="宋体"/>
              </w:rPr>
            </w:pPr>
          </w:p>
        </w:tc>
        <w:tc>
          <w:tcPr>
            <w:tcW w:w="5" w:type="pct"/>
            <w:shd w:val="clear" w:color="auto" w:fill="auto"/>
            <w:vAlign w:val="bottom"/>
          </w:tcPr>
          <w:p w14:paraId="35D0B5F8" w14:textId="77777777" w:rsidR="00D42204" w:rsidRDefault="00D42204">
            <w:pPr>
              <w:rPr>
                <w:rFonts w:ascii="宋体"/>
              </w:rPr>
            </w:pPr>
          </w:p>
        </w:tc>
        <w:tc>
          <w:tcPr>
            <w:tcW w:w="5" w:type="pct"/>
            <w:shd w:val="clear" w:color="auto" w:fill="auto"/>
            <w:vAlign w:val="bottom"/>
          </w:tcPr>
          <w:p w14:paraId="35D0B5F9" w14:textId="77777777" w:rsidR="00D42204" w:rsidRDefault="00D42204">
            <w:pPr>
              <w:rPr>
                <w:rFonts w:ascii="宋体"/>
              </w:rPr>
            </w:pPr>
          </w:p>
        </w:tc>
        <w:tc>
          <w:tcPr>
            <w:tcW w:w="26" w:type="pct"/>
            <w:shd w:val="clear" w:color="auto" w:fill="auto"/>
            <w:vAlign w:val="bottom"/>
          </w:tcPr>
          <w:p w14:paraId="35D0B5FA" w14:textId="77777777" w:rsidR="00D42204" w:rsidRDefault="00D42204">
            <w:pPr>
              <w:rPr>
                <w:rFonts w:ascii="宋体"/>
              </w:rPr>
            </w:pPr>
          </w:p>
        </w:tc>
        <w:tc>
          <w:tcPr>
            <w:tcW w:w="5" w:type="pct"/>
            <w:shd w:val="clear" w:color="auto" w:fill="auto"/>
            <w:vAlign w:val="bottom"/>
          </w:tcPr>
          <w:p w14:paraId="35D0B5FB" w14:textId="77777777" w:rsidR="00D42204" w:rsidRDefault="00D42204">
            <w:pPr>
              <w:rPr>
                <w:rFonts w:ascii="宋体"/>
              </w:rPr>
            </w:pPr>
          </w:p>
        </w:tc>
        <w:tc>
          <w:tcPr>
            <w:tcW w:w="50" w:type="pct"/>
            <w:shd w:val="clear" w:color="auto" w:fill="auto"/>
            <w:vAlign w:val="bottom"/>
          </w:tcPr>
          <w:p w14:paraId="35D0B5FC" w14:textId="77777777" w:rsidR="00D42204" w:rsidRDefault="00D42204">
            <w:pPr>
              <w:rPr>
                <w:rFonts w:ascii="宋体"/>
              </w:rPr>
            </w:pPr>
          </w:p>
        </w:tc>
        <w:tc>
          <w:tcPr>
            <w:tcW w:w="742" w:type="pct"/>
            <w:shd w:val="clear" w:color="auto" w:fill="auto"/>
            <w:vAlign w:val="bottom"/>
          </w:tcPr>
          <w:p w14:paraId="35D0B5FD" w14:textId="77777777" w:rsidR="00D42204" w:rsidRDefault="00D42204">
            <w:pPr>
              <w:rPr>
                <w:rFonts w:ascii="宋体"/>
              </w:rPr>
            </w:pPr>
          </w:p>
        </w:tc>
        <w:tc>
          <w:tcPr>
            <w:tcW w:w="5" w:type="pct"/>
            <w:shd w:val="clear" w:color="auto" w:fill="auto"/>
            <w:vAlign w:val="bottom"/>
          </w:tcPr>
          <w:p w14:paraId="35D0B5FE" w14:textId="77777777" w:rsidR="00D42204" w:rsidRDefault="00D42204">
            <w:pPr>
              <w:rPr>
                <w:rFonts w:ascii="宋体"/>
              </w:rPr>
            </w:pPr>
          </w:p>
        </w:tc>
        <w:tc>
          <w:tcPr>
            <w:tcW w:w="5" w:type="pct"/>
            <w:shd w:val="clear" w:color="auto" w:fill="auto"/>
            <w:vAlign w:val="bottom"/>
          </w:tcPr>
          <w:p w14:paraId="35D0B5FF" w14:textId="77777777" w:rsidR="00D42204" w:rsidRDefault="00D42204">
            <w:pPr>
              <w:rPr>
                <w:rFonts w:ascii="宋体"/>
              </w:rPr>
            </w:pPr>
          </w:p>
        </w:tc>
        <w:tc>
          <w:tcPr>
            <w:tcW w:w="26" w:type="pct"/>
            <w:shd w:val="clear" w:color="auto" w:fill="auto"/>
            <w:vAlign w:val="bottom"/>
          </w:tcPr>
          <w:p w14:paraId="35D0B600" w14:textId="77777777" w:rsidR="00D42204" w:rsidRDefault="00D42204">
            <w:pPr>
              <w:rPr>
                <w:rFonts w:ascii="宋体"/>
              </w:rPr>
            </w:pPr>
          </w:p>
        </w:tc>
        <w:tc>
          <w:tcPr>
            <w:tcW w:w="5" w:type="pct"/>
            <w:shd w:val="clear" w:color="auto" w:fill="auto"/>
            <w:vAlign w:val="bottom"/>
          </w:tcPr>
          <w:p w14:paraId="35D0B601" w14:textId="77777777" w:rsidR="00D42204" w:rsidRDefault="00D42204">
            <w:pPr>
              <w:rPr>
                <w:rFonts w:ascii="宋体"/>
              </w:rPr>
            </w:pPr>
          </w:p>
        </w:tc>
        <w:tc>
          <w:tcPr>
            <w:tcW w:w="50" w:type="pct"/>
            <w:shd w:val="clear" w:color="auto" w:fill="auto"/>
            <w:vAlign w:val="bottom"/>
          </w:tcPr>
          <w:p w14:paraId="35D0B602" w14:textId="77777777" w:rsidR="00D42204" w:rsidRDefault="00D42204">
            <w:pPr>
              <w:rPr>
                <w:rFonts w:ascii="宋体"/>
              </w:rPr>
            </w:pPr>
          </w:p>
        </w:tc>
        <w:tc>
          <w:tcPr>
            <w:tcW w:w="742" w:type="pct"/>
            <w:shd w:val="clear" w:color="auto" w:fill="auto"/>
            <w:vAlign w:val="bottom"/>
          </w:tcPr>
          <w:p w14:paraId="35D0B603" w14:textId="77777777" w:rsidR="00D42204" w:rsidRDefault="00D42204">
            <w:pPr>
              <w:rPr>
                <w:rFonts w:ascii="宋体"/>
              </w:rPr>
            </w:pPr>
          </w:p>
        </w:tc>
        <w:tc>
          <w:tcPr>
            <w:tcW w:w="5" w:type="pct"/>
            <w:shd w:val="clear" w:color="auto" w:fill="auto"/>
            <w:vAlign w:val="bottom"/>
          </w:tcPr>
          <w:p w14:paraId="35D0B604" w14:textId="77777777" w:rsidR="00D42204" w:rsidRDefault="00D42204">
            <w:pPr>
              <w:rPr>
                <w:rFonts w:ascii="宋体"/>
              </w:rPr>
            </w:pPr>
          </w:p>
        </w:tc>
      </w:tr>
      <w:tr w:rsidR="00D42204" w14:paraId="35D0B60B" w14:textId="77777777">
        <w:tc>
          <w:tcPr>
            <w:tcW w:w="0" w:type="auto"/>
            <w:gridSpan w:val="3"/>
            <w:shd w:val="clear" w:color="auto" w:fill="auto"/>
            <w:tcMar>
              <w:top w:w="40" w:type="dxa"/>
              <w:left w:w="65" w:type="dxa"/>
              <w:bottom w:w="40" w:type="dxa"/>
              <w:right w:w="20" w:type="dxa"/>
            </w:tcMar>
            <w:vAlign w:val="bottom"/>
          </w:tcPr>
          <w:p w14:paraId="35D0B606" w14:textId="77777777" w:rsidR="00D42204" w:rsidRDefault="004E439D">
            <w:pPr>
              <w:textAlignment w:val="bottom"/>
            </w:pPr>
            <w:r>
              <w:rPr>
                <w:rFonts w:ascii="Times New Roman" w:eastAsia="宋体" w:hAnsi="Times New Roman"/>
                <w:i/>
                <w:iCs/>
                <w:color w:val="000000"/>
                <w:sz w:val="16"/>
                <w:szCs w:val="16"/>
              </w:rPr>
              <w:t xml:space="preserve">(Amounts in </w:t>
            </w:r>
            <w:r>
              <w:rPr>
                <w:rFonts w:ascii="Times New Roman" w:eastAsia="宋体" w:hAnsi="Times New Roman"/>
                <w:i/>
                <w:iCs/>
                <w:color w:val="000000"/>
                <w:sz w:val="16"/>
                <w:szCs w:val="16"/>
              </w:rPr>
              <w:t>millions)</w:t>
            </w:r>
          </w:p>
        </w:tc>
        <w:tc>
          <w:tcPr>
            <w:tcW w:w="0" w:type="auto"/>
            <w:gridSpan w:val="3"/>
            <w:shd w:val="clear" w:color="auto" w:fill="auto"/>
            <w:tcMar>
              <w:top w:w="0" w:type="dxa"/>
              <w:left w:w="20" w:type="dxa"/>
              <w:bottom w:w="0" w:type="dxa"/>
              <w:right w:w="20" w:type="dxa"/>
            </w:tcMar>
            <w:vAlign w:val="bottom"/>
          </w:tcPr>
          <w:p w14:paraId="35D0B607"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608"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609"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60A" w14:textId="77777777" w:rsidR="00D42204" w:rsidRDefault="00D42204">
            <w:pPr>
              <w:rPr>
                <w:rFonts w:ascii="宋体"/>
              </w:rPr>
            </w:pPr>
          </w:p>
        </w:tc>
      </w:tr>
      <w:tr w:rsidR="00D42204" w14:paraId="35D0B611" w14:textId="77777777">
        <w:tc>
          <w:tcPr>
            <w:tcW w:w="0" w:type="auto"/>
            <w:gridSpan w:val="3"/>
            <w:shd w:val="clear" w:color="auto" w:fill="auto"/>
            <w:tcMar>
              <w:top w:w="40" w:type="dxa"/>
              <w:left w:w="20" w:type="dxa"/>
              <w:bottom w:w="40" w:type="dxa"/>
              <w:right w:w="20" w:type="dxa"/>
            </w:tcMar>
            <w:vAlign w:val="bottom"/>
          </w:tcPr>
          <w:p w14:paraId="35D0B60C" w14:textId="77777777" w:rsidR="00D42204" w:rsidRDefault="004E439D">
            <w:pPr>
              <w:textAlignment w:val="bottom"/>
            </w:pPr>
            <w:r>
              <w:rPr>
                <w:rFonts w:ascii="Times New Roman" w:eastAsia="宋体" w:hAnsi="Times New Roman"/>
                <w:b/>
                <w:bCs/>
                <w:color w:val="000000"/>
                <w:sz w:val="16"/>
                <w:szCs w:val="16"/>
              </w:rPr>
              <w:t>Fiscal Year</w:t>
            </w:r>
          </w:p>
        </w:tc>
        <w:tc>
          <w:tcPr>
            <w:tcW w:w="0" w:type="auto"/>
            <w:gridSpan w:val="3"/>
            <w:shd w:val="clear" w:color="auto" w:fill="auto"/>
            <w:tcMar>
              <w:top w:w="0" w:type="dxa"/>
              <w:left w:w="20" w:type="dxa"/>
              <w:bottom w:w="0" w:type="dxa"/>
              <w:right w:w="20" w:type="dxa"/>
            </w:tcMar>
            <w:vAlign w:val="bottom"/>
          </w:tcPr>
          <w:p w14:paraId="35D0B60D" w14:textId="77777777" w:rsidR="00D42204" w:rsidRDefault="00D42204">
            <w:pPr>
              <w:rPr>
                <w:rFonts w:ascii="宋体"/>
              </w:rPr>
            </w:pPr>
          </w:p>
        </w:tc>
        <w:tc>
          <w:tcPr>
            <w:tcW w:w="0" w:type="auto"/>
            <w:gridSpan w:val="3"/>
            <w:shd w:val="clear" w:color="auto" w:fill="auto"/>
            <w:tcMar>
              <w:top w:w="40" w:type="dxa"/>
              <w:left w:w="42" w:type="dxa"/>
              <w:bottom w:w="40" w:type="dxa"/>
              <w:right w:w="42" w:type="dxa"/>
            </w:tcMar>
            <w:vAlign w:val="bottom"/>
          </w:tcPr>
          <w:p w14:paraId="35D0B60E" w14:textId="77777777" w:rsidR="00D42204" w:rsidRDefault="004E439D">
            <w:pPr>
              <w:jc w:val="center"/>
              <w:textAlignment w:val="bottom"/>
            </w:pPr>
            <w:r>
              <w:rPr>
                <w:rFonts w:ascii="Times New Roman" w:eastAsia="宋体" w:hAnsi="Times New Roman"/>
                <w:b/>
                <w:bCs/>
                <w:color w:val="000000"/>
                <w:sz w:val="16"/>
                <w:szCs w:val="16"/>
              </w:rPr>
              <w:t>Operating Leases</w:t>
            </w:r>
          </w:p>
        </w:tc>
        <w:tc>
          <w:tcPr>
            <w:tcW w:w="0" w:type="auto"/>
            <w:gridSpan w:val="3"/>
            <w:shd w:val="clear" w:color="auto" w:fill="auto"/>
            <w:tcMar>
              <w:top w:w="0" w:type="dxa"/>
              <w:left w:w="20" w:type="dxa"/>
              <w:bottom w:w="0" w:type="dxa"/>
              <w:right w:w="20" w:type="dxa"/>
            </w:tcMar>
            <w:vAlign w:val="bottom"/>
          </w:tcPr>
          <w:p w14:paraId="35D0B60F" w14:textId="77777777" w:rsidR="00D42204" w:rsidRDefault="00D42204">
            <w:pPr>
              <w:rPr>
                <w:rFonts w:ascii="宋体"/>
              </w:rPr>
            </w:pPr>
          </w:p>
        </w:tc>
        <w:tc>
          <w:tcPr>
            <w:tcW w:w="0" w:type="auto"/>
            <w:gridSpan w:val="3"/>
            <w:shd w:val="clear" w:color="auto" w:fill="auto"/>
            <w:tcMar>
              <w:top w:w="40" w:type="dxa"/>
              <w:left w:w="42" w:type="dxa"/>
              <w:bottom w:w="40" w:type="dxa"/>
              <w:right w:w="42" w:type="dxa"/>
            </w:tcMar>
            <w:vAlign w:val="bottom"/>
          </w:tcPr>
          <w:p w14:paraId="35D0B610" w14:textId="77777777" w:rsidR="00D42204" w:rsidRDefault="004E439D">
            <w:pPr>
              <w:jc w:val="center"/>
              <w:textAlignment w:val="bottom"/>
            </w:pPr>
            <w:r>
              <w:rPr>
                <w:rFonts w:ascii="Times New Roman" w:eastAsia="宋体" w:hAnsi="Times New Roman"/>
                <w:b/>
                <w:bCs/>
                <w:color w:val="000000"/>
                <w:sz w:val="16"/>
                <w:szCs w:val="16"/>
              </w:rPr>
              <w:t>Finance Leases</w:t>
            </w:r>
          </w:p>
        </w:tc>
      </w:tr>
      <w:tr w:rsidR="00D42204" w14:paraId="35D0B61B" w14:textId="77777777">
        <w:tc>
          <w:tcPr>
            <w:tcW w:w="0" w:type="auto"/>
            <w:gridSpan w:val="3"/>
            <w:shd w:val="clear" w:color="auto" w:fill="CCEEFF"/>
            <w:tcMar>
              <w:top w:w="40" w:type="dxa"/>
              <w:left w:w="20" w:type="dxa"/>
              <w:bottom w:w="40" w:type="dxa"/>
              <w:right w:w="20" w:type="dxa"/>
            </w:tcMar>
            <w:vAlign w:val="bottom"/>
          </w:tcPr>
          <w:p w14:paraId="35D0B612" w14:textId="77777777" w:rsidR="00D42204" w:rsidRDefault="004E439D">
            <w:pPr>
              <w:textAlignment w:val="bottom"/>
            </w:pPr>
            <w:r>
              <w:rPr>
                <w:rFonts w:ascii="Times New Roman" w:eastAsia="宋体" w:hAnsi="Times New Roman"/>
                <w:color w:val="000000"/>
                <w:sz w:val="16"/>
                <w:szCs w:val="16"/>
              </w:rPr>
              <w:t>2023</w:t>
            </w:r>
          </w:p>
        </w:tc>
        <w:tc>
          <w:tcPr>
            <w:tcW w:w="0" w:type="auto"/>
            <w:gridSpan w:val="3"/>
            <w:shd w:val="clear" w:color="auto" w:fill="CCEEFF"/>
            <w:tcMar>
              <w:top w:w="0" w:type="dxa"/>
              <w:left w:w="20" w:type="dxa"/>
              <w:bottom w:w="0" w:type="dxa"/>
              <w:right w:w="20" w:type="dxa"/>
            </w:tcMar>
            <w:vAlign w:val="bottom"/>
          </w:tcPr>
          <w:p w14:paraId="35D0B613"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D0B614"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D0B615" w14:textId="77777777" w:rsidR="00D42204" w:rsidRDefault="004E439D">
            <w:pPr>
              <w:jc w:val="right"/>
              <w:textAlignment w:val="bottom"/>
            </w:pPr>
            <w:r>
              <w:rPr>
                <w:rFonts w:ascii="Times New Roman" w:eastAsia="宋体" w:hAnsi="Times New Roman"/>
                <w:color w:val="000000"/>
                <w:sz w:val="16"/>
                <w:szCs w:val="16"/>
              </w:rPr>
              <w:t>2,164 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61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617"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D0B618"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D0B619" w14:textId="77777777" w:rsidR="00D42204" w:rsidRDefault="004E439D">
            <w:pPr>
              <w:jc w:val="right"/>
              <w:textAlignment w:val="bottom"/>
            </w:pPr>
            <w:r>
              <w:rPr>
                <w:rFonts w:ascii="Times New Roman" w:eastAsia="宋体" w:hAnsi="Times New Roman"/>
                <w:color w:val="000000"/>
                <w:sz w:val="16"/>
                <w:szCs w:val="16"/>
              </w:rPr>
              <w:t>736 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61A" w14:textId="77777777" w:rsidR="00D42204" w:rsidRDefault="00D42204">
            <w:pPr>
              <w:jc w:val="right"/>
              <w:rPr>
                <w:rFonts w:ascii="宋体"/>
              </w:rPr>
            </w:pPr>
          </w:p>
        </w:tc>
      </w:tr>
      <w:tr w:rsidR="00D42204" w14:paraId="35D0B623" w14:textId="77777777">
        <w:tc>
          <w:tcPr>
            <w:tcW w:w="0" w:type="auto"/>
            <w:gridSpan w:val="3"/>
            <w:shd w:val="clear" w:color="auto" w:fill="FFFFFF"/>
            <w:tcMar>
              <w:top w:w="40" w:type="dxa"/>
              <w:left w:w="20" w:type="dxa"/>
              <w:bottom w:w="40" w:type="dxa"/>
              <w:right w:w="20" w:type="dxa"/>
            </w:tcMar>
            <w:vAlign w:val="bottom"/>
          </w:tcPr>
          <w:p w14:paraId="35D0B61C" w14:textId="77777777" w:rsidR="00D42204" w:rsidRDefault="004E439D">
            <w:pPr>
              <w:textAlignment w:val="bottom"/>
            </w:pPr>
            <w:r>
              <w:rPr>
                <w:rFonts w:ascii="Times New Roman" w:eastAsia="宋体" w:hAnsi="Times New Roman"/>
                <w:color w:val="000000"/>
                <w:sz w:val="16"/>
                <w:szCs w:val="16"/>
              </w:rPr>
              <w:t>2024</w:t>
            </w:r>
          </w:p>
        </w:tc>
        <w:tc>
          <w:tcPr>
            <w:tcW w:w="0" w:type="auto"/>
            <w:gridSpan w:val="3"/>
            <w:shd w:val="clear" w:color="auto" w:fill="FFFFFF"/>
            <w:tcMar>
              <w:top w:w="0" w:type="dxa"/>
              <w:left w:w="20" w:type="dxa"/>
              <w:bottom w:w="0" w:type="dxa"/>
              <w:right w:w="20" w:type="dxa"/>
            </w:tcMar>
            <w:vAlign w:val="bottom"/>
          </w:tcPr>
          <w:p w14:paraId="35D0B61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61E" w14:textId="77777777" w:rsidR="00D42204" w:rsidRDefault="004E439D">
            <w:pPr>
              <w:jc w:val="right"/>
              <w:textAlignment w:val="bottom"/>
            </w:pPr>
            <w:r>
              <w:rPr>
                <w:rFonts w:ascii="Times New Roman" w:eastAsia="宋体" w:hAnsi="Times New Roman"/>
                <w:color w:val="000000"/>
                <w:sz w:val="16"/>
                <w:szCs w:val="16"/>
              </w:rPr>
              <w:t>2,040 </w:t>
            </w:r>
          </w:p>
        </w:tc>
        <w:tc>
          <w:tcPr>
            <w:tcW w:w="0" w:type="auto"/>
            <w:shd w:val="clear" w:color="auto" w:fill="FFFFFF"/>
            <w:tcMar>
              <w:top w:w="40" w:type="dxa"/>
              <w:left w:w="0" w:type="dxa"/>
              <w:bottom w:w="40" w:type="dxa"/>
              <w:right w:w="20" w:type="dxa"/>
            </w:tcMar>
            <w:vAlign w:val="bottom"/>
          </w:tcPr>
          <w:p w14:paraId="35D0B61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62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621" w14:textId="77777777" w:rsidR="00D42204" w:rsidRDefault="004E439D">
            <w:pPr>
              <w:jc w:val="right"/>
              <w:textAlignment w:val="bottom"/>
            </w:pPr>
            <w:r>
              <w:rPr>
                <w:rFonts w:ascii="Times New Roman" w:eastAsia="宋体" w:hAnsi="Times New Roman"/>
                <w:color w:val="000000"/>
                <w:sz w:val="16"/>
                <w:szCs w:val="16"/>
              </w:rPr>
              <w:t>675 </w:t>
            </w:r>
          </w:p>
        </w:tc>
        <w:tc>
          <w:tcPr>
            <w:tcW w:w="0" w:type="auto"/>
            <w:shd w:val="clear" w:color="auto" w:fill="FFFFFF"/>
            <w:tcMar>
              <w:top w:w="40" w:type="dxa"/>
              <w:left w:w="0" w:type="dxa"/>
              <w:bottom w:w="40" w:type="dxa"/>
              <w:right w:w="20" w:type="dxa"/>
            </w:tcMar>
            <w:vAlign w:val="bottom"/>
          </w:tcPr>
          <w:p w14:paraId="35D0B622" w14:textId="77777777" w:rsidR="00D42204" w:rsidRDefault="00D42204">
            <w:pPr>
              <w:jc w:val="right"/>
              <w:rPr>
                <w:rFonts w:ascii="宋体"/>
              </w:rPr>
            </w:pPr>
          </w:p>
        </w:tc>
      </w:tr>
      <w:tr w:rsidR="00D42204" w14:paraId="35D0B62B" w14:textId="77777777">
        <w:tc>
          <w:tcPr>
            <w:tcW w:w="0" w:type="auto"/>
            <w:gridSpan w:val="3"/>
            <w:shd w:val="clear" w:color="auto" w:fill="CCEEFF"/>
            <w:tcMar>
              <w:top w:w="40" w:type="dxa"/>
              <w:left w:w="20" w:type="dxa"/>
              <w:bottom w:w="40" w:type="dxa"/>
              <w:right w:w="20" w:type="dxa"/>
            </w:tcMar>
            <w:vAlign w:val="bottom"/>
          </w:tcPr>
          <w:p w14:paraId="35D0B624" w14:textId="77777777" w:rsidR="00D42204" w:rsidRDefault="004E439D">
            <w:pPr>
              <w:textAlignment w:val="bottom"/>
            </w:pPr>
            <w:r>
              <w:rPr>
                <w:rFonts w:ascii="Times New Roman" w:eastAsia="宋体" w:hAnsi="Times New Roman"/>
                <w:color w:val="000000"/>
                <w:sz w:val="16"/>
                <w:szCs w:val="16"/>
              </w:rPr>
              <w:t>2025</w:t>
            </w:r>
          </w:p>
        </w:tc>
        <w:tc>
          <w:tcPr>
            <w:tcW w:w="0" w:type="auto"/>
            <w:gridSpan w:val="3"/>
            <w:shd w:val="clear" w:color="auto" w:fill="CCEEFF"/>
            <w:tcMar>
              <w:top w:w="0" w:type="dxa"/>
              <w:left w:w="20" w:type="dxa"/>
              <w:bottom w:w="0" w:type="dxa"/>
              <w:right w:w="20" w:type="dxa"/>
            </w:tcMar>
            <w:vAlign w:val="bottom"/>
          </w:tcPr>
          <w:p w14:paraId="35D0B62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626" w14:textId="77777777" w:rsidR="00D42204" w:rsidRDefault="004E439D">
            <w:pPr>
              <w:jc w:val="right"/>
              <w:textAlignment w:val="bottom"/>
            </w:pPr>
            <w:r>
              <w:rPr>
                <w:rFonts w:ascii="Times New Roman" w:eastAsia="宋体" w:hAnsi="Times New Roman"/>
                <w:color w:val="000000"/>
                <w:sz w:val="16"/>
                <w:szCs w:val="16"/>
              </w:rPr>
              <w:t>1,876 </w:t>
            </w:r>
          </w:p>
        </w:tc>
        <w:tc>
          <w:tcPr>
            <w:tcW w:w="0" w:type="auto"/>
            <w:shd w:val="clear" w:color="auto" w:fill="CCEEFF"/>
            <w:tcMar>
              <w:top w:w="40" w:type="dxa"/>
              <w:left w:w="0" w:type="dxa"/>
              <w:bottom w:w="40" w:type="dxa"/>
              <w:right w:w="20" w:type="dxa"/>
            </w:tcMar>
            <w:vAlign w:val="bottom"/>
          </w:tcPr>
          <w:p w14:paraId="35D0B62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62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629" w14:textId="77777777" w:rsidR="00D42204" w:rsidRDefault="004E439D">
            <w:pPr>
              <w:jc w:val="right"/>
              <w:textAlignment w:val="bottom"/>
            </w:pPr>
            <w:r>
              <w:rPr>
                <w:rFonts w:ascii="Times New Roman" w:eastAsia="宋体" w:hAnsi="Times New Roman"/>
                <w:color w:val="000000"/>
                <w:sz w:val="16"/>
                <w:szCs w:val="16"/>
              </w:rPr>
              <w:t>611 </w:t>
            </w:r>
          </w:p>
        </w:tc>
        <w:tc>
          <w:tcPr>
            <w:tcW w:w="0" w:type="auto"/>
            <w:shd w:val="clear" w:color="auto" w:fill="CCEEFF"/>
            <w:tcMar>
              <w:top w:w="40" w:type="dxa"/>
              <w:left w:w="0" w:type="dxa"/>
              <w:bottom w:w="40" w:type="dxa"/>
              <w:right w:w="20" w:type="dxa"/>
            </w:tcMar>
            <w:vAlign w:val="bottom"/>
          </w:tcPr>
          <w:p w14:paraId="35D0B62A" w14:textId="77777777" w:rsidR="00D42204" w:rsidRDefault="00D42204">
            <w:pPr>
              <w:jc w:val="right"/>
              <w:rPr>
                <w:rFonts w:ascii="宋体"/>
              </w:rPr>
            </w:pPr>
          </w:p>
        </w:tc>
      </w:tr>
      <w:tr w:rsidR="00D42204" w14:paraId="35D0B633" w14:textId="77777777">
        <w:tc>
          <w:tcPr>
            <w:tcW w:w="0" w:type="auto"/>
            <w:gridSpan w:val="3"/>
            <w:shd w:val="clear" w:color="auto" w:fill="FFFFFF"/>
            <w:tcMar>
              <w:top w:w="40" w:type="dxa"/>
              <w:left w:w="20" w:type="dxa"/>
              <w:bottom w:w="40" w:type="dxa"/>
              <w:right w:w="20" w:type="dxa"/>
            </w:tcMar>
            <w:vAlign w:val="bottom"/>
          </w:tcPr>
          <w:p w14:paraId="35D0B62C" w14:textId="77777777" w:rsidR="00D42204" w:rsidRDefault="004E439D">
            <w:pPr>
              <w:textAlignment w:val="bottom"/>
            </w:pPr>
            <w:r>
              <w:rPr>
                <w:rFonts w:ascii="Times New Roman" w:eastAsia="宋体" w:hAnsi="Times New Roman"/>
                <w:color w:val="000000"/>
                <w:sz w:val="16"/>
                <w:szCs w:val="16"/>
              </w:rPr>
              <w:t>2026</w:t>
            </w:r>
          </w:p>
        </w:tc>
        <w:tc>
          <w:tcPr>
            <w:tcW w:w="0" w:type="auto"/>
            <w:gridSpan w:val="3"/>
            <w:shd w:val="clear" w:color="auto" w:fill="FFFFFF"/>
            <w:tcMar>
              <w:top w:w="0" w:type="dxa"/>
              <w:left w:w="20" w:type="dxa"/>
              <w:bottom w:w="0" w:type="dxa"/>
              <w:right w:w="20" w:type="dxa"/>
            </w:tcMar>
            <w:vAlign w:val="bottom"/>
          </w:tcPr>
          <w:p w14:paraId="35D0B62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62E" w14:textId="77777777" w:rsidR="00D42204" w:rsidRDefault="004E439D">
            <w:pPr>
              <w:jc w:val="right"/>
              <w:textAlignment w:val="bottom"/>
            </w:pPr>
            <w:r>
              <w:rPr>
                <w:rFonts w:ascii="Times New Roman" w:eastAsia="宋体" w:hAnsi="Times New Roman"/>
                <w:color w:val="000000"/>
                <w:sz w:val="16"/>
                <w:szCs w:val="16"/>
              </w:rPr>
              <w:t>1,713 </w:t>
            </w:r>
          </w:p>
        </w:tc>
        <w:tc>
          <w:tcPr>
            <w:tcW w:w="0" w:type="auto"/>
            <w:shd w:val="clear" w:color="auto" w:fill="FFFFFF"/>
            <w:tcMar>
              <w:top w:w="40" w:type="dxa"/>
              <w:left w:w="0" w:type="dxa"/>
              <w:bottom w:w="40" w:type="dxa"/>
              <w:right w:w="20" w:type="dxa"/>
            </w:tcMar>
            <w:vAlign w:val="bottom"/>
          </w:tcPr>
          <w:p w14:paraId="35D0B62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63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631" w14:textId="77777777" w:rsidR="00D42204" w:rsidRDefault="004E439D">
            <w:pPr>
              <w:jc w:val="right"/>
              <w:textAlignment w:val="bottom"/>
            </w:pPr>
            <w:r>
              <w:rPr>
                <w:rFonts w:ascii="Times New Roman" w:eastAsia="宋体" w:hAnsi="Times New Roman"/>
                <w:color w:val="000000"/>
                <w:sz w:val="16"/>
                <w:szCs w:val="16"/>
              </w:rPr>
              <w:t>555 </w:t>
            </w:r>
          </w:p>
        </w:tc>
        <w:tc>
          <w:tcPr>
            <w:tcW w:w="0" w:type="auto"/>
            <w:shd w:val="clear" w:color="auto" w:fill="FFFFFF"/>
            <w:tcMar>
              <w:top w:w="40" w:type="dxa"/>
              <w:left w:w="0" w:type="dxa"/>
              <w:bottom w:w="40" w:type="dxa"/>
              <w:right w:w="20" w:type="dxa"/>
            </w:tcMar>
            <w:vAlign w:val="bottom"/>
          </w:tcPr>
          <w:p w14:paraId="35D0B632" w14:textId="77777777" w:rsidR="00D42204" w:rsidRDefault="00D42204">
            <w:pPr>
              <w:jc w:val="right"/>
              <w:rPr>
                <w:rFonts w:ascii="宋体"/>
              </w:rPr>
            </w:pPr>
          </w:p>
        </w:tc>
      </w:tr>
      <w:tr w:rsidR="00D42204" w14:paraId="35D0B63B" w14:textId="77777777">
        <w:tc>
          <w:tcPr>
            <w:tcW w:w="0" w:type="auto"/>
            <w:gridSpan w:val="3"/>
            <w:shd w:val="clear" w:color="auto" w:fill="CCEEFF"/>
            <w:tcMar>
              <w:top w:w="40" w:type="dxa"/>
              <w:left w:w="20" w:type="dxa"/>
              <w:bottom w:w="40" w:type="dxa"/>
              <w:right w:w="20" w:type="dxa"/>
            </w:tcMar>
            <w:vAlign w:val="bottom"/>
          </w:tcPr>
          <w:p w14:paraId="35D0B634" w14:textId="77777777" w:rsidR="00D42204" w:rsidRDefault="004E439D">
            <w:pPr>
              <w:textAlignment w:val="bottom"/>
            </w:pPr>
            <w:r>
              <w:rPr>
                <w:rFonts w:ascii="Times New Roman" w:eastAsia="宋体" w:hAnsi="Times New Roman"/>
                <w:color w:val="000000"/>
                <w:sz w:val="16"/>
                <w:szCs w:val="16"/>
              </w:rPr>
              <w:t>2027</w:t>
            </w:r>
          </w:p>
        </w:tc>
        <w:tc>
          <w:tcPr>
            <w:tcW w:w="0" w:type="auto"/>
            <w:gridSpan w:val="3"/>
            <w:shd w:val="clear" w:color="auto" w:fill="CCEEFF"/>
            <w:tcMar>
              <w:top w:w="0" w:type="dxa"/>
              <w:left w:w="20" w:type="dxa"/>
              <w:bottom w:w="0" w:type="dxa"/>
              <w:right w:w="20" w:type="dxa"/>
            </w:tcMar>
            <w:vAlign w:val="bottom"/>
          </w:tcPr>
          <w:p w14:paraId="35D0B63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636" w14:textId="77777777" w:rsidR="00D42204" w:rsidRDefault="004E439D">
            <w:pPr>
              <w:jc w:val="right"/>
              <w:textAlignment w:val="bottom"/>
            </w:pPr>
            <w:r>
              <w:rPr>
                <w:rFonts w:ascii="Times New Roman" w:eastAsia="宋体" w:hAnsi="Times New Roman"/>
                <w:color w:val="000000"/>
                <w:sz w:val="16"/>
                <w:szCs w:val="16"/>
              </w:rPr>
              <w:t>1,551 </w:t>
            </w:r>
          </w:p>
        </w:tc>
        <w:tc>
          <w:tcPr>
            <w:tcW w:w="0" w:type="auto"/>
            <w:shd w:val="clear" w:color="auto" w:fill="CCEEFF"/>
            <w:tcMar>
              <w:top w:w="40" w:type="dxa"/>
              <w:left w:w="0" w:type="dxa"/>
              <w:bottom w:w="40" w:type="dxa"/>
              <w:right w:w="20" w:type="dxa"/>
            </w:tcMar>
            <w:vAlign w:val="bottom"/>
          </w:tcPr>
          <w:p w14:paraId="35D0B63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63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639" w14:textId="77777777" w:rsidR="00D42204" w:rsidRDefault="004E439D">
            <w:pPr>
              <w:jc w:val="right"/>
              <w:textAlignment w:val="bottom"/>
            </w:pPr>
            <w:r>
              <w:rPr>
                <w:rFonts w:ascii="Times New Roman" w:eastAsia="宋体" w:hAnsi="Times New Roman"/>
                <w:color w:val="000000"/>
                <w:sz w:val="16"/>
                <w:szCs w:val="16"/>
              </w:rPr>
              <w:t>482 </w:t>
            </w:r>
          </w:p>
        </w:tc>
        <w:tc>
          <w:tcPr>
            <w:tcW w:w="0" w:type="auto"/>
            <w:shd w:val="clear" w:color="auto" w:fill="CCEEFF"/>
            <w:tcMar>
              <w:top w:w="40" w:type="dxa"/>
              <w:left w:w="0" w:type="dxa"/>
              <w:bottom w:w="40" w:type="dxa"/>
              <w:right w:w="20" w:type="dxa"/>
            </w:tcMar>
            <w:vAlign w:val="bottom"/>
          </w:tcPr>
          <w:p w14:paraId="35D0B63A" w14:textId="77777777" w:rsidR="00D42204" w:rsidRDefault="00D42204">
            <w:pPr>
              <w:jc w:val="right"/>
              <w:rPr>
                <w:rFonts w:ascii="宋体"/>
              </w:rPr>
            </w:pPr>
          </w:p>
        </w:tc>
      </w:tr>
      <w:tr w:rsidR="00D42204" w14:paraId="35D0B643" w14:textId="77777777">
        <w:tc>
          <w:tcPr>
            <w:tcW w:w="0" w:type="auto"/>
            <w:gridSpan w:val="3"/>
            <w:shd w:val="clear" w:color="auto" w:fill="FFFFFF"/>
            <w:tcMar>
              <w:top w:w="40" w:type="dxa"/>
              <w:left w:w="20" w:type="dxa"/>
              <w:bottom w:w="40" w:type="dxa"/>
              <w:right w:w="20" w:type="dxa"/>
            </w:tcMar>
            <w:vAlign w:val="bottom"/>
          </w:tcPr>
          <w:p w14:paraId="35D0B63C" w14:textId="77777777" w:rsidR="00D42204" w:rsidRDefault="004E439D">
            <w:pPr>
              <w:textAlignment w:val="bottom"/>
            </w:pPr>
            <w:r>
              <w:rPr>
                <w:rFonts w:ascii="Times New Roman" w:eastAsia="宋体" w:hAnsi="Times New Roman"/>
                <w:color w:val="000000"/>
                <w:sz w:val="16"/>
                <w:szCs w:val="16"/>
              </w:rPr>
              <w:t>Thereafter</w:t>
            </w:r>
          </w:p>
        </w:tc>
        <w:tc>
          <w:tcPr>
            <w:tcW w:w="0" w:type="auto"/>
            <w:gridSpan w:val="3"/>
            <w:shd w:val="clear" w:color="auto" w:fill="FFFFFF"/>
            <w:tcMar>
              <w:top w:w="0" w:type="dxa"/>
              <w:left w:w="20" w:type="dxa"/>
              <w:bottom w:w="0" w:type="dxa"/>
              <w:right w:w="20" w:type="dxa"/>
            </w:tcMar>
            <w:vAlign w:val="bottom"/>
          </w:tcPr>
          <w:p w14:paraId="35D0B63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63E" w14:textId="77777777" w:rsidR="00D42204" w:rsidRDefault="004E439D">
            <w:pPr>
              <w:jc w:val="right"/>
              <w:textAlignment w:val="bottom"/>
            </w:pPr>
            <w:r>
              <w:rPr>
                <w:rFonts w:ascii="Times New Roman" w:eastAsia="宋体" w:hAnsi="Times New Roman"/>
                <w:color w:val="000000"/>
                <w:sz w:val="16"/>
                <w:szCs w:val="16"/>
              </w:rPr>
              <w:t>11,322 </w:t>
            </w:r>
          </w:p>
        </w:tc>
        <w:tc>
          <w:tcPr>
            <w:tcW w:w="0" w:type="auto"/>
            <w:shd w:val="clear" w:color="auto" w:fill="FFFFFF"/>
            <w:tcMar>
              <w:top w:w="40" w:type="dxa"/>
              <w:left w:w="0" w:type="dxa"/>
              <w:bottom w:w="40" w:type="dxa"/>
              <w:right w:w="20" w:type="dxa"/>
            </w:tcMar>
            <w:vAlign w:val="bottom"/>
          </w:tcPr>
          <w:p w14:paraId="35D0B63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64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641" w14:textId="77777777" w:rsidR="00D42204" w:rsidRDefault="004E439D">
            <w:pPr>
              <w:jc w:val="right"/>
              <w:textAlignment w:val="bottom"/>
            </w:pPr>
            <w:r>
              <w:rPr>
                <w:rFonts w:ascii="Times New Roman" w:eastAsia="宋体" w:hAnsi="Times New Roman"/>
                <w:color w:val="000000"/>
                <w:sz w:val="16"/>
                <w:szCs w:val="16"/>
              </w:rPr>
              <w:t>4,987 </w:t>
            </w:r>
          </w:p>
        </w:tc>
        <w:tc>
          <w:tcPr>
            <w:tcW w:w="0" w:type="auto"/>
            <w:shd w:val="clear" w:color="auto" w:fill="FFFFFF"/>
            <w:tcMar>
              <w:top w:w="40" w:type="dxa"/>
              <w:left w:w="0" w:type="dxa"/>
              <w:bottom w:w="40" w:type="dxa"/>
              <w:right w:w="20" w:type="dxa"/>
            </w:tcMar>
            <w:vAlign w:val="bottom"/>
          </w:tcPr>
          <w:p w14:paraId="35D0B642" w14:textId="77777777" w:rsidR="00D42204" w:rsidRDefault="00D42204">
            <w:pPr>
              <w:jc w:val="right"/>
              <w:rPr>
                <w:rFonts w:ascii="宋体"/>
              </w:rPr>
            </w:pPr>
          </w:p>
        </w:tc>
      </w:tr>
      <w:tr w:rsidR="00D42204" w14:paraId="35D0B64B" w14:textId="77777777">
        <w:tc>
          <w:tcPr>
            <w:tcW w:w="0" w:type="auto"/>
            <w:gridSpan w:val="3"/>
            <w:shd w:val="clear" w:color="auto" w:fill="CCEEFF"/>
            <w:tcMar>
              <w:top w:w="40" w:type="dxa"/>
              <w:left w:w="20" w:type="dxa"/>
              <w:bottom w:w="40" w:type="dxa"/>
              <w:right w:w="20" w:type="dxa"/>
            </w:tcMar>
            <w:vAlign w:val="bottom"/>
          </w:tcPr>
          <w:p w14:paraId="35D0B644" w14:textId="77777777" w:rsidR="00D42204" w:rsidRDefault="004E439D">
            <w:pPr>
              <w:textAlignment w:val="bottom"/>
            </w:pPr>
            <w:r>
              <w:rPr>
                <w:rFonts w:ascii="Times New Roman" w:eastAsia="宋体" w:hAnsi="Times New Roman"/>
                <w:b/>
                <w:bCs/>
                <w:color w:val="000000"/>
                <w:sz w:val="16"/>
                <w:szCs w:val="16"/>
              </w:rPr>
              <w:t>Total undiscounted lease obligations</w:t>
            </w:r>
          </w:p>
        </w:tc>
        <w:tc>
          <w:tcPr>
            <w:tcW w:w="0" w:type="auto"/>
            <w:gridSpan w:val="3"/>
            <w:shd w:val="clear" w:color="auto" w:fill="CCEEFF"/>
            <w:tcMar>
              <w:top w:w="0" w:type="dxa"/>
              <w:left w:w="20" w:type="dxa"/>
              <w:bottom w:w="0" w:type="dxa"/>
              <w:right w:w="20" w:type="dxa"/>
            </w:tcMar>
            <w:vAlign w:val="bottom"/>
          </w:tcPr>
          <w:p w14:paraId="35D0B645"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D0B646" w14:textId="77777777" w:rsidR="00D42204" w:rsidRDefault="004E439D">
            <w:pPr>
              <w:jc w:val="right"/>
              <w:textAlignment w:val="bottom"/>
            </w:pPr>
            <w:r>
              <w:rPr>
                <w:rFonts w:ascii="Times New Roman" w:eastAsia="宋体" w:hAnsi="Times New Roman"/>
                <w:color w:val="000000"/>
                <w:sz w:val="16"/>
                <w:szCs w:val="16"/>
              </w:rPr>
              <w:t>20,666 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64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648"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35D0B649" w14:textId="77777777" w:rsidR="00D42204" w:rsidRDefault="004E439D">
            <w:pPr>
              <w:jc w:val="right"/>
              <w:textAlignment w:val="bottom"/>
            </w:pPr>
            <w:r>
              <w:rPr>
                <w:rFonts w:ascii="Times New Roman" w:eastAsia="宋体" w:hAnsi="Times New Roman"/>
                <w:color w:val="000000"/>
                <w:sz w:val="16"/>
                <w:szCs w:val="16"/>
              </w:rPr>
              <w:t>8,046 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64A" w14:textId="77777777" w:rsidR="00D42204" w:rsidRDefault="00D42204">
            <w:pPr>
              <w:jc w:val="right"/>
              <w:rPr>
                <w:rFonts w:ascii="宋体"/>
              </w:rPr>
            </w:pPr>
          </w:p>
        </w:tc>
      </w:tr>
      <w:tr w:rsidR="00D42204" w14:paraId="35D0B653" w14:textId="77777777">
        <w:tc>
          <w:tcPr>
            <w:tcW w:w="0" w:type="auto"/>
            <w:gridSpan w:val="3"/>
            <w:shd w:val="clear" w:color="auto" w:fill="FFFFFF"/>
            <w:tcMar>
              <w:top w:w="40" w:type="dxa"/>
              <w:left w:w="20" w:type="dxa"/>
              <w:bottom w:w="40" w:type="dxa"/>
              <w:right w:w="20" w:type="dxa"/>
            </w:tcMar>
            <w:vAlign w:val="bottom"/>
          </w:tcPr>
          <w:p w14:paraId="35D0B64C" w14:textId="77777777" w:rsidR="00D42204" w:rsidRDefault="004E439D">
            <w:pPr>
              <w:textAlignment w:val="bottom"/>
            </w:pPr>
            <w:r>
              <w:rPr>
                <w:rFonts w:ascii="Times New Roman" w:eastAsia="宋体" w:hAnsi="Times New Roman"/>
                <w:color w:val="000000"/>
                <w:sz w:val="16"/>
                <w:szCs w:val="16"/>
              </w:rPr>
              <w:t>Less imputed interest</w:t>
            </w:r>
          </w:p>
        </w:tc>
        <w:tc>
          <w:tcPr>
            <w:tcW w:w="0" w:type="auto"/>
            <w:gridSpan w:val="3"/>
            <w:shd w:val="clear" w:color="auto" w:fill="FFFFFF"/>
            <w:tcMar>
              <w:top w:w="0" w:type="dxa"/>
              <w:left w:w="20" w:type="dxa"/>
              <w:bottom w:w="0" w:type="dxa"/>
              <w:right w:w="20" w:type="dxa"/>
            </w:tcMar>
            <w:vAlign w:val="bottom"/>
          </w:tcPr>
          <w:p w14:paraId="35D0B64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64E" w14:textId="77777777" w:rsidR="00D42204" w:rsidRDefault="004E439D">
            <w:pPr>
              <w:jc w:val="right"/>
              <w:textAlignment w:val="bottom"/>
            </w:pPr>
            <w:r>
              <w:rPr>
                <w:rFonts w:ascii="Times New Roman" w:eastAsia="宋体" w:hAnsi="Times New Roman"/>
                <w:color w:val="000000"/>
                <w:sz w:val="16"/>
                <w:szCs w:val="16"/>
              </w:rPr>
              <w:t>(6,174)</w:t>
            </w:r>
          </w:p>
        </w:tc>
        <w:tc>
          <w:tcPr>
            <w:tcW w:w="0" w:type="auto"/>
            <w:shd w:val="clear" w:color="auto" w:fill="FFFFFF"/>
            <w:tcMar>
              <w:top w:w="40" w:type="dxa"/>
              <w:left w:w="0" w:type="dxa"/>
              <w:bottom w:w="40" w:type="dxa"/>
              <w:right w:w="20" w:type="dxa"/>
            </w:tcMar>
            <w:vAlign w:val="bottom"/>
          </w:tcPr>
          <w:p w14:paraId="35D0B64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65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651" w14:textId="77777777" w:rsidR="00D42204" w:rsidRDefault="004E439D">
            <w:pPr>
              <w:jc w:val="right"/>
              <w:textAlignment w:val="bottom"/>
            </w:pPr>
            <w:r>
              <w:rPr>
                <w:rFonts w:ascii="Times New Roman" w:eastAsia="宋体" w:hAnsi="Times New Roman"/>
                <w:color w:val="000000"/>
                <w:sz w:val="16"/>
                <w:szCs w:val="16"/>
              </w:rPr>
              <w:t>(3,292)</w:t>
            </w:r>
          </w:p>
        </w:tc>
        <w:tc>
          <w:tcPr>
            <w:tcW w:w="0" w:type="auto"/>
            <w:shd w:val="clear" w:color="auto" w:fill="FFFFFF"/>
            <w:tcMar>
              <w:top w:w="40" w:type="dxa"/>
              <w:left w:w="0" w:type="dxa"/>
              <w:bottom w:w="40" w:type="dxa"/>
              <w:right w:w="20" w:type="dxa"/>
            </w:tcMar>
            <w:vAlign w:val="bottom"/>
          </w:tcPr>
          <w:p w14:paraId="35D0B652" w14:textId="77777777" w:rsidR="00D42204" w:rsidRDefault="00D42204">
            <w:pPr>
              <w:jc w:val="right"/>
              <w:rPr>
                <w:rFonts w:ascii="宋体"/>
              </w:rPr>
            </w:pPr>
          </w:p>
        </w:tc>
      </w:tr>
      <w:tr w:rsidR="00D42204" w14:paraId="35D0B65D" w14:textId="77777777">
        <w:tc>
          <w:tcPr>
            <w:tcW w:w="0" w:type="auto"/>
            <w:gridSpan w:val="3"/>
            <w:shd w:val="clear" w:color="auto" w:fill="CCEEFF"/>
            <w:tcMar>
              <w:top w:w="40" w:type="dxa"/>
              <w:left w:w="20" w:type="dxa"/>
              <w:bottom w:w="40" w:type="dxa"/>
              <w:right w:w="20" w:type="dxa"/>
            </w:tcMar>
            <w:vAlign w:val="bottom"/>
          </w:tcPr>
          <w:p w14:paraId="35D0B654" w14:textId="77777777" w:rsidR="00D42204" w:rsidRDefault="004E439D">
            <w:pPr>
              <w:textAlignment w:val="bottom"/>
            </w:pPr>
            <w:r>
              <w:rPr>
                <w:rFonts w:ascii="Times New Roman" w:eastAsia="宋体" w:hAnsi="Times New Roman"/>
                <w:b/>
                <w:bCs/>
                <w:color w:val="000000"/>
                <w:sz w:val="16"/>
                <w:szCs w:val="16"/>
              </w:rPr>
              <w:t>Net lease obligations</w:t>
            </w:r>
          </w:p>
        </w:tc>
        <w:tc>
          <w:tcPr>
            <w:tcW w:w="0" w:type="auto"/>
            <w:gridSpan w:val="3"/>
            <w:shd w:val="clear" w:color="auto" w:fill="CCEEFF"/>
            <w:tcMar>
              <w:top w:w="0" w:type="dxa"/>
              <w:left w:w="20" w:type="dxa"/>
              <w:bottom w:w="0" w:type="dxa"/>
              <w:right w:w="20" w:type="dxa"/>
            </w:tcMar>
            <w:vAlign w:val="bottom"/>
          </w:tcPr>
          <w:p w14:paraId="35D0B655"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D0B656"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D0B657" w14:textId="77777777" w:rsidR="00D42204" w:rsidRDefault="004E439D">
            <w:pPr>
              <w:jc w:val="right"/>
              <w:textAlignment w:val="bottom"/>
            </w:pPr>
            <w:r>
              <w:rPr>
                <w:rFonts w:ascii="Times New Roman" w:eastAsia="宋体" w:hAnsi="Times New Roman"/>
                <w:color w:val="000000"/>
                <w:sz w:val="16"/>
                <w:szCs w:val="16"/>
              </w:rPr>
              <w:t>14,492 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D0B65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659"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D0B65A"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D0B65B" w14:textId="77777777" w:rsidR="00D42204" w:rsidRDefault="004E439D">
            <w:pPr>
              <w:jc w:val="right"/>
              <w:textAlignment w:val="bottom"/>
            </w:pPr>
            <w:r>
              <w:rPr>
                <w:rFonts w:ascii="Times New Roman" w:eastAsia="宋体" w:hAnsi="Times New Roman"/>
                <w:color w:val="000000"/>
                <w:sz w:val="16"/>
                <w:szCs w:val="16"/>
              </w:rPr>
              <w:t>4,754 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D0B65C" w14:textId="77777777" w:rsidR="00D42204" w:rsidRDefault="00D42204">
            <w:pPr>
              <w:jc w:val="right"/>
              <w:rPr>
                <w:rFonts w:ascii="宋体"/>
              </w:rPr>
            </w:pPr>
          </w:p>
        </w:tc>
      </w:tr>
    </w:tbl>
    <w:p w14:paraId="35D0B65E" w14:textId="77777777" w:rsidR="00D42204" w:rsidRDefault="004E439D">
      <w:pPr>
        <w:jc w:val="center"/>
      </w:pPr>
      <w:r>
        <w:rPr>
          <w:rFonts w:ascii="Times New Roman" w:eastAsia="宋体" w:hAnsi="Times New Roman"/>
          <w:color w:val="000000"/>
          <w:sz w:val="20"/>
          <w:szCs w:val="20"/>
        </w:rPr>
        <w:t>69</w:t>
      </w:r>
    </w:p>
    <w:p w14:paraId="35D0B65F" w14:textId="77777777" w:rsidR="00D42204" w:rsidRDefault="004E439D">
      <w:r>
        <w:pict w14:anchorId="35D0C3A0">
          <v:rect id="_x0000_i1093" style="width:415.3pt;height:1.5pt" o:hralign="center" o:hrstd="t" o:hr="t" fillcolor="#a0a0a0" stroked="f"/>
        </w:pict>
      </w:r>
    </w:p>
    <w:p w14:paraId="35D0B660" w14:textId="77777777" w:rsidR="00D42204" w:rsidRDefault="00D42204"/>
    <w:p w14:paraId="35D0B661" w14:textId="77777777" w:rsidR="00D42204" w:rsidRDefault="004E439D">
      <w:pPr>
        <w:spacing w:before="180"/>
      </w:pPr>
      <w:r>
        <w:rPr>
          <w:rFonts w:ascii="Times New Roman" w:eastAsia="宋体" w:hAnsi="Times New Roman"/>
          <w:b/>
          <w:bCs/>
          <w:color w:val="000000"/>
          <w:sz w:val="20"/>
          <w:szCs w:val="20"/>
        </w:rPr>
        <w:t>Note 8. Fair Value Measurements</w:t>
      </w:r>
    </w:p>
    <w:p w14:paraId="35D0B662" w14:textId="77777777" w:rsidR="00D42204" w:rsidRDefault="004E439D">
      <w:pPr>
        <w:spacing w:before="100"/>
      </w:pPr>
      <w:r>
        <w:rPr>
          <w:rFonts w:ascii="Times New Roman" w:eastAsia="宋体" w:hAnsi="Times New Roman"/>
          <w:color w:val="000000"/>
          <w:sz w:val="20"/>
          <w:szCs w:val="20"/>
        </w:rPr>
        <w:t xml:space="preserve">Assets and liabilities recorded at fair value are measured using the fair value hierarchy, which </w:t>
      </w:r>
      <w:r>
        <w:rPr>
          <w:rFonts w:ascii="Times New Roman" w:eastAsia="宋体" w:hAnsi="Times New Roman"/>
          <w:color w:val="000000"/>
          <w:sz w:val="20"/>
          <w:szCs w:val="20"/>
        </w:rPr>
        <w:t>prioritizes the inputs used in measuring fair value. The levels of the fair value hierarchy are:</w:t>
      </w:r>
    </w:p>
    <w:p w14:paraId="35D0B663" w14:textId="77777777" w:rsidR="00D42204" w:rsidRDefault="004E439D">
      <w:pPr>
        <w:spacing w:before="60"/>
        <w:ind w:hanging="360"/>
      </w:pPr>
      <w:r>
        <w:rPr>
          <w:rFonts w:ascii="Times New Roman" w:eastAsia="宋体" w:hAnsi="Times New Roman"/>
          <w:color w:val="000000"/>
          <w:sz w:val="20"/>
          <w:szCs w:val="20"/>
        </w:rPr>
        <w:t>•Level 1: observable inputs such as quoted prices in active markets;</w:t>
      </w:r>
    </w:p>
    <w:p w14:paraId="35D0B664" w14:textId="77777777" w:rsidR="00D42204" w:rsidRDefault="004E439D">
      <w:pPr>
        <w:ind w:hanging="360"/>
      </w:pPr>
      <w:r>
        <w:rPr>
          <w:rFonts w:ascii="Times New Roman" w:eastAsia="宋体" w:hAnsi="Times New Roman"/>
          <w:color w:val="000000"/>
          <w:sz w:val="20"/>
          <w:szCs w:val="20"/>
        </w:rPr>
        <w:t>•Level 2: inputs other than quoted prices in active markets that are either directly or in</w:t>
      </w:r>
      <w:r>
        <w:rPr>
          <w:rFonts w:ascii="Times New Roman" w:eastAsia="宋体" w:hAnsi="Times New Roman"/>
          <w:color w:val="000000"/>
          <w:sz w:val="20"/>
          <w:szCs w:val="20"/>
        </w:rPr>
        <w:t>directly observable; and</w:t>
      </w:r>
    </w:p>
    <w:p w14:paraId="35D0B665" w14:textId="77777777" w:rsidR="00D42204" w:rsidRDefault="004E439D">
      <w:pPr>
        <w:ind w:hanging="360"/>
      </w:pPr>
      <w:r>
        <w:rPr>
          <w:rFonts w:ascii="Times New Roman" w:eastAsia="宋体" w:hAnsi="Times New Roman"/>
          <w:color w:val="000000"/>
          <w:sz w:val="20"/>
          <w:szCs w:val="20"/>
        </w:rPr>
        <w:t>•Level 3: unobservable inputs for which little or no market data exists, therefore requiring the Company to develop its own assumptions.</w:t>
      </w:r>
    </w:p>
    <w:p w14:paraId="35D0B666" w14:textId="77777777" w:rsidR="00D42204" w:rsidRDefault="004E439D">
      <w:pPr>
        <w:spacing w:before="100"/>
      </w:pPr>
      <w:r>
        <w:rPr>
          <w:rFonts w:ascii="Times New Roman" w:eastAsia="宋体" w:hAnsi="Times New Roman"/>
          <w:color w:val="000000"/>
          <w:sz w:val="20"/>
          <w:szCs w:val="20"/>
        </w:rPr>
        <w:t xml:space="preserve">As described in </w:t>
      </w:r>
      <w:hyperlink r:id="rId152" w:anchor="i1ba69ebb72ec48f9b754a5e96c4cdf3f_151"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xml:space="preserve">, the Company measures the fair value of certain equity investments on a recurring basis in the accompanying Consolidated Balance Sheets. The fair values of the </w:t>
      </w:r>
      <w:r>
        <w:rPr>
          <w:rFonts w:ascii="Times New Roman" w:eastAsia="宋体" w:hAnsi="Times New Roman"/>
          <w:color w:val="000000"/>
          <w:sz w:val="20"/>
          <w:szCs w:val="20"/>
        </w:rPr>
        <w:t>Company's equity investments measured on a recurring basis are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6029"/>
        <w:gridCol w:w="37"/>
        <w:gridCol w:w="101"/>
        <w:gridCol w:w="932"/>
        <w:gridCol w:w="36"/>
        <w:gridCol w:w="36"/>
        <w:gridCol w:w="36"/>
        <w:gridCol w:w="36"/>
        <w:gridCol w:w="101"/>
        <w:gridCol w:w="908"/>
        <w:gridCol w:w="36"/>
      </w:tblGrid>
      <w:tr w:rsidR="00D42204" w14:paraId="35D0B673" w14:textId="77777777">
        <w:trPr>
          <w:jc w:val="center"/>
        </w:trPr>
        <w:tc>
          <w:tcPr>
            <w:tcW w:w="50" w:type="pct"/>
            <w:shd w:val="clear" w:color="auto" w:fill="auto"/>
            <w:vAlign w:val="bottom"/>
          </w:tcPr>
          <w:p w14:paraId="35D0B667" w14:textId="77777777" w:rsidR="00D42204" w:rsidRDefault="00D42204">
            <w:pPr>
              <w:rPr>
                <w:rFonts w:ascii="宋体"/>
              </w:rPr>
            </w:pPr>
          </w:p>
        </w:tc>
        <w:tc>
          <w:tcPr>
            <w:tcW w:w="3636" w:type="pct"/>
            <w:shd w:val="clear" w:color="auto" w:fill="auto"/>
            <w:vAlign w:val="bottom"/>
          </w:tcPr>
          <w:p w14:paraId="35D0B668" w14:textId="77777777" w:rsidR="00D42204" w:rsidRDefault="00D42204">
            <w:pPr>
              <w:rPr>
                <w:rFonts w:ascii="宋体"/>
              </w:rPr>
            </w:pPr>
          </w:p>
        </w:tc>
        <w:tc>
          <w:tcPr>
            <w:tcW w:w="5" w:type="pct"/>
            <w:shd w:val="clear" w:color="auto" w:fill="auto"/>
            <w:vAlign w:val="bottom"/>
          </w:tcPr>
          <w:p w14:paraId="35D0B669" w14:textId="77777777" w:rsidR="00D42204" w:rsidRDefault="00D42204">
            <w:pPr>
              <w:rPr>
                <w:rFonts w:ascii="宋体"/>
              </w:rPr>
            </w:pPr>
          </w:p>
        </w:tc>
        <w:tc>
          <w:tcPr>
            <w:tcW w:w="50" w:type="pct"/>
            <w:shd w:val="clear" w:color="auto" w:fill="auto"/>
            <w:vAlign w:val="bottom"/>
          </w:tcPr>
          <w:p w14:paraId="35D0B66A" w14:textId="77777777" w:rsidR="00D42204" w:rsidRDefault="00D42204">
            <w:pPr>
              <w:rPr>
                <w:rFonts w:ascii="宋体"/>
              </w:rPr>
            </w:pPr>
          </w:p>
        </w:tc>
        <w:tc>
          <w:tcPr>
            <w:tcW w:w="580" w:type="pct"/>
            <w:shd w:val="clear" w:color="auto" w:fill="auto"/>
            <w:vAlign w:val="bottom"/>
          </w:tcPr>
          <w:p w14:paraId="35D0B66B" w14:textId="77777777" w:rsidR="00D42204" w:rsidRDefault="00D42204">
            <w:pPr>
              <w:rPr>
                <w:rFonts w:ascii="宋体"/>
              </w:rPr>
            </w:pPr>
          </w:p>
        </w:tc>
        <w:tc>
          <w:tcPr>
            <w:tcW w:w="5" w:type="pct"/>
            <w:shd w:val="clear" w:color="auto" w:fill="auto"/>
            <w:vAlign w:val="bottom"/>
          </w:tcPr>
          <w:p w14:paraId="35D0B66C" w14:textId="77777777" w:rsidR="00D42204" w:rsidRDefault="00D42204">
            <w:pPr>
              <w:rPr>
                <w:rFonts w:ascii="宋体"/>
              </w:rPr>
            </w:pPr>
          </w:p>
        </w:tc>
        <w:tc>
          <w:tcPr>
            <w:tcW w:w="5" w:type="pct"/>
            <w:shd w:val="clear" w:color="auto" w:fill="auto"/>
            <w:vAlign w:val="bottom"/>
          </w:tcPr>
          <w:p w14:paraId="35D0B66D" w14:textId="77777777" w:rsidR="00D42204" w:rsidRDefault="00D42204">
            <w:pPr>
              <w:rPr>
                <w:rFonts w:ascii="宋体"/>
              </w:rPr>
            </w:pPr>
          </w:p>
        </w:tc>
        <w:tc>
          <w:tcPr>
            <w:tcW w:w="26" w:type="pct"/>
            <w:shd w:val="clear" w:color="auto" w:fill="auto"/>
            <w:vAlign w:val="bottom"/>
          </w:tcPr>
          <w:p w14:paraId="35D0B66E" w14:textId="77777777" w:rsidR="00D42204" w:rsidRDefault="00D42204">
            <w:pPr>
              <w:rPr>
                <w:rFonts w:ascii="宋体"/>
              </w:rPr>
            </w:pPr>
          </w:p>
        </w:tc>
        <w:tc>
          <w:tcPr>
            <w:tcW w:w="5" w:type="pct"/>
            <w:shd w:val="clear" w:color="auto" w:fill="auto"/>
            <w:vAlign w:val="bottom"/>
          </w:tcPr>
          <w:p w14:paraId="35D0B66F" w14:textId="77777777" w:rsidR="00D42204" w:rsidRDefault="00D42204">
            <w:pPr>
              <w:rPr>
                <w:rFonts w:ascii="宋体"/>
              </w:rPr>
            </w:pPr>
          </w:p>
        </w:tc>
        <w:tc>
          <w:tcPr>
            <w:tcW w:w="50" w:type="pct"/>
            <w:shd w:val="clear" w:color="auto" w:fill="auto"/>
            <w:vAlign w:val="bottom"/>
          </w:tcPr>
          <w:p w14:paraId="35D0B670" w14:textId="77777777" w:rsidR="00D42204" w:rsidRDefault="00D42204">
            <w:pPr>
              <w:rPr>
                <w:rFonts w:ascii="宋体"/>
              </w:rPr>
            </w:pPr>
          </w:p>
        </w:tc>
        <w:tc>
          <w:tcPr>
            <w:tcW w:w="581" w:type="pct"/>
            <w:shd w:val="clear" w:color="auto" w:fill="auto"/>
            <w:vAlign w:val="bottom"/>
          </w:tcPr>
          <w:p w14:paraId="35D0B671" w14:textId="77777777" w:rsidR="00D42204" w:rsidRDefault="00D42204">
            <w:pPr>
              <w:rPr>
                <w:rFonts w:ascii="宋体"/>
              </w:rPr>
            </w:pPr>
          </w:p>
        </w:tc>
        <w:tc>
          <w:tcPr>
            <w:tcW w:w="5" w:type="pct"/>
            <w:shd w:val="clear" w:color="auto" w:fill="auto"/>
            <w:vAlign w:val="bottom"/>
          </w:tcPr>
          <w:p w14:paraId="35D0B672" w14:textId="77777777" w:rsidR="00D42204" w:rsidRDefault="00D42204">
            <w:pPr>
              <w:rPr>
                <w:rFonts w:ascii="宋体"/>
              </w:rPr>
            </w:pPr>
          </w:p>
        </w:tc>
      </w:tr>
      <w:tr w:rsidR="00D42204" w14:paraId="35D0B678" w14:textId="77777777">
        <w:trPr>
          <w:jc w:val="center"/>
        </w:trPr>
        <w:tc>
          <w:tcPr>
            <w:tcW w:w="0" w:type="auto"/>
            <w:gridSpan w:val="3"/>
            <w:shd w:val="clear" w:color="auto" w:fill="auto"/>
            <w:tcMar>
              <w:top w:w="40" w:type="dxa"/>
              <w:left w:w="20" w:type="dxa"/>
              <w:bottom w:w="40" w:type="dxa"/>
              <w:right w:w="20" w:type="dxa"/>
            </w:tcMar>
            <w:vAlign w:val="bottom"/>
          </w:tcPr>
          <w:p w14:paraId="35D0B674"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40" w:type="dxa"/>
              <w:left w:w="20" w:type="dxa"/>
              <w:bottom w:w="40" w:type="dxa"/>
              <w:right w:w="20" w:type="dxa"/>
            </w:tcMar>
            <w:vAlign w:val="bottom"/>
          </w:tcPr>
          <w:p w14:paraId="35D0B675" w14:textId="77777777" w:rsidR="00D42204" w:rsidRDefault="004E439D">
            <w:pPr>
              <w:jc w:val="center"/>
              <w:textAlignment w:val="bottom"/>
            </w:pPr>
            <w:r>
              <w:rPr>
                <w:rFonts w:ascii="Times New Roman" w:eastAsia="宋体" w:hAnsi="Times New Roman"/>
                <w:b/>
                <w:bCs/>
                <w:color w:val="000000"/>
                <w:sz w:val="16"/>
                <w:szCs w:val="16"/>
              </w:rPr>
              <w:t>Fair Value as of January 31, 2022</w:t>
            </w:r>
          </w:p>
        </w:tc>
        <w:tc>
          <w:tcPr>
            <w:tcW w:w="0" w:type="auto"/>
            <w:gridSpan w:val="3"/>
            <w:shd w:val="clear" w:color="auto" w:fill="auto"/>
            <w:tcMar>
              <w:top w:w="0" w:type="dxa"/>
              <w:left w:w="20" w:type="dxa"/>
              <w:bottom w:w="0" w:type="dxa"/>
              <w:right w:w="20" w:type="dxa"/>
            </w:tcMar>
            <w:vAlign w:val="bottom"/>
          </w:tcPr>
          <w:p w14:paraId="35D0B676"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677" w14:textId="77777777" w:rsidR="00D42204" w:rsidRDefault="004E439D">
            <w:pPr>
              <w:jc w:val="center"/>
              <w:textAlignment w:val="bottom"/>
            </w:pPr>
            <w:r>
              <w:rPr>
                <w:rFonts w:ascii="Times New Roman" w:eastAsia="宋体" w:hAnsi="Times New Roman"/>
                <w:b/>
                <w:bCs/>
                <w:color w:val="000000"/>
                <w:sz w:val="16"/>
                <w:szCs w:val="16"/>
              </w:rPr>
              <w:t>Fair Value as of January 31, 2021</w:t>
            </w:r>
          </w:p>
        </w:tc>
      </w:tr>
      <w:tr w:rsidR="00D42204" w14:paraId="35D0B681" w14:textId="77777777">
        <w:trPr>
          <w:jc w:val="center"/>
        </w:trPr>
        <w:tc>
          <w:tcPr>
            <w:tcW w:w="0" w:type="auto"/>
            <w:gridSpan w:val="3"/>
            <w:shd w:val="clear" w:color="auto" w:fill="CCEEFF"/>
            <w:tcMar>
              <w:top w:w="40" w:type="dxa"/>
              <w:left w:w="20" w:type="dxa"/>
              <w:bottom w:w="40" w:type="dxa"/>
              <w:right w:w="20" w:type="dxa"/>
            </w:tcMar>
            <w:vAlign w:val="bottom"/>
          </w:tcPr>
          <w:p w14:paraId="35D0B679" w14:textId="77777777" w:rsidR="00D42204" w:rsidRDefault="004E439D">
            <w:pPr>
              <w:textAlignment w:val="bottom"/>
            </w:pPr>
            <w:r>
              <w:rPr>
                <w:rFonts w:ascii="Times New Roman" w:eastAsia="宋体" w:hAnsi="Times New Roman"/>
                <w:color w:val="000000"/>
                <w:sz w:val="16"/>
                <w:szCs w:val="16"/>
              </w:rPr>
              <w:t>Equity investments measured using Level 1 inputs</w:t>
            </w:r>
          </w:p>
        </w:tc>
        <w:tc>
          <w:tcPr>
            <w:tcW w:w="0" w:type="auto"/>
            <w:tcBorders>
              <w:top w:val="single" w:sz="8" w:space="0" w:color="000000"/>
            </w:tcBorders>
            <w:shd w:val="clear" w:color="auto" w:fill="CCEEFF"/>
            <w:tcMar>
              <w:top w:w="40" w:type="dxa"/>
              <w:left w:w="20" w:type="dxa"/>
              <w:bottom w:w="40" w:type="dxa"/>
              <w:right w:w="0" w:type="dxa"/>
            </w:tcMar>
            <w:vAlign w:val="bottom"/>
          </w:tcPr>
          <w:p w14:paraId="35D0B67A"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D0B67B" w14:textId="77777777" w:rsidR="00D42204" w:rsidRDefault="004E439D">
            <w:pPr>
              <w:jc w:val="right"/>
              <w:textAlignment w:val="bottom"/>
            </w:pPr>
            <w:r>
              <w:rPr>
                <w:rFonts w:ascii="Times New Roman" w:eastAsia="宋体" w:hAnsi="Times New Roman"/>
                <w:color w:val="000000"/>
                <w:sz w:val="16"/>
                <w:szCs w:val="16"/>
              </w:rPr>
              <w:t>6,069 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67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67D"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D0B67E"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D0B67F" w14:textId="77777777" w:rsidR="00D42204" w:rsidRDefault="004E439D">
            <w:pPr>
              <w:jc w:val="right"/>
              <w:textAlignment w:val="bottom"/>
            </w:pPr>
            <w:r>
              <w:rPr>
                <w:rFonts w:ascii="Times New Roman" w:eastAsia="宋体" w:hAnsi="Times New Roman"/>
                <w:color w:val="000000"/>
                <w:sz w:val="16"/>
                <w:szCs w:val="16"/>
              </w:rPr>
              <w:t>6,517 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680" w14:textId="77777777" w:rsidR="00D42204" w:rsidRDefault="00D42204">
            <w:pPr>
              <w:jc w:val="right"/>
              <w:rPr>
                <w:rFonts w:ascii="宋体"/>
              </w:rPr>
            </w:pPr>
          </w:p>
        </w:tc>
      </w:tr>
      <w:tr w:rsidR="00D42204" w14:paraId="35D0B688" w14:textId="77777777">
        <w:trPr>
          <w:jc w:val="center"/>
        </w:trPr>
        <w:tc>
          <w:tcPr>
            <w:tcW w:w="0" w:type="auto"/>
            <w:gridSpan w:val="3"/>
            <w:shd w:val="clear" w:color="auto" w:fill="FFFFFF"/>
            <w:tcMar>
              <w:top w:w="40" w:type="dxa"/>
              <w:left w:w="20" w:type="dxa"/>
              <w:bottom w:w="40" w:type="dxa"/>
              <w:right w:w="20" w:type="dxa"/>
            </w:tcMar>
            <w:vAlign w:val="bottom"/>
          </w:tcPr>
          <w:p w14:paraId="35D0B682" w14:textId="77777777" w:rsidR="00D42204" w:rsidRDefault="004E439D">
            <w:pPr>
              <w:textAlignment w:val="bottom"/>
            </w:pPr>
            <w:r>
              <w:rPr>
                <w:rFonts w:ascii="Times New Roman" w:eastAsia="宋体" w:hAnsi="Times New Roman"/>
                <w:color w:val="000000"/>
                <w:sz w:val="16"/>
                <w:szCs w:val="16"/>
              </w:rPr>
              <w:t>Equity investments measured using Level 2 inputs</w:t>
            </w:r>
          </w:p>
        </w:tc>
        <w:tc>
          <w:tcPr>
            <w:tcW w:w="0" w:type="auto"/>
            <w:gridSpan w:val="2"/>
            <w:shd w:val="clear" w:color="auto" w:fill="FFFFFF"/>
            <w:tcMar>
              <w:top w:w="40" w:type="dxa"/>
              <w:left w:w="20" w:type="dxa"/>
              <w:bottom w:w="40" w:type="dxa"/>
              <w:right w:w="0" w:type="dxa"/>
            </w:tcMar>
            <w:vAlign w:val="bottom"/>
          </w:tcPr>
          <w:p w14:paraId="35D0B683" w14:textId="77777777" w:rsidR="00D42204" w:rsidRDefault="004E439D">
            <w:pPr>
              <w:jc w:val="right"/>
              <w:textAlignment w:val="bottom"/>
            </w:pPr>
            <w:r>
              <w:rPr>
                <w:rFonts w:ascii="Times New Roman" w:eastAsia="宋体" w:hAnsi="Times New Roman"/>
                <w:color w:val="000000"/>
                <w:sz w:val="16"/>
                <w:szCs w:val="16"/>
              </w:rPr>
              <w:t>5,819 </w:t>
            </w:r>
          </w:p>
        </w:tc>
        <w:tc>
          <w:tcPr>
            <w:tcW w:w="0" w:type="auto"/>
            <w:shd w:val="clear" w:color="auto" w:fill="FFFFFF"/>
            <w:tcMar>
              <w:top w:w="40" w:type="dxa"/>
              <w:left w:w="0" w:type="dxa"/>
              <w:bottom w:w="40" w:type="dxa"/>
              <w:right w:w="20" w:type="dxa"/>
            </w:tcMar>
            <w:vAlign w:val="bottom"/>
          </w:tcPr>
          <w:p w14:paraId="35D0B68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68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686" w14:textId="77777777" w:rsidR="00D42204" w:rsidRDefault="004E439D">
            <w:pPr>
              <w:jc w:val="right"/>
              <w:textAlignment w:val="bottom"/>
            </w:pPr>
            <w:r>
              <w:rPr>
                <w:rFonts w:ascii="Times New Roman" w:eastAsia="宋体" w:hAnsi="Times New Roman"/>
                <w:color w:val="000000"/>
                <w:sz w:val="16"/>
                <w:szCs w:val="16"/>
              </w:rPr>
              <w:t>7,905 </w:t>
            </w:r>
          </w:p>
        </w:tc>
        <w:tc>
          <w:tcPr>
            <w:tcW w:w="0" w:type="auto"/>
            <w:shd w:val="clear" w:color="auto" w:fill="FFFFFF"/>
            <w:tcMar>
              <w:top w:w="40" w:type="dxa"/>
              <w:left w:w="0" w:type="dxa"/>
              <w:bottom w:w="40" w:type="dxa"/>
              <w:right w:w="20" w:type="dxa"/>
            </w:tcMar>
            <w:vAlign w:val="bottom"/>
          </w:tcPr>
          <w:p w14:paraId="35D0B687" w14:textId="77777777" w:rsidR="00D42204" w:rsidRDefault="00D42204">
            <w:pPr>
              <w:jc w:val="right"/>
              <w:rPr>
                <w:rFonts w:ascii="宋体"/>
              </w:rPr>
            </w:pPr>
          </w:p>
        </w:tc>
      </w:tr>
      <w:tr w:rsidR="00D42204" w14:paraId="35D0B691" w14:textId="77777777">
        <w:trPr>
          <w:jc w:val="center"/>
        </w:trPr>
        <w:tc>
          <w:tcPr>
            <w:tcW w:w="0" w:type="auto"/>
            <w:gridSpan w:val="3"/>
            <w:shd w:val="clear" w:color="auto" w:fill="CCEEFF"/>
            <w:tcMar>
              <w:top w:w="40" w:type="dxa"/>
              <w:left w:w="20" w:type="dxa"/>
              <w:bottom w:w="40" w:type="dxa"/>
              <w:right w:w="20" w:type="dxa"/>
            </w:tcMar>
          </w:tcPr>
          <w:p w14:paraId="35D0B689" w14:textId="77777777" w:rsidR="00D42204" w:rsidRDefault="004E439D">
            <w:pPr>
              <w:textAlignment w:val="top"/>
            </w:pPr>
            <w:r>
              <w:rPr>
                <w:rFonts w:ascii="Times New Roman" w:eastAsia="宋体" w:hAnsi="Times New Roman"/>
                <w:b/>
                <w:bCs/>
                <w:color w:val="000000"/>
                <w:sz w:val="16"/>
                <w:szCs w:val="16"/>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D0B68A"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D0B68B" w14:textId="77777777" w:rsidR="00D42204" w:rsidRDefault="004E439D">
            <w:pPr>
              <w:jc w:val="right"/>
              <w:textAlignment w:val="bottom"/>
            </w:pPr>
            <w:r>
              <w:rPr>
                <w:rFonts w:ascii="Times New Roman" w:eastAsia="宋体" w:hAnsi="Times New Roman"/>
                <w:color w:val="000000"/>
                <w:sz w:val="16"/>
                <w:szCs w:val="16"/>
              </w:rPr>
              <w:t>11,888 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D0B68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68D"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D0B68E"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D0B68F" w14:textId="77777777" w:rsidR="00D42204" w:rsidRDefault="004E439D">
            <w:pPr>
              <w:jc w:val="right"/>
              <w:textAlignment w:val="bottom"/>
            </w:pPr>
            <w:r>
              <w:rPr>
                <w:rFonts w:ascii="Times New Roman" w:eastAsia="宋体" w:hAnsi="Times New Roman"/>
                <w:color w:val="000000"/>
                <w:sz w:val="16"/>
                <w:szCs w:val="16"/>
              </w:rPr>
              <w:t>14,422 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D0B690" w14:textId="77777777" w:rsidR="00D42204" w:rsidRDefault="00D42204">
            <w:pPr>
              <w:jc w:val="right"/>
              <w:rPr>
                <w:rFonts w:ascii="宋体"/>
              </w:rPr>
            </w:pPr>
          </w:p>
        </w:tc>
      </w:tr>
    </w:tbl>
    <w:p w14:paraId="35D0B692" w14:textId="77777777" w:rsidR="00D42204" w:rsidRDefault="004E439D">
      <w:pPr>
        <w:spacing w:before="80"/>
      </w:pPr>
      <w:r>
        <w:rPr>
          <w:rFonts w:ascii="Times New Roman" w:eastAsia="宋体" w:hAnsi="Times New Roman"/>
          <w:i/>
          <w:iCs/>
          <w:color w:val="000000"/>
          <w:sz w:val="20"/>
          <w:szCs w:val="20"/>
        </w:rPr>
        <w:t>Derivatives</w:t>
      </w:r>
    </w:p>
    <w:p w14:paraId="35D0B693" w14:textId="77777777" w:rsidR="00D42204" w:rsidRDefault="004E439D">
      <w:pPr>
        <w:spacing w:before="180"/>
      </w:pPr>
      <w:r>
        <w:rPr>
          <w:rFonts w:ascii="Times New Roman" w:eastAsia="宋体" w:hAnsi="Times New Roman"/>
          <w:color w:val="000000"/>
          <w:sz w:val="20"/>
          <w:szCs w:val="20"/>
        </w:rPr>
        <w:t xml:space="preserve">The Company also has derivatives recorded at fair value. Derivative fair values are the estimated amounts the Company would receive or pay upon </w:t>
      </w:r>
      <w:r>
        <w:rPr>
          <w:rFonts w:ascii="Times New Roman" w:eastAsia="宋体" w:hAnsi="Times New Roman"/>
          <w:color w:val="000000"/>
          <w:sz w:val="20"/>
          <w:szCs w:val="20"/>
        </w:rPr>
        <w:t>termination of the related derivative agreements as of the reporting dates. The fair values have been measured using the income approach and Level 2 inputs, which include the relevant interest rate and foreign currency forward curves. As of January 31, 202</w:t>
      </w:r>
      <w:r>
        <w:rPr>
          <w:rFonts w:ascii="Times New Roman" w:eastAsia="宋体" w:hAnsi="Times New Roman"/>
          <w:color w:val="000000"/>
          <w:sz w:val="20"/>
          <w:szCs w:val="20"/>
        </w:rPr>
        <w:t>2 and January 31, 2021, the notional amounts and fair values of these derivatives were as follows:</w:t>
      </w:r>
    </w:p>
    <w:tbl>
      <w:tblPr>
        <w:tblW w:w="4985" w:type="pct"/>
        <w:tblCellMar>
          <w:top w:w="15" w:type="dxa"/>
          <w:left w:w="15" w:type="dxa"/>
          <w:bottom w:w="15" w:type="dxa"/>
          <w:right w:w="15" w:type="dxa"/>
        </w:tblCellMar>
        <w:tblLook w:val="04A0" w:firstRow="1" w:lastRow="0" w:firstColumn="1" w:lastColumn="0" w:noHBand="0" w:noVBand="1"/>
      </w:tblPr>
      <w:tblGrid>
        <w:gridCol w:w="39"/>
        <w:gridCol w:w="4979"/>
        <w:gridCol w:w="38"/>
        <w:gridCol w:w="101"/>
        <w:gridCol w:w="538"/>
        <w:gridCol w:w="36"/>
        <w:gridCol w:w="36"/>
        <w:gridCol w:w="36"/>
        <w:gridCol w:w="36"/>
        <w:gridCol w:w="100"/>
        <w:gridCol w:w="467"/>
        <w:gridCol w:w="36"/>
        <w:gridCol w:w="37"/>
        <w:gridCol w:w="165"/>
        <w:gridCol w:w="36"/>
        <w:gridCol w:w="101"/>
        <w:gridCol w:w="534"/>
        <w:gridCol w:w="36"/>
        <w:gridCol w:w="36"/>
        <w:gridCol w:w="36"/>
        <w:gridCol w:w="36"/>
        <w:gridCol w:w="101"/>
        <w:gridCol w:w="476"/>
        <w:gridCol w:w="37"/>
        <w:gridCol w:w="37"/>
        <w:gridCol w:w="165"/>
        <w:gridCol w:w="36"/>
      </w:tblGrid>
      <w:tr w:rsidR="00D42204" w14:paraId="35D0B6AF" w14:textId="77777777">
        <w:tc>
          <w:tcPr>
            <w:tcW w:w="50" w:type="pct"/>
            <w:shd w:val="clear" w:color="auto" w:fill="auto"/>
            <w:vAlign w:val="bottom"/>
          </w:tcPr>
          <w:p w14:paraId="35D0B694" w14:textId="77777777" w:rsidR="00D42204" w:rsidRDefault="00D42204">
            <w:pPr>
              <w:rPr>
                <w:rFonts w:ascii="宋体"/>
              </w:rPr>
            </w:pPr>
          </w:p>
        </w:tc>
        <w:tc>
          <w:tcPr>
            <w:tcW w:w="3031" w:type="pct"/>
            <w:shd w:val="clear" w:color="auto" w:fill="auto"/>
            <w:vAlign w:val="bottom"/>
          </w:tcPr>
          <w:p w14:paraId="35D0B695" w14:textId="77777777" w:rsidR="00D42204" w:rsidRDefault="00D42204">
            <w:pPr>
              <w:rPr>
                <w:rFonts w:ascii="宋体"/>
              </w:rPr>
            </w:pPr>
          </w:p>
        </w:tc>
        <w:tc>
          <w:tcPr>
            <w:tcW w:w="5" w:type="pct"/>
            <w:shd w:val="clear" w:color="auto" w:fill="auto"/>
            <w:vAlign w:val="bottom"/>
          </w:tcPr>
          <w:p w14:paraId="35D0B696" w14:textId="77777777" w:rsidR="00D42204" w:rsidRDefault="00D42204">
            <w:pPr>
              <w:rPr>
                <w:rFonts w:ascii="宋体"/>
              </w:rPr>
            </w:pPr>
          </w:p>
        </w:tc>
        <w:tc>
          <w:tcPr>
            <w:tcW w:w="50" w:type="pct"/>
            <w:shd w:val="clear" w:color="auto" w:fill="auto"/>
            <w:vAlign w:val="bottom"/>
          </w:tcPr>
          <w:p w14:paraId="35D0B697" w14:textId="77777777" w:rsidR="00D42204" w:rsidRDefault="00D42204">
            <w:pPr>
              <w:rPr>
                <w:rFonts w:ascii="宋体"/>
              </w:rPr>
            </w:pPr>
          </w:p>
        </w:tc>
        <w:tc>
          <w:tcPr>
            <w:tcW w:w="333" w:type="pct"/>
            <w:shd w:val="clear" w:color="auto" w:fill="auto"/>
            <w:vAlign w:val="bottom"/>
          </w:tcPr>
          <w:p w14:paraId="35D0B698" w14:textId="77777777" w:rsidR="00D42204" w:rsidRDefault="00D42204">
            <w:pPr>
              <w:rPr>
                <w:rFonts w:ascii="宋体"/>
              </w:rPr>
            </w:pPr>
          </w:p>
        </w:tc>
        <w:tc>
          <w:tcPr>
            <w:tcW w:w="5" w:type="pct"/>
            <w:shd w:val="clear" w:color="auto" w:fill="auto"/>
            <w:vAlign w:val="bottom"/>
          </w:tcPr>
          <w:p w14:paraId="35D0B699" w14:textId="77777777" w:rsidR="00D42204" w:rsidRDefault="00D42204">
            <w:pPr>
              <w:rPr>
                <w:rFonts w:ascii="宋体"/>
              </w:rPr>
            </w:pPr>
          </w:p>
        </w:tc>
        <w:tc>
          <w:tcPr>
            <w:tcW w:w="5" w:type="pct"/>
            <w:shd w:val="clear" w:color="auto" w:fill="auto"/>
            <w:vAlign w:val="bottom"/>
          </w:tcPr>
          <w:p w14:paraId="35D0B69A" w14:textId="77777777" w:rsidR="00D42204" w:rsidRDefault="00D42204">
            <w:pPr>
              <w:rPr>
                <w:rFonts w:ascii="宋体"/>
              </w:rPr>
            </w:pPr>
          </w:p>
        </w:tc>
        <w:tc>
          <w:tcPr>
            <w:tcW w:w="26" w:type="pct"/>
            <w:shd w:val="clear" w:color="auto" w:fill="auto"/>
            <w:vAlign w:val="bottom"/>
          </w:tcPr>
          <w:p w14:paraId="35D0B69B" w14:textId="77777777" w:rsidR="00D42204" w:rsidRDefault="00D42204">
            <w:pPr>
              <w:rPr>
                <w:rFonts w:ascii="宋体"/>
              </w:rPr>
            </w:pPr>
          </w:p>
        </w:tc>
        <w:tc>
          <w:tcPr>
            <w:tcW w:w="5" w:type="pct"/>
            <w:shd w:val="clear" w:color="auto" w:fill="auto"/>
            <w:vAlign w:val="bottom"/>
          </w:tcPr>
          <w:p w14:paraId="35D0B69C" w14:textId="77777777" w:rsidR="00D42204" w:rsidRDefault="00D42204">
            <w:pPr>
              <w:rPr>
                <w:rFonts w:ascii="宋体"/>
              </w:rPr>
            </w:pPr>
          </w:p>
        </w:tc>
        <w:tc>
          <w:tcPr>
            <w:tcW w:w="50" w:type="pct"/>
            <w:shd w:val="clear" w:color="auto" w:fill="auto"/>
            <w:vAlign w:val="bottom"/>
          </w:tcPr>
          <w:p w14:paraId="35D0B69D" w14:textId="77777777" w:rsidR="00D42204" w:rsidRDefault="00D42204">
            <w:pPr>
              <w:rPr>
                <w:rFonts w:ascii="宋体"/>
              </w:rPr>
            </w:pPr>
          </w:p>
        </w:tc>
        <w:tc>
          <w:tcPr>
            <w:tcW w:w="355" w:type="pct"/>
            <w:shd w:val="clear" w:color="auto" w:fill="auto"/>
            <w:vAlign w:val="bottom"/>
          </w:tcPr>
          <w:p w14:paraId="35D0B69E" w14:textId="77777777" w:rsidR="00D42204" w:rsidRDefault="00D42204">
            <w:pPr>
              <w:rPr>
                <w:rFonts w:ascii="宋体"/>
              </w:rPr>
            </w:pPr>
          </w:p>
        </w:tc>
        <w:tc>
          <w:tcPr>
            <w:tcW w:w="5" w:type="pct"/>
            <w:shd w:val="clear" w:color="auto" w:fill="auto"/>
            <w:vAlign w:val="bottom"/>
          </w:tcPr>
          <w:p w14:paraId="35D0B69F" w14:textId="77777777" w:rsidR="00D42204" w:rsidRDefault="00D42204">
            <w:pPr>
              <w:rPr>
                <w:rFonts w:ascii="宋体"/>
              </w:rPr>
            </w:pPr>
          </w:p>
        </w:tc>
        <w:tc>
          <w:tcPr>
            <w:tcW w:w="5" w:type="pct"/>
            <w:shd w:val="clear" w:color="auto" w:fill="auto"/>
            <w:vAlign w:val="bottom"/>
          </w:tcPr>
          <w:p w14:paraId="35D0B6A0" w14:textId="77777777" w:rsidR="00D42204" w:rsidRDefault="00D42204">
            <w:pPr>
              <w:rPr>
                <w:rFonts w:ascii="宋体"/>
              </w:rPr>
            </w:pPr>
          </w:p>
        </w:tc>
        <w:tc>
          <w:tcPr>
            <w:tcW w:w="114" w:type="pct"/>
            <w:shd w:val="clear" w:color="auto" w:fill="auto"/>
            <w:vAlign w:val="bottom"/>
          </w:tcPr>
          <w:p w14:paraId="35D0B6A1" w14:textId="77777777" w:rsidR="00D42204" w:rsidRDefault="00D42204">
            <w:pPr>
              <w:rPr>
                <w:rFonts w:ascii="宋体"/>
              </w:rPr>
            </w:pPr>
          </w:p>
        </w:tc>
        <w:tc>
          <w:tcPr>
            <w:tcW w:w="5" w:type="pct"/>
            <w:shd w:val="clear" w:color="auto" w:fill="auto"/>
            <w:vAlign w:val="bottom"/>
          </w:tcPr>
          <w:p w14:paraId="35D0B6A2" w14:textId="77777777" w:rsidR="00D42204" w:rsidRDefault="00D42204">
            <w:pPr>
              <w:rPr>
                <w:rFonts w:ascii="宋体"/>
              </w:rPr>
            </w:pPr>
          </w:p>
        </w:tc>
        <w:tc>
          <w:tcPr>
            <w:tcW w:w="50" w:type="pct"/>
            <w:shd w:val="clear" w:color="auto" w:fill="auto"/>
            <w:vAlign w:val="bottom"/>
          </w:tcPr>
          <w:p w14:paraId="35D0B6A3" w14:textId="77777777" w:rsidR="00D42204" w:rsidRDefault="00D42204">
            <w:pPr>
              <w:rPr>
                <w:rFonts w:ascii="宋体"/>
              </w:rPr>
            </w:pPr>
          </w:p>
        </w:tc>
        <w:tc>
          <w:tcPr>
            <w:tcW w:w="318" w:type="pct"/>
            <w:shd w:val="clear" w:color="auto" w:fill="auto"/>
            <w:vAlign w:val="bottom"/>
          </w:tcPr>
          <w:p w14:paraId="35D0B6A4" w14:textId="77777777" w:rsidR="00D42204" w:rsidRDefault="00D42204">
            <w:pPr>
              <w:rPr>
                <w:rFonts w:ascii="宋体"/>
              </w:rPr>
            </w:pPr>
          </w:p>
        </w:tc>
        <w:tc>
          <w:tcPr>
            <w:tcW w:w="5" w:type="pct"/>
            <w:shd w:val="clear" w:color="auto" w:fill="auto"/>
            <w:vAlign w:val="bottom"/>
          </w:tcPr>
          <w:p w14:paraId="35D0B6A5" w14:textId="77777777" w:rsidR="00D42204" w:rsidRDefault="00D42204">
            <w:pPr>
              <w:rPr>
                <w:rFonts w:ascii="宋体"/>
              </w:rPr>
            </w:pPr>
          </w:p>
        </w:tc>
        <w:tc>
          <w:tcPr>
            <w:tcW w:w="5" w:type="pct"/>
            <w:shd w:val="clear" w:color="auto" w:fill="auto"/>
            <w:vAlign w:val="bottom"/>
          </w:tcPr>
          <w:p w14:paraId="35D0B6A6" w14:textId="77777777" w:rsidR="00D42204" w:rsidRDefault="00D42204">
            <w:pPr>
              <w:rPr>
                <w:rFonts w:ascii="宋体"/>
              </w:rPr>
            </w:pPr>
          </w:p>
        </w:tc>
        <w:tc>
          <w:tcPr>
            <w:tcW w:w="26" w:type="pct"/>
            <w:shd w:val="clear" w:color="auto" w:fill="auto"/>
            <w:vAlign w:val="bottom"/>
          </w:tcPr>
          <w:p w14:paraId="35D0B6A7" w14:textId="77777777" w:rsidR="00D42204" w:rsidRDefault="00D42204">
            <w:pPr>
              <w:rPr>
                <w:rFonts w:ascii="宋体"/>
              </w:rPr>
            </w:pPr>
          </w:p>
        </w:tc>
        <w:tc>
          <w:tcPr>
            <w:tcW w:w="5" w:type="pct"/>
            <w:shd w:val="clear" w:color="auto" w:fill="auto"/>
            <w:vAlign w:val="bottom"/>
          </w:tcPr>
          <w:p w14:paraId="35D0B6A8" w14:textId="77777777" w:rsidR="00D42204" w:rsidRDefault="00D42204">
            <w:pPr>
              <w:rPr>
                <w:rFonts w:ascii="宋体"/>
              </w:rPr>
            </w:pPr>
          </w:p>
        </w:tc>
        <w:tc>
          <w:tcPr>
            <w:tcW w:w="50" w:type="pct"/>
            <w:shd w:val="clear" w:color="auto" w:fill="auto"/>
            <w:vAlign w:val="bottom"/>
          </w:tcPr>
          <w:p w14:paraId="35D0B6A9" w14:textId="77777777" w:rsidR="00D42204" w:rsidRDefault="00D42204">
            <w:pPr>
              <w:rPr>
                <w:rFonts w:ascii="宋体"/>
              </w:rPr>
            </w:pPr>
          </w:p>
        </w:tc>
        <w:tc>
          <w:tcPr>
            <w:tcW w:w="362" w:type="pct"/>
            <w:shd w:val="clear" w:color="auto" w:fill="auto"/>
            <w:vAlign w:val="bottom"/>
          </w:tcPr>
          <w:p w14:paraId="35D0B6AA" w14:textId="77777777" w:rsidR="00D42204" w:rsidRDefault="00D42204">
            <w:pPr>
              <w:rPr>
                <w:rFonts w:ascii="宋体"/>
              </w:rPr>
            </w:pPr>
          </w:p>
        </w:tc>
        <w:tc>
          <w:tcPr>
            <w:tcW w:w="5" w:type="pct"/>
            <w:shd w:val="clear" w:color="auto" w:fill="auto"/>
            <w:vAlign w:val="bottom"/>
          </w:tcPr>
          <w:p w14:paraId="35D0B6AB" w14:textId="77777777" w:rsidR="00D42204" w:rsidRDefault="00D42204">
            <w:pPr>
              <w:rPr>
                <w:rFonts w:ascii="宋体"/>
              </w:rPr>
            </w:pPr>
          </w:p>
        </w:tc>
        <w:tc>
          <w:tcPr>
            <w:tcW w:w="5" w:type="pct"/>
            <w:shd w:val="clear" w:color="auto" w:fill="auto"/>
            <w:vAlign w:val="bottom"/>
          </w:tcPr>
          <w:p w14:paraId="35D0B6AC" w14:textId="77777777" w:rsidR="00D42204" w:rsidRDefault="00D42204">
            <w:pPr>
              <w:rPr>
                <w:rFonts w:ascii="宋体"/>
              </w:rPr>
            </w:pPr>
          </w:p>
        </w:tc>
        <w:tc>
          <w:tcPr>
            <w:tcW w:w="114" w:type="pct"/>
            <w:shd w:val="clear" w:color="auto" w:fill="auto"/>
            <w:vAlign w:val="bottom"/>
          </w:tcPr>
          <w:p w14:paraId="35D0B6AD" w14:textId="77777777" w:rsidR="00D42204" w:rsidRDefault="00D42204">
            <w:pPr>
              <w:rPr>
                <w:rFonts w:ascii="宋体"/>
              </w:rPr>
            </w:pPr>
          </w:p>
        </w:tc>
        <w:tc>
          <w:tcPr>
            <w:tcW w:w="5" w:type="pct"/>
            <w:shd w:val="clear" w:color="auto" w:fill="auto"/>
            <w:vAlign w:val="bottom"/>
          </w:tcPr>
          <w:p w14:paraId="35D0B6AE" w14:textId="77777777" w:rsidR="00D42204" w:rsidRDefault="00D42204">
            <w:pPr>
              <w:rPr>
                <w:rFonts w:ascii="宋体"/>
              </w:rPr>
            </w:pPr>
          </w:p>
        </w:tc>
      </w:tr>
      <w:tr w:rsidR="00D42204" w14:paraId="35D0B6B5" w14:textId="77777777">
        <w:tc>
          <w:tcPr>
            <w:tcW w:w="0" w:type="auto"/>
            <w:gridSpan w:val="3"/>
            <w:shd w:val="clear" w:color="auto" w:fill="auto"/>
            <w:tcMar>
              <w:top w:w="40" w:type="dxa"/>
              <w:left w:w="20" w:type="dxa"/>
              <w:bottom w:w="40" w:type="dxa"/>
              <w:right w:w="20" w:type="dxa"/>
            </w:tcMar>
            <w:vAlign w:val="bottom"/>
          </w:tcPr>
          <w:p w14:paraId="35D0B6B0" w14:textId="77777777" w:rsidR="00D42204" w:rsidRDefault="004E439D">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35D0B6B1" w14:textId="77777777" w:rsidR="00D42204" w:rsidRDefault="004E439D">
            <w:pPr>
              <w:jc w:val="center"/>
              <w:textAlignment w:val="bottom"/>
            </w:pPr>
            <w:r>
              <w:rPr>
                <w:rFonts w:ascii="Times New Roman" w:eastAsia="宋体" w:hAnsi="Times New Roman"/>
                <w:b/>
                <w:bCs/>
                <w:color w:val="000000"/>
                <w:sz w:val="16"/>
                <w:szCs w:val="16"/>
              </w:rPr>
              <w:t>January 31, 2022</w:t>
            </w:r>
          </w:p>
        </w:tc>
        <w:tc>
          <w:tcPr>
            <w:tcW w:w="0" w:type="auto"/>
            <w:gridSpan w:val="3"/>
            <w:shd w:val="clear" w:color="auto" w:fill="auto"/>
            <w:tcMar>
              <w:top w:w="0" w:type="dxa"/>
              <w:left w:w="20" w:type="dxa"/>
              <w:bottom w:w="0" w:type="dxa"/>
              <w:right w:w="20" w:type="dxa"/>
            </w:tcMar>
            <w:vAlign w:val="bottom"/>
          </w:tcPr>
          <w:p w14:paraId="35D0B6B2" w14:textId="77777777" w:rsidR="00D42204" w:rsidRDefault="00D42204">
            <w:pPr>
              <w:rPr>
                <w:rFonts w:ascii="宋体"/>
              </w:rPr>
            </w:pPr>
          </w:p>
        </w:tc>
        <w:tc>
          <w:tcPr>
            <w:tcW w:w="0" w:type="auto"/>
            <w:gridSpan w:val="9"/>
            <w:shd w:val="clear" w:color="auto" w:fill="auto"/>
            <w:tcMar>
              <w:top w:w="40" w:type="dxa"/>
              <w:left w:w="20" w:type="dxa"/>
              <w:bottom w:w="40" w:type="dxa"/>
              <w:right w:w="20" w:type="dxa"/>
            </w:tcMar>
            <w:vAlign w:val="bottom"/>
          </w:tcPr>
          <w:p w14:paraId="35D0B6B3" w14:textId="77777777" w:rsidR="00D42204" w:rsidRDefault="004E439D">
            <w:pPr>
              <w:jc w:val="center"/>
              <w:textAlignment w:val="bottom"/>
            </w:pPr>
            <w:r>
              <w:rPr>
                <w:rFonts w:ascii="Times New Roman" w:eastAsia="宋体" w:hAnsi="Times New Roman"/>
                <w:b/>
                <w:bCs/>
                <w:color w:val="000000"/>
                <w:sz w:val="16"/>
                <w:szCs w:val="16"/>
              </w:rPr>
              <w:t>January 31, 2021</w:t>
            </w:r>
          </w:p>
        </w:tc>
        <w:tc>
          <w:tcPr>
            <w:tcW w:w="0" w:type="auto"/>
            <w:gridSpan w:val="3"/>
            <w:shd w:val="clear" w:color="auto" w:fill="auto"/>
            <w:tcMar>
              <w:top w:w="0" w:type="dxa"/>
              <w:left w:w="20" w:type="dxa"/>
              <w:bottom w:w="0" w:type="dxa"/>
              <w:right w:w="20" w:type="dxa"/>
            </w:tcMar>
            <w:vAlign w:val="bottom"/>
          </w:tcPr>
          <w:p w14:paraId="35D0B6B4" w14:textId="77777777" w:rsidR="00D42204" w:rsidRDefault="00D42204">
            <w:pPr>
              <w:rPr>
                <w:rFonts w:ascii="宋体"/>
              </w:rPr>
            </w:pPr>
          </w:p>
        </w:tc>
      </w:tr>
      <w:tr w:rsidR="00D42204" w14:paraId="35D0B6BF" w14:textId="77777777">
        <w:tc>
          <w:tcPr>
            <w:tcW w:w="0" w:type="auto"/>
            <w:gridSpan w:val="3"/>
            <w:shd w:val="clear" w:color="auto" w:fill="auto"/>
            <w:tcMar>
              <w:top w:w="40" w:type="dxa"/>
              <w:left w:w="20" w:type="dxa"/>
              <w:bottom w:w="40" w:type="dxa"/>
              <w:right w:w="20" w:type="dxa"/>
            </w:tcMar>
            <w:vAlign w:val="bottom"/>
          </w:tcPr>
          <w:p w14:paraId="35D0B6B6" w14:textId="77777777" w:rsidR="00D42204" w:rsidRDefault="004E439D">
            <w:pPr>
              <w:textAlignment w:val="bottom"/>
            </w:pPr>
            <w:r>
              <w:rPr>
                <w:rFonts w:ascii="Times New Roman" w:eastAsia="宋体" w:hAnsi="Times New Roman"/>
                <w:i/>
                <w:iCs/>
                <w:color w:val="000000"/>
                <w:sz w:val="16"/>
                <w:szCs w:val="16"/>
              </w:rPr>
              <w:t xml:space="preserve">(Amounts in </w:t>
            </w:r>
            <w:r>
              <w:rPr>
                <w:rFonts w:ascii="Times New Roman" w:eastAsia="宋体" w:hAnsi="Times New Roman"/>
                <w:i/>
                <w:iCs/>
                <w:color w:val="000000"/>
                <w:sz w:val="16"/>
                <w:szCs w:val="16"/>
              </w:rPr>
              <w:t>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6B7" w14:textId="77777777" w:rsidR="00D42204" w:rsidRDefault="004E439D">
            <w:pPr>
              <w:jc w:val="center"/>
              <w:textAlignment w:val="bottom"/>
            </w:pPr>
            <w:r>
              <w:rPr>
                <w:rFonts w:ascii="Times New Roman" w:eastAsia="宋体" w:hAnsi="Times New Roman"/>
                <w:b/>
                <w:bCs/>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6B8"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6B9" w14:textId="77777777" w:rsidR="00D42204" w:rsidRDefault="004E439D">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35D0B6BA"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6BB" w14:textId="77777777" w:rsidR="00D42204" w:rsidRDefault="004E439D">
            <w:pPr>
              <w:jc w:val="center"/>
              <w:textAlignment w:val="bottom"/>
            </w:pPr>
            <w:r>
              <w:rPr>
                <w:rFonts w:ascii="Times New Roman" w:eastAsia="宋体" w:hAnsi="Times New Roman"/>
                <w:b/>
                <w:bCs/>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6BC"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6BD" w14:textId="77777777" w:rsidR="00D42204" w:rsidRDefault="004E439D">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35D0B6BE" w14:textId="77777777" w:rsidR="00D42204" w:rsidRDefault="00D42204">
            <w:pPr>
              <w:rPr>
                <w:rFonts w:ascii="宋体"/>
              </w:rPr>
            </w:pPr>
          </w:p>
        </w:tc>
      </w:tr>
      <w:tr w:rsidR="00D42204" w14:paraId="35D0B6D1" w14:textId="77777777">
        <w:tc>
          <w:tcPr>
            <w:tcW w:w="0" w:type="auto"/>
            <w:gridSpan w:val="3"/>
            <w:shd w:val="clear" w:color="auto" w:fill="CCEEFF"/>
            <w:tcMar>
              <w:top w:w="40" w:type="dxa"/>
              <w:left w:w="20" w:type="dxa"/>
              <w:bottom w:w="40" w:type="dxa"/>
              <w:right w:w="20" w:type="dxa"/>
            </w:tcMar>
            <w:vAlign w:val="center"/>
          </w:tcPr>
          <w:p w14:paraId="35D0B6C0" w14:textId="77777777" w:rsidR="00D42204" w:rsidRDefault="004E439D">
            <w:pPr>
              <w:textAlignment w:val="center"/>
            </w:pPr>
            <w:r>
              <w:rPr>
                <w:rFonts w:ascii="Times New Roman" w:eastAsia="宋体" w:hAnsi="Times New Roman"/>
                <w:color w:val="000000"/>
                <w:sz w:val="16"/>
                <w:szCs w:val="16"/>
              </w:rPr>
              <w:t>Receive fixed-rate, pay variable-rate interest rate swaps designated as fair value hedges</w:t>
            </w:r>
          </w:p>
        </w:tc>
        <w:tc>
          <w:tcPr>
            <w:tcW w:w="0" w:type="auto"/>
            <w:tcBorders>
              <w:top w:val="single" w:sz="8" w:space="0" w:color="000000"/>
            </w:tcBorders>
            <w:shd w:val="clear" w:color="auto" w:fill="CCEEFF"/>
            <w:tcMar>
              <w:top w:w="40" w:type="dxa"/>
              <w:left w:w="20" w:type="dxa"/>
              <w:bottom w:w="40" w:type="dxa"/>
              <w:right w:w="0" w:type="dxa"/>
            </w:tcMar>
            <w:vAlign w:val="center"/>
          </w:tcPr>
          <w:p w14:paraId="35D0B6C1"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6C2" w14:textId="77777777" w:rsidR="00D42204" w:rsidRDefault="004E439D">
            <w:pPr>
              <w:jc w:val="right"/>
              <w:textAlignment w:val="center"/>
            </w:pPr>
            <w:r>
              <w:rPr>
                <w:rFonts w:ascii="Times New Roman" w:eastAsia="宋体" w:hAnsi="Times New Roman"/>
                <w:color w:val="000000"/>
                <w:sz w:val="16"/>
                <w:szCs w:val="16"/>
              </w:rPr>
              <w:t>8,021 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6C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6C4"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6C5"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6C6" w14:textId="77777777" w:rsidR="00D42204" w:rsidRDefault="004E439D">
            <w:pPr>
              <w:jc w:val="right"/>
              <w:textAlignment w:val="center"/>
            </w:pPr>
            <w:r>
              <w:rPr>
                <w:rFonts w:ascii="Times New Roman" w:eastAsia="宋体" w:hAnsi="Times New Roman"/>
                <w:color w:val="000000"/>
                <w:sz w:val="16"/>
                <w:szCs w:val="16"/>
              </w:rPr>
              <w:t>(47)</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6C7" w14:textId="77777777" w:rsidR="00D42204" w:rsidRDefault="00D42204">
            <w:pPr>
              <w:jc w:val="right"/>
              <w:rPr>
                <w:rFonts w:ascii="宋体"/>
              </w:rPr>
            </w:pPr>
          </w:p>
        </w:tc>
        <w:tc>
          <w:tcPr>
            <w:tcW w:w="0" w:type="auto"/>
            <w:gridSpan w:val="3"/>
            <w:shd w:val="clear" w:color="auto" w:fill="auto"/>
            <w:tcMar>
              <w:top w:w="40" w:type="dxa"/>
              <w:left w:w="20" w:type="dxa"/>
              <w:bottom w:w="40" w:type="dxa"/>
              <w:right w:w="20" w:type="dxa"/>
            </w:tcMar>
          </w:tcPr>
          <w:p w14:paraId="35D0B6C8" w14:textId="77777777" w:rsidR="00D42204" w:rsidRDefault="004E439D">
            <w:pPr>
              <w:textAlignment w:val="top"/>
            </w:pPr>
            <w:r>
              <w:rPr>
                <w:rFonts w:ascii="Times New Roman" w:eastAsia="宋体" w:hAnsi="Times New Roman"/>
                <w:color w:val="000000"/>
                <w:sz w:val="12"/>
                <w:szCs w:val="12"/>
              </w:rPr>
              <w:t>(1)</w:t>
            </w:r>
          </w:p>
        </w:tc>
        <w:tc>
          <w:tcPr>
            <w:tcW w:w="0" w:type="auto"/>
            <w:tcBorders>
              <w:top w:val="single" w:sz="8" w:space="0" w:color="000000"/>
            </w:tcBorders>
            <w:shd w:val="clear" w:color="auto" w:fill="CCEEFF"/>
            <w:tcMar>
              <w:top w:w="40" w:type="dxa"/>
              <w:left w:w="20" w:type="dxa"/>
              <w:bottom w:w="40" w:type="dxa"/>
              <w:right w:w="0" w:type="dxa"/>
            </w:tcMar>
            <w:vAlign w:val="center"/>
          </w:tcPr>
          <w:p w14:paraId="35D0B6C9"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6CA" w14:textId="77777777" w:rsidR="00D42204" w:rsidRDefault="004E439D">
            <w:pPr>
              <w:jc w:val="right"/>
              <w:textAlignment w:val="center"/>
            </w:pPr>
            <w:r>
              <w:rPr>
                <w:rFonts w:ascii="Times New Roman" w:eastAsia="宋体" w:hAnsi="Times New Roman"/>
                <w:color w:val="000000"/>
                <w:sz w:val="16"/>
                <w:szCs w:val="16"/>
              </w:rPr>
              <w:t>3,250 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6C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6CC"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6CD"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6CE" w14:textId="77777777" w:rsidR="00D42204" w:rsidRDefault="004E439D">
            <w:pPr>
              <w:jc w:val="right"/>
              <w:textAlignment w:val="center"/>
            </w:pPr>
            <w:r>
              <w:rPr>
                <w:rFonts w:ascii="Times New Roman" w:eastAsia="宋体" w:hAnsi="Times New Roman"/>
                <w:color w:val="000000"/>
                <w:sz w:val="16"/>
                <w:szCs w:val="16"/>
              </w:rPr>
              <w:t>166 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6CF" w14:textId="77777777" w:rsidR="00D42204" w:rsidRDefault="00D42204">
            <w:pPr>
              <w:jc w:val="right"/>
              <w:rPr>
                <w:rFonts w:ascii="宋体"/>
              </w:rPr>
            </w:pPr>
          </w:p>
        </w:tc>
        <w:tc>
          <w:tcPr>
            <w:tcW w:w="0" w:type="auto"/>
            <w:gridSpan w:val="3"/>
            <w:shd w:val="clear" w:color="auto" w:fill="auto"/>
            <w:tcMar>
              <w:top w:w="40" w:type="dxa"/>
              <w:left w:w="20" w:type="dxa"/>
              <w:bottom w:w="40" w:type="dxa"/>
              <w:right w:w="20" w:type="dxa"/>
            </w:tcMar>
          </w:tcPr>
          <w:p w14:paraId="35D0B6D0" w14:textId="77777777" w:rsidR="00D42204" w:rsidRDefault="004E439D">
            <w:pPr>
              <w:textAlignment w:val="top"/>
            </w:pPr>
            <w:r>
              <w:rPr>
                <w:rFonts w:ascii="Times New Roman" w:eastAsia="宋体" w:hAnsi="Times New Roman"/>
                <w:color w:val="000000"/>
                <w:sz w:val="12"/>
                <w:szCs w:val="12"/>
              </w:rPr>
              <w:t>(2)</w:t>
            </w:r>
          </w:p>
        </w:tc>
      </w:tr>
      <w:tr w:rsidR="00D42204" w14:paraId="35D0B6DF" w14:textId="77777777">
        <w:tc>
          <w:tcPr>
            <w:tcW w:w="0" w:type="auto"/>
            <w:gridSpan w:val="3"/>
            <w:shd w:val="clear" w:color="auto" w:fill="FFFFFF"/>
            <w:tcMar>
              <w:top w:w="40" w:type="dxa"/>
              <w:left w:w="20" w:type="dxa"/>
              <w:bottom w:w="40" w:type="dxa"/>
              <w:right w:w="20" w:type="dxa"/>
            </w:tcMar>
            <w:vAlign w:val="center"/>
          </w:tcPr>
          <w:p w14:paraId="35D0B6D2" w14:textId="77777777" w:rsidR="00D42204" w:rsidRDefault="004E439D">
            <w:pPr>
              <w:textAlignment w:val="center"/>
            </w:pPr>
            <w:r>
              <w:rPr>
                <w:rFonts w:ascii="Times New Roman" w:eastAsia="宋体" w:hAnsi="Times New Roman"/>
                <w:color w:val="000000"/>
                <w:sz w:val="16"/>
                <w:szCs w:val="16"/>
              </w:rPr>
              <w:t>Receive fixed-rate, pay fixed-rate cross-currency swaps designated as net investment hedges</w:t>
            </w:r>
          </w:p>
        </w:tc>
        <w:tc>
          <w:tcPr>
            <w:tcW w:w="0" w:type="auto"/>
            <w:gridSpan w:val="2"/>
            <w:shd w:val="clear" w:color="auto" w:fill="FFFFFF"/>
            <w:tcMar>
              <w:top w:w="40" w:type="dxa"/>
              <w:left w:w="20" w:type="dxa"/>
              <w:bottom w:w="40" w:type="dxa"/>
              <w:right w:w="0" w:type="dxa"/>
            </w:tcMar>
            <w:vAlign w:val="center"/>
          </w:tcPr>
          <w:p w14:paraId="35D0B6D3"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B6D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6D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6D6"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B6D7" w14:textId="77777777" w:rsidR="00D42204" w:rsidRDefault="00D42204">
            <w:pPr>
              <w:jc w:val="right"/>
              <w:rPr>
                <w:rFonts w:ascii="宋体"/>
              </w:rPr>
            </w:pPr>
          </w:p>
        </w:tc>
        <w:tc>
          <w:tcPr>
            <w:tcW w:w="0" w:type="auto"/>
            <w:gridSpan w:val="3"/>
            <w:shd w:val="clear" w:color="auto" w:fill="auto"/>
            <w:tcMar>
              <w:top w:w="0" w:type="dxa"/>
              <w:left w:w="20" w:type="dxa"/>
              <w:bottom w:w="0" w:type="dxa"/>
              <w:right w:w="20" w:type="dxa"/>
            </w:tcMar>
            <w:vAlign w:val="bottom"/>
          </w:tcPr>
          <w:p w14:paraId="35D0B6D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6D9" w14:textId="77777777" w:rsidR="00D42204" w:rsidRDefault="004E439D">
            <w:pPr>
              <w:jc w:val="right"/>
              <w:textAlignment w:val="center"/>
            </w:pPr>
            <w:r>
              <w:rPr>
                <w:rFonts w:ascii="Times New Roman" w:eastAsia="宋体" w:hAnsi="Times New Roman"/>
                <w:color w:val="000000"/>
                <w:sz w:val="16"/>
                <w:szCs w:val="16"/>
              </w:rPr>
              <w:t>1,250 </w:t>
            </w:r>
          </w:p>
        </w:tc>
        <w:tc>
          <w:tcPr>
            <w:tcW w:w="0" w:type="auto"/>
            <w:shd w:val="clear" w:color="auto" w:fill="FFFFFF"/>
            <w:tcMar>
              <w:top w:w="40" w:type="dxa"/>
              <w:left w:w="0" w:type="dxa"/>
              <w:bottom w:w="40" w:type="dxa"/>
              <w:right w:w="20" w:type="dxa"/>
            </w:tcMar>
            <w:vAlign w:val="center"/>
          </w:tcPr>
          <w:p w14:paraId="35D0B6D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6D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6DC" w14:textId="77777777" w:rsidR="00D42204" w:rsidRDefault="004E439D">
            <w:pPr>
              <w:jc w:val="right"/>
              <w:textAlignment w:val="center"/>
            </w:pPr>
            <w:r>
              <w:rPr>
                <w:rFonts w:ascii="Times New Roman" w:eastAsia="宋体" w:hAnsi="Times New Roman"/>
                <w:color w:val="000000"/>
                <w:sz w:val="16"/>
                <w:szCs w:val="16"/>
              </w:rPr>
              <w:t>311 </w:t>
            </w:r>
          </w:p>
        </w:tc>
        <w:tc>
          <w:tcPr>
            <w:tcW w:w="0" w:type="auto"/>
            <w:shd w:val="clear" w:color="auto" w:fill="FFFFFF"/>
            <w:tcMar>
              <w:top w:w="40" w:type="dxa"/>
              <w:left w:w="0" w:type="dxa"/>
              <w:bottom w:w="40" w:type="dxa"/>
              <w:right w:w="20" w:type="dxa"/>
            </w:tcMar>
            <w:vAlign w:val="center"/>
          </w:tcPr>
          <w:p w14:paraId="35D0B6DD" w14:textId="77777777" w:rsidR="00D42204" w:rsidRDefault="00D42204">
            <w:pPr>
              <w:jc w:val="right"/>
              <w:rPr>
                <w:rFonts w:ascii="宋体"/>
              </w:rPr>
            </w:pPr>
          </w:p>
        </w:tc>
        <w:tc>
          <w:tcPr>
            <w:tcW w:w="0" w:type="auto"/>
            <w:gridSpan w:val="3"/>
            <w:shd w:val="clear" w:color="auto" w:fill="auto"/>
            <w:tcMar>
              <w:top w:w="40" w:type="dxa"/>
              <w:left w:w="20" w:type="dxa"/>
              <w:bottom w:w="40" w:type="dxa"/>
              <w:right w:w="20" w:type="dxa"/>
            </w:tcMar>
          </w:tcPr>
          <w:p w14:paraId="35D0B6DE" w14:textId="77777777" w:rsidR="00D42204" w:rsidRDefault="004E439D">
            <w:pPr>
              <w:textAlignment w:val="top"/>
            </w:pPr>
            <w:r>
              <w:rPr>
                <w:rFonts w:ascii="Times New Roman" w:eastAsia="宋体" w:hAnsi="Times New Roman"/>
                <w:color w:val="000000"/>
                <w:sz w:val="12"/>
                <w:szCs w:val="12"/>
              </w:rPr>
              <w:t>(2)</w:t>
            </w:r>
          </w:p>
        </w:tc>
      </w:tr>
      <w:tr w:rsidR="00D42204" w14:paraId="35D0B6ED" w14:textId="77777777">
        <w:tc>
          <w:tcPr>
            <w:tcW w:w="0" w:type="auto"/>
            <w:gridSpan w:val="3"/>
            <w:shd w:val="clear" w:color="auto" w:fill="CCEEFF"/>
            <w:tcMar>
              <w:top w:w="40" w:type="dxa"/>
              <w:left w:w="20" w:type="dxa"/>
              <w:bottom w:w="40" w:type="dxa"/>
              <w:right w:w="20" w:type="dxa"/>
            </w:tcMar>
            <w:vAlign w:val="center"/>
          </w:tcPr>
          <w:p w14:paraId="35D0B6E0" w14:textId="77777777" w:rsidR="00D42204" w:rsidRDefault="004E439D">
            <w:pPr>
              <w:textAlignment w:val="center"/>
            </w:pPr>
            <w:r>
              <w:rPr>
                <w:rFonts w:ascii="Times New Roman" w:eastAsia="宋体" w:hAnsi="Times New Roman"/>
                <w:color w:val="000000"/>
                <w:sz w:val="16"/>
                <w:szCs w:val="16"/>
              </w:rPr>
              <w:t>Receive fixed-rate, pay fixed-rate cross-currency swaps designated as cash flow hedges</w:t>
            </w:r>
          </w:p>
        </w:tc>
        <w:tc>
          <w:tcPr>
            <w:tcW w:w="0" w:type="auto"/>
            <w:gridSpan w:val="2"/>
            <w:shd w:val="clear" w:color="auto" w:fill="CCEEFF"/>
            <w:tcMar>
              <w:top w:w="40" w:type="dxa"/>
              <w:left w:w="20" w:type="dxa"/>
              <w:bottom w:w="40" w:type="dxa"/>
              <w:right w:w="0" w:type="dxa"/>
            </w:tcMar>
            <w:vAlign w:val="center"/>
          </w:tcPr>
          <w:p w14:paraId="35D0B6E1" w14:textId="77777777" w:rsidR="00D42204" w:rsidRDefault="004E439D">
            <w:pPr>
              <w:jc w:val="right"/>
              <w:textAlignment w:val="center"/>
            </w:pPr>
            <w:r>
              <w:rPr>
                <w:rFonts w:ascii="Times New Roman" w:eastAsia="宋体" w:hAnsi="Times New Roman"/>
                <w:color w:val="000000"/>
                <w:sz w:val="16"/>
                <w:szCs w:val="16"/>
              </w:rPr>
              <w:t>7,855 </w:t>
            </w:r>
          </w:p>
        </w:tc>
        <w:tc>
          <w:tcPr>
            <w:tcW w:w="0" w:type="auto"/>
            <w:shd w:val="clear" w:color="auto" w:fill="CCEEFF"/>
            <w:tcMar>
              <w:top w:w="40" w:type="dxa"/>
              <w:left w:w="0" w:type="dxa"/>
              <w:bottom w:w="40" w:type="dxa"/>
              <w:right w:w="20" w:type="dxa"/>
            </w:tcMar>
            <w:vAlign w:val="center"/>
          </w:tcPr>
          <w:p w14:paraId="35D0B6E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6E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6E4" w14:textId="77777777" w:rsidR="00D42204" w:rsidRDefault="004E439D">
            <w:pPr>
              <w:jc w:val="right"/>
              <w:textAlignment w:val="center"/>
            </w:pPr>
            <w:r>
              <w:rPr>
                <w:rFonts w:ascii="Times New Roman" w:eastAsia="宋体" w:hAnsi="Times New Roman"/>
                <w:color w:val="000000"/>
                <w:sz w:val="16"/>
                <w:szCs w:val="16"/>
              </w:rPr>
              <w:t>(1,048)</w:t>
            </w:r>
          </w:p>
        </w:tc>
        <w:tc>
          <w:tcPr>
            <w:tcW w:w="0" w:type="auto"/>
            <w:shd w:val="clear" w:color="auto" w:fill="CCEEFF"/>
            <w:tcMar>
              <w:top w:w="40" w:type="dxa"/>
              <w:left w:w="0" w:type="dxa"/>
              <w:bottom w:w="40" w:type="dxa"/>
              <w:right w:w="20" w:type="dxa"/>
            </w:tcMar>
            <w:vAlign w:val="center"/>
          </w:tcPr>
          <w:p w14:paraId="35D0B6E5" w14:textId="77777777" w:rsidR="00D42204" w:rsidRDefault="00D42204">
            <w:pPr>
              <w:jc w:val="right"/>
              <w:rPr>
                <w:rFonts w:ascii="宋体"/>
              </w:rPr>
            </w:pPr>
          </w:p>
        </w:tc>
        <w:tc>
          <w:tcPr>
            <w:tcW w:w="0" w:type="auto"/>
            <w:gridSpan w:val="3"/>
            <w:shd w:val="clear" w:color="auto" w:fill="auto"/>
            <w:tcMar>
              <w:top w:w="40" w:type="dxa"/>
              <w:left w:w="20" w:type="dxa"/>
              <w:bottom w:w="40" w:type="dxa"/>
              <w:right w:w="20" w:type="dxa"/>
            </w:tcMar>
          </w:tcPr>
          <w:p w14:paraId="35D0B6E6" w14:textId="77777777" w:rsidR="00D42204" w:rsidRDefault="004E439D">
            <w:pPr>
              <w:textAlignment w:val="top"/>
            </w:pPr>
            <w:r>
              <w:rPr>
                <w:rFonts w:ascii="Times New Roman" w:eastAsia="宋体" w:hAnsi="Times New Roman"/>
                <w:color w:val="000000"/>
                <w:sz w:val="12"/>
                <w:szCs w:val="12"/>
              </w:rPr>
              <w:t>(1)</w:t>
            </w:r>
          </w:p>
        </w:tc>
        <w:tc>
          <w:tcPr>
            <w:tcW w:w="0" w:type="auto"/>
            <w:gridSpan w:val="2"/>
            <w:shd w:val="clear" w:color="auto" w:fill="CCEEFF"/>
            <w:tcMar>
              <w:top w:w="40" w:type="dxa"/>
              <w:left w:w="20" w:type="dxa"/>
              <w:bottom w:w="40" w:type="dxa"/>
              <w:right w:w="0" w:type="dxa"/>
            </w:tcMar>
            <w:vAlign w:val="center"/>
          </w:tcPr>
          <w:p w14:paraId="35D0B6E7" w14:textId="77777777" w:rsidR="00D42204" w:rsidRDefault="004E439D">
            <w:pPr>
              <w:jc w:val="right"/>
              <w:textAlignment w:val="center"/>
            </w:pPr>
            <w:r>
              <w:rPr>
                <w:rFonts w:ascii="Times New Roman" w:eastAsia="宋体" w:hAnsi="Times New Roman"/>
                <w:color w:val="000000"/>
                <w:sz w:val="16"/>
                <w:szCs w:val="16"/>
              </w:rPr>
              <w:t>5,073 </w:t>
            </w:r>
          </w:p>
        </w:tc>
        <w:tc>
          <w:tcPr>
            <w:tcW w:w="0" w:type="auto"/>
            <w:shd w:val="clear" w:color="auto" w:fill="CCEEFF"/>
            <w:tcMar>
              <w:top w:w="40" w:type="dxa"/>
              <w:left w:w="0" w:type="dxa"/>
              <w:bottom w:w="40" w:type="dxa"/>
              <w:right w:w="20" w:type="dxa"/>
            </w:tcMar>
            <w:vAlign w:val="center"/>
          </w:tcPr>
          <w:p w14:paraId="35D0B6E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6E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6EA" w14:textId="77777777" w:rsidR="00D42204" w:rsidRDefault="004E439D">
            <w:pPr>
              <w:jc w:val="right"/>
              <w:textAlignment w:val="center"/>
            </w:pPr>
            <w:r>
              <w:rPr>
                <w:rFonts w:ascii="Times New Roman" w:eastAsia="宋体" w:hAnsi="Times New Roman"/>
                <w:color w:val="000000"/>
                <w:sz w:val="16"/>
                <w:szCs w:val="16"/>
              </w:rPr>
              <w:t>(394)</w:t>
            </w:r>
          </w:p>
        </w:tc>
        <w:tc>
          <w:tcPr>
            <w:tcW w:w="0" w:type="auto"/>
            <w:shd w:val="clear" w:color="auto" w:fill="CCEEFF"/>
            <w:tcMar>
              <w:top w:w="40" w:type="dxa"/>
              <w:left w:w="0" w:type="dxa"/>
              <w:bottom w:w="40" w:type="dxa"/>
              <w:right w:w="20" w:type="dxa"/>
            </w:tcMar>
            <w:vAlign w:val="center"/>
          </w:tcPr>
          <w:p w14:paraId="35D0B6EB" w14:textId="77777777" w:rsidR="00D42204" w:rsidRDefault="00D42204">
            <w:pPr>
              <w:jc w:val="right"/>
              <w:rPr>
                <w:rFonts w:ascii="宋体"/>
              </w:rPr>
            </w:pPr>
          </w:p>
        </w:tc>
        <w:tc>
          <w:tcPr>
            <w:tcW w:w="0" w:type="auto"/>
            <w:gridSpan w:val="3"/>
            <w:shd w:val="clear" w:color="auto" w:fill="auto"/>
            <w:tcMar>
              <w:top w:w="40" w:type="dxa"/>
              <w:left w:w="20" w:type="dxa"/>
              <w:bottom w:w="40" w:type="dxa"/>
              <w:right w:w="20" w:type="dxa"/>
            </w:tcMar>
          </w:tcPr>
          <w:p w14:paraId="35D0B6EC" w14:textId="77777777" w:rsidR="00D42204" w:rsidRDefault="004E439D">
            <w:pPr>
              <w:textAlignment w:val="top"/>
            </w:pPr>
            <w:r>
              <w:rPr>
                <w:rFonts w:ascii="Times New Roman" w:eastAsia="宋体" w:hAnsi="Times New Roman"/>
                <w:color w:val="000000"/>
                <w:sz w:val="12"/>
                <w:szCs w:val="12"/>
              </w:rPr>
              <w:t>(1)</w:t>
            </w:r>
          </w:p>
        </w:tc>
      </w:tr>
      <w:tr w:rsidR="00D42204" w14:paraId="35D0B6FF" w14:textId="77777777">
        <w:tc>
          <w:tcPr>
            <w:tcW w:w="0" w:type="auto"/>
            <w:gridSpan w:val="3"/>
            <w:shd w:val="clear" w:color="auto" w:fill="FFFFFF"/>
            <w:tcMar>
              <w:top w:w="40" w:type="dxa"/>
              <w:left w:w="20" w:type="dxa"/>
              <w:bottom w:w="40" w:type="dxa"/>
              <w:right w:w="20" w:type="dxa"/>
            </w:tcMar>
            <w:vAlign w:val="center"/>
          </w:tcPr>
          <w:p w14:paraId="35D0B6EE" w14:textId="77777777" w:rsidR="00D42204" w:rsidRDefault="004E439D">
            <w:pPr>
              <w:textAlignment w:val="center"/>
            </w:pPr>
            <w:r>
              <w:rPr>
                <w:rFonts w:ascii="Times New Roman" w:eastAsia="宋体" w:hAnsi="Times New Roman"/>
                <w:b/>
                <w:bCs/>
                <w:color w:val="000000"/>
                <w:sz w:val="16"/>
                <w:szCs w:val="16"/>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B6EF"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B6F0" w14:textId="77777777" w:rsidR="00D42204" w:rsidRDefault="004E439D">
            <w:pPr>
              <w:jc w:val="right"/>
              <w:textAlignment w:val="center"/>
            </w:pPr>
            <w:r>
              <w:rPr>
                <w:rFonts w:ascii="Times New Roman" w:eastAsia="宋体" w:hAnsi="Times New Roman"/>
                <w:color w:val="000000"/>
                <w:sz w:val="16"/>
                <w:szCs w:val="16"/>
              </w:rPr>
              <w:t>15,876 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B6F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6F2"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B6F3"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B6F4" w14:textId="77777777" w:rsidR="00D42204" w:rsidRDefault="004E439D">
            <w:pPr>
              <w:jc w:val="right"/>
              <w:textAlignment w:val="center"/>
            </w:pPr>
            <w:r>
              <w:rPr>
                <w:rFonts w:ascii="Times New Roman" w:eastAsia="宋体" w:hAnsi="Times New Roman"/>
                <w:color w:val="000000"/>
                <w:sz w:val="16"/>
                <w:szCs w:val="16"/>
              </w:rPr>
              <w:t>(1,095)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B6F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6F6"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B6F7"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B6F8" w14:textId="77777777" w:rsidR="00D42204" w:rsidRDefault="004E439D">
            <w:pPr>
              <w:jc w:val="right"/>
              <w:textAlignment w:val="center"/>
            </w:pPr>
            <w:r>
              <w:rPr>
                <w:rFonts w:ascii="Times New Roman" w:eastAsia="宋体" w:hAnsi="Times New Roman"/>
                <w:color w:val="000000"/>
                <w:sz w:val="16"/>
                <w:szCs w:val="16"/>
              </w:rPr>
              <w:t>9,573 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B6F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6FA"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B6F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B6FC" w14:textId="77777777" w:rsidR="00D42204" w:rsidRDefault="004E439D">
            <w:pPr>
              <w:jc w:val="right"/>
              <w:textAlignment w:val="center"/>
            </w:pPr>
            <w:r>
              <w:rPr>
                <w:rFonts w:ascii="Times New Roman" w:eastAsia="宋体" w:hAnsi="Times New Roman"/>
                <w:color w:val="000000"/>
                <w:sz w:val="16"/>
                <w:szCs w:val="16"/>
              </w:rPr>
              <w:t>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B6F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6FE" w14:textId="77777777" w:rsidR="00D42204" w:rsidRDefault="00D42204">
            <w:pPr>
              <w:rPr>
                <w:rFonts w:ascii="宋体"/>
              </w:rPr>
            </w:pPr>
          </w:p>
        </w:tc>
      </w:tr>
    </w:tbl>
    <w:p w14:paraId="35D0B700" w14:textId="77777777" w:rsidR="00D42204" w:rsidRDefault="004E439D">
      <w:pPr>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Primarily classified in deferred income taxes and other in the Company's Consolidated Balance Sheets.</w:t>
      </w:r>
    </w:p>
    <w:p w14:paraId="35D0B701" w14:textId="77777777" w:rsidR="00D42204" w:rsidRDefault="004E439D">
      <w:pPr>
        <w:ind w:hanging="270"/>
      </w:pPr>
      <w:r>
        <w:rPr>
          <w:rFonts w:ascii="Times New Roman" w:eastAsia="宋体" w:hAnsi="Times New Roman"/>
          <w:color w:val="000000"/>
          <w:sz w:val="10"/>
          <w:szCs w:val="10"/>
        </w:rPr>
        <w:t>(2)</w:t>
      </w:r>
      <w:r>
        <w:rPr>
          <w:rFonts w:ascii="Times New Roman" w:eastAsia="宋体" w:hAnsi="Times New Roman"/>
          <w:color w:val="000000"/>
          <w:sz w:val="16"/>
          <w:szCs w:val="16"/>
        </w:rPr>
        <w:t>Primarily classified in other long-term assets in the Company's Consolidated Balance Sheets.</w:t>
      </w:r>
    </w:p>
    <w:p w14:paraId="35D0B702" w14:textId="77777777" w:rsidR="00D42204" w:rsidRDefault="004E439D">
      <w:pPr>
        <w:spacing w:before="180"/>
      </w:pPr>
      <w:r>
        <w:rPr>
          <w:rFonts w:ascii="Times New Roman" w:eastAsia="宋体" w:hAnsi="Times New Roman"/>
          <w:i/>
          <w:iCs/>
          <w:color w:val="000000"/>
          <w:sz w:val="20"/>
          <w:szCs w:val="20"/>
        </w:rPr>
        <w:t xml:space="preserve">Nonrecurring Fair </w:t>
      </w:r>
      <w:r>
        <w:rPr>
          <w:rFonts w:ascii="Times New Roman" w:eastAsia="宋体" w:hAnsi="Times New Roman"/>
          <w:i/>
          <w:iCs/>
          <w:color w:val="000000"/>
          <w:sz w:val="20"/>
          <w:szCs w:val="20"/>
        </w:rPr>
        <w:t>Value Measurements</w:t>
      </w:r>
    </w:p>
    <w:p w14:paraId="35D0B703" w14:textId="77777777" w:rsidR="00D42204" w:rsidRDefault="004E439D">
      <w:pPr>
        <w:spacing w:before="100"/>
      </w:pPr>
      <w:r>
        <w:rPr>
          <w:rFonts w:ascii="Times New Roman" w:eastAsia="宋体" w:hAnsi="Times New Roman"/>
          <w:color w:val="000000"/>
          <w:sz w:val="20"/>
          <w:szCs w:val="20"/>
        </w:rPr>
        <w:t xml:space="preserve">In addition to assets and liabilities that are recorded at fair value on a recurring basis, the Company's assets and liabilities are also subject to nonrecurring fair value measurements. Generally, assets are recorded at fair value on a </w:t>
      </w:r>
      <w:r>
        <w:rPr>
          <w:rFonts w:ascii="Times New Roman" w:eastAsia="宋体" w:hAnsi="Times New Roman"/>
          <w:color w:val="000000"/>
          <w:sz w:val="20"/>
          <w:szCs w:val="20"/>
        </w:rPr>
        <w:t xml:space="preserve">nonrecurring basis as a result of impairment charges. </w:t>
      </w:r>
    </w:p>
    <w:p w14:paraId="35D0B704" w14:textId="77777777" w:rsidR="00D42204" w:rsidRDefault="004E439D">
      <w:pPr>
        <w:spacing w:before="100"/>
      </w:pPr>
      <w:r>
        <w:rPr>
          <w:rFonts w:ascii="Times New Roman" w:eastAsia="宋体" w:hAnsi="Times New Roman"/>
          <w:color w:val="000000"/>
          <w:sz w:val="20"/>
          <w:szCs w:val="20"/>
        </w:rPr>
        <w:t xml:space="preserve">Upon completing the sales of Asda in February 2021 and Seiyu in March 2021, the Company recorded incremental non-recurring impairment charges of $0.4 billion in the first quarter of fiscal 2022 within </w:t>
      </w:r>
      <w:r>
        <w:rPr>
          <w:rFonts w:ascii="Times New Roman" w:eastAsia="宋体" w:hAnsi="Times New Roman"/>
          <w:color w:val="000000"/>
          <w:sz w:val="20"/>
          <w:szCs w:val="20"/>
        </w:rPr>
        <w:t xml:space="preserve">other gains and losses in the Consolidated Statements of Income. Refer to </w:t>
      </w:r>
      <w:hyperlink r:id="rId153" w:anchor="i1ba69ebb72ec48f9b754a5e96c4cdf3f_190"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The Company did not</w:t>
      </w:r>
      <w:r>
        <w:rPr>
          <w:rFonts w:ascii="Times New Roman" w:eastAsia="宋体" w:hAnsi="Times New Roman"/>
          <w:color w:val="000000"/>
          <w:sz w:val="20"/>
          <w:szCs w:val="20"/>
        </w:rPr>
        <w:t xml:space="preserve"> have other material assets or liabilities resulting in nonrecurring fair value measurements as of January 31, 2022. </w:t>
      </w:r>
    </w:p>
    <w:p w14:paraId="35D0B705" w14:textId="77777777" w:rsidR="00D42204" w:rsidRDefault="004E439D">
      <w:pPr>
        <w:spacing w:before="100"/>
      </w:pPr>
      <w:r>
        <w:rPr>
          <w:rFonts w:ascii="Times New Roman" w:eastAsia="宋体" w:hAnsi="Times New Roman"/>
          <w:color w:val="000000"/>
          <w:sz w:val="20"/>
          <w:szCs w:val="20"/>
        </w:rPr>
        <w:t>For the fiscal year ended January 31, 2021, the Company's operations in Argentina, Japan and the U.K. met the held for sale criteria in fi</w:t>
      </w:r>
      <w:r>
        <w:rPr>
          <w:rFonts w:ascii="Times New Roman" w:eastAsia="宋体" w:hAnsi="Times New Roman"/>
          <w:color w:val="000000"/>
          <w:sz w:val="20"/>
          <w:szCs w:val="20"/>
        </w:rPr>
        <w:t xml:space="preserve">scal 2021, as further discussed in </w:t>
      </w:r>
      <w:hyperlink r:id="rId154" w:anchor="i1ba69ebb72ec48f9b754a5e96c4cdf3f_190"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xml:space="preserve">. As a result, the individual disposal groups were measured </w:t>
      </w:r>
      <w:r>
        <w:rPr>
          <w:rFonts w:ascii="Times New Roman" w:eastAsia="宋体" w:hAnsi="Times New Roman"/>
          <w:color w:val="000000"/>
          <w:sz w:val="20"/>
          <w:szCs w:val="20"/>
        </w:rPr>
        <w:t>at fair value, less costs to sell, which is considered a Level 3 fair value measurement based on each transaction's expected consideration. The carrying value of the Argentina, Japan and U.K. disposal groups exceeded their fair value, less costs to sell, a</w:t>
      </w:r>
      <w:r>
        <w:rPr>
          <w:rFonts w:ascii="Times New Roman" w:eastAsia="宋体" w:hAnsi="Times New Roman"/>
          <w:color w:val="000000"/>
          <w:sz w:val="20"/>
          <w:szCs w:val="20"/>
        </w:rPr>
        <w:t>nd as a result, the Company recognized non-recurring impairment charges. The aggregate pre-tax loss of $8.3 billion associated with the divestiture of these operations in the Walmart International segment was recorded in other gains and losses in the Conso</w:t>
      </w:r>
      <w:r>
        <w:rPr>
          <w:rFonts w:ascii="Times New Roman" w:eastAsia="宋体" w:hAnsi="Times New Roman"/>
          <w:color w:val="000000"/>
          <w:sz w:val="20"/>
          <w:szCs w:val="20"/>
        </w:rPr>
        <w:t>lidated Statements of Income for the year ended January 31, 2021 and included these impairment charges as well as a $2.3 billion charge related to the Asda pension plan. These impairment charges included the anticipated release of non-cash cumulative forei</w:t>
      </w:r>
      <w:r>
        <w:rPr>
          <w:rFonts w:ascii="Times New Roman" w:eastAsia="宋体" w:hAnsi="Times New Roman"/>
          <w:color w:val="000000"/>
          <w:sz w:val="20"/>
          <w:szCs w:val="20"/>
        </w:rPr>
        <w:t>gn currency translation losses associated with the disposal groups. Other impairment charges for assets measured at fair value on a nonrecurring basis during fiscal 2021 were immaterial.</w:t>
      </w:r>
    </w:p>
    <w:p w14:paraId="35D0B706" w14:textId="77777777" w:rsidR="00D42204" w:rsidRDefault="004E439D">
      <w:pPr>
        <w:jc w:val="center"/>
      </w:pPr>
      <w:r>
        <w:rPr>
          <w:rFonts w:ascii="Times New Roman" w:eastAsia="宋体" w:hAnsi="Times New Roman"/>
          <w:color w:val="000000"/>
          <w:sz w:val="20"/>
          <w:szCs w:val="20"/>
        </w:rPr>
        <w:t>70</w:t>
      </w:r>
    </w:p>
    <w:p w14:paraId="35D0B707" w14:textId="77777777" w:rsidR="00D42204" w:rsidRDefault="004E439D">
      <w:r>
        <w:pict w14:anchorId="35D0C3A1">
          <v:rect id="_x0000_i1094" style="width:415.3pt;height:1.5pt" o:hralign="center" o:hrstd="t" o:hr="t" fillcolor="#a0a0a0" stroked="f"/>
        </w:pict>
      </w:r>
    </w:p>
    <w:p w14:paraId="35D0B708" w14:textId="77777777" w:rsidR="00D42204" w:rsidRDefault="00D42204"/>
    <w:p w14:paraId="35D0B709" w14:textId="77777777" w:rsidR="00D42204" w:rsidRDefault="004E439D">
      <w:pPr>
        <w:spacing w:before="100"/>
      </w:pPr>
      <w:r>
        <w:rPr>
          <w:rFonts w:ascii="Times New Roman" w:eastAsia="宋体" w:hAnsi="Times New Roman"/>
          <w:color w:val="000000"/>
          <w:sz w:val="20"/>
          <w:szCs w:val="20"/>
        </w:rPr>
        <w:t>For the fiscal year ended January 31, 2020, the Company recorde</w:t>
      </w:r>
      <w:r>
        <w:rPr>
          <w:rFonts w:ascii="Times New Roman" w:eastAsia="宋体" w:hAnsi="Times New Roman"/>
          <w:color w:val="000000"/>
          <w:sz w:val="20"/>
          <w:szCs w:val="20"/>
        </w:rPr>
        <w:t xml:space="preserve">d impairment charges related to assets measured at fair value on a non-recurring basis primarily related to the following: </w:t>
      </w:r>
    </w:p>
    <w:p w14:paraId="35D0B70A" w14:textId="77777777" w:rsidR="00D42204" w:rsidRDefault="004E439D">
      <w:pPr>
        <w:spacing w:before="100"/>
        <w:ind w:hanging="360"/>
      </w:pPr>
      <w:r>
        <w:rPr>
          <w:rFonts w:ascii="Times New Roman" w:eastAsia="宋体" w:hAnsi="Times New Roman"/>
          <w:color w:val="000000"/>
          <w:sz w:val="20"/>
          <w:szCs w:val="20"/>
        </w:rPr>
        <w:t>•in the Walmart U.S. segment, $0.5 billion in impairment charges for impaired assets consisting primarily of trade names and acquire</w:t>
      </w:r>
      <w:r>
        <w:rPr>
          <w:rFonts w:ascii="Times New Roman" w:eastAsia="宋体" w:hAnsi="Times New Roman"/>
          <w:color w:val="000000"/>
          <w:sz w:val="20"/>
          <w:szCs w:val="20"/>
        </w:rPr>
        <w:t>d developed software due to strategic decisions that resulted in the write-down of certain eCommerce assets; and</w:t>
      </w:r>
    </w:p>
    <w:p w14:paraId="35D0B70B" w14:textId="77777777" w:rsidR="00D42204" w:rsidRDefault="004E439D">
      <w:pPr>
        <w:ind w:hanging="360"/>
      </w:pPr>
      <w:r>
        <w:rPr>
          <w:rFonts w:ascii="Times New Roman" w:eastAsia="宋体" w:hAnsi="Times New Roman"/>
          <w:color w:val="000000"/>
          <w:sz w:val="20"/>
          <w:szCs w:val="20"/>
        </w:rPr>
        <w:t>•in the Walmart International segment, $0.4 billion in impairment charges consisting primarily of the write-off of the carrying value of one of</w:t>
      </w:r>
      <w:r>
        <w:rPr>
          <w:rFonts w:ascii="Times New Roman" w:eastAsia="宋体" w:hAnsi="Times New Roman"/>
          <w:color w:val="000000"/>
          <w:sz w:val="20"/>
          <w:szCs w:val="20"/>
        </w:rPr>
        <w:t xml:space="preserve"> Flipkart's two fashion trade names, Jabong.com, as a result of a strategic decision to focus on the Myntra.com fashion platform.</w:t>
      </w:r>
    </w:p>
    <w:p w14:paraId="35D0B70C" w14:textId="77777777" w:rsidR="00D42204" w:rsidRDefault="004E439D">
      <w:pPr>
        <w:spacing w:before="100"/>
      </w:pPr>
      <w:r>
        <w:rPr>
          <w:rFonts w:ascii="Times New Roman" w:eastAsia="宋体" w:hAnsi="Times New Roman"/>
          <w:color w:val="000000"/>
          <w:sz w:val="20"/>
          <w:szCs w:val="20"/>
        </w:rPr>
        <w:t>These impairment charges were classified in operating, selling, general and administrative expenses in the Company's Consolida</w:t>
      </w:r>
      <w:r>
        <w:rPr>
          <w:rFonts w:ascii="Times New Roman" w:eastAsia="宋体" w:hAnsi="Times New Roman"/>
          <w:color w:val="000000"/>
          <w:sz w:val="20"/>
          <w:szCs w:val="20"/>
        </w:rPr>
        <w:t xml:space="preserve">ted Statements of Income. Other impairment charges for assets measured at fair value on a nonrecurring basis during fiscal 2020 were immaterial. </w:t>
      </w:r>
    </w:p>
    <w:p w14:paraId="35D0B70D" w14:textId="77777777" w:rsidR="00D42204" w:rsidRDefault="004E439D">
      <w:pPr>
        <w:spacing w:before="180"/>
      </w:pPr>
      <w:r>
        <w:rPr>
          <w:rFonts w:ascii="Times New Roman" w:eastAsia="宋体" w:hAnsi="Times New Roman"/>
          <w:i/>
          <w:iCs/>
          <w:color w:val="000000"/>
          <w:sz w:val="20"/>
          <w:szCs w:val="20"/>
        </w:rPr>
        <w:t>Other Fair Value Disclosures</w:t>
      </w:r>
    </w:p>
    <w:p w14:paraId="35D0B70E" w14:textId="77777777" w:rsidR="00D42204" w:rsidRDefault="004E439D">
      <w:pPr>
        <w:spacing w:before="100"/>
      </w:pPr>
      <w:r>
        <w:rPr>
          <w:rFonts w:ascii="Times New Roman" w:eastAsia="宋体" w:hAnsi="Times New Roman"/>
          <w:color w:val="000000"/>
          <w:sz w:val="20"/>
          <w:szCs w:val="20"/>
        </w:rPr>
        <w:t>The Company records cash and cash equivalents, restricted cash and short-term bor</w:t>
      </w:r>
      <w:r>
        <w:rPr>
          <w:rFonts w:ascii="Times New Roman" w:eastAsia="宋体" w:hAnsi="Times New Roman"/>
          <w:color w:val="000000"/>
          <w:sz w:val="20"/>
          <w:szCs w:val="20"/>
        </w:rPr>
        <w:t>rowings at cost. The carrying values of these instruments approximate their fair value due to their short-term maturities.</w:t>
      </w:r>
    </w:p>
    <w:p w14:paraId="35D0B70F" w14:textId="77777777" w:rsidR="00D42204" w:rsidRDefault="004E439D">
      <w:pPr>
        <w:spacing w:before="100"/>
      </w:pPr>
      <w:r>
        <w:rPr>
          <w:rFonts w:ascii="Times New Roman" w:eastAsia="宋体" w:hAnsi="Times New Roman"/>
          <w:color w:val="000000"/>
          <w:sz w:val="20"/>
          <w:szCs w:val="20"/>
        </w:rPr>
        <w:t>The Company's long-term debt is also recorded at cost. The fair value is estimated using Level 2 inputs based on the Company's curren</w:t>
      </w:r>
      <w:r>
        <w:rPr>
          <w:rFonts w:ascii="Times New Roman" w:eastAsia="宋体" w:hAnsi="Times New Roman"/>
          <w:color w:val="000000"/>
          <w:sz w:val="20"/>
          <w:szCs w:val="20"/>
        </w:rPr>
        <w:t>t incremental borrowing rate for similar types of borrowing arrangements. The carrying value and fair value of the Company's long-term debt as of January 31, 2022 and 2021, are as follows: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3853"/>
        <w:gridCol w:w="37"/>
        <w:gridCol w:w="36"/>
        <w:gridCol w:w="36"/>
        <w:gridCol w:w="36"/>
        <w:gridCol w:w="101"/>
        <w:gridCol w:w="1007"/>
        <w:gridCol w:w="36"/>
        <w:gridCol w:w="36"/>
        <w:gridCol w:w="36"/>
        <w:gridCol w:w="36"/>
        <w:gridCol w:w="101"/>
        <w:gridCol w:w="701"/>
        <w:gridCol w:w="36"/>
        <w:gridCol w:w="36"/>
        <w:gridCol w:w="36"/>
        <w:gridCol w:w="36"/>
        <w:gridCol w:w="101"/>
        <w:gridCol w:w="1007"/>
        <w:gridCol w:w="36"/>
        <w:gridCol w:w="36"/>
        <w:gridCol w:w="36"/>
        <w:gridCol w:w="36"/>
        <w:gridCol w:w="101"/>
        <w:gridCol w:w="701"/>
        <w:gridCol w:w="36"/>
      </w:tblGrid>
      <w:tr w:rsidR="00D42204" w14:paraId="35D0B72B" w14:textId="77777777">
        <w:trPr>
          <w:jc w:val="center"/>
        </w:trPr>
        <w:tc>
          <w:tcPr>
            <w:tcW w:w="50" w:type="pct"/>
            <w:shd w:val="clear" w:color="auto" w:fill="auto"/>
            <w:vAlign w:val="bottom"/>
          </w:tcPr>
          <w:p w14:paraId="35D0B710" w14:textId="77777777" w:rsidR="00D42204" w:rsidRDefault="00D42204">
            <w:pPr>
              <w:rPr>
                <w:rFonts w:ascii="宋体"/>
              </w:rPr>
            </w:pPr>
          </w:p>
        </w:tc>
        <w:tc>
          <w:tcPr>
            <w:tcW w:w="2455" w:type="pct"/>
            <w:shd w:val="clear" w:color="auto" w:fill="auto"/>
            <w:vAlign w:val="bottom"/>
          </w:tcPr>
          <w:p w14:paraId="35D0B711" w14:textId="77777777" w:rsidR="00D42204" w:rsidRDefault="00D42204">
            <w:pPr>
              <w:rPr>
                <w:rFonts w:ascii="宋体"/>
              </w:rPr>
            </w:pPr>
          </w:p>
        </w:tc>
        <w:tc>
          <w:tcPr>
            <w:tcW w:w="5" w:type="pct"/>
            <w:shd w:val="clear" w:color="auto" w:fill="auto"/>
            <w:vAlign w:val="bottom"/>
          </w:tcPr>
          <w:p w14:paraId="35D0B712" w14:textId="77777777" w:rsidR="00D42204" w:rsidRDefault="00D42204">
            <w:pPr>
              <w:rPr>
                <w:rFonts w:ascii="宋体"/>
              </w:rPr>
            </w:pPr>
          </w:p>
        </w:tc>
        <w:tc>
          <w:tcPr>
            <w:tcW w:w="5" w:type="pct"/>
            <w:shd w:val="clear" w:color="auto" w:fill="auto"/>
            <w:vAlign w:val="bottom"/>
          </w:tcPr>
          <w:p w14:paraId="35D0B713" w14:textId="77777777" w:rsidR="00D42204" w:rsidRDefault="00D42204">
            <w:pPr>
              <w:rPr>
                <w:rFonts w:ascii="宋体"/>
              </w:rPr>
            </w:pPr>
          </w:p>
        </w:tc>
        <w:tc>
          <w:tcPr>
            <w:tcW w:w="26" w:type="pct"/>
            <w:shd w:val="clear" w:color="auto" w:fill="auto"/>
            <w:vAlign w:val="bottom"/>
          </w:tcPr>
          <w:p w14:paraId="35D0B714" w14:textId="77777777" w:rsidR="00D42204" w:rsidRDefault="00D42204">
            <w:pPr>
              <w:rPr>
                <w:rFonts w:ascii="宋体"/>
              </w:rPr>
            </w:pPr>
          </w:p>
        </w:tc>
        <w:tc>
          <w:tcPr>
            <w:tcW w:w="5" w:type="pct"/>
            <w:shd w:val="clear" w:color="auto" w:fill="auto"/>
            <w:vAlign w:val="bottom"/>
          </w:tcPr>
          <w:p w14:paraId="35D0B715" w14:textId="77777777" w:rsidR="00D42204" w:rsidRDefault="00D42204">
            <w:pPr>
              <w:rPr>
                <w:rFonts w:ascii="宋体"/>
              </w:rPr>
            </w:pPr>
          </w:p>
        </w:tc>
        <w:tc>
          <w:tcPr>
            <w:tcW w:w="50" w:type="pct"/>
            <w:shd w:val="clear" w:color="auto" w:fill="auto"/>
            <w:vAlign w:val="bottom"/>
          </w:tcPr>
          <w:p w14:paraId="35D0B716" w14:textId="77777777" w:rsidR="00D42204" w:rsidRDefault="00D42204">
            <w:pPr>
              <w:rPr>
                <w:rFonts w:ascii="宋体"/>
              </w:rPr>
            </w:pPr>
          </w:p>
        </w:tc>
        <w:tc>
          <w:tcPr>
            <w:tcW w:w="530" w:type="pct"/>
            <w:shd w:val="clear" w:color="auto" w:fill="auto"/>
            <w:vAlign w:val="bottom"/>
          </w:tcPr>
          <w:p w14:paraId="35D0B717" w14:textId="77777777" w:rsidR="00D42204" w:rsidRDefault="00D42204">
            <w:pPr>
              <w:rPr>
                <w:rFonts w:ascii="宋体"/>
              </w:rPr>
            </w:pPr>
          </w:p>
        </w:tc>
        <w:tc>
          <w:tcPr>
            <w:tcW w:w="5" w:type="pct"/>
            <w:shd w:val="clear" w:color="auto" w:fill="auto"/>
            <w:vAlign w:val="bottom"/>
          </w:tcPr>
          <w:p w14:paraId="35D0B718" w14:textId="77777777" w:rsidR="00D42204" w:rsidRDefault="00D42204">
            <w:pPr>
              <w:rPr>
                <w:rFonts w:ascii="宋体"/>
              </w:rPr>
            </w:pPr>
          </w:p>
        </w:tc>
        <w:tc>
          <w:tcPr>
            <w:tcW w:w="5" w:type="pct"/>
            <w:shd w:val="clear" w:color="auto" w:fill="auto"/>
            <w:vAlign w:val="bottom"/>
          </w:tcPr>
          <w:p w14:paraId="35D0B719" w14:textId="77777777" w:rsidR="00D42204" w:rsidRDefault="00D42204">
            <w:pPr>
              <w:rPr>
                <w:rFonts w:ascii="宋体"/>
              </w:rPr>
            </w:pPr>
          </w:p>
        </w:tc>
        <w:tc>
          <w:tcPr>
            <w:tcW w:w="26" w:type="pct"/>
            <w:shd w:val="clear" w:color="auto" w:fill="auto"/>
            <w:vAlign w:val="bottom"/>
          </w:tcPr>
          <w:p w14:paraId="35D0B71A" w14:textId="77777777" w:rsidR="00D42204" w:rsidRDefault="00D42204">
            <w:pPr>
              <w:rPr>
                <w:rFonts w:ascii="宋体"/>
              </w:rPr>
            </w:pPr>
          </w:p>
        </w:tc>
        <w:tc>
          <w:tcPr>
            <w:tcW w:w="5" w:type="pct"/>
            <w:shd w:val="clear" w:color="auto" w:fill="auto"/>
            <w:vAlign w:val="bottom"/>
          </w:tcPr>
          <w:p w14:paraId="35D0B71B" w14:textId="77777777" w:rsidR="00D42204" w:rsidRDefault="00D42204">
            <w:pPr>
              <w:rPr>
                <w:rFonts w:ascii="宋体"/>
              </w:rPr>
            </w:pPr>
          </w:p>
        </w:tc>
        <w:tc>
          <w:tcPr>
            <w:tcW w:w="50" w:type="pct"/>
            <w:shd w:val="clear" w:color="auto" w:fill="auto"/>
            <w:vAlign w:val="bottom"/>
          </w:tcPr>
          <w:p w14:paraId="35D0B71C" w14:textId="77777777" w:rsidR="00D42204" w:rsidRDefault="00D42204">
            <w:pPr>
              <w:rPr>
                <w:rFonts w:ascii="宋体"/>
              </w:rPr>
            </w:pPr>
          </w:p>
        </w:tc>
        <w:tc>
          <w:tcPr>
            <w:tcW w:w="530" w:type="pct"/>
            <w:shd w:val="clear" w:color="auto" w:fill="auto"/>
            <w:vAlign w:val="bottom"/>
          </w:tcPr>
          <w:p w14:paraId="35D0B71D" w14:textId="77777777" w:rsidR="00D42204" w:rsidRDefault="00D42204">
            <w:pPr>
              <w:rPr>
                <w:rFonts w:ascii="宋体"/>
              </w:rPr>
            </w:pPr>
          </w:p>
        </w:tc>
        <w:tc>
          <w:tcPr>
            <w:tcW w:w="5" w:type="pct"/>
            <w:shd w:val="clear" w:color="auto" w:fill="auto"/>
            <w:vAlign w:val="bottom"/>
          </w:tcPr>
          <w:p w14:paraId="35D0B71E" w14:textId="77777777" w:rsidR="00D42204" w:rsidRDefault="00D42204">
            <w:pPr>
              <w:rPr>
                <w:rFonts w:ascii="宋体"/>
              </w:rPr>
            </w:pPr>
          </w:p>
        </w:tc>
        <w:tc>
          <w:tcPr>
            <w:tcW w:w="5" w:type="pct"/>
            <w:shd w:val="clear" w:color="auto" w:fill="auto"/>
            <w:vAlign w:val="bottom"/>
          </w:tcPr>
          <w:p w14:paraId="35D0B71F" w14:textId="77777777" w:rsidR="00D42204" w:rsidRDefault="00D42204">
            <w:pPr>
              <w:rPr>
                <w:rFonts w:ascii="宋体"/>
              </w:rPr>
            </w:pPr>
          </w:p>
        </w:tc>
        <w:tc>
          <w:tcPr>
            <w:tcW w:w="26" w:type="pct"/>
            <w:shd w:val="clear" w:color="auto" w:fill="auto"/>
            <w:vAlign w:val="bottom"/>
          </w:tcPr>
          <w:p w14:paraId="35D0B720" w14:textId="77777777" w:rsidR="00D42204" w:rsidRDefault="00D42204">
            <w:pPr>
              <w:rPr>
                <w:rFonts w:ascii="宋体"/>
              </w:rPr>
            </w:pPr>
          </w:p>
        </w:tc>
        <w:tc>
          <w:tcPr>
            <w:tcW w:w="5" w:type="pct"/>
            <w:shd w:val="clear" w:color="auto" w:fill="auto"/>
            <w:vAlign w:val="bottom"/>
          </w:tcPr>
          <w:p w14:paraId="35D0B721" w14:textId="77777777" w:rsidR="00D42204" w:rsidRDefault="00D42204">
            <w:pPr>
              <w:rPr>
                <w:rFonts w:ascii="宋体"/>
              </w:rPr>
            </w:pPr>
          </w:p>
        </w:tc>
        <w:tc>
          <w:tcPr>
            <w:tcW w:w="50" w:type="pct"/>
            <w:shd w:val="clear" w:color="auto" w:fill="auto"/>
            <w:vAlign w:val="bottom"/>
          </w:tcPr>
          <w:p w14:paraId="35D0B722" w14:textId="77777777" w:rsidR="00D42204" w:rsidRDefault="00D42204">
            <w:pPr>
              <w:rPr>
                <w:rFonts w:ascii="宋体"/>
              </w:rPr>
            </w:pPr>
          </w:p>
        </w:tc>
        <w:tc>
          <w:tcPr>
            <w:tcW w:w="530" w:type="pct"/>
            <w:shd w:val="clear" w:color="auto" w:fill="auto"/>
            <w:vAlign w:val="bottom"/>
          </w:tcPr>
          <w:p w14:paraId="35D0B723" w14:textId="77777777" w:rsidR="00D42204" w:rsidRDefault="00D42204">
            <w:pPr>
              <w:rPr>
                <w:rFonts w:ascii="宋体"/>
              </w:rPr>
            </w:pPr>
          </w:p>
        </w:tc>
        <w:tc>
          <w:tcPr>
            <w:tcW w:w="5" w:type="pct"/>
            <w:shd w:val="clear" w:color="auto" w:fill="auto"/>
            <w:vAlign w:val="bottom"/>
          </w:tcPr>
          <w:p w14:paraId="35D0B724" w14:textId="77777777" w:rsidR="00D42204" w:rsidRDefault="00D42204">
            <w:pPr>
              <w:rPr>
                <w:rFonts w:ascii="宋体"/>
              </w:rPr>
            </w:pPr>
          </w:p>
        </w:tc>
        <w:tc>
          <w:tcPr>
            <w:tcW w:w="5" w:type="pct"/>
            <w:shd w:val="clear" w:color="auto" w:fill="auto"/>
            <w:vAlign w:val="bottom"/>
          </w:tcPr>
          <w:p w14:paraId="35D0B725" w14:textId="77777777" w:rsidR="00D42204" w:rsidRDefault="00D42204">
            <w:pPr>
              <w:rPr>
                <w:rFonts w:ascii="宋体"/>
              </w:rPr>
            </w:pPr>
          </w:p>
        </w:tc>
        <w:tc>
          <w:tcPr>
            <w:tcW w:w="26" w:type="pct"/>
            <w:shd w:val="clear" w:color="auto" w:fill="auto"/>
            <w:vAlign w:val="bottom"/>
          </w:tcPr>
          <w:p w14:paraId="35D0B726" w14:textId="77777777" w:rsidR="00D42204" w:rsidRDefault="00D42204">
            <w:pPr>
              <w:rPr>
                <w:rFonts w:ascii="宋体"/>
              </w:rPr>
            </w:pPr>
          </w:p>
        </w:tc>
        <w:tc>
          <w:tcPr>
            <w:tcW w:w="5" w:type="pct"/>
            <w:shd w:val="clear" w:color="auto" w:fill="auto"/>
            <w:vAlign w:val="bottom"/>
          </w:tcPr>
          <w:p w14:paraId="35D0B727" w14:textId="77777777" w:rsidR="00D42204" w:rsidRDefault="00D42204">
            <w:pPr>
              <w:rPr>
                <w:rFonts w:ascii="宋体"/>
              </w:rPr>
            </w:pPr>
          </w:p>
        </w:tc>
        <w:tc>
          <w:tcPr>
            <w:tcW w:w="50" w:type="pct"/>
            <w:shd w:val="clear" w:color="auto" w:fill="auto"/>
            <w:vAlign w:val="bottom"/>
          </w:tcPr>
          <w:p w14:paraId="35D0B728" w14:textId="77777777" w:rsidR="00D42204" w:rsidRDefault="00D42204">
            <w:pPr>
              <w:rPr>
                <w:rFonts w:ascii="宋体"/>
              </w:rPr>
            </w:pPr>
          </w:p>
        </w:tc>
        <w:tc>
          <w:tcPr>
            <w:tcW w:w="530" w:type="pct"/>
            <w:shd w:val="clear" w:color="auto" w:fill="auto"/>
            <w:vAlign w:val="bottom"/>
          </w:tcPr>
          <w:p w14:paraId="35D0B729" w14:textId="77777777" w:rsidR="00D42204" w:rsidRDefault="00D42204">
            <w:pPr>
              <w:rPr>
                <w:rFonts w:ascii="宋体"/>
              </w:rPr>
            </w:pPr>
          </w:p>
        </w:tc>
        <w:tc>
          <w:tcPr>
            <w:tcW w:w="5" w:type="pct"/>
            <w:shd w:val="clear" w:color="auto" w:fill="auto"/>
            <w:vAlign w:val="bottom"/>
          </w:tcPr>
          <w:p w14:paraId="35D0B72A" w14:textId="77777777" w:rsidR="00D42204" w:rsidRDefault="00D42204">
            <w:pPr>
              <w:rPr>
                <w:rFonts w:ascii="宋体"/>
              </w:rPr>
            </w:pPr>
          </w:p>
        </w:tc>
      </w:tr>
      <w:tr w:rsidR="00D42204" w14:paraId="35D0B731" w14:textId="77777777">
        <w:trPr>
          <w:jc w:val="center"/>
        </w:trPr>
        <w:tc>
          <w:tcPr>
            <w:tcW w:w="0" w:type="auto"/>
            <w:gridSpan w:val="3"/>
            <w:shd w:val="clear" w:color="auto" w:fill="auto"/>
            <w:tcMar>
              <w:top w:w="40" w:type="dxa"/>
              <w:left w:w="20" w:type="dxa"/>
              <w:bottom w:w="40" w:type="dxa"/>
              <w:right w:w="20" w:type="dxa"/>
            </w:tcMar>
            <w:vAlign w:val="bottom"/>
          </w:tcPr>
          <w:p w14:paraId="35D0B72C"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B72D" w14:textId="77777777" w:rsidR="00D42204" w:rsidRDefault="00D42204">
            <w:pPr>
              <w:rPr>
                <w:rFonts w:ascii="宋体"/>
              </w:rPr>
            </w:pPr>
          </w:p>
        </w:tc>
        <w:tc>
          <w:tcPr>
            <w:tcW w:w="0" w:type="auto"/>
            <w:gridSpan w:val="9"/>
            <w:shd w:val="clear" w:color="auto" w:fill="auto"/>
            <w:tcMar>
              <w:top w:w="40" w:type="dxa"/>
              <w:left w:w="20" w:type="dxa"/>
              <w:bottom w:w="40" w:type="dxa"/>
              <w:right w:w="20" w:type="dxa"/>
            </w:tcMar>
            <w:vAlign w:val="bottom"/>
          </w:tcPr>
          <w:p w14:paraId="35D0B72E" w14:textId="77777777" w:rsidR="00D42204" w:rsidRDefault="004E439D">
            <w:pPr>
              <w:jc w:val="center"/>
              <w:textAlignment w:val="bottom"/>
            </w:pPr>
            <w:r>
              <w:rPr>
                <w:rFonts w:ascii="Times New Roman" w:eastAsia="宋体" w:hAnsi="Times New Roman"/>
                <w:b/>
                <w:bCs/>
                <w:color w:val="000000"/>
                <w:sz w:val="16"/>
                <w:szCs w:val="16"/>
              </w:rPr>
              <w:t>January 31, 2022</w:t>
            </w:r>
          </w:p>
        </w:tc>
        <w:tc>
          <w:tcPr>
            <w:tcW w:w="0" w:type="auto"/>
            <w:gridSpan w:val="3"/>
            <w:shd w:val="clear" w:color="auto" w:fill="auto"/>
            <w:tcMar>
              <w:top w:w="0" w:type="dxa"/>
              <w:left w:w="20" w:type="dxa"/>
              <w:bottom w:w="0" w:type="dxa"/>
              <w:right w:w="20" w:type="dxa"/>
            </w:tcMar>
            <w:vAlign w:val="bottom"/>
          </w:tcPr>
          <w:p w14:paraId="35D0B72F" w14:textId="77777777" w:rsidR="00D42204" w:rsidRDefault="00D42204">
            <w:pPr>
              <w:rPr>
                <w:rFonts w:ascii="宋体"/>
              </w:rPr>
            </w:pPr>
          </w:p>
        </w:tc>
        <w:tc>
          <w:tcPr>
            <w:tcW w:w="0" w:type="auto"/>
            <w:gridSpan w:val="9"/>
            <w:shd w:val="clear" w:color="auto" w:fill="auto"/>
            <w:tcMar>
              <w:top w:w="40" w:type="dxa"/>
              <w:left w:w="20" w:type="dxa"/>
              <w:bottom w:w="40" w:type="dxa"/>
              <w:right w:w="20" w:type="dxa"/>
            </w:tcMar>
            <w:vAlign w:val="bottom"/>
          </w:tcPr>
          <w:p w14:paraId="35D0B730" w14:textId="77777777" w:rsidR="00D42204" w:rsidRDefault="004E439D">
            <w:pPr>
              <w:jc w:val="center"/>
              <w:textAlignment w:val="bottom"/>
            </w:pPr>
            <w:r>
              <w:rPr>
                <w:rFonts w:ascii="Times New Roman" w:eastAsia="宋体" w:hAnsi="Times New Roman"/>
                <w:b/>
                <w:bCs/>
                <w:color w:val="000000"/>
                <w:sz w:val="16"/>
                <w:szCs w:val="16"/>
              </w:rPr>
              <w:t>January 31, 2021</w:t>
            </w:r>
          </w:p>
        </w:tc>
      </w:tr>
      <w:tr w:rsidR="00D42204" w14:paraId="35D0B73B" w14:textId="77777777">
        <w:trPr>
          <w:jc w:val="center"/>
        </w:trPr>
        <w:tc>
          <w:tcPr>
            <w:tcW w:w="0" w:type="auto"/>
            <w:gridSpan w:val="3"/>
            <w:shd w:val="clear" w:color="auto" w:fill="auto"/>
            <w:tcMar>
              <w:top w:w="40" w:type="dxa"/>
              <w:left w:w="20" w:type="dxa"/>
              <w:bottom w:w="40" w:type="dxa"/>
              <w:right w:w="20" w:type="dxa"/>
            </w:tcMar>
            <w:vAlign w:val="bottom"/>
          </w:tcPr>
          <w:p w14:paraId="35D0B732"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733"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35D0B734" w14:textId="77777777" w:rsidR="00D42204" w:rsidRDefault="004E439D">
            <w:pPr>
              <w:jc w:val="center"/>
              <w:textAlignment w:val="center"/>
            </w:pPr>
            <w:r>
              <w:rPr>
                <w:rFonts w:ascii="Times New Roman" w:eastAsia="宋体" w:hAnsi="Times New Roman"/>
                <w:b/>
                <w:bCs/>
                <w:color w:val="000000"/>
                <w:sz w:val="16"/>
                <w:szCs w:val="16"/>
              </w:rPr>
              <w:t>Carrying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735"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736" w14:textId="77777777" w:rsidR="00D42204" w:rsidRDefault="004E439D">
            <w:pPr>
              <w:jc w:val="center"/>
              <w:textAlignment w:val="bottom"/>
            </w:pPr>
            <w:r>
              <w:rPr>
                <w:rFonts w:ascii="Times New Roman" w:eastAsia="宋体" w:hAnsi="Times New Roman"/>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35D0B737"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738" w14:textId="77777777" w:rsidR="00D42204" w:rsidRDefault="004E439D">
            <w:pPr>
              <w:jc w:val="center"/>
              <w:textAlignment w:val="bottom"/>
            </w:pPr>
            <w:r>
              <w:rPr>
                <w:rFonts w:ascii="Times New Roman" w:eastAsia="宋体" w:hAnsi="Times New Roman"/>
                <w:b/>
                <w:bCs/>
                <w:color w:val="000000"/>
                <w:sz w:val="16"/>
                <w:szCs w:val="16"/>
              </w:rPr>
              <w:t>Carrying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739"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73A" w14:textId="77777777" w:rsidR="00D42204" w:rsidRDefault="004E439D">
            <w:pPr>
              <w:jc w:val="center"/>
              <w:textAlignment w:val="bottom"/>
            </w:pPr>
            <w:r>
              <w:rPr>
                <w:rFonts w:ascii="Times New Roman" w:eastAsia="宋体" w:hAnsi="Times New Roman"/>
                <w:b/>
                <w:bCs/>
                <w:color w:val="000000"/>
                <w:sz w:val="16"/>
                <w:szCs w:val="16"/>
              </w:rPr>
              <w:t>Fair Value</w:t>
            </w:r>
          </w:p>
        </w:tc>
      </w:tr>
      <w:tr w:rsidR="00D42204" w14:paraId="35D0B74D" w14:textId="77777777">
        <w:trPr>
          <w:jc w:val="center"/>
        </w:trPr>
        <w:tc>
          <w:tcPr>
            <w:tcW w:w="0" w:type="auto"/>
            <w:gridSpan w:val="3"/>
            <w:shd w:val="clear" w:color="auto" w:fill="CCEEFF"/>
            <w:tcMar>
              <w:top w:w="40" w:type="dxa"/>
              <w:left w:w="20" w:type="dxa"/>
              <w:bottom w:w="40" w:type="dxa"/>
              <w:right w:w="20" w:type="dxa"/>
            </w:tcMar>
            <w:vAlign w:val="center"/>
          </w:tcPr>
          <w:p w14:paraId="35D0B73C" w14:textId="77777777" w:rsidR="00D42204" w:rsidRDefault="004E439D">
            <w:pPr>
              <w:textAlignment w:val="center"/>
            </w:pPr>
            <w:r>
              <w:rPr>
                <w:rFonts w:ascii="Times New Roman" w:eastAsia="宋体" w:hAnsi="Times New Roman"/>
                <w:color w:val="000000"/>
                <w:sz w:val="16"/>
                <w:szCs w:val="16"/>
              </w:rPr>
              <w:t>Long-term debt, including amounts due within one year</w:t>
            </w:r>
          </w:p>
        </w:tc>
        <w:tc>
          <w:tcPr>
            <w:tcW w:w="0" w:type="auto"/>
            <w:gridSpan w:val="3"/>
            <w:shd w:val="clear" w:color="auto" w:fill="CCEEFF"/>
            <w:tcMar>
              <w:top w:w="0" w:type="dxa"/>
              <w:left w:w="20" w:type="dxa"/>
              <w:bottom w:w="0" w:type="dxa"/>
              <w:right w:w="20" w:type="dxa"/>
            </w:tcMar>
            <w:vAlign w:val="bottom"/>
          </w:tcPr>
          <w:p w14:paraId="35D0B73D"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73E"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73F" w14:textId="77777777" w:rsidR="00D42204" w:rsidRDefault="004E439D">
            <w:pPr>
              <w:jc w:val="right"/>
              <w:textAlignment w:val="center"/>
            </w:pPr>
            <w:r>
              <w:rPr>
                <w:rFonts w:ascii="Times New Roman" w:eastAsia="宋体" w:hAnsi="Times New Roman"/>
                <w:color w:val="000000"/>
                <w:sz w:val="16"/>
                <w:szCs w:val="16"/>
              </w:rPr>
              <w:t>37,667 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74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741"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742"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743" w14:textId="77777777" w:rsidR="00D42204" w:rsidRDefault="004E439D">
            <w:pPr>
              <w:jc w:val="right"/>
              <w:textAlignment w:val="center"/>
            </w:pPr>
            <w:r>
              <w:rPr>
                <w:rFonts w:ascii="Times New Roman" w:eastAsia="宋体" w:hAnsi="Times New Roman"/>
                <w:color w:val="000000"/>
                <w:sz w:val="16"/>
                <w:szCs w:val="16"/>
              </w:rPr>
              <w:t>42,381 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74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745"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746"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747" w14:textId="77777777" w:rsidR="00D42204" w:rsidRDefault="004E439D">
            <w:pPr>
              <w:jc w:val="right"/>
              <w:textAlignment w:val="center"/>
            </w:pPr>
            <w:r>
              <w:rPr>
                <w:rFonts w:ascii="Times New Roman" w:eastAsia="宋体" w:hAnsi="Times New Roman"/>
                <w:color w:val="000000"/>
                <w:sz w:val="16"/>
                <w:szCs w:val="16"/>
              </w:rPr>
              <w:t>44,309 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74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749"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74A"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74B" w14:textId="77777777" w:rsidR="00D42204" w:rsidRDefault="004E439D">
            <w:pPr>
              <w:jc w:val="right"/>
              <w:textAlignment w:val="center"/>
            </w:pPr>
            <w:r>
              <w:rPr>
                <w:rFonts w:ascii="Times New Roman" w:eastAsia="宋体" w:hAnsi="Times New Roman"/>
                <w:color w:val="000000"/>
                <w:sz w:val="16"/>
                <w:szCs w:val="16"/>
              </w:rPr>
              <w:t>54,240 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74C" w14:textId="77777777" w:rsidR="00D42204" w:rsidRDefault="00D42204">
            <w:pPr>
              <w:jc w:val="right"/>
              <w:rPr>
                <w:rFonts w:ascii="宋体"/>
              </w:rPr>
            </w:pPr>
          </w:p>
        </w:tc>
      </w:tr>
    </w:tbl>
    <w:p w14:paraId="35D0B74E" w14:textId="77777777" w:rsidR="00D42204" w:rsidRDefault="004E439D">
      <w:pPr>
        <w:spacing w:before="180"/>
      </w:pPr>
      <w:r>
        <w:rPr>
          <w:rFonts w:ascii="Times New Roman" w:eastAsia="宋体" w:hAnsi="Times New Roman"/>
          <w:b/>
          <w:bCs/>
          <w:color w:val="000000"/>
          <w:sz w:val="20"/>
          <w:szCs w:val="20"/>
        </w:rPr>
        <w:t>Note 9. Taxes</w:t>
      </w:r>
    </w:p>
    <w:p w14:paraId="35D0B74F" w14:textId="77777777" w:rsidR="00D42204" w:rsidRDefault="004E439D">
      <w:pPr>
        <w:spacing w:before="100"/>
      </w:pPr>
      <w:r>
        <w:rPr>
          <w:rFonts w:ascii="Times New Roman" w:eastAsia="宋体" w:hAnsi="Times New Roman"/>
          <w:color w:val="000000"/>
          <w:sz w:val="20"/>
          <w:szCs w:val="20"/>
        </w:rPr>
        <w:t xml:space="preserve">The components of income before income taxes are as follows: </w:t>
      </w:r>
    </w:p>
    <w:tbl>
      <w:tblPr>
        <w:tblW w:w="4993" w:type="pct"/>
        <w:tblCellMar>
          <w:top w:w="15" w:type="dxa"/>
          <w:left w:w="15" w:type="dxa"/>
          <w:bottom w:w="15" w:type="dxa"/>
          <w:right w:w="15" w:type="dxa"/>
        </w:tblCellMar>
        <w:tblLook w:val="04A0" w:firstRow="1" w:lastRow="0" w:firstColumn="1" w:lastColumn="0" w:noHBand="0" w:noVBand="1"/>
      </w:tblPr>
      <w:tblGrid>
        <w:gridCol w:w="42"/>
        <w:gridCol w:w="5378"/>
        <w:gridCol w:w="36"/>
        <w:gridCol w:w="36"/>
        <w:gridCol w:w="36"/>
        <w:gridCol w:w="36"/>
        <w:gridCol w:w="100"/>
        <w:gridCol w:w="711"/>
        <w:gridCol w:w="36"/>
        <w:gridCol w:w="36"/>
        <w:gridCol w:w="36"/>
        <w:gridCol w:w="36"/>
        <w:gridCol w:w="100"/>
        <w:gridCol w:w="712"/>
        <w:gridCol w:w="36"/>
        <w:gridCol w:w="36"/>
        <w:gridCol w:w="36"/>
        <w:gridCol w:w="36"/>
        <w:gridCol w:w="100"/>
        <w:gridCol w:w="713"/>
        <w:gridCol w:w="36"/>
      </w:tblGrid>
      <w:tr w:rsidR="00D42204" w14:paraId="35D0B765" w14:textId="77777777">
        <w:tc>
          <w:tcPr>
            <w:tcW w:w="50" w:type="pct"/>
            <w:shd w:val="clear" w:color="auto" w:fill="auto"/>
            <w:vAlign w:val="bottom"/>
          </w:tcPr>
          <w:p w14:paraId="35D0B750" w14:textId="77777777" w:rsidR="00D42204" w:rsidRDefault="00D42204">
            <w:pPr>
              <w:rPr>
                <w:rFonts w:ascii="宋体"/>
              </w:rPr>
            </w:pPr>
          </w:p>
        </w:tc>
        <w:tc>
          <w:tcPr>
            <w:tcW w:w="3253" w:type="pct"/>
            <w:shd w:val="clear" w:color="auto" w:fill="auto"/>
            <w:vAlign w:val="bottom"/>
          </w:tcPr>
          <w:p w14:paraId="35D0B751" w14:textId="77777777" w:rsidR="00D42204" w:rsidRDefault="00D42204">
            <w:pPr>
              <w:rPr>
                <w:rFonts w:ascii="宋体"/>
              </w:rPr>
            </w:pPr>
          </w:p>
        </w:tc>
        <w:tc>
          <w:tcPr>
            <w:tcW w:w="5" w:type="pct"/>
            <w:shd w:val="clear" w:color="auto" w:fill="auto"/>
            <w:vAlign w:val="bottom"/>
          </w:tcPr>
          <w:p w14:paraId="35D0B752" w14:textId="77777777" w:rsidR="00D42204" w:rsidRDefault="00D42204">
            <w:pPr>
              <w:rPr>
                <w:rFonts w:ascii="宋体"/>
              </w:rPr>
            </w:pPr>
          </w:p>
        </w:tc>
        <w:tc>
          <w:tcPr>
            <w:tcW w:w="5" w:type="pct"/>
            <w:shd w:val="clear" w:color="auto" w:fill="auto"/>
            <w:vAlign w:val="bottom"/>
          </w:tcPr>
          <w:p w14:paraId="35D0B753" w14:textId="77777777" w:rsidR="00D42204" w:rsidRDefault="00D42204">
            <w:pPr>
              <w:rPr>
                <w:rFonts w:ascii="宋体"/>
              </w:rPr>
            </w:pPr>
          </w:p>
        </w:tc>
        <w:tc>
          <w:tcPr>
            <w:tcW w:w="26" w:type="pct"/>
            <w:shd w:val="clear" w:color="auto" w:fill="auto"/>
            <w:vAlign w:val="bottom"/>
          </w:tcPr>
          <w:p w14:paraId="35D0B754" w14:textId="77777777" w:rsidR="00D42204" w:rsidRDefault="00D42204">
            <w:pPr>
              <w:rPr>
                <w:rFonts w:ascii="宋体"/>
              </w:rPr>
            </w:pPr>
          </w:p>
        </w:tc>
        <w:tc>
          <w:tcPr>
            <w:tcW w:w="5" w:type="pct"/>
            <w:shd w:val="clear" w:color="auto" w:fill="auto"/>
            <w:vAlign w:val="bottom"/>
          </w:tcPr>
          <w:p w14:paraId="35D0B755" w14:textId="77777777" w:rsidR="00D42204" w:rsidRDefault="00D42204">
            <w:pPr>
              <w:rPr>
                <w:rFonts w:ascii="宋体"/>
              </w:rPr>
            </w:pPr>
          </w:p>
        </w:tc>
        <w:tc>
          <w:tcPr>
            <w:tcW w:w="50" w:type="pct"/>
            <w:shd w:val="clear" w:color="auto" w:fill="auto"/>
            <w:vAlign w:val="bottom"/>
          </w:tcPr>
          <w:p w14:paraId="35D0B756" w14:textId="77777777" w:rsidR="00D42204" w:rsidRDefault="00D42204">
            <w:pPr>
              <w:rPr>
                <w:rFonts w:ascii="宋体"/>
              </w:rPr>
            </w:pPr>
          </w:p>
        </w:tc>
        <w:tc>
          <w:tcPr>
            <w:tcW w:w="472" w:type="pct"/>
            <w:shd w:val="clear" w:color="auto" w:fill="auto"/>
            <w:vAlign w:val="bottom"/>
          </w:tcPr>
          <w:p w14:paraId="35D0B757" w14:textId="77777777" w:rsidR="00D42204" w:rsidRDefault="00D42204">
            <w:pPr>
              <w:rPr>
                <w:rFonts w:ascii="宋体"/>
              </w:rPr>
            </w:pPr>
          </w:p>
        </w:tc>
        <w:tc>
          <w:tcPr>
            <w:tcW w:w="5" w:type="pct"/>
            <w:shd w:val="clear" w:color="auto" w:fill="auto"/>
            <w:vAlign w:val="bottom"/>
          </w:tcPr>
          <w:p w14:paraId="35D0B758" w14:textId="77777777" w:rsidR="00D42204" w:rsidRDefault="00D42204">
            <w:pPr>
              <w:rPr>
                <w:rFonts w:ascii="宋体"/>
              </w:rPr>
            </w:pPr>
          </w:p>
        </w:tc>
        <w:tc>
          <w:tcPr>
            <w:tcW w:w="5" w:type="pct"/>
            <w:shd w:val="clear" w:color="auto" w:fill="auto"/>
            <w:vAlign w:val="bottom"/>
          </w:tcPr>
          <w:p w14:paraId="35D0B759" w14:textId="77777777" w:rsidR="00D42204" w:rsidRDefault="00D42204">
            <w:pPr>
              <w:rPr>
                <w:rFonts w:ascii="宋体"/>
              </w:rPr>
            </w:pPr>
          </w:p>
        </w:tc>
        <w:tc>
          <w:tcPr>
            <w:tcW w:w="26" w:type="pct"/>
            <w:shd w:val="clear" w:color="auto" w:fill="auto"/>
            <w:vAlign w:val="bottom"/>
          </w:tcPr>
          <w:p w14:paraId="35D0B75A" w14:textId="77777777" w:rsidR="00D42204" w:rsidRDefault="00D42204">
            <w:pPr>
              <w:rPr>
                <w:rFonts w:ascii="宋体"/>
              </w:rPr>
            </w:pPr>
          </w:p>
        </w:tc>
        <w:tc>
          <w:tcPr>
            <w:tcW w:w="5" w:type="pct"/>
            <w:shd w:val="clear" w:color="auto" w:fill="auto"/>
            <w:vAlign w:val="bottom"/>
          </w:tcPr>
          <w:p w14:paraId="35D0B75B" w14:textId="77777777" w:rsidR="00D42204" w:rsidRDefault="00D42204">
            <w:pPr>
              <w:rPr>
                <w:rFonts w:ascii="宋体"/>
              </w:rPr>
            </w:pPr>
          </w:p>
        </w:tc>
        <w:tc>
          <w:tcPr>
            <w:tcW w:w="50" w:type="pct"/>
            <w:shd w:val="clear" w:color="auto" w:fill="auto"/>
            <w:vAlign w:val="bottom"/>
          </w:tcPr>
          <w:p w14:paraId="35D0B75C" w14:textId="77777777" w:rsidR="00D42204" w:rsidRDefault="00D42204">
            <w:pPr>
              <w:rPr>
                <w:rFonts w:ascii="宋体"/>
              </w:rPr>
            </w:pPr>
          </w:p>
        </w:tc>
        <w:tc>
          <w:tcPr>
            <w:tcW w:w="472" w:type="pct"/>
            <w:shd w:val="clear" w:color="auto" w:fill="auto"/>
            <w:vAlign w:val="bottom"/>
          </w:tcPr>
          <w:p w14:paraId="35D0B75D" w14:textId="77777777" w:rsidR="00D42204" w:rsidRDefault="00D42204">
            <w:pPr>
              <w:rPr>
                <w:rFonts w:ascii="宋体"/>
              </w:rPr>
            </w:pPr>
          </w:p>
        </w:tc>
        <w:tc>
          <w:tcPr>
            <w:tcW w:w="5" w:type="pct"/>
            <w:shd w:val="clear" w:color="auto" w:fill="auto"/>
            <w:vAlign w:val="bottom"/>
          </w:tcPr>
          <w:p w14:paraId="35D0B75E" w14:textId="77777777" w:rsidR="00D42204" w:rsidRDefault="00D42204">
            <w:pPr>
              <w:rPr>
                <w:rFonts w:ascii="宋体"/>
              </w:rPr>
            </w:pPr>
          </w:p>
        </w:tc>
        <w:tc>
          <w:tcPr>
            <w:tcW w:w="5" w:type="pct"/>
            <w:shd w:val="clear" w:color="auto" w:fill="auto"/>
            <w:vAlign w:val="bottom"/>
          </w:tcPr>
          <w:p w14:paraId="35D0B75F" w14:textId="77777777" w:rsidR="00D42204" w:rsidRDefault="00D42204">
            <w:pPr>
              <w:rPr>
                <w:rFonts w:ascii="宋体"/>
              </w:rPr>
            </w:pPr>
          </w:p>
        </w:tc>
        <w:tc>
          <w:tcPr>
            <w:tcW w:w="26" w:type="pct"/>
            <w:shd w:val="clear" w:color="auto" w:fill="auto"/>
            <w:vAlign w:val="bottom"/>
          </w:tcPr>
          <w:p w14:paraId="35D0B760" w14:textId="77777777" w:rsidR="00D42204" w:rsidRDefault="00D42204">
            <w:pPr>
              <w:rPr>
                <w:rFonts w:ascii="宋体"/>
              </w:rPr>
            </w:pPr>
          </w:p>
        </w:tc>
        <w:tc>
          <w:tcPr>
            <w:tcW w:w="5" w:type="pct"/>
            <w:shd w:val="clear" w:color="auto" w:fill="auto"/>
            <w:vAlign w:val="bottom"/>
          </w:tcPr>
          <w:p w14:paraId="35D0B761" w14:textId="77777777" w:rsidR="00D42204" w:rsidRDefault="00D42204">
            <w:pPr>
              <w:rPr>
                <w:rFonts w:ascii="宋体"/>
              </w:rPr>
            </w:pPr>
          </w:p>
        </w:tc>
        <w:tc>
          <w:tcPr>
            <w:tcW w:w="50" w:type="pct"/>
            <w:shd w:val="clear" w:color="auto" w:fill="auto"/>
            <w:vAlign w:val="bottom"/>
          </w:tcPr>
          <w:p w14:paraId="35D0B762" w14:textId="77777777" w:rsidR="00D42204" w:rsidRDefault="00D42204">
            <w:pPr>
              <w:rPr>
                <w:rFonts w:ascii="宋体"/>
              </w:rPr>
            </w:pPr>
          </w:p>
        </w:tc>
        <w:tc>
          <w:tcPr>
            <w:tcW w:w="472" w:type="pct"/>
            <w:shd w:val="clear" w:color="auto" w:fill="auto"/>
            <w:vAlign w:val="bottom"/>
          </w:tcPr>
          <w:p w14:paraId="35D0B763" w14:textId="77777777" w:rsidR="00D42204" w:rsidRDefault="00D42204">
            <w:pPr>
              <w:rPr>
                <w:rFonts w:ascii="宋体"/>
              </w:rPr>
            </w:pPr>
          </w:p>
        </w:tc>
        <w:tc>
          <w:tcPr>
            <w:tcW w:w="5" w:type="pct"/>
            <w:shd w:val="clear" w:color="auto" w:fill="auto"/>
            <w:vAlign w:val="bottom"/>
          </w:tcPr>
          <w:p w14:paraId="35D0B764" w14:textId="77777777" w:rsidR="00D42204" w:rsidRDefault="00D42204">
            <w:pPr>
              <w:rPr>
                <w:rFonts w:ascii="宋体"/>
              </w:rPr>
            </w:pPr>
          </w:p>
        </w:tc>
      </w:tr>
      <w:tr w:rsidR="00D42204" w14:paraId="35D0B769" w14:textId="77777777">
        <w:tc>
          <w:tcPr>
            <w:tcW w:w="0" w:type="auto"/>
            <w:gridSpan w:val="3"/>
            <w:shd w:val="clear" w:color="auto" w:fill="auto"/>
            <w:tcMar>
              <w:top w:w="40" w:type="dxa"/>
              <w:left w:w="20" w:type="dxa"/>
              <w:bottom w:w="40" w:type="dxa"/>
              <w:right w:w="20" w:type="dxa"/>
            </w:tcMar>
            <w:vAlign w:val="bottom"/>
          </w:tcPr>
          <w:p w14:paraId="35D0B766"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B767"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B768" w14:textId="77777777" w:rsidR="00D42204" w:rsidRDefault="004E439D">
            <w:pPr>
              <w:jc w:val="center"/>
              <w:textAlignment w:val="bottom"/>
            </w:pPr>
            <w:r>
              <w:rPr>
                <w:rFonts w:ascii="Times New Roman" w:eastAsia="宋体" w:hAnsi="Times New Roman"/>
                <w:b/>
                <w:bCs/>
                <w:color w:val="000000"/>
                <w:sz w:val="16"/>
                <w:szCs w:val="16"/>
              </w:rPr>
              <w:t xml:space="preserve">Fiscal </w:t>
            </w:r>
            <w:r>
              <w:rPr>
                <w:rFonts w:ascii="Times New Roman" w:eastAsia="宋体" w:hAnsi="Times New Roman"/>
                <w:b/>
                <w:bCs/>
                <w:color w:val="000000"/>
                <w:sz w:val="16"/>
                <w:szCs w:val="16"/>
              </w:rPr>
              <w:t>Years Ended January 31,</w:t>
            </w:r>
          </w:p>
        </w:tc>
      </w:tr>
      <w:tr w:rsidR="00D42204" w14:paraId="35D0B771" w14:textId="77777777">
        <w:tc>
          <w:tcPr>
            <w:tcW w:w="0" w:type="auto"/>
            <w:gridSpan w:val="3"/>
            <w:shd w:val="clear" w:color="auto" w:fill="auto"/>
            <w:tcMar>
              <w:top w:w="40" w:type="dxa"/>
              <w:left w:w="20" w:type="dxa"/>
              <w:bottom w:w="40" w:type="dxa"/>
              <w:right w:w="20" w:type="dxa"/>
            </w:tcMar>
            <w:vAlign w:val="bottom"/>
          </w:tcPr>
          <w:p w14:paraId="35D0B76A"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76B"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76C"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76D"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76E"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76F"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770"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B77F" w14:textId="77777777">
        <w:tc>
          <w:tcPr>
            <w:tcW w:w="0" w:type="auto"/>
            <w:gridSpan w:val="3"/>
            <w:shd w:val="clear" w:color="auto" w:fill="CCEEFF"/>
            <w:tcMar>
              <w:top w:w="40" w:type="dxa"/>
              <w:left w:w="20" w:type="dxa"/>
              <w:bottom w:w="40" w:type="dxa"/>
              <w:right w:w="20" w:type="dxa"/>
            </w:tcMar>
            <w:vAlign w:val="center"/>
          </w:tcPr>
          <w:p w14:paraId="35D0B772" w14:textId="77777777" w:rsidR="00D42204" w:rsidRDefault="004E439D">
            <w:pPr>
              <w:textAlignment w:val="center"/>
            </w:pPr>
            <w:r>
              <w:rPr>
                <w:rFonts w:ascii="Times New Roman" w:eastAsia="宋体" w:hAnsi="Times New Roman"/>
                <w:color w:val="000000"/>
                <w:sz w:val="16"/>
                <w:szCs w:val="16"/>
              </w:rPr>
              <w:t>U.S.</w:t>
            </w:r>
          </w:p>
        </w:tc>
        <w:tc>
          <w:tcPr>
            <w:tcW w:w="0" w:type="auto"/>
            <w:gridSpan w:val="3"/>
            <w:shd w:val="clear" w:color="auto" w:fill="CCEEFF"/>
            <w:tcMar>
              <w:top w:w="0" w:type="dxa"/>
              <w:left w:w="20" w:type="dxa"/>
              <w:bottom w:w="0" w:type="dxa"/>
              <w:right w:w="20" w:type="dxa"/>
            </w:tcMar>
            <w:vAlign w:val="bottom"/>
          </w:tcPr>
          <w:p w14:paraId="35D0B773"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774"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775" w14:textId="77777777" w:rsidR="00D42204" w:rsidRDefault="004E439D">
            <w:pPr>
              <w:jc w:val="right"/>
              <w:textAlignment w:val="center"/>
            </w:pPr>
            <w:r>
              <w:rPr>
                <w:rFonts w:ascii="Times New Roman" w:eastAsia="宋体" w:hAnsi="Times New Roman"/>
                <w:color w:val="000000"/>
                <w:sz w:val="16"/>
                <w:szCs w:val="16"/>
              </w:rPr>
              <w:t>15,536 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77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777"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778"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779" w14:textId="77777777" w:rsidR="00D42204" w:rsidRDefault="004E439D">
            <w:pPr>
              <w:jc w:val="right"/>
              <w:textAlignment w:val="center"/>
            </w:pPr>
            <w:r>
              <w:rPr>
                <w:rFonts w:ascii="Times New Roman" w:eastAsia="宋体" w:hAnsi="Times New Roman"/>
                <w:color w:val="000000"/>
                <w:sz w:val="16"/>
                <w:szCs w:val="16"/>
              </w:rPr>
              <w:t>18,068 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77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77B"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77C"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77D" w14:textId="77777777" w:rsidR="00D42204" w:rsidRDefault="004E439D">
            <w:pPr>
              <w:jc w:val="right"/>
              <w:textAlignment w:val="center"/>
            </w:pPr>
            <w:r>
              <w:rPr>
                <w:rFonts w:ascii="Times New Roman" w:eastAsia="宋体" w:hAnsi="Times New Roman"/>
                <w:color w:val="000000"/>
                <w:sz w:val="16"/>
                <w:szCs w:val="16"/>
              </w:rPr>
              <w:t>15,019 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77E" w14:textId="77777777" w:rsidR="00D42204" w:rsidRDefault="00D42204">
            <w:pPr>
              <w:jc w:val="right"/>
              <w:rPr>
                <w:rFonts w:ascii="宋体"/>
              </w:rPr>
            </w:pPr>
          </w:p>
        </w:tc>
      </w:tr>
      <w:tr w:rsidR="00D42204" w14:paraId="35D0B78A" w14:textId="77777777">
        <w:tc>
          <w:tcPr>
            <w:tcW w:w="0" w:type="auto"/>
            <w:gridSpan w:val="3"/>
            <w:shd w:val="clear" w:color="auto" w:fill="FFFFFF"/>
            <w:tcMar>
              <w:top w:w="40" w:type="dxa"/>
              <w:left w:w="20" w:type="dxa"/>
              <w:bottom w:w="40" w:type="dxa"/>
              <w:right w:w="20" w:type="dxa"/>
            </w:tcMar>
            <w:vAlign w:val="center"/>
          </w:tcPr>
          <w:p w14:paraId="35D0B780" w14:textId="77777777" w:rsidR="00D42204" w:rsidRDefault="004E439D">
            <w:pPr>
              <w:textAlignment w:val="center"/>
            </w:pPr>
            <w:r>
              <w:rPr>
                <w:rFonts w:ascii="Times New Roman" w:eastAsia="宋体" w:hAnsi="Times New Roman"/>
                <w:color w:val="000000"/>
                <w:sz w:val="16"/>
                <w:szCs w:val="16"/>
              </w:rPr>
              <w:t>Non-U.S.</w:t>
            </w:r>
          </w:p>
        </w:tc>
        <w:tc>
          <w:tcPr>
            <w:tcW w:w="0" w:type="auto"/>
            <w:gridSpan w:val="3"/>
            <w:shd w:val="clear" w:color="auto" w:fill="FFFFFF"/>
            <w:tcMar>
              <w:top w:w="0" w:type="dxa"/>
              <w:left w:w="20" w:type="dxa"/>
              <w:bottom w:w="0" w:type="dxa"/>
              <w:right w:w="20" w:type="dxa"/>
            </w:tcMar>
            <w:vAlign w:val="bottom"/>
          </w:tcPr>
          <w:p w14:paraId="35D0B78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782" w14:textId="77777777" w:rsidR="00D42204" w:rsidRDefault="004E439D">
            <w:pPr>
              <w:jc w:val="right"/>
              <w:textAlignment w:val="center"/>
            </w:pPr>
            <w:r>
              <w:rPr>
                <w:rFonts w:ascii="Times New Roman" w:eastAsia="宋体" w:hAnsi="Times New Roman"/>
                <w:color w:val="000000"/>
                <w:sz w:val="16"/>
                <w:szCs w:val="16"/>
              </w:rPr>
              <w:t>3,160 </w:t>
            </w:r>
          </w:p>
        </w:tc>
        <w:tc>
          <w:tcPr>
            <w:tcW w:w="0" w:type="auto"/>
            <w:shd w:val="clear" w:color="auto" w:fill="FFFFFF"/>
            <w:tcMar>
              <w:top w:w="40" w:type="dxa"/>
              <w:left w:w="0" w:type="dxa"/>
              <w:bottom w:w="40" w:type="dxa"/>
              <w:right w:w="20" w:type="dxa"/>
            </w:tcMar>
            <w:vAlign w:val="center"/>
          </w:tcPr>
          <w:p w14:paraId="35D0B78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78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785" w14:textId="77777777" w:rsidR="00D42204" w:rsidRDefault="004E439D">
            <w:pPr>
              <w:jc w:val="right"/>
              <w:textAlignment w:val="center"/>
            </w:pPr>
            <w:r>
              <w:rPr>
                <w:rFonts w:ascii="Times New Roman" w:eastAsia="宋体" w:hAnsi="Times New Roman"/>
                <w:color w:val="000000"/>
                <w:sz w:val="16"/>
                <w:szCs w:val="16"/>
              </w:rPr>
              <w:t>2,496 </w:t>
            </w:r>
          </w:p>
        </w:tc>
        <w:tc>
          <w:tcPr>
            <w:tcW w:w="0" w:type="auto"/>
            <w:shd w:val="clear" w:color="auto" w:fill="FFFFFF"/>
            <w:tcMar>
              <w:top w:w="40" w:type="dxa"/>
              <w:left w:w="0" w:type="dxa"/>
              <w:bottom w:w="40" w:type="dxa"/>
              <w:right w:w="20" w:type="dxa"/>
            </w:tcMar>
            <w:vAlign w:val="center"/>
          </w:tcPr>
          <w:p w14:paraId="35D0B78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78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788" w14:textId="77777777" w:rsidR="00D42204" w:rsidRDefault="004E439D">
            <w:pPr>
              <w:jc w:val="right"/>
              <w:textAlignment w:val="center"/>
            </w:pPr>
            <w:r>
              <w:rPr>
                <w:rFonts w:ascii="Times New Roman" w:eastAsia="宋体" w:hAnsi="Times New Roman"/>
                <w:color w:val="000000"/>
                <w:sz w:val="16"/>
                <w:szCs w:val="16"/>
              </w:rPr>
              <w:t>5,097 </w:t>
            </w:r>
          </w:p>
        </w:tc>
        <w:tc>
          <w:tcPr>
            <w:tcW w:w="0" w:type="auto"/>
            <w:shd w:val="clear" w:color="auto" w:fill="FFFFFF"/>
            <w:tcMar>
              <w:top w:w="40" w:type="dxa"/>
              <w:left w:w="0" w:type="dxa"/>
              <w:bottom w:w="40" w:type="dxa"/>
              <w:right w:w="20" w:type="dxa"/>
            </w:tcMar>
            <w:vAlign w:val="center"/>
          </w:tcPr>
          <w:p w14:paraId="35D0B789" w14:textId="77777777" w:rsidR="00D42204" w:rsidRDefault="00D42204">
            <w:pPr>
              <w:jc w:val="right"/>
              <w:rPr>
                <w:rFonts w:ascii="宋体"/>
              </w:rPr>
            </w:pPr>
          </w:p>
        </w:tc>
      </w:tr>
      <w:tr w:rsidR="00D42204" w14:paraId="35D0B798" w14:textId="77777777">
        <w:tc>
          <w:tcPr>
            <w:tcW w:w="0" w:type="auto"/>
            <w:gridSpan w:val="3"/>
            <w:shd w:val="clear" w:color="auto" w:fill="CCEEFF"/>
            <w:tcMar>
              <w:top w:w="40" w:type="dxa"/>
              <w:left w:w="20" w:type="dxa"/>
              <w:bottom w:w="40" w:type="dxa"/>
              <w:right w:w="20" w:type="dxa"/>
            </w:tcMar>
            <w:vAlign w:val="center"/>
          </w:tcPr>
          <w:p w14:paraId="35D0B78B" w14:textId="77777777" w:rsidR="00D42204" w:rsidRDefault="004E439D">
            <w:pPr>
              <w:textAlignment w:val="center"/>
            </w:pPr>
            <w:r>
              <w:rPr>
                <w:rFonts w:ascii="Times New Roman" w:eastAsia="宋体" w:hAnsi="Times New Roman"/>
                <w:b/>
                <w:bCs/>
                <w:color w:val="000000"/>
                <w:sz w:val="16"/>
                <w:szCs w:val="16"/>
              </w:rPr>
              <w:t>Total income before income taxes</w:t>
            </w:r>
          </w:p>
        </w:tc>
        <w:tc>
          <w:tcPr>
            <w:tcW w:w="0" w:type="auto"/>
            <w:gridSpan w:val="3"/>
            <w:shd w:val="clear" w:color="auto" w:fill="CCEEFF"/>
            <w:tcMar>
              <w:top w:w="0" w:type="dxa"/>
              <w:left w:w="20" w:type="dxa"/>
              <w:bottom w:w="0" w:type="dxa"/>
              <w:right w:w="20" w:type="dxa"/>
            </w:tcMar>
            <w:vAlign w:val="bottom"/>
          </w:tcPr>
          <w:p w14:paraId="35D0B78C"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78D"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78E" w14:textId="77777777" w:rsidR="00D42204" w:rsidRDefault="004E439D">
            <w:pPr>
              <w:jc w:val="right"/>
              <w:textAlignment w:val="center"/>
            </w:pPr>
            <w:r>
              <w:rPr>
                <w:rFonts w:ascii="Times New Roman" w:eastAsia="宋体" w:hAnsi="Times New Roman"/>
                <w:color w:val="000000"/>
                <w:sz w:val="16"/>
                <w:szCs w:val="16"/>
              </w:rPr>
              <w:t>18,696 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78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790"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791"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792" w14:textId="77777777" w:rsidR="00D42204" w:rsidRDefault="004E439D">
            <w:pPr>
              <w:jc w:val="right"/>
              <w:textAlignment w:val="center"/>
            </w:pPr>
            <w:r>
              <w:rPr>
                <w:rFonts w:ascii="Times New Roman" w:eastAsia="宋体" w:hAnsi="Times New Roman"/>
                <w:color w:val="000000"/>
                <w:sz w:val="16"/>
                <w:szCs w:val="16"/>
              </w:rPr>
              <w:t>20,564 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79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794"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795"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796" w14:textId="77777777" w:rsidR="00D42204" w:rsidRDefault="004E439D">
            <w:pPr>
              <w:jc w:val="right"/>
              <w:textAlignment w:val="center"/>
            </w:pPr>
            <w:r>
              <w:rPr>
                <w:rFonts w:ascii="Times New Roman" w:eastAsia="宋体" w:hAnsi="Times New Roman"/>
                <w:color w:val="000000"/>
                <w:sz w:val="16"/>
                <w:szCs w:val="16"/>
              </w:rPr>
              <w:t>20,116 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797" w14:textId="77777777" w:rsidR="00D42204" w:rsidRDefault="00D42204">
            <w:pPr>
              <w:jc w:val="right"/>
              <w:rPr>
                <w:rFonts w:ascii="宋体"/>
              </w:rPr>
            </w:pPr>
          </w:p>
        </w:tc>
      </w:tr>
    </w:tbl>
    <w:p w14:paraId="35D0B799" w14:textId="77777777" w:rsidR="00D42204" w:rsidRDefault="004E439D">
      <w:pPr>
        <w:spacing w:before="140"/>
      </w:pPr>
      <w:r>
        <w:rPr>
          <w:rFonts w:ascii="Times New Roman" w:eastAsia="宋体" w:hAnsi="Times New Roman"/>
          <w:color w:val="000000"/>
          <w:sz w:val="20"/>
          <w:szCs w:val="20"/>
        </w:rPr>
        <w:t>A summary of the provision for income taxes is as follows:</w:t>
      </w:r>
    </w:p>
    <w:tbl>
      <w:tblPr>
        <w:tblW w:w="4993" w:type="pct"/>
        <w:tblCellMar>
          <w:top w:w="15" w:type="dxa"/>
          <w:left w:w="15" w:type="dxa"/>
          <w:bottom w:w="15" w:type="dxa"/>
          <w:right w:w="15" w:type="dxa"/>
        </w:tblCellMar>
        <w:tblLook w:val="04A0" w:firstRow="1" w:lastRow="0" w:firstColumn="1" w:lastColumn="0" w:noHBand="0" w:noVBand="1"/>
      </w:tblPr>
      <w:tblGrid>
        <w:gridCol w:w="42"/>
        <w:gridCol w:w="5378"/>
        <w:gridCol w:w="38"/>
        <w:gridCol w:w="36"/>
        <w:gridCol w:w="36"/>
        <w:gridCol w:w="36"/>
        <w:gridCol w:w="100"/>
        <w:gridCol w:w="711"/>
        <w:gridCol w:w="36"/>
        <w:gridCol w:w="36"/>
        <w:gridCol w:w="36"/>
        <w:gridCol w:w="36"/>
        <w:gridCol w:w="100"/>
        <w:gridCol w:w="711"/>
        <w:gridCol w:w="36"/>
        <w:gridCol w:w="36"/>
        <w:gridCol w:w="36"/>
        <w:gridCol w:w="36"/>
        <w:gridCol w:w="100"/>
        <w:gridCol w:w="712"/>
        <w:gridCol w:w="36"/>
      </w:tblGrid>
      <w:tr w:rsidR="00D42204" w14:paraId="35D0B7AF" w14:textId="77777777">
        <w:tc>
          <w:tcPr>
            <w:tcW w:w="50" w:type="pct"/>
            <w:shd w:val="clear" w:color="auto" w:fill="auto"/>
            <w:vAlign w:val="bottom"/>
          </w:tcPr>
          <w:p w14:paraId="35D0B79A" w14:textId="77777777" w:rsidR="00D42204" w:rsidRDefault="00D42204">
            <w:pPr>
              <w:rPr>
                <w:rFonts w:ascii="宋体"/>
              </w:rPr>
            </w:pPr>
          </w:p>
        </w:tc>
        <w:tc>
          <w:tcPr>
            <w:tcW w:w="3253" w:type="pct"/>
            <w:shd w:val="clear" w:color="auto" w:fill="auto"/>
            <w:vAlign w:val="bottom"/>
          </w:tcPr>
          <w:p w14:paraId="35D0B79B" w14:textId="77777777" w:rsidR="00D42204" w:rsidRDefault="00D42204">
            <w:pPr>
              <w:rPr>
                <w:rFonts w:ascii="宋体"/>
              </w:rPr>
            </w:pPr>
          </w:p>
        </w:tc>
        <w:tc>
          <w:tcPr>
            <w:tcW w:w="5" w:type="pct"/>
            <w:shd w:val="clear" w:color="auto" w:fill="auto"/>
            <w:vAlign w:val="bottom"/>
          </w:tcPr>
          <w:p w14:paraId="35D0B79C" w14:textId="77777777" w:rsidR="00D42204" w:rsidRDefault="00D42204">
            <w:pPr>
              <w:rPr>
                <w:rFonts w:ascii="宋体"/>
              </w:rPr>
            </w:pPr>
          </w:p>
        </w:tc>
        <w:tc>
          <w:tcPr>
            <w:tcW w:w="5" w:type="pct"/>
            <w:shd w:val="clear" w:color="auto" w:fill="auto"/>
            <w:vAlign w:val="bottom"/>
          </w:tcPr>
          <w:p w14:paraId="35D0B79D" w14:textId="77777777" w:rsidR="00D42204" w:rsidRDefault="00D42204">
            <w:pPr>
              <w:rPr>
                <w:rFonts w:ascii="宋体"/>
              </w:rPr>
            </w:pPr>
          </w:p>
        </w:tc>
        <w:tc>
          <w:tcPr>
            <w:tcW w:w="26" w:type="pct"/>
            <w:shd w:val="clear" w:color="auto" w:fill="auto"/>
            <w:vAlign w:val="bottom"/>
          </w:tcPr>
          <w:p w14:paraId="35D0B79E" w14:textId="77777777" w:rsidR="00D42204" w:rsidRDefault="00D42204">
            <w:pPr>
              <w:rPr>
                <w:rFonts w:ascii="宋体"/>
              </w:rPr>
            </w:pPr>
          </w:p>
        </w:tc>
        <w:tc>
          <w:tcPr>
            <w:tcW w:w="5" w:type="pct"/>
            <w:shd w:val="clear" w:color="auto" w:fill="auto"/>
            <w:vAlign w:val="bottom"/>
          </w:tcPr>
          <w:p w14:paraId="35D0B79F" w14:textId="77777777" w:rsidR="00D42204" w:rsidRDefault="00D42204">
            <w:pPr>
              <w:rPr>
                <w:rFonts w:ascii="宋体"/>
              </w:rPr>
            </w:pPr>
          </w:p>
        </w:tc>
        <w:tc>
          <w:tcPr>
            <w:tcW w:w="50" w:type="pct"/>
            <w:shd w:val="clear" w:color="auto" w:fill="auto"/>
            <w:vAlign w:val="bottom"/>
          </w:tcPr>
          <w:p w14:paraId="35D0B7A0" w14:textId="77777777" w:rsidR="00D42204" w:rsidRDefault="00D42204">
            <w:pPr>
              <w:rPr>
                <w:rFonts w:ascii="宋体"/>
              </w:rPr>
            </w:pPr>
          </w:p>
        </w:tc>
        <w:tc>
          <w:tcPr>
            <w:tcW w:w="472" w:type="pct"/>
            <w:shd w:val="clear" w:color="auto" w:fill="auto"/>
            <w:vAlign w:val="bottom"/>
          </w:tcPr>
          <w:p w14:paraId="35D0B7A1" w14:textId="77777777" w:rsidR="00D42204" w:rsidRDefault="00D42204">
            <w:pPr>
              <w:rPr>
                <w:rFonts w:ascii="宋体"/>
              </w:rPr>
            </w:pPr>
          </w:p>
        </w:tc>
        <w:tc>
          <w:tcPr>
            <w:tcW w:w="5" w:type="pct"/>
            <w:shd w:val="clear" w:color="auto" w:fill="auto"/>
            <w:vAlign w:val="bottom"/>
          </w:tcPr>
          <w:p w14:paraId="35D0B7A2" w14:textId="77777777" w:rsidR="00D42204" w:rsidRDefault="00D42204">
            <w:pPr>
              <w:rPr>
                <w:rFonts w:ascii="宋体"/>
              </w:rPr>
            </w:pPr>
          </w:p>
        </w:tc>
        <w:tc>
          <w:tcPr>
            <w:tcW w:w="5" w:type="pct"/>
            <w:shd w:val="clear" w:color="auto" w:fill="auto"/>
            <w:vAlign w:val="bottom"/>
          </w:tcPr>
          <w:p w14:paraId="35D0B7A3" w14:textId="77777777" w:rsidR="00D42204" w:rsidRDefault="00D42204">
            <w:pPr>
              <w:rPr>
                <w:rFonts w:ascii="宋体"/>
              </w:rPr>
            </w:pPr>
          </w:p>
        </w:tc>
        <w:tc>
          <w:tcPr>
            <w:tcW w:w="26" w:type="pct"/>
            <w:shd w:val="clear" w:color="auto" w:fill="auto"/>
            <w:vAlign w:val="bottom"/>
          </w:tcPr>
          <w:p w14:paraId="35D0B7A4" w14:textId="77777777" w:rsidR="00D42204" w:rsidRDefault="00D42204">
            <w:pPr>
              <w:rPr>
                <w:rFonts w:ascii="宋体"/>
              </w:rPr>
            </w:pPr>
          </w:p>
        </w:tc>
        <w:tc>
          <w:tcPr>
            <w:tcW w:w="5" w:type="pct"/>
            <w:shd w:val="clear" w:color="auto" w:fill="auto"/>
            <w:vAlign w:val="bottom"/>
          </w:tcPr>
          <w:p w14:paraId="35D0B7A5" w14:textId="77777777" w:rsidR="00D42204" w:rsidRDefault="00D42204">
            <w:pPr>
              <w:rPr>
                <w:rFonts w:ascii="宋体"/>
              </w:rPr>
            </w:pPr>
          </w:p>
        </w:tc>
        <w:tc>
          <w:tcPr>
            <w:tcW w:w="50" w:type="pct"/>
            <w:shd w:val="clear" w:color="auto" w:fill="auto"/>
            <w:vAlign w:val="bottom"/>
          </w:tcPr>
          <w:p w14:paraId="35D0B7A6" w14:textId="77777777" w:rsidR="00D42204" w:rsidRDefault="00D42204">
            <w:pPr>
              <w:rPr>
                <w:rFonts w:ascii="宋体"/>
              </w:rPr>
            </w:pPr>
          </w:p>
        </w:tc>
        <w:tc>
          <w:tcPr>
            <w:tcW w:w="472" w:type="pct"/>
            <w:shd w:val="clear" w:color="auto" w:fill="auto"/>
            <w:vAlign w:val="bottom"/>
          </w:tcPr>
          <w:p w14:paraId="35D0B7A7" w14:textId="77777777" w:rsidR="00D42204" w:rsidRDefault="00D42204">
            <w:pPr>
              <w:rPr>
                <w:rFonts w:ascii="宋体"/>
              </w:rPr>
            </w:pPr>
          </w:p>
        </w:tc>
        <w:tc>
          <w:tcPr>
            <w:tcW w:w="5" w:type="pct"/>
            <w:shd w:val="clear" w:color="auto" w:fill="auto"/>
            <w:vAlign w:val="bottom"/>
          </w:tcPr>
          <w:p w14:paraId="35D0B7A8" w14:textId="77777777" w:rsidR="00D42204" w:rsidRDefault="00D42204">
            <w:pPr>
              <w:rPr>
                <w:rFonts w:ascii="宋体"/>
              </w:rPr>
            </w:pPr>
          </w:p>
        </w:tc>
        <w:tc>
          <w:tcPr>
            <w:tcW w:w="5" w:type="pct"/>
            <w:shd w:val="clear" w:color="auto" w:fill="auto"/>
            <w:vAlign w:val="bottom"/>
          </w:tcPr>
          <w:p w14:paraId="35D0B7A9" w14:textId="77777777" w:rsidR="00D42204" w:rsidRDefault="00D42204">
            <w:pPr>
              <w:rPr>
                <w:rFonts w:ascii="宋体"/>
              </w:rPr>
            </w:pPr>
          </w:p>
        </w:tc>
        <w:tc>
          <w:tcPr>
            <w:tcW w:w="26" w:type="pct"/>
            <w:shd w:val="clear" w:color="auto" w:fill="auto"/>
            <w:vAlign w:val="bottom"/>
          </w:tcPr>
          <w:p w14:paraId="35D0B7AA" w14:textId="77777777" w:rsidR="00D42204" w:rsidRDefault="00D42204">
            <w:pPr>
              <w:rPr>
                <w:rFonts w:ascii="宋体"/>
              </w:rPr>
            </w:pPr>
          </w:p>
        </w:tc>
        <w:tc>
          <w:tcPr>
            <w:tcW w:w="5" w:type="pct"/>
            <w:shd w:val="clear" w:color="auto" w:fill="auto"/>
            <w:vAlign w:val="bottom"/>
          </w:tcPr>
          <w:p w14:paraId="35D0B7AB" w14:textId="77777777" w:rsidR="00D42204" w:rsidRDefault="00D42204">
            <w:pPr>
              <w:rPr>
                <w:rFonts w:ascii="宋体"/>
              </w:rPr>
            </w:pPr>
          </w:p>
        </w:tc>
        <w:tc>
          <w:tcPr>
            <w:tcW w:w="50" w:type="pct"/>
            <w:shd w:val="clear" w:color="auto" w:fill="auto"/>
            <w:vAlign w:val="bottom"/>
          </w:tcPr>
          <w:p w14:paraId="35D0B7AC" w14:textId="77777777" w:rsidR="00D42204" w:rsidRDefault="00D42204">
            <w:pPr>
              <w:rPr>
                <w:rFonts w:ascii="宋体"/>
              </w:rPr>
            </w:pPr>
          </w:p>
        </w:tc>
        <w:tc>
          <w:tcPr>
            <w:tcW w:w="472" w:type="pct"/>
            <w:shd w:val="clear" w:color="auto" w:fill="auto"/>
            <w:vAlign w:val="bottom"/>
          </w:tcPr>
          <w:p w14:paraId="35D0B7AD" w14:textId="77777777" w:rsidR="00D42204" w:rsidRDefault="00D42204">
            <w:pPr>
              <w:rPr>
                <w:rFonts w:ascii="宋体"/>
              </w:rPr>
            </w:pPr>
          </w:p>
        </w:tc>
        <w:tc>
          <w:tcPr>
            <w:tcW w:w="5" w:type="pct"/>
            <w:shd w:val="clear" w:color="auto" w:fill="auto"/>
            <w:vAlign w:val="bottom"/>
          </w:tcPr>
          <w:p w14:paraId="35D0B7AE" w14:textId="77777777" w:rsidR="00D42204" w:rsidRDefault="00D42204">
            <w:pPr>
              <w:rPr>
                <w:rFonts w:ascii="宋体"/>
              </w:rPr>
            </w:pPr>
          </w:p>
        </w:tc>
      </w:tr>
      <w:tr w:rsidR="00D42204" w14:paraId="35D0B7B3" w14:textId="77777777">
        <w:tc>
          <w:tcPr>
            <w:tcW w:w="0" w:type="auto"/>
            <w:gridSpan w:val="3"/>
            <w:shd w:val="clear" w:color="auto" w:fill="auto"/>
            <w:tcMar>
              <w:top w:w="40" w:type="dxa"/>
              <w:left w:w="20" w:type="dxa"/>
              <w:bottom w:w="40" w:type="dxa"/>
              <w:right w:w="20" w:type="dxa"/>
            </w:tcMar>
            <w:vAlign w:val="bottom"/>
          </w:tcPr>
          <w:p w14:paraId="35D0B7B0"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B7B1"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B7B2" w14:textId="77777777" w:rsidR="00D42204" w:rsidRDefault="004E439D">
            <w:pPr>
              <w:jc w:val="center"/>
              <w:textAlignment w:val="bottom"/>
            </w:pPr>
            <w:r>
              <w:rPr>
                <w:rFonts w:ascii="Times New Roman" w:eastAsia="宋体" w:hAnsi="Times New Roman"/>
                <w:b/>
                <w:bCs/>
                <w:color w:val="000000"/>
                <w:sz w:val="16"/>
                <w:szCs w:val="16"/>
              </w:rPr>
              <w:t>Fiscal Years Ended January 31,</w:t>
            </w:r>
          </w:p>
        </w:tc>
      </w:tr>
      <w:tr w:rsidR="00D42204" w14:paraId="35D0B7BB" w14:textId="77777777">
        <w:tc>
          <w:tcPr>
            <w:tcW w:w="0" w:type="auto"/>
            <w:gridSpan w:val="3"/>
            <w:shd w:val="clear" w:color="auto" w:fill="auto"/>
            <w:tcMar>
              <w:top w:w="40" w:type="dxa"/>
              <w:left w:w="20" w:type="dxa"/>
              <w:bottom w:w="40" w:type="dxa"/>
              <w:right w:w="20" w:type="dxa"/>
            </w:tcMar>
            <w:vAlign w:val="bottom"/>
          </w:tcPr>
          <w:p w14:paraId="35D0B7B4"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7B5"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7B6"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7B7"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7B8"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7B9"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7BA"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B7C3" w14:textId="77777777">
        <w:tc>
          <w:tcPr>
            <w:tcW w:w="0" w:type="auto"/>
            <w:gridSpan w:val="3"/>
            <w:shd w:val="clear" w:color="auto" w:fill="CCEEFF"/>
            <w:tcMar>
              <w:top w:w="40" w:type="dxa"/>
              <w:left w:w="20" w:type="dxa"/>
              <w:bottom w:w="40" w:type="dxa"/>
              <w:right w:w="20" w:type="dxa"/>
            </w:tcMar>
            <w:vAlign w:val="center"/>
          </w:tcPr>
          <w:p w14:paraId="35D0B7BC" w14:textId="77777777" w:rsidR="00D42204" w:rsidRDefault="004E439D">
            <w:pPr>
              <w:textAlignment w:val="center"/>
            </w:pPr>
            <w:r>
              <w:rPr>
                <w:rFonts w:ascii="Times New Roman" w:eastAsia="宋体" w:hAnsi="Times New Roman"/>
                <w:b/>
                <w:bCs/>
                <w:color w:val="000000"/>
                <w:sz w:val="16"/>
                <w:szCs w:val="16"/>
              </w:rPr>
              <w:t>Current:</w:t>
            </w:r>
          </w:p>
        </w:tc>
        <w:tc>
          <w:tcPr>
            <w:tcW w:w="0" w:type="auto"/>
            <w:gridSpan w:val="3"/>
            <w:shd w:val="clear" w:color="auto" w:fill="CCEEFF"/>
            <w:tcMar>
              <w:top w:w="0" w:type="dxa"/>
              <w:left w:w="20" w:type="dxa"/>
              <w:bottom w:w="0" w:type="dxa"/>
              <w:right w:w="20" w:type="dxa"/>
            </w:tcMar>
            <w:vAlign w:val="bottom"/>
          </w:tcPr>
          <w:p w14:paraId="35D0B7BD"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7BE"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7BF"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7C0"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7C1"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7C2" w14:textId="77777777" w:rsidR="00D42204" w:rsidRDefault="00D42204">
            <w:pPr>
              <w:rPr>
                <w:rFonts w:ascii="宋体"/>
              </w:rPr>
            </w:pPr>
          </w:p>
        </w:tc>
      </w:tr>
      <w:tr w:rsidR="00D42204" w14:paraId="35D0B7D1" w14:textId="77777777">
        <w:tc>
          <w:tcPr>
            <w:tcW w:w="0" w:type="auto"/>
            <w:gridSpan w:val="3"/>
            <w:shd w:val="clear" w:color="auto" w:fill="FFFFFF"/>
            <w:tcMar>
              <w:top w:w="40" w:type="dxa"/>
              <w:left w:w="380" w:type="dxa"/>
              <w:bottom w:w="40" w:type="dxa"/>
              <w:right w:w="20" w:type="dxa"/>
            </w:tcMar>
            <w:vAlign w:val="center"/>
          </w:tcPr>
          <w:p w14:paraId="35D0B7C4" w14:textId="77777777" w:rsidR="00D42204" w:rsidRDefault="004E439D">
            <w:pPr>
              <w:textAlignment w:val="center"/>
            </w:pPr>
            <w:r>
              <w:rPr>
                <w:rFonts w:ascii="Times New Roman" w:eastAsia="宋体" w:hAnsi="Times New Roman"/>
                <w:color w:val="000000"/>
                <w:sz w:val="16"/>
                <w:szCs w:val="16"/>
              </w:rPr>
              <w:t>U.S. federal</w:t>
            </w:r>
          </w:p>
        </w:tc>
        <w:tc>
          <w:tcPr>
            <w:tcW w:w="0" w:type="auto"/>
            <w:gridSpan w:val="3"/>
            <w:shd w:val="clear" w:color="auto" w:fill="FFFFFF"/>
            <w:tcMar>
              <w:top w:w="0" w:type="dxa"/>
              <w:left w:w="20" w:type="dxa"/>
              <w:bottom w:w="0" w:type="dxa"/>
              <w:right w:w="20" w:type="dxa"/>
            </w:tcMar>
            <w:vAlign w:val="bottom"/>
          </w:tcPr>
          <w:p w14:paraId="35D0B7C5"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7C6"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7C7" w14:textId="77777777" w:rsidR="00D42204" w:rsidRDefault="004E439D">
            <w:pPr>
              <w:jc w:val="right"/>
              <w:textAlignment w:val="center"/>
            </w:pPr>
            <w:r>
              <w:rPr>
                <w:rFonts w:ascii="Times New Roman" w:eastAsia="宋体" w:hAnsi="Times New Roman"/>
                <w:color w:val="000000"/>
                <w:sz w:val="16"/>
                <w:szCs w:val="16"/>
              </w:rPr>
              <w:t>3,313 </w:t>
            </w:r>
          </w:p>
        </w:tc>
        <w:tc>
          <w:tcPr>
            <w:tcW w:w="0" w:type="auto"/>
            <w:shd w:val="clear" w:color="auto" w:fill="FFFFFF"/>
            <w:tcMar>
              <w:top w:w="40" w:type="dxa"/>
              <w:left w:w="0" w:type="dxa"/>
              <w:bottom w:w="40" w:type="dxa"/>
              <w:right w:w="20" w:type="dxa"/>
            </w:tcMar>
            <w:vAlign w:val="center"/>
          </w:tcPr>
          <w:p w14:paraId="35D0B7C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7C9"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7CA"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7CB" w14:textId="77777777" w:rsidR="00D42204" w:rsidRDefault="004E439D">
            <w:pPr>
              <w:jc w:val="right"/>
              <w:textAlignment w:val="center"/>
            </w:pPr>
            <w:r>
              <w:rPr>
                <w:rFonts w:ascii="Times New Roman" w:eastAsia="宋体" w:hAnsi="Times New Roman"/>
                <w:color w:val="000000"/>
                <w:sz w:val="16"/>
                <w:szCs w:val="16"/>
              </w:rPr>
              <w:t>2,991 </w:t>
            </w:r>
          </w:p>
        </w:tc>
        <w:tc>
          <w:tcPr>
            <w:tcW w:w="0" w:type="auto"/>
            <w:shd w:val="clear" w:color="auto" w:fill="FFFFFF"/>
            <w:tcMar>
              <w:top w:w="40" w:type="dxa"/>
              <w:left w:w="0" w:type="dxa"/>
              <w:bottom w:w="40" w:type="dxa"/>
              <w:right w:w="20" w:type="dxa"/>
            </w:tcMar>
            <w:vAlign w:val="center"/>
          </w:tcPr>
          <w:p w14:paraId="35D0B7C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7CD"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7CE"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7CF" w14:textId="77777777" w:rsidR="00D42204" w:rsidRDefault="004E439D">
            <w:pPr>
              <w:jc w:val="right"/>
              <w:textAlignment w:val="center"/>
            </w:pPr>
            <w:r>
              <w:rPr>
                <w:rFonts w:ascii="Times New Roman" w:eastAsia="宋体" w:hAnsi="Times New Roman"/>
                <w:color w:val="000000"/>
                <w:sz w:val="16"/>
                <w:szCs w:val="16"/>
              </w:rPr>
              <w:t>2,794 </w:t>
            </w:r>
          </w:p>
        </w:tc>
        <w:tc>
          <w:tcPr>
            <w:tcW w:w="0" w:type="auto"/>
            <w:shd w:val="clear" w:color="auto" w:fill="FFFFFF"/>
            <w:tcMar>
              <w:top w:w="40" w:type="dxa"/>
              <w:left w:w="0" w:type="dxa"/>
              <w:bottom w:w="40" w:type="dxa"/>
              <w:right w:w="20" w:type="dxa"/>
            </w:tcMar>
            <w:vAlign w:val="center"/>
          </w:tcPr>
          <w:p w14:paraId="35D0B7D0" w14:textId="77777777" w:rsidR="00D42204" w:rsidRDefault="00D42204">
            <w:pPr>
              <w:jc w:val="right"/>
              <w:rPr>
                <w:rFonts w:ascii="宋体"/>
              </w:rPr>
            </w:pPr>
          </w:p>
        </w:tc>
      </w:tr>
      <w:tr w:rsidR="00D42204" w14:paraId="35D0B7DC" w14:textId="77777777">
        <w:tc>
          <w:tcPr>
            <w:tcW w:w="0" w:type="auto"/>
            <w:gridSpan w:val="3"/>
            <w:shd w:val="clear" w:color="auto" w:fill="CCEEFF"/>
            <w:tcMar>
              <w:top w:w="40" w:type="dxa"/>
              <w:left w:w="380" w:type="dxa"/>
              <w:bottom w:w="40" w:type="dxa"/>
              <w:right w:w="20" w:type="dxa"/>
            </w:tcMar>
            <w:vAlign w:val="center"/>
          </w:tcPr>
          <w:p w14:paraId="35D0B7D2" w14:textId="77777777" w:rsidR="00D42204" w:rsidRDefault="004E439D">
            <w:pPr>
              <w:textAlignment w:val="center"/>
            </w:pPr>
            <w:r>
              <w:rPr>
                <w:rFonts w:ascii="Times New Roman" w:eastAsia="宋体" w:hAnsi="Times New Roman"/>
                <w:color w:val="000000"/>
                <w:sz w:val="16"/>
                <w:szCs w:val="16"/>
              </w:rPr>
              <w:t>U.S. state and local</w:t>
            </w:r>
          </w:p>
        </w:tc>
        <w:tc>
          <w:tcPr>
            <w:tcW w:w="0" w:type="auto"/>
            <w:gridSpan w:val="3"/>
            <w:shd w:val="clear" w:color="auto" w:fill="CCEEFF"/>
            <w:tcMar>
              <w:top w:w="0" w:type="dxa"/>
              <w:left w:w="20" w:type="dxa"/>
              <w:bottom w:w="0" w:type="dxa"/>
              <w:right w:w="20" w:type="dxa"/>
            </w:tcMar>
            <w:vAlign w:val="bottom"/>
          </w:tcPr>
          <w:p w14:paraId="35D0B7D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7D4" w14:textId="77777777" w:rsidR="00D42204" w:rsidRDefault="004E439D">
            <w:pPr>
              <w:jc w:val="right"/>
              <w:textAlignment w:val="center"/>
            </w:pPr>
            <w:r>
              <w:rPr>
                <w:rFonts w:ascii="Times New Roman" w:eastAsia="宋体" w:hAnsi="Times New Roman"/>
                <w:color w:val="000000"/>
                <w:sz w:val="16"/>
                <w:szCs w:val="16"/>
              </w:rPr>
              <w:t>649 </w:t>
            </w:r>
          </w:p>
        </w:tc>
        <w:tc>
          <w:tcPr>
            <w:tcW w:w="0" w:type="auto"/>
            <w:shd w:val="clear" w:color="auto" w:fill="CCEEFF"/>
            <w:tcMar>
              <w:top w:w="40" w:type="dxa"/>
              <w:left w:w="0" w:type="dxa"/>
              <w:bottom w:w="40" w:type="dxa"/>
              <w:right w:w="20" w:type="dxa"/>
            </w:tcMar>
            <w:vAlign w:val="center"/>
          </w:tcPr>
          <w:p w14:paraId="35D0B7D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7D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7D7" w14:textId="77777777" w:rsidR="00D42204" w:rsidRDefault="004E439D">
            <w:pPr>
              <w:jc w:val="right"/>
              <w:textAlignment w:val="center"/>
            </w:pPr>
            <w:r>
              <w:rPr>
                <w:rFonts w:ascii="Times New Roman" w:eastAsia="宋体" w:hAnsi="Times New Roman"/>
                <w:color w:val="000000"/>
                <w:sz w:val="16"/>
                <w:szCs w:val="16"/>
              </w:rPr>
              <w:t>742 </w:t>
            </w:r>
          </w:p>
        </w:tc>
        <w:tc>
          <w:tcPr>
            <w:tcW w:w="0" w:type="auto"/>
            <w:shd w:val="clear" w:color="auto" w:fill="CCEEFF"/>
            <w:tcMar>
              <w:top w:w="40" w:type="dxa"/>
              <w:left w:w="0" w:type="dxa"/>
              <w:bottom w:w="40" w:type="dxa"/>
              <w:right w:w="20" w:type="dxa"/>
            </w:tcMar>
            <w:vAlign w:val="center"/>
          </w:tcPr>
          <w:p w14:paraId="35D0B7D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7D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7DA" w14:textId="77777777" w:rsidR="00D42204" w:rsidRDefault="004E439D">
            <w:pPr>
              <w:jc w:val="right"/>
              <w:textAlignment w:val="center"/>
            </w:pPr>
            <w:r>
              <w:rPr>
                <w:rFonts w:ascii="Times New Roman" w:eastAsia="宋体" w:hAnsi="Times New Roman"/>
                <w:color w:val="000000"/>
                <w:sz w:val="16"/>
                <w:szCs w:val="16"/>
              </w:rPr>
              <w:t>587 </w:t>
            </w:r>
          </w:p>
        </w:tc>
        <w:tc>
          <w:tcPr>
            <w:tcW w:w="0" w:type="auto"/>
            <w:shd w:val="clear" w:color="auto" w:fill="CCEEFF"/>
            <w:tcMar>
              <w:top w:w="40" w:type="dxa"/>
              <w:left w:w="0" w:type="dxa"/>
              <w:bottom w:w="40" w:type="dxa"/>
              <w:right w:w="20" w:type="dxa"/>
            </w:tcMar>
            <w:vAlign w:val="center"/>
          </w:tcPr>
          <w:p w14:paraId="35D0B7DB" w14:textId="77777777" w:rsidR="00D42204" w:rsidRDefault="00D42204">
            <w:pPr>
              <w:jc w:val="right"/>
              <w:rPr>
                <w:rFonts w:ascii="宋体"/>
              </w:rPr>
            </w:pPr>
          </w:p>
        </w:tc>
      </w:tr>
      <w:tr w:rsidR="00D42204" w14:paraId="35D0B7E7" w14:textId="77777777">
        <w:tc>
          <w:tcPr>
            <w:tcW w:w="0" w:type="auto"/>
            <w:gridSpan w:val="3"/>
            <w:shd w:val="clear" w:color="auto" w:fill="FFFFFF"/>
            <w:tcMar>
              <w:top w:w="40" w:type="dxa"/>
              <w:left w:w="380" w:type="dxa"/>
              <w:bottom w:w="40" w:type="dxa"/>
              <w:right w:w="20" w:type="dxa"/>
            </w:tcMar>
            <w:vAlign w:val="center"/>
          </w:tcPr>
          <w:p w14:paraId="35D0B7DD" w14:textId="77777777" w:rsidR="00D42204" w:rsidRDefault="004E439D">
            <w:pPr>
              <w:textAlignment w:val="center"/>
            </w:pPr>
            <w:r>
              <w:rPr>
                <w:rFonts w:ascii="Times New Roman" w:eastAsia="宋体" w:hAnsi="Times New Roman"/>
                <w:color w:val="000000"/>
                <w:sz w:val="16"/>
                <w:szCs w:val="16"/>
              </w:rPr>
              <w:t>International</w:t>
            </w:r>
          </w:p>
        </w:tc>
        <w:tc>
          <w:tcPr>
            <w:tcW w:w="0" w:type="auto"/>
            <w:gridSpan w:val="3"/>
            <w:shd w:val="clear" w:color="auto" w:fill="FFFFFF"/>
            <w:tcMar>
              <w:top w:w="0" w:type="dxa"/>
              <w:left w:w="20" w:type="dxa"/>
              <w:bottom w:w="0" w:type="dxa"/>
              <w:right w:w="20" w:type="dxa"/>
            </w:tcMar>
            <w:vAlign w:val="bottom"/>
          </w:tcPr>
          <w:p w14:paraId="35D0B7D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7DF" w14:textId="77777777" w:rsidR="00D42204" w:rsidRDefault="004E439D">
            <w:pPr>
              <w:jc w:val="right"/>
              <w:textAlignment w:val="center"/>
            </w:pPr>
            <w:r>
              <w:rPr>
                <w:rFonts w:ascii="Times New Roman" w:eastAsia="宋体" w:hAnsi="Times New Roman"/>
                <w:color w:val="000000"/>
                <w:sz w:val="16"/>
                <w:szCs w:val="16"/>
              </w:rPr>
              <w:t>1,553 </w:t>
            </w:r>
          </w:p>
        </w:tc>
        <w:tc>
          <w:tcPr>
            <w:tcW w:w="0" w:type="auto"/>
            <w:shd w:val="clear" w:color="auto" w:fill="FFFFFF"/>
            <w:tcMar>
              <w:top w:w="40" w:type="dxa"/>
              <w:left w:w="0" w:type="dxa"/>
              <w:bottom w:w="40" w:type="dxa"/>
              <w:right w:w="20" w:type="dxa"/>
            </w:tcMar>
            <w:vAlign w:val="center"/>
          </w:tcPr>
          <w:p w14:paraId="35D0B7E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7E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7E2" w14:textId="77777777" w:rsidR="00D42204" w:rsidRDefault="004E439D">
            <w:pPr>
              <w:jc w:val="right"/>
              <w:textAlignment w:val="center"/>
            </w:pPr>
            <w:r>
              <w:rPr>
                <w:rFonts w:ascii="Times New Roman" w:eastAsia="宋体" w:hAnsi="Times New Roman"/>
                <w:color w:val="000000"/>
                <w:sz w:val="16"/>
                <w:szCs w:val="16"/>
              </w:rPr>
              <w:t>1,127 </w:t>
            </w:r>
          </w:p>
        </w:tc>
        <w:tc>
          <w:tcPr>
            <w:tcW w:w="0" w:type="auto"/>
            <w:shd w:val="clear" w:color="auto" w:fill="FFFFFF"/>
            <w:tcMar>
              <w:top w:w="40" w:type="dxa"/>
              <w:left w:w="0" w:type="dxa"/>
              <w:bottom w:w="40" w:type="dxa"/>
              <w:right w:w="20" w:type="dxa"/>
            </w:tcMar>
            <w:vAlign w:val="center"/>
          </w:tcPr>
          <w:p w14:paraId="35D0B7E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7E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7E5" w14:textId="77777777" w:rsidR="00D42204" w:rsidRDefault="004E439D">
            <w:pPr>
              <w:jc w:val="right"/>
              <w:textAlignment w:val="center"/>
            </w:pPr>
            <w:r>
              <w:rPr>
                <w:rFonts w:ascii="Times New Roman" w:eastAsia="宋体" w:hAnsi="Times New Roman"/>
                <w:color w:val="000000"/>
                <w:sz w:val="16"/>
                <w:szCs w:val="16"/>
              </w:rPr>
              <w:t>1,205 </w:t>
            </w:r>
          </w:p>
        </w:tc>
        <w:tc>
          <w:tcPr>
            <w:tcW w:w="0" w:type="auto"/>
            <w:shd w:val="clear" w:color="auto" w:fill="FFFFFF"/>
            <w:tcMar>
              <w:top w:w="40" w:type="dxa"/>
              <w:left w:w="0" w:type="dxa"/>
              <w:bottom w:w="40" w:type="dxa"/>
              <w:right w:w="20" w:type="dxa"/>
            </w:tcMar>
            <w:vAlign w:val="center"/>
          </w:tcPr>
          <w:p w14:paraId="35D0B7E6" w14:textId="77777777" w:rsidR="00D42204" w:rsidRDefault="00D42204">
            <w:pPr>
              <w:jc w:val="right"/>
              <w:rPr>
                <w:rFonts w:ascii="宋体"/>
              </w:rPr>
            </w:pPr>
          </w:p>
        </w:tc>
      </w:tr>
      <w:tr w:rsidR="00D42204" w14:paraId="35D0B7F2" w14:textId="77777777">
        <w:tc>
          <w:tcPr>
            <w:tcW w:w="0" w:type="auto"/>
            <w:gridSpan w:val="3"/>
            <w:shd w:val="clear" w:color="auto" w:fill="CCEEFF"/>
            <w:tcMar>
              <w:top w:w="40" w:type="dxa"/>
              <w:left w:w="20" w:type="dxa"/>
              <w:bottom w:w="40" w:type="dxa"/>
              <w:right w:w="20" w:type="dxa"/>
            </w:tcMar>
            <w:vAlign w:val="center"/>
          </w:tcPr>
          <w:p w14:paraId="35D0B7E8" w14:textId="77777777" w:rsidR="00D42204" w:rsidRDefault="004E439D">
            <w:pPr>
              <w:textAlignment w:val="center"/>
            </w:pPr>
            <w:r>
              <w:rPr>
                <w:rFonts w:ascii="Times New Roman" w:eastAsia="宋体" w:hAnsi="Times New Roman"/>
                <w:b/>
                <w:bCs/>
                <w:color w:val="000000"/>
                <w:sz w:val="16"/>
                <w:szCs w:val="16"/>
              </w:rPr>
              <w:t>Total current tax provision</w:t>
            </w:r>
          </w:p>
        </w:tc>
        <w:tc>
          <w:tcPr>
            <w:tcW w:w="0" w:type="auto"/>
            <w:gridSpan w:val="3"/>
            <w:shd w:val="clear" w:color="auto" w:fill="CCEEFF"/>
            <w:tcMar>
              <w:top w:w="0" w:type="dxa"/>
              <w:left w:w="20" w:type="dxa"/>
              <w:bottom w:w="0" w:type="dxa"/>
              <w:right w:w="20" w:type="dxa"/>
            </w:tcMar>
            <w:vAlign w:val="bottom"/>
          </w:tcPr>
          <w:p w14:paraId="35D0B7E9"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B7EA" w14:textId="77777777" w:rsidR="00D42204" w:rsidRDefault="004E439D">
            <w:pPr>
              <w:jc w:val="right"/>
              <w:textAlignment w:val="center"/>
            </w:pPr>
            <w:r>
              <w:rPr>
                <w:rFonts w:ascii="Times New Roman" w:eastAsia="宋体" w:hAnsi="Times New Roman"/>
                <w:color w:val="000000"/>
                <w:sz w:val="16"/>
                <w:szCs w:val="16"/>
              </w:rPr>
              <w:t>5,515 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7E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7EC"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B7ED" w14:textId="77777777" w:rsidR="00D42204" w:rsidRDefault="004E439D">
            <w:pPr>
              <w:jc w:val="right"/>
              <w:textAlignment w:val="center"/>
            </w:pPr>
            <w:r>
              <w:rPr>
                <w:rFonts w:ascii="Times New Roman" w:eastAsia="宋体" w:hAnsi="Times New Roman"/>
                <w:color w:val="000000"/>
                <w:sz w:val="16"/>
                <w:szCs w:val="16"/>
              </w:rPr>
              <w:t>4,860 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7E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7EF"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B7F0" w14:textId="77777777" w:rsidR="00D42204" w:rsidRDefault="004E439D">
            <w:pPr>
              <w:jc w:val="right"/>
              <w:textAlignment w:val="center"/>
            </w:pPr>
            <w:r>
              <w:rPr>
                <w:rFonts w:ascii="Times New Roman" w:eastAsia="宋体" w:hAnsi="Times New Roman"/>
                <w:color w:val="000000"/>
                <w:sz w:val="16"/>
                <w:szCs w:val="16"/>
              </w:rPr>
              <w:t>4,586 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7F1" w14:textId="77777777" w:rsidR="00D42204" w:rsidRDefault="00D42204">
            <w:pPr>
              <w:jc w:val="right"/>
              <w:rPr>
                <w:rFonts w:ascii="宋体"/>
              </w:rPr>
            </w:pPr>
          </w:p>
        </w:tc>
      </w:tr>
      <w:tr w:rsidR="00D42204" w14:paraId="35D0B7FA" w14:textId="77777777">
        <w:tc>
          <w:tcPr>
            <w:tcW w:w="0" w:type="auto"/>
            <w:gridSpan w:val="3"/>
            <w:shd w:val="clear" w:color="auto" w:fill="FFFFFF"/>
            <w:tcMar>
              <w:top w:w="40" w:type="dxa"/>
              <w:left w:w="20" w:type="dxa"/>
              <w:bottom w:w="40" w:type="dxa"/>
              <w:right w:w="20" w:type="dxa"/>
            </w:tcMar>
            <w:vAlign w:val="center"/>
          </w:tcPr>
          <w:p w14:paraId="35D0B7F3" w14:textId="77777777" w:rsidR="00D42204" w:rsidRDefault="004E439D">
            <w:pPr>
              <w:textAlignment w:val="center"/>
            </w:pPr>
            <w:r>
              <w:rPr>
                <w:rFonts w:ascii="Times New Roman" w:eastAsia="宋体" w:hAnsi="Times New Roman"/>
                <w:b/>
                <w:bCs/>
                <w:color w:val="000000"/>
                <w:sz w:val="16"/>
                <w:szCs w:val="16"/>
              </w:rPr>
              <w:t>Deferred:</w:t>
            </w:r>
          </w:p>
        </w:tc>
        <w:tc>
          <w:tcPr>
            <w:tcW w:w="0" w:type="auto"/>
            <w:gridSpan w:val="3"/>
            <w:shd w:val="clear" w:color="auto" w:fill="FFFFFF"/>
            <w:tcMar>
              <w:top w:w="0" w:type="dxa"/>
              <w:left w:w="20" w:type="dxa"/>
              <w:bottom w:w="0" w:type="dxa"/>
              <w:right w:w="20" w:type="dxa"/>
            </w:tcMar>
            <w:vAlign w:val="bottom"/>
          </w:tcPr>
          <w:p w14:paraId="35D0B7F4" w14:textId="77777777" w:rsidR="00D42204" w:rsidRDefault="00D4220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5D0B7F5"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7F6" w14:textId="77777777" w:rsidR="00D42204" w:rsidRDefault="00D4220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5D0B7F7"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7F8" w14:textId="77777777" w:rsidR="00D42204" w:rsidRDefault="00D4220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5D0B7F9" w14:textId="77777777" w:rsidR="00D42204" w:rsidRDefault="00D42204">
            <w:pPr>
              <w:rPr>
                <w:rFonts w:ascii="宋体"/>
              </w:rPr>
            </w:pPr>
          </w:p>
        </w:tc>
      </w:tr>
      <w:tr w:rsidR="00D42204" w14:paraId="35D0B805" w14:textId="77777777">
        <w:tc>
          <w:tcPr>
            <w:tcW w:w="0" w:type="auto"/>
            <w:gridSpan w:val="3"/>
            <w:shd w:val="clear" w:color="auto" w:fill="CCEEFF"/>
            <w:tcMar>
              <w:top w:w="40" w:type="dxa"/>
              <w:left w:w="380" w:type="dxa"/>
              <w:bottom w:w="40" w:type="dxa"/>
              <w:right w:w="20" w:type="dxa"/>
            </w:tcMar>
            <w:vAlign w:val="center"/>
          </w:tcPr>
          <w:p w14:paraId="35D0B7FB" w14:textId="77777777" w:rsidR="00D42204" w:rsidRDefault="004E439D">
            <w:pPr>
              <w:textAlignment w:val="center"/>
            </w:pPr>
            <w:r>
              <w:rPr>
                <w:rFonts w:ascii="Times New Roman" w:eastAsia="宋体" w:hAnsi="Times New Roman"/>
                <w:color w:val="000000"/>
                <w:sz w:val="16"/>
                <w:szCs w:val="16"/>
              </w:rPr>
              <w:t>U.S. federal</w:t>
            </w:r>
          </w:p>
        </w:tc>
        <w:tc>
          <w:tcPr>
            <w:tcW w:w="0" w:type="auto"/>
            <w:gridSpan w:val="3"/>
            <w:shd w:val="clear" w:color="auto" w:fill="CCEEFF"/>
            <w:tcMar>
              <w:top w:w="0" w:type="dxa"/>
              <w:left w:w="20" w:type="dxa"/>
              <w:bottom w:w="0" w:type="dxa"/>
              <w:right w:w="20" w:type="dxa"/>
            </w:tcMar>
            <w:vAlign w:val="bottom"/>
          </w:tcPr>
          <w:p w14:paraId="35D0B7F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7FD" w14:textId="77777777" w:rsidR="00D42204" w:rsidRDefault="004E439D">
            <w:pPr>
              <w:jc w:val="right"/>
              <w:textAlignment w:val="center"/>
            </w:pPr>
            <w:r>
              <w:rPr>
                <w:rFonts w:ascii="Times New Roman" w:eastAsia="宋体" w:hAnsi="Times New Roman"/>
                <w:color w:val="000000"/>
                <w:sz w:val="16"/>
                <w:szCs w:val="16"/>
              </w:rPr>
              <w:t>(671)</w:t>
            </w:r>
          </w:p>
        </w:tc>
        <w:tc>
          <w:tcPr>
            <w:tcW w:w="0" w:type="auto"/>
            <w:shd w:val="clear" w:color="auto" w:fill="CCEEFF"/>
            <w:tcMar>
              <w:top w:w="40" w:type="dxa"/>
              <w:left w:w="0" w:type="dxa"/>
              <w:bottom w:w="40" w:type="dxa"/>
              <w:right w:w="20" w:type="dxa"/>
            </w:tcMar>
            <w:vAlign w:val="center"/>
          </w:tcPr>
          <w:p w14:paraId="35D0B7F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7F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800" w14:textId="77777777" w:rsidR="00D42204" w:rsidRDefault="004E439D">
            <w:pPr>
              <w:jc w:val="right"/>
              <w:textAlignment w:val="center"/>
            </w:pPr>
            <w:r>
              <w:rPr>
                <w:rFonts w:ascii="Times New Roman" w:eastAsia="宋体" w:hAnsi="Times New Roman"/>
                <w:color w:val="000000"/>
                <w:sz w:val="16"/>
                <w:szCs w:val="16"/>
              </w:rPr>
              <w:t>2,316 </w:t>
            </w:r>
          </w:p>
        </w:tc>
        <w:tc>
          <w:tcPr>
            <w:tcW w:w="0" w:type="auto"/>
            <w:shd w:val="clear" w:color="auto" w:fill="CCEEFF"/>
            <w:tcMar>
              <w:top w:w="40" w:type="dxa"/>
              <w:left w:w="0" w:type="dxa"/>
              <w:bottom w:w="40" w:type="dxa"/>
              <w:right w:w="20" w:type="dxa"/>
            </w:tcMar>
            <w:vAlign w:val="center"/>
          </w:tcPr>
          <w:p w14:paraId="35D0B80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80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803" w14:textId="77777777" w:rsidR="00D42204" w:rsidRDefault="004E439D">
            <w:pPr>
              <w:jc w:val="right"/>
              <w:textAlignment w:val="center"/>
            </w:pPr>
            <w:r>
              <w:rPr>
                <w:rFonts w:ascii="Times New Roman" w:eastAsia="宋体" w:hAnsi="Times New Roman"/>
                <w:color w:val="000000"/>
                <w:sz w:val="16"/>
                <w:szCs w:val="16"/>
              </w:rPr>
              <w:t>663 </w:t>
            </w:r>
          </w:p>
        </w:tc>
        <w:tc>
          <w:tcPr>
            <w:tcW w:w="0" w:type="auto"/>
            <w:shd w:val="clear" w:color="auto" w:fill="CCEEFF"/>
            <w:tcMar>
              <w:top w:w="40" w:type="dxa"/>
              <w:left w:w="0" w:type="dxa"/>
              <w:bottom w:w="40" w:type="dxa"/>
              <w:right w:w="20" w:type="dxa"/>
            </w:tcMar>
            <w:vAlign w:val="center"/>
          </w:tcPr>
          <w:p w14:paraId="35D0B804" w14:textId="77777777" w:rsidR="00D42204" w:rsidRDefault="00D42204">
            <w:pPr>
              <w:jc w:val="right"/>
              <w:rPr>
                <w:rFonts w:ascii="宋体"/>
              </w:rPr>
            </w:pPr>
          </w:p>
        </w:tc>
      </w:tr>
      <w:tr w:rsidR="00D42204" w14:paraId="35D0B810" w14:textId="77777777">
        <w:tc>
          <w:tcPr>
            <w:tcW w:w="0" w:type="auto"/>
            <w:gridSpan w:val="3"/>
            <w:shd w:val="clear" w:color="auto" w:fill="FFFFFF"/>
            <w:tcMar>
              <w:top w:w="40" w:type="dxa"/>
              <w:left w:w="380" w:type="dxa"/>
              <w:bottom w:w="40" w:type="dxa"/>
              <w:right w:w="20" w:type="dxa"/>
            </w:tcMar>
            <w:vAlign w:val="center"/>
          </w:tcPr>
          <w:p w14:paraId="35D0B806" w14:textId="77777777" w:rsidR="00D42204" w:rsidRDefault="004E439D">
            <w:pPr>
              <w:textAlignment w:val="center"/>
            </w:pPr>
            <w:r>
              <w:rPr>
                <w:rFonts w:ascii="Times New Roman" w:eastAsia="宋体" w:hAnsi="Times New Roman"/>
                <w:color w:val="000000"/>
                <w:sz w:val="16"/>
                <w:szCs w:val="16"/>
              </w:rPr>
              <w:t>U.S. state and local</w:t>
            </w:r>
          </w:p>
        </w:tc>
        <w:tc>
          <w:tcPr>
            <w:tcW w:w="0" w:type="auto"/>
            <w:gridSpan w:val="3"/>
            <w:shd w:val="clear" w:color="auto" w:fill="FFFFFF"/>
            <w:tcMar>
              <w:top w:w="0" w:type="dxa"/>
              <w:left w:w="20" w:type="dxa"/>
              <w:bottom w:w="0" w:type="dxa"/>
              <w:right w:w="20" w:type="dxa"/>
            </w:tcMar>
            <w:vAlign w:val="bottom"/>
          </w:tcPr>
          <w:p w14:paraId="35D0B80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808" w14:textId="77777777" w:rsidR="00D42204" w:rsidRDefault="004E439D">
            <w:pPr>
              <w:jc w:val="right"/>
              <w:textAlignment w:val="center"/>
            </w:pPr>
            <w:r>
              <w:rPr>
                <w:rFonts w:ascii="Times New Roman" w:eastAsia="宋体" w:hAnsi="Times New Roman"/>
                <w:color w:val="000000"/>
                <w:sz w:val="16"/>
                <w:szCs w:val="16"/>
              </w:rPr>
              <w:t>41 </w:t>
            </w:r>
          </w:p>
        </w:tc>
        <w:tc>
          <w:tcPr>
            <w:tcW w:w="0" w:type="auto"/>
            <w:shd w:val="clear" w:color="auto" w:fill="FFFFFF"/>
            <w:tcMar>
              <w:top w:w="40" w:type="dxa"/>
              <w:left w:w="0" w:type="dxa"/>
              <w:bottom w:w="40" w:type="dxa"/>
              <w:right w:w="20" w:type="dxa"/>
            </w:tcMar>
            <w:vAlign w:val="center"/>
          </w:tcPr>
          <w:p w14:paraId="35D0B80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80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80B" w14:textId="77777777" w:rsidR="00D42204" w:rsidRDefault="004E439D">
            <w:pPr>
              <w:jc w:val="right"/>
              <w:textAlignment w:val="center"/>
            </w:pPr>
            <w:r>
              <w:rPr>
                <w:rFonts w:ascii="Times New Roman" w:eastAsia="宋体" w:hAnsi="Times New Roman"/>
                <w:color w:val="000000"/>
                <w:sz w:val="16"/>
                <w:szCs w:val="16"/>
              </w:rPr>
              <w:t>23 </w:t>
            </w:r>
          </w:p>
        </w:tc>
        <w:tc>
          <w:tcPr>
            <w:tcW w:w="0" w:type="auto"/>
            <w:shd w:val="clear" w:color="auto" w:fill="FFFFFF"/>
            <w:tcMar>
              <w:top w:w="40" w:type="dxa"/>
              <w:left w:w="0" w:type="dxa"/>
              <w:bottom w:w="40" w:type="dxa"/>
              <w:right w:w="20" w:type="dxa"/>
            </w:tcMar>
            <w:vAlign w:val="center"/>
          </w:tcPr>
          <w:p w14:paraId="35D0B80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80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80E" w14:textId="77777777" w:rsidR="00D42204" w:rsidRDefault="004E439D">
            <w:pPr>
              <w:jc w:val="right"/>
              <w:textAlignment w:val="center"/>
            </w:pPr>
            <w:r>
              <w:rPr>
                <w:rFonts w:ascii="Times New Roman" w:eastAsia="宋体" w:hAnsi="Times New Roman"/>
                <w:color w:val="000000"/>
                <w:sz w:val="16"/>
                <w:szCs w:val="16"/>
              </w:rPr>
              <w:t>35 </w:t>
            </w:r>
          </w:p>
        </w:tc>
        <w:tc>
          <w:tcPr>
            <w:tcW w:w="0" w:type="auto"/>
            <w:shd w:val="clear" w:color="auto" w:fill="FFFFFF"/>
            <w:tcMar>
              <w:top w:w="40" w:type="dxa"/>
              <w:left w:w="0" w:type="dxa"/>
              <w:bottom w:w="40" w:type="dxa"/>
              <w:right w:w="20" w:type="dxa"/>
            </w:tcMar>
            <w:vAlign w:val="center"/>
          </w:tcPr>
          <w:p w14:paraId="35D0B80F" w14:textId="77777777" w:rsidR="00D42204" w:rsidRDefault="00D42204">
            <w:pPr>
              <w:jc w:val="right"/>
              <w:rPr>
                <w:rFonts w:ascii="宋体"/>
              </w:rPr>
            </w:pPr>
          </w:p>
        </w:tc>
      </w:tr>
      <w:tr w:rsidR="00D42204" w14:paraId="35D0B81B" w14:textId="77777777">
        <w:tc>
          <w:tcPr>
            <w:tcW w:w="0" w:type="auto"/>
            <w:gridSpan w:val="3"/>
            <w:shd w:val="clear" w:color="auto" w:fill="CCEEFF"/>
            <w:tcMar>
              <w:top w:w="40" w:type="dxa"/>
              <w:left w:w="380" w:type="dxa"/>
              <w:bottom w:w="40" w:type="dxa"/>
              <w:right w:w="20" w:type="dxa"/>
            </w:tcMar>
            <w:vAlign w:val="center"/>
          </w:tcPr>
          <w:p w14:paraId="35D0B811" w14:textId="77777777" w:rsidR="00D42204" w:rsidRDefault="004E439D">
            <w:pPr>
              <w:textAlignment w:val="center"/>
            </w:pPr>
            <w:r>
              <w:rPr>
                <w:rFonts w:ascii="Times New Roman" w:eastAsia="宋体" w:hAnsi="Times New Roman"/>
                <w:color w:val="000000"/>
                <w:sz w:val="16"/>
                <w:szCs w:val="16"/>
              </w:rPr>
              <w:t>International</w:t>
            </w:r>
          </w:p>
        </w:tc>
        <w:tc>
          <w:tcPr>
            <w:tcW w:w="0" w:type="auto"/>
            <w:gridSpan w:val="3"/>
            <w:shd w:val="clear" w:color="auto" w:fill="CCEEFF"/>
            <w:tcMar>
              <w:top w:w="0" w:type="dxa"/>
              <w:left w:w="20" w:type="dxa"/>
              <w:bottom w:w="0" w:type="dxa"/>
              <w:right w:w="20" w:type="dxa"/>
            </w:tcMar>
            <w:vAlign w:val="bottom"/>
          </w:tcPr>
          <w:p w14:paraId="35D0B81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813" w14:textId="77777777" w:rsidR="00D42204" w:rsidRDefault="004E439D">
            <w:pPr>
              <w:jc w:val="right"/>
              <w:textAlignment w:val="center"/>
            </w:pPr>
            <w:r>
              <w:rPr>
                <w:rFonts w:ascii="Times New Roman" w:eastAsia="宋体" w:hAnsi="Times New Roman"/>
                <w:color w:val="000000"/>
                <w:sz w:val="16"/>
                <w:szCs w:val="16"/>
              </w:rPr>
              <w:t>(129)</w:t>
            </w:r>
          </w:p>
        </w:tc>
        <w:tc>
          <w:tcPr>
            <w:tcW w:w="0" w:type="auto"/>
            <w:shd w:val="clear" w:color="auto" w:fill="CCEEFF"/>
            <w:tcMar>
              <w:top w:w="40" w:type="dxa"/>
              <w:left w:w="0" w:type="dxa"/>
              <w:bottom w:w="40" w:type="dxa"/>
              <w:right w:w="20" w:type="dxa"/>
            </w:tcMar>
            <w:vAlign w:val="center"/>
          </w:tcPr>
          <w:p w14:paraId="35D0B81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81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816" w14:textId="77777777" w:rsidR="00D42204" w:rsidRDefault="004E439D">
            <w:pPr>
              <w:jc w:val="right"/>
              <w:textAlignment w:val="center"/>
            </w:pPr>
            <w:r>
              <w:rPr>
                <w:rFonts w:ascii="Times New Roman" w:eastAsia="宋体" w:hAnsi="Times New Roman"/>
                <w:color w:val="000000"/>
                <w:sz w:val="16"/>
                <w:szCs w:val="16"/>
              </w:rPr>
              <w:t>(341)</w:t>
            </w:r>
          </w:p>
        </w:tc>
        <w:tc>
          <w:tcPr>
            <w:tcW w:w="0" w:type="auto"/>
            <w:shd w:val="clear" w:color="auto" w:fill="CCEEFF"/>
            <w:tcMar>
              <w:top w:w="40" w:type="dxa"/>
              <w:left w:w="0" w:type="dxa"/>
              <w:bottom w:w="40" w:type="dxa"/>
              <w:right w:w="20" w:type="dxa"/>
            </w:tcMar>
            <w:vAlign w:val="center"/>
          </w:tcPr>
          <w:p w14:paraId="35D0B81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81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819" w14:textId="77777777" w:rsidR="00D42204" w:rsidRDefault="004E439D">
            <w:pPr>
              <w:jc w:val="right"/>
              <w:textAlignment w:val="center"/>
            </w:pPr>
            <w:r>
              <w:rPr>
                <w:rFonts w:ascii="Times New Roman" w:eastAsia="宋体" w:hAnsi="Times New Roman"/>
                <w:color w:val="000000"/>
                <w:sz w:val="16"/>
                <w:szCs w:val="16"/>
              </w:rPr>
              <w:t>(369)</w:t>
            </w:r>
          </w:p>
        </w:tc>
        <w:tc>
          <w:tcPr>
            <w:tcW w:w="0" w:type="auto"/>
            <w:shd w:val="clear" w:color="auto" w:fill="CCEEFF"/>
            <w:tcMar>
              <w:top w:w="40" w:type="dxa"/>
              <w:left w:w="0" w:type="dxa"/>
              <w:bottom w:w="40" w:type="dxa"/>
              <w:right w:w="20" w:type="dxa"/>
            </w:tcMar>
            <w:vAlign w:val="center"/>
          </w:tcPr>
          <w:p w14:paraId="35D0B81A" w14:textId="77777777" w:rsidR="00D42204" w:rsidRDefault="00D42204">
            <w:pPr>
              <w:jc w:val="right"/>
              <w:rPr>
                <w:rFonts w:ascii="宋体"/>
              </w:rPr>
            </w:pPr>
          </w:p>
        </w:tc>
      </w:tr>
      <w:tr w:rsidR="00D42204" w14:paraId="35D0B826" w14:textId="77777777">
        <w:tc>
          <w:tcPr>
            <w:tcW w:w="0" w:type="auto"/>
            <w:gridSpan w:val="3"/>
            <w:shd w:val="clear" w:color="auto" w:fill="FFFFFF"/>
            <w:tcMar>
              <w:top w:w="40" w:type="dxa"/>
              <w:left w:w="20" w:type="dxa"/>
              <w:bottom w:w="40" w:type="dxa"/>
              <w:right w:w="20" w:type="dxa"/>
            </w:tcMar>
            <w:vAlign w:val="center"/>
          </w:tcPr>
          <w:p w14:paraId="35D0B81C" w14:textId="77777777" w:rsidR="00D42204" w:rsidRDefault="004E439D">
            <w:pPr>
              <w:textAlignment w:val="center"/>
            </w:pPr>
            <w:r>
              <w:rPr>
                <w:rFonts w:ascii="Times New Roman" w:eastAsia="宋体" w:hAnsi="Times New Roman"/>
                <w:b/>
                <w:bCs/>
                <w:color w:val="000000"/>
                <w:sz w:val="16"/>
                <w:szCs w:val="16"/>
              </w:rPr>
              <w:t>Total deferred tax expense (benefit)</w:t>
            </w:r>
          </w:p>
        </w:tc>
        <w:tc>
          <w:tcPr>
            <w:tcW w:w="0" w:type="auto"/>
            <w:gridSpan w:val="3"/>
            <w:shd w:val="clear" w:color="auto" w:fill="FFFFFF"/>
            <w:tcMar>
              <w:top w:w="0" w:type="dxa"/>
              <w:left w:w="20" w:type="dxa"/>
              <w:bottom w:w="0" w:type="dxa"/>
              <w:right w:w="20" w:type="dxa"/>
            </w:tcMar>
            <w:vAlign w:val="bottom"/>
          </w:tcPr>
          <w:p w14:paraId="35D0B81D"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B81E" w14:textId="77777777" w:rsidR="00D42204" w:rsidRDefault="004E439D">
            <w:pPr>
              <w:jc w:val="right"/>
              <w:textAlignment w:val="center"/>
            </w:pPr>
            <w:r>
              <w:rPr>
                <w:rFonts w:ascii="Times New Roman" w:eastAsia="宋体" w:hAnsi="Times New Roman"/>
                <w:color w:val="000000"/>
                <w:sz w:val="16"/>
                <w:szCs w:val="16"/>
              </w:rPr>
              <w:t>(759)</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B81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820"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B821" w14:textId="77777777" w:rsidR="00D42204" w:rsidRDefault="004E439D">
            <w:pPr>
              <w:jc w:val="right"/>
              <w:textAlignment w:val="center"/>
            </w:pPr>
            <w:r>
              <w:rPr>
                <w:rFonts w:ascii="Times New Roman" w:eastAsia="宋体" w:hAnsi="Times New Roman"/>
                <w:color w:val="000000"/>
                <w:sz w:val="16"/>
                <w:szCs w:val="16"/>
              </w:rPr>
              <w:t>1,998 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B82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823" w14:textId="77777777" w:rsidR="00D42204" w:rsidRDefault="00D4220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35D0B824" w14:textId="77777777" w:rsidR="00D42204" w:rsidRDefault="004E439D">
            <w:pPr>
              <w:jc w:val="right"/>
              <w:textAlignment w:val="center"/>
            </w:pPr>
            <w:r>
              <w:rPr>
                <w:rFonts w:ascii="Times New Roman" w:eastAsia="宋体" w:hAnsi="Times New Roman"/>
                <w:color w:val="000000"/>
                <w:sz w:val="16"/>
                <w:szCs w:val="16"/>
              </w:rPr>
              <w:t>329 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B825" w14:textId="77777777" w:rsidR="00D42204" w:rsidRDefault="00D42204">
            <w:pPr>
              <w:jc w:val="right"/>
              <w:rPr>
                <w:rFonts w:ascii="宋体"/>
              </w:rPr>
            </w:pPr>
          </w:p>
        </w:tc>
      </w:tr>
      <w:tr w:rsidR="00D42204" w14:paraId="35D0B834" w14:textId="77777777">
        <w:tc>
          <w:tcPr>
            <w:tcW w:w="0" w:type="auto"/>
            <w:gridSpan w:val="3"/>
            <w:shd w:val="clear" w:color="auto" w:fill="CCEEFF"/>
            <w:tcMar>
              <w:top w:w="40" w:type="dxa"/>
              <w:left w:w="20" w:type="dxa"/>
              <w:bottom w:w="40" w:type="dxa"/>
              <w:right w:w="20" w:type="dxa"/>
            </w:tcMar>
            <w:vAlign w:val="center"/>
          </w:tcPr>
          <w:p w14:paraId="35D0B827" w14:textId="77777777" w:rsidR="00D42204" w:rsidRDefault="004E439D">
            <w:pPr>
              <w:textAlignment w:val="center"/>
            </w:pPr>
            <w:r>
              <w:rPr>
                <w:rFonts w:ascii="Times New Roman" w:eastAsia="宋体" w:hAnsi="Times New Roman"/>
                <w:b/>
                <w:bCs/>
                <w:color w:val="000000"/>
                <w:sz w:val="16"/>
                <w:szCs w:val="16"/>
              </w:rPr>
              <w:t>Total provision for income taxes</w:t>
            </w:r>
          </w:p>
        </w:tc>
        <w:tc>
          <w:tcPr>
            <w:tcW w:w="0" w:type="auto"/>
            <w:gridSpan w:val="3"/>
            <w:shd w:val="clear" w:color="auto" w:fill="CCEEFF"/>
            <w:tcMar>
              <w:top w:w="0" w:type="dxa"/>
              <w:left w:w="20" w:type="dxa"/>
              <w:bottom w:w="0" w:type="dxa"/>
              <w:right w:w="20" w:type="dxa"/>
            </w:tcMar>
            <w:vAlign w:val="bottom"/>
          </w:tcPr>
          <w:p w14:paraId="35D0B828"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829"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82A" w14:textId="77777777" w:rsidR="00D42204" w:rsidRDefault="004E439D">
            <w:pPr>
              <w:jc w:val="right"/>
              <w:textAlignment w:val="center"/>
            </w:pPr>
            <w:r>
              <w:rPr>
                <w:rFonts w:ascii="Times New Roman" w:eastAsia="宋体" w:hAnsi="Times New Roman"/>
                <w:color w:val="000000"/>
                <w:sz w:val="16"/>
                <w:szCs w:val="16"/>
              </w:rPr>
              <w:t>4,756 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82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82C"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82D"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82E" w14:textId="77777777" w:rsidR="00D42204" w:rsidRDefault="004E439D">
            <w:pPr>
              <w:jc w:val="right"/>
              <w:textAlignment w:val="center"/>
            </w:pPr>
            <w:r>
              <w:rPr>
                <w:rFonts w:ascii="Times New Roman" w:eastAsia="宋体" w:hAnsi="Times New Roman"/>
                <w:color w:val="000000"/>
                <w:sz w:val="16"/>
                <w:szCs w:val="16"/>
              </w:rPr>
              <w:t>6,858 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82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830"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831"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832" w14:textId="77777777" w:rsidR="00D42204" w:rsidRDefault="004E439D">
            <w:pPr>
              <w:jc w:val="right"/>
              <w:textAlignment w:val="center"/>
            </w:pPr>
            <w:r>
              <w:rPr>
                <w:rFonts w:ascii="Times New Roman" w:eastAsia="宋体" w:hAnsi="Times New Roman"/>
                <w:color w:val="000000"/>
                <w:sz w:val="16"/>
                <w:szCs w:val="16"/>
              </w:rPr>
              <w:t>4,915 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833" w14:textId="77777777" w:rsidR="00D42204" w:rsidRDefault="00D42204">
            <w:pPr>
              <w:jc w:val="right"/>
              <w:rPr>
                <w:rFonts w:ascii="宋体"/>
              </w:rPr>
            </w:pPr>
          </w:p>
        </w:tc>
      </w:tr>
    </w:tbl>
    <w:p w14:paraId="35D0B835" w14:textId="77777777" w:rsidR="00D42204" w:rsidRDefault="004E439D">
      <w:pPr>
        <w:jc w:val="center"/>
      </w:pPr>
      <w:r>
        <w:rPr>
          <w:rFonts w:ascii="Times New Roman" w:eastAsia="宋体" w:hAnsi="Times New Roman"/>
          <w:color w:val="000000"/>
          <w:sz w:val="20"/>
          <w:szCs w:val="20"/>
        </w:rPr>
        <w:t>71</w:t>
      </w:r>
    </w:p>
    <w:p w14:paraId="35D0B836" w14:textId="77777777" w:rsidR="00D42204" w:rsidRDefault="004E439D">
      <w:r>
        <w:pict w14:anchorId="35D0C3A2">
          <v:rect id="_x0000_i1095" style="width:415.3pt;height:1.5pt" o:hralign="center" o:hrstd="t" o:hr="t" fillcolor="#a0a0a0" stroked="f"/>
        </w:pict>
      </w:r>
    </w:p>
    <w:p w14:paraId="35D0B837" w14:textId="77777777" w:rsidR="00D42204" w:rsidRDefault="00D42204"/>
    <w:p w14:paraId="35D0B838" w14:textId="77777777" w:rsidR="00D42204" w:rsidRDefault="004E439D">
      <w:pPr>
        <w:spacing w:before="180"/>
      </w:pPr>
      <w:r>
        <w:rPr>
          <w:rFonts w:ascii="Times New Roman" w:eastAsia="宋体" w:hAnsi="Times New Roman"/>
          <w:i/>
          <w:iCs/>
          <w:color w:val="000000"/>
          <w:sz w:val="20"/>
          <w:szCs w:val="20"/>
        </w:rPr>
        <w:t>Effective Income Tax Rate Reconciliation</w:t>
      </w:r>
    </w:p>
    <w:p w14:paraId="35D0B839" w14:textId="77777777" w:rsidR="00D42204" w:rsidRDefault="004E439D">
      <w:pPr>
        <w:spacing w:before="100"/>
      </w:pPr>
      <w:r>
        <w:rPr>
          <w:rFonts w:ascii="Times New Roman" w:eastAsia="宋体" w:hAnsi="Times New Roman"/>
          <w:color w:val="000000"/>
          <w:sz w:val="20"/>
          <w:szCs w:val="20"/>
        </w:rPr>
        <w:t xml:space="preserve">A reconciliation of the significant differences between the U.S. statutory tax rate and the effective income tax </w:t>
      </w:r>
      <w:r>
        <w:rPr>
          <w:rFonts w:ascii="Times New Roman" w:eastAsia="宋体" w:hAnsi="Times New Roman"/>
          <w:color w:val="000000"/>
          <w:sz w:val="20"/>
          <w:szCs w:val="20"/>
        </w:rPr>
        <w:t>rate on pre-tax income from continuing operations is as follows:</w:t>
      </w:r>
    </w:p>
    <w:tbl>
      <w:tblPr>
        <w:tblW w:w="4993" w:type="pct"/>
        <w:tblCellMar>
          <w:top w:w="15" w:type="dxa"/>
          <w:left w:w="15" w:type="dxa"/>
          <w:bottom w:w="15" w:type="dxa"/>
          <w:right w:w="15" w:type="dxa"/>
        </w:tblCellMar>
        <w:tblLook w:val="04A0" w:firstRow="1" w:lastRow="0" w:firstColumn="1" w:lastColumn="0" w:noHBand="0" w:noVBand="1"/>
      </w:tblPr>
      <w:tblGrid>
        <w:gridCol w:w="40"/>
        <w:gridCol w:w="5346"/>
        <w:gridCol w:w="39"/>
        <w:gridCol w:w="36"/>
        <w:gridCol w:w="36"/>
        <w:gridCol w:w="36"/>
        <w:gridCol w:w="37"/>
        <w:gridCol w:w="665"/>
        <w:gridCol w:w="155"/>
        <w:gridCol w:w="36"/>
        <w:gridCol w:w="36"/>
        <w:gridCol w:w="36"/>
        <w:gridCol w:w="37"/>
        <w:gridCol w:w="666"/>
        <w:gridCol w:w="155"/>
        <w:gridCol w:w="36"/>
        <w:gridCol w:w="36"/>
        <w:gridCol w:w="36"/>
        <w:gridCol w:w="37"/>
        <w:gridCol w:w="668"/>
        <w:gridCol w:w="155"/>
      </w:tblGrid>
      <w:tr w:rsidR="00D42204" w14:paraId="35D0B84F" w14:textId="77777777">
        <w:tc>
          <w:tcPr>
            <w:tcW w:w="50" w:type="pct"/>
            <w:shd w:val="clear" w:color="auto" w:fill="auto"/>
            <w:vAlign w:val="bottom"/>
          </w:tcPr>
          <w:p w14:paraId="35D0B83A" w14:textId="77777777" w:rsidR="00D42204" w:rsidRDefault="00D42204">
            <w:pPr>
              <w:rPr>
                <w:rFonts w:ascii="宋体"/>
              </w:rPr>
            </w:pPr>
          </w:p>
        </w:tc>
        <w:tc>
          <w:tcPr>
            <w:tcW w:w="3253" w:type="pct"/>
            <w:shd w:val="clear" w:color="auto" w:fill="auto"/>
            <w:vAlign w:val="bottom"/>
          </w:tcPr>
          <w:p w14:paraId="35D0B83B" w14:textId="77777777" w:rsidR="00D42204" w:rsidRDefault="00D42204">
            <w:pPr>
              <w:rPr>
                <w:rFonts w:ascii="宋体"/>
              </w:rPr>
            </w:pPr>
          </w:p>
        </w:tc>
        <w:tc>
          <w:tcPr>
            <w:tcW w:w="5" w:type="pct"/>
            <w:shd w:val="clear" w:color="auto" w:fill="auto"/>
            <w:vAlign w:val="bottom"/>
          </w:tcPr>
          <w:p w14:paraId="35D0B83C" w14:textId="77777777" w:rsidR="00D42204" w:rsidRDefault="00D42204">
            <w:pPr>
              <w:rPr>
                <w:rFonts w:ascii="宋体"/>
              </w:rPr>
            </w:pPr>
          </w:p>
        </w:tc>
        <w:tc>
          <w:tcPr>
            <w:tcW w:w="5" w:type="pct"/>
            <w:shd w:val="clear" w:color="auto" w:fill="auto"/>
            <w:vAlign w:val="bottom"/>
          </w:tcPr>
          <w:p w14:paraId="35D0B83D" w14:textId="77777777" w:rsidR="00D42204" w:rsidRDefault="00D42204">
            <w:pPr>
              <w:rPr>
                <w:rFonts w:ascii="宋体"/>
              </w:rPr>
            </w:pPr>
          </w:p>
        </w:tc>
        <w:tc>
          <w:tcPr>
            <w:tcW w:w="26" w:type="pct"/>
            <w:shd w:val="clear" w:color="auto" w:fill="auto"/>
            <w:vAlign w:val="bottom"/>
          </w:tcPr>
          <w:p w14:paraId="35D0B83E" w14:textId="77777777" w:rsidR="00D42204" w:rsidRDefault="00D42204">
            <w:pPr>
              <w:rPr>
                <w:rFonts w:ascii="宋体"/>
              </w:rPr>
            </w:pPr>
          </w:p>
        </w:tc>
        <w:tc>
          <w:tcPr>
            <w:tcW w:w="5" w:type="pct"/>
            <w:shd w:val="clear" w:color="auto" w:fill="auto"/>
            <w:vAlign w:val="bottom"/>
          </w:tcPr>
          <w:p w14:paraId="35D0B83F" w14:textId="77777777" w:rsidR="00D42204" w:rsidRDefault="00D42204">
            <w:pPr>
              <w:rPr>
                <w:rFonts w:ascii="宋体"/>
              </w:rPr>
            </w:pPr>
          </w:p>
        </w:tc>
        <w:tc>
          <w:tcPr>
            <w:tcW w:w="50" w:type="pct"/>
            <w:shd w:val="clear" w:color="auto" w:fill="auto"/>
            <w:vAlign w:val="bottom"/>
          </w:tcPr>
          <w:p w14:paraId="35D0B840" w14:textId="77777777" w:rsidR="00D42204" w:rsidRDefault="00D42204">
            <w:pPr>
              <w:rPr>
                <w:rFonts w:ascii="宋体"/>
              </w:rPr>
            </w:pPr>
          </w:p>
        </w:tc>
        <w:tc>
          <w:tcPr>
            <w:tcW w:w="472" w:type="pct"/>
            <w:shd w:val="clear" w:color="auto" w:fill="auto"/>
            <w:vAlign w:val="bottom"/>
          </w:tcPr>
          <w:p w14:paraId="35D0B841" w14:textId="77777777" w:rsidR="00D42204" w:rsidRDefault="00D42204">
            <w:pPr>
              <w:rPr>
                <w:rFonts w:ascii="宋体"/>
              </w:rPr>
            </w:pPr>
          </w:p>
        </w:tc>
        <w:tc>
          <w:tcPr>
            <w:tcW w:w="5" w:type="pct"/>
            <w:shd w:val="clear" w:color="auto" w:fill="auto"/>
            <w:vAlign w:val="bottom"/>
          </w:tcPr>
          <w:p w14:paraId="35D0B842" w14:textId="77777777" w:rsidR="00D42204" w:rsidRDefault="00D42204">
            <w:pPr>
              <w:rPr>
                <w:rFonts w:ascii="宋体"/>
              </w:rPr>
            </w:pPr>
          </w:p>
        </w:tc>
        <w:tc>
          <w:tcPr>
            <w:tcW w:w="5" w:type="pct"/>
            <w:shd w:val="clear" w:color="auto" w:fill="auto"/>
            <w:vAlign w:val="bottom"/>
          </w:tcPr>
          <w:p w14:paraId="35D0B843" w14:textId="77777777" w:rsidR="00D42204" w:rsidRDefault="00D42204">
            <w:pPr>
              <w:rPr>
                <w:rFonts w:ascii="宋体"/>
              </w:rPr>
            </w:pPr>
          </w:p>
        </w:tc>
        <w:tc>
          <w:tcPr>
            <w:tcW w:w="26" w:type="pct"/>
            <w:shd w:val="clear" w:color="auto" w:fill="auto"/>
            <w:vAlign w:val="bottom"/>
          </w:tcPr>
          <w:p w14:paraId="35D0B844" w14:textId="77777777" w:rsidR="00D42204" w:rsidRDefault="00D42204">
            <w:pPr>
              <w:rPr>
                <w:rFonts w:ascii="宋体"/>
              </w:rPr>
            </w:pPr>
          </w:p>
        </w:tc>
        <w:tc>
          <w:tcPr>
            <w:tcW w:w="5" w:type="pct"/>
            <w:shd w:val="clear" w:color="auto" w:fill="auto"/>
            <w:vAlign w:val="bottom"/>
          </w:tcPr>
          <w:p w14:paraId="35D0B845" w14:textId="77777777" w:rsidR="00D42204" w:rsidRDefault="00D42204">
            <w:pPr>
              <w:rPr>
                <w:rFonts w:ascii="宋体"/>
              </w:rPr>
            </w:pPr>
          </w:p>
        </w:tc>
        <w:tc>
          <w:tcPr>
            <w:tcW w:w="50" w:type="pct"/>
            <w:shd w:val="clear" w:color="auto" w:fill="auto"/>
            <w:vAlign w:val="bottom"/>
          </w:tcPr>
          <w:p w14:paraId="35D0B846" w14:textId="77777777" w:rsidR="00D42204" w:rsidRDefault="00D42204">
            <w:pPr>
              <w:rPr>
                <w:rFonts w:ascii="宋体"/>
              </w:rPr>
            </w:pPr>
          </w:p>
        </w:tc>
        <w:tc>
          <w:tcPr>
            <w:tcW w:w="472" w:type="pct"/>
            <w:shd w:val="clear" w:color="auto" w:fill="auto"/>
            <w:vAlign w:val="bottom"/>
          </w:tcPr>
          <w:p w14:paraId="35D0B847" w14:textId="77777777" w:rsidR="00D42204" w:rsidRDefault="00D42204">
            <w:pPr>
              <w:rPr>
                <w:rFonts w:ascii="宋体"/>
              </w:rPr>
            </w:pPr>
          </w:p>
        </w:tc>
        <w:tc>
          <w:tcPr>
            <w:tcW w:w="5" w:type="pct"/>
            <w:shd w:val="clear" w:color="auto" w:fill="auto"/>
            <w:vAlign w:val="bottom"/>
          </w:tcPr>
          <w:p w14:paraId="35D0B848" w14:textId="77777777" w:rsidR="00D42204" w:rsidRDefault="00D42204">
            <w:pPr>
              <w:rPr>
                <w:rFonts w:ascii="宋体"/>
              </w:rPr>
            </w:pPr>
          </w:p>
        </w:tc>
        <w:tc>
          <w:tcPr>
            <w:tcW w:w="5" w:type="pct"/>
            <w:shd w:val="clear" w:color="auto" w:fill="auto"/>
            <w:vAlign w:val="bottom"/>
          </w:tcPr>
          <w:p w14:paraId="35D0B849" w14:textId="77777777" w:rsidR="00D42204" w:rsidRDefault="00D42204">
            <w:pPr>
              <w:rPr>
                <w:rFonts w:ascii="宋体"/>
              </w:rPr>
            </w:pPr>
          </w:p>
        </w:tc>
        <w:tc>
          <w:tcPr>
            <w:tcW w:w="26" w:type="pct"/>
            <w:shd w:val="clear" w:color="auto" w:fill="auto"/>
            <w:vAlign w:val="bottom"/>
          </w:tcPr>
          <w:p w14:paraId="35D0B84A" w14:textId="77777777" w:rsidR="00D42204" w:rsidRDefault="00D42204">
            <w:pPr>
              <w:rPr>
                <w:rFonts w:ascii="宋体"/>
              </w:rPr>
            </w:pPr>
          </w:p>
        </w:tc>
        <w:tc>
          <w:tcPr>
            <w:tcW w:w="5" w:type="pct"/>
            <w:shd w:val="clear" w:color="auto" w:fill="auto"/>
            <w:vAlign w:val="bottom"/>
          </w:tcPr>
          <w:p w14:paraId="35D0B84B" w14:textId="77777777" w:rsidR="00D42204" w:rsidRDefault="00D42204">
            <w:pPr>
              <w:rPr>
                <w:rFonts w:ascii="宋体"/>
              </w:rPr>
            </w:pPr>
          </w:p>
        </w:tc>
        <w:tc>
          <w:tcPr>
            <w:tcW w:w="50" w:type="pct"/>
            <w:shd w:val="clear" w:color="auto" w:fill="auto"/>
            <w:vAlign w:val="bottom"/>
          </w:tcPr>
          <w:p w14:paraId="35D0B84C" w14:textId="77777777" w:rsidR="00D42204" w:rsidRDefault="00D42204">
            <w:pPr>
              <w:rPr>
                <w:rFonts w:ascii="宋体"/>
              </w:rPr>
            </w:pPr>
          </w:p>
        </w:tc>
        <w:tc>
          <w:tcPr>
            <w:tcW w:w="472" w:type="pct"/>
            <w:shd w:val="clear" w:color="auto" w:fill="auto"/>
            <w:vAlign w:val="bottom"/>
          </w:tcPr>
          <w:p w14:paraId="35D0B84D" w14:textId="77777777" w:rsidR="00D42204" w:rsidRDefault="00D42204">
            <w:pPr>
              <w:rPr>
                <w:rFonts w:ascii="宋体"/>
              </w:rPr>
            </w:pPr>
          </w:p>
        </w:tc>
        <w:tc>
          <w:tcPr>
            <w:tcW w:w="5" w:type="pct"/>
            <w:shd w:val="clear" w:color="auto" w:fill="auto"/>
            <w:vAlign w:val="bottom"/>
          </w:tcPr>
          <w:p w14:paraId="35D0B84E" w14:textId="77777777" w:rsidR="00D42204" w:rsidRDefault="00D42204">
            <w:pPr>
              <w:rPr>
                <w:rFonts w:ascii="宋体"/>
              </w:rPr>
            </w:pPr>
          </w:p>
        </w:tc>
      </w:tr>
      <w:tr w:rsidR="00D42204" w14:paraId="35D0B853" w14:textId="77777777">
        <w:tc>
          <w:tcPr>
            <w:tcW w:w="0" w:type="auto"/>
            <w:gridSpan w:val="3"/>
            <w:shd w:val="clear" w:color="auto" w:fill="auto"/>
            <w:tcMar>
              <w:top w:w="40" w:type="dxa"/>
              <w:left w:w="20" w:type="dxa"/>
              <w:bottom w:w="40" w:type="dxa"/>
              <w:right w:w="20" w:type="dxa"/>
            </w:tcMar>
            <w:vAlign w:val="bottom"/>
          </w:tcPr>
          <w:p w14:paraId="35D0B850"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B851"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B852" w14:textId="77777777" w:rsidR="00D42204" w:rsidRDefault="004E439D">
            <w:pPr>
              <w:jc w:val="center"/>
              <w:textAlignment w:val="bottom"/>
            </w:pPr>
            <w:r>
              <w:rPr>
                <w:rFonts w:ascii="Times New Roman" w:eastAsia="宋体" w:hAnsi="Times New Roman"/>
                <w:b/>
                <w:bCs/>
                <w:color w:val="000000"/>
                <w:sz w:val="16"/>
                <w:szCs w:val="16"/>
              </w:rPr>
              <w:t xml:space="preserve">Fiscal </w:t>
            </w:r>
            <w:r>
              <w:rPr>
                <w:rFonts w:ascii="Times New Roman" w:eastAsia="宋体" w:hAnsi="Times New Roman"/>
                <w:b/>
                <w:bCs/>
                <w:color w:val="000000"/>
                <w:sz w:val="16"/>
                <w:szCs w:val="16"/>
              </w:rPr>
              <w:t>Years Ended January 31,</w:t>
            </w:r>
          </w:p>
        </w:tc>
      </w:tr>
      <w:tr w:rsidR="00D42204" w14:paraId="35D0B85B" w14:textId="77777777">
        <w:tc>
          <w:tcPr>
            <w:tcW w:w="0" w:type="auto"/>
            <w:gridSpan w:val="3"/>
            <w:shd w:val="clear" w:color="auto" w:fill="auto"/>
            <w:tcMar>
              <w:top w:w="40" w:type="dxa"/>
              <w:left w:w="20" w:type="dxa"/>
              <w:bottom w:w="40" w:type="dxa"/>
              <w:right w:w="20" w:type="dxa"/>
            </w:tcMar>
            <w:vAlign w:val="bottom"/>
          </w:tcPr>
          <w:p w14:paraId="35D0B854"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B855"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856"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857"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858"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859"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85A"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B866" w14:textId="77777777">
        <w:tc>
          <w:tcPr>
            <w:tcW w:w="0" w:type="auto"/>
            <w:gridSpan w:val="3"/>
            <w:shd w:val="clear" w:color="auto" w:fill="CCEEFF"/>
            <w:tcMar>
              <w:top w:w="40" w:type="dxa"/>
              <w:left w:w="20" w:type="dxa"/>
              <w:bottom w:w="40" w:type="dxa"/>
              <w:right w:w="20" w:type="dxa"/>
            </w:tcMar>
            <w:vAlign w:val="center"/>
          </w:tcPr>
          <w:p w14:paraId="35D0B85C" w14:textId="77777777" w:rsidR="00D42204" w:rsidRDefault="004E439D">
            <w:pPr>
              <w:textAlignment w:val="center"/>
            </w:pPr>
            <w:r>
              <w:rPr>
                <w:rFonts w:ascii="Times New Roman" w:eastAsia="宋体" w:hAnsi="Times New Roman"/>
                <w:color w:val="000000"/>
                <w:sz w:val="16"/>
                <w:szCs w:val="16"/>
              </w:rPr>
              <w:t>U.S. statutory tax rate</w:t>
            </w:r>
          </w:p>
        </w:tc>
        <w:tc>
          <w:tcPr>
            <w:tcW w:w="0" w:type="auto"/>
            <w:gridSpan w:val="3"/>
            <w:shd w:val="clear" w:color="auto" w:fill="CCEEFF"/>
            <w:tcMar>
              <w:top w:w="0" w:type="dxa"/>
              <w:left w:w="20" w:type="dxa"/>
              <w:bottom w:w="0" w:type="dxa"/>
              <w:right w:w="20" w:type="dxa"/>
            </w:tcMar>
            <w:vAlign w:val="bottom"/>
          </w:tcPr>
          <w:p w14:paraId="35D0B85D"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B85E" w14:textId="77777777" w:rsidR="00D42204" w:rsidRDefault="004E439D">
            <w:pPr>
              <w:jc w:val="right"/>
              <w:textAlignment w:val="center"/>
            </w:pPr>
            <w:r>
              <w:rPr>
                <w:rFonts w:ascii="Times New Roman" w:eastAsia="宋体" w:hAnsi="Times New Roman"/>
                <w:color w:val="000000"/>
                <w:sz w:val="16"/>
                <w:szCs w:val="16"/>
              </w:rPr>
              <w:t>21.0 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85F"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B860"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B861" w14:textId="77777777" w:rsidR="00D42204" w:rsidRDefault="004E439D">
            <w:pPr>
              <w:jc w:val="right"/>
              <w:textAlignment w:val="center"/>
            </w:pPr>
            <w:r>
              <w:rPr>
                <w:rFonts w:ascii="Times New Roman" w:eastAsia="宋体" w:hAnsi="Times New Roman"/>
                <w:color w:val="000000"/>
                <w:sz w:val="16"/>
                <w:szCs w:val="16"/>
              </w:rPr>
              <w:t>21.0 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862"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B863"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B864" w14:textId="77777777" w:rsidR="00D42204" w:rsidRDefault="004E439D">
            <w:pPr>
              <w:jc w:val="right"/>
              <w:textAlignment w:val="center"/>
            </w:pPr>
            <w:r>
              <w:rPr>
                <w:rFonts w:ascii="Times New Roman" w:eastAsia="宋体" w:hAnsi="Times New Roman"/>
                <w:color w:val="000000"/>
                <w:sz w:val="16"/>
                <w:szCs w:val="16"/>
              </w:rPr>
              <w:t>21.0 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865"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B871" w14:textId="77777777">
        <w:tc>
          <w:tcPr>
            <w:tcW w:w="0" w:type="auto"/>
            <w:gridSpan w:val="3"/>
            <w:shd w:val="clear" w:color="auto" w:fill="FFFFFF"/>
            <w:tcMar>
              <w:top w:w="40" w:type="dxa"/>
              <w:left w:w="20" w:type="dxa"/>
              <w:bottom w:w="40" w:type="dxa"/>
              <w:right w:w="20" w:type="dxa"/>
            </w:tcMar>
            <w:vAlign w:val="center"/>
          </w:tcPr>
          <w:p w14:paraId="35D0B867" w14:textId="77777777" w:rsidR="00D42204" w:rsidRDefault="004E439D">
            <w:pPr>
              <w:textAlignment w:val="center"/>
            </w:pPr>
            <w:r>
              <w:rPr>
                <w:rFonts w:ascii="Times New Roman" w:eastAsia="宋体" w:hAnsi="Times New Roman"/>
                <w:color w:val="000000"/>
                <w:sz w:val="16"/>
                <w:szCs w:val="16"/>
              </w:rPr>
              <w:t>U.S. state income taxes, net of federal income tax benefit</w:t>
            </w:r>
          </w:p>
        </w:tc>
        <w:tc>
          <w:tcPr>
            <w:tcW w:w="0" w:type="auto"/>
            <w:gridSpan w:val="3"/>
            <w:shd w:val="clear" w:color="auto" w:fill="FFFFFF"/>
            <w:tcMar>
              <w:top w:w="0" w:type="dxa"/>
              <w:left w:w="20" w:type="dxa"/>
              <w:bottom w:w="0" w:type="dxa"/>
              <w:right w:w="20" w:type="dxa"/>
            </w:tcMar>
            <w:vAlign w:val="bottom"/>
          </w:tcPr>
          <w:p w14:paraId="35D0B86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869" w14:textId="77777777" w:rsidR="00D42204" w:rsidRDefault="004E439D">
            <w:pPr>
              <w:jc w:val="right"/>
              <w:textAlignment w:val="center"/>
            </w:pPr>
            <w:r>
              <w:rPr>
                <w:rFonts w:ascii="Times New Roman" w:eastAsia="宋体" w:hAnsi="Times New Roman"/>
                <w:color w:val="000000"/>
                <w:sz w:val="16"/>
                <w:szCs w:val="16"/>
              </w:rPr>
              <w:t>2.8 </w:t>
            </w:r>
          </w:p>
        </w:tc>
        <w:tc>
          <w:tcPr>
            <w:tcW w:w="0" w:type="auto"/>
            <w:shd w:val="clear" w:color="auto" w:fill="FFFFFF"/>
            <w:tcMar>
              <w:top w:w="40" w:type="dxa"/>
              <w:left w:w="0" w:type="dxa"/>
              <w:bottom w:w="40" w:type="dxa"/>
              <w:right w:w="20" w:type="dxa"/>
            </w:tcMar>
            <w:vAlign w:val="center"/>
          </w:tcPr>
          <w:p w14:paraId="35D0B86A"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B86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86C" w14:textId="77777777" w:rsidR="00D42204" w:rsidRDefault="004E439D">
            <w:pPr>
              <w:jc w:val="right"/>
              <w:textAlignment w:val="center"/>
            </w:pPr>
            <w:r>
              <w:rPr>
                <w:rFonts w:ascii="Times New Roman" w:eastAsia="宋体" w:hAnsi="Times New Roman"/>
                <w:color w:val="000000"/>
                <w:sz w:val="16"/>
                <w:szCs w:val="16"/>
              </w:rPr>
              <w:t>2.9 </w:t>
            </w:r>
          </w:p>
        </w:tc>
        <w:tc>
          <w:tcPr>
            <w:tcW w:w="0" w:type="auto"/>
            <w:shd w:val="clear" w:color="auto" w:fill="FFFFFF"/>
            <w:tcMar>
              <w:top w:w="40" w:type="dxa"/>
              <w:left w:w="0" w:type="dxa"/>
              <w:bottom w:w="40" w:type="dxa"/>
              <w:right w:w="20" w:type="dxa"/>
            </w:tcMar>
            <w:vAlign w:val="center"/>
          </w:tcPr>
          <w:p w14:paraId="35D0B86D"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B86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86F" w14:textId="77777777" w:rsidR="00D42204" w:rsidRDefault="004E439D">
            <w:pPr>
              <w:jc w:val="right"/>
              <w:textAlignment w:val="center"/>
            </w:pPr>
            <w:r>
              <w:rPr>
                <w:rFonts w:ascii="Times New Roman" w:eastAsia="宋体" w:hAnsi="Times New Roman"/>
                <w:color w:val="000000"/>
                <w:sz w:val="16"/>
                <w:szCs w:val="16"/>
              </w:rPr>
              <w:t>2.2 </w:t>
            </w:r>
          </w:p>
        </w:tc>
        <w:tc>
          <w:tcPr>
            <w:tcW w:w="0" w:type="auto"/>
            <w:shd w:val="clear" w:color="auto" w:fill="FFFFFF"/>
            <w:tcMar>
              <w:top w:w="40" w:type="dxa"/>
              <w:left w:w="0" w:type="dxa"/>
              <w:bottom w:w="40" w:type="dxa"/>
              <w:right w:w="20" w:type="dxa"/>
            </w:tcMar>
            <w:vAlign w:val="center"/>
          </w:tcPr>
          <w:p w14:paraId="35D0B870"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B87C" w14:textId="77777777">
        <w:tc>
          <w:tcPr>
            <w:tcW w:w="0" w:type="auto"/>
            <w:gridSpan w:val="3"/>
            <w:shd w:val="clear" w:color="auto" w:fill="CCEEFF"/>
            <w:tcMar>
              <w:top w:w="40" w:type="dxa"/>
              <w:left w:w="20" w:type="dxa"/>
              <w:bottom w:w="40" w:type="dxa"/>
              <w:right w:w="20" w:type="dxa"/>
            </w:tcMar>
            <w:vAlign w:val="center"/>
          </w:tcPr>
          <w:p w14:paraId="35D0B872" w14:textId="77777777" w:rsidR="00D42204" w:rsidRDefault="004E439D">
            <w:pPr>
              <w:textAlignment w:val="center"/>
            </w:pPr>
            <w:r>
              <w:rPr>
                <w:rFonts w:ascii="Times New Roman" w:eastAsia="宋体" w:hAnsi="Times New Roman"/>
                <w:color w:val="000000"/>
                <w:sz w:val="16"/>
                <w:szCs w:val="16"/>
              </w:rPr>
              <w:t>Income taxed outside the U.S.</w:t>
            </w:r>
          </w:p>
        </w:tc>
        <w:tc>
          <w:tcPr>
            <w:tcW w:w="0" w:type="auto"/>
            <w:gridSpan w:val="3"/>
            <w:shd w:val="clear" w:color="auto" w:fill="CCEEFF"/>
            <w:tcMar>
              <w:top w:w="0" w:type="dxa"/>
              <w:left w:w="20" w:type="dxa"/>
              <w:bottom w:w="0" w:type="dxa"/>
              <w:right w:w="20" w:type="dxa"/>
            </w:tcMar>
            <w:vAlign w:val="bottom"/>
          </w:tcPr>
          <w:p w14:paraId="35D0B87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874" w14:textId="77777777" w:rsidR="00D42204" w:rsidRDefault="004E439D">
            <w:pPr>
              <w:jc w:val="right"/>
              <w:textAlignment w:val="center"/>
            </w:pPr>
            <w:r>
              <w:rPr>
                <w:rFonts w:ascii="Times New Roman" w:eastAsia="宋体" w:hAnsi="Times New Roman"/>
                <w:color w:val="000000"/>
                <w:sz w:val="16"/>
                <w:szCs w:val="16"/>
              </w:rPr>
              <w:t>(1.5)</w:t>
            </w:r>
          </w:p>
        </w:tc>
        <w:tc>
          <w:tcPr>
            <w:tcW w:w="0" w:type="auto"/>
            <w:shd w:val="clear" w:color="auto" w:fill="CCEEFF"/>
            <w:tcMar>
              <w:top w:w="40" w:type="dxa"/>
              <w:left w:w="0" w:type="dxa"/>
              <w:bottom w:w="40" w:type="dxa"/>
              <w:right w:w="20" w:type="dxa"/>
            </w:tcMar>
            <w:vAlign w:val="center"/>
          </w:tcPr>
          <w:p w14:paraId="35D0B875"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B87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877" w14:textId="77777777" w:rsidR="00D42204" w:rsidRDefault="004E439D">
            <w:pPr>
              <w:jc w:val="right"/>
              <w:textAlignment w:val="center"/>
            </w:pPr>
            <w:r>
              <w:rPr>
                <w:rFonts w:ascii="Times New Roman" w:eastAsia="宋体" w:hAnsi="Times New Roman"/>
                <w:color w:val="000000"/>
                <w:sz w:val="16"/>
                <w:szCs w:val="16"/>
              </w:rPr>
              <w:t>(0.1)</w:t>
            </w:r>
          </w:p>
        </w:tc>
        <w:tc>
          <w:tcPr>
            <w:tcW w:w="0" w:type="auto"/>
            <w:shd w:val="clear" w:color="auto" w:fill="CCEEFF"/>
            <w:tcMar>
              <w:top w:w="40" w:type="dxa"/>
              <w:left w:w="0" w:type="dxa"/>
              <w:bottom w:w="40" w:type="dxa"/>
              <w:right w:w="20" w:type="dxa"/>
            </w:tcMar>
            <w:vAlign w:val="center"/>
          </w:tcPr>
          <w:p w14:paraId="35D0B878"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B87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87A" w14:textId="77777777" w:rsidR="00D42204" w:rsidRDefault="004E439D">
            <w:pPr>
              <w:jc w:val="right"/>
              <w:textAlignment w:val="center"/>
            </w:pPr>
            <w:r>
              <w:rPr>
                <w:rFonts w:ascii="Times New Roman" w:eastAsia="宋体" w:hAnsi="Times New Roman"/>
                <w:color w:val="000000"/>
                <w:sz w:val="16"/>
                <w:szCs w:val="16"/>
              </w:rPr>
              <w:t>(1.0)</w:t>
            </w:r>
          </w:p>
        </w:tc>
        <w:tc>
          <w:tcPr>
            <w:tcW w:w="0" w:type="auto"/>
            <w:shd w:val="clear" w:color="auto" w:fill="CCEEFF"/>
            <w:tcMar>
              <w:top w:w="40" w:type="dxa"/>
              <w:left w:w="0" w:type="dxa"/>
              <w:bottom w:w="40" w:type="dxa"/>
              <w:right w:w="20" w:type="dxa"/>
            </w:tcMar>
            <w:vAlign w:val="center"/>
          </w:tcPr>
          <w:p w14:paraId="35D0B87B"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B887" w14:textId="77777777">
        <w:tc>
          <w:tcPr>
            <w:tcW w:w="0" w:type="auto"/>
            <w:gridSpan w:val="3"/>
            <w:shd w:val="clear" w:color="auto" w:fill="FFFFFF"/>
            <w:tcMar>
              <w:top w:w="40" w:type="dxa"/>
              <w:left w:w="20" w:type="dxa"/>
              <w:bottom w:w="40" w:type="dxa"/>
              <w:right w:w="20" w:type="dxa"/>
            </w:tcMar>
            <w:vAlign w:val="center"/>
          </w:tcPr>
          <w:p w14:paraId="35D0B87D" w14:textId="77777777" w:rsidR="00D42204" w:rsidRDefault="004E439D">
            <w:pPr>
              <w:textAlignment w:val="center"/>
            </w:pPr>
            <w:r>
              <w:rPr>
                <w:rFonts w:ascii="Times New Roman" w:eastAsia="宋体" w:hAnsi="Times New Roman"/>
                <w:color w:val="000000"/>
                <w:sz w:val="16"/>
                <w:szCs w:val="16"/>
              </w:rPr>
              <w:t>Disp</w:t>
            </w:r>
            <w:r>
              <w:rPr>
                <w:rFonts w:ascii="Times New Roman" w:eastAsia="宋体" w:hAnsi="Times New Roman"/>
                <w:color w:val="000000"/>
                <w:sz w:val="16"/>
                <w:szCs w:val="16"/>
              </w:rPr>
              <w:t>osal and wind-down of certain business operations</w:t>
            </w:r>
          </w:p>
        </w:tc>
        <w:tc>
          <w:tcPr>
            <w:tcW w:w="0" w:type="auto"/>
            <w:gridSpan w:val="3"/>
            <w:shd w:val="clear" w:color="auto" w:fill="FFFFFF"/>
            <w:tcMar>
              <w:top w:w="0" w:type="dxa"/>
              <w:left w:w="20" w:type="dxa"/>
              <w:bottom w:w="0" w:type="dxa"/>
              <w:right w:w="20" w:type="dxa"/>
            </w:tcMar>
            <w:vAlign w:val="bottom"/>
          </w:tcPr>
          <w:p w14:paraId="35D0B87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87F" w14:textId="77777777" w:rsidR="00D42204" w:rsidRDefault="004E439D">
            <w:pPr>
              <w:jc w:val="right"/>
              <w:textAlignment w:val="center"/>
            </w:pPr>
            <w:r>
              <w:rPr>
                <w:rFonts w:ascii="Times New Roman" w:eastAsia="宋体" w:hAnsi="Times New Roman"/>
                <w:color w:val="000000"/>
                <w:sz w:val="16"/>
                <w:szCs w:val="16"/>
              </w:rPr>
              <w:t>0.5 </w:t>
            </w:r>
          </w:p>
        </w:tc>
        <w:tc>
          <w:tcPr>
            <w:tcW w:w="0" w:type="auto"/>
            <w:shd w:val="clear" w:color="auto" w:fill="FFFFFF"/>
            <w:tcMar>
              <w:top w:w="40" w:type="dxa"/>
              <w:left w:w="0" w:type="dxa"/>
              <w:bottom w:w="40" w:type="dxa"/>
              <w:right w:w="20" w:type="dxa"/>
            </w:tcMar>
            <w:vAlign w:val="center"/>
          </w:tcPr>
          <w:p w14:paraId="35D0B880"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B88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882" w14:textId="77777777" w:rsidR="00D42204" w:rsidRDefault="004E439D">
            <w:pPr>
              <w:jc w:val="right"/>
              <w:textAlignment w:val="center"/>
            </w:pPr>
            <w:r>
              <w:rPr>
                <w:rFonts w:ascii="Times New Roman" w:eastAsia="宋体" w:hAnsi="Times New Roman"/>
                <w:color w:val="000000"/>
                <w:sz w:val="16"/>
                <w:szCs w:val="16"/>
              </w:rPr>
              <w:t>7.1 </w:t>
            </w:r>
          </w:p>
        </w:tc>
        <w:tc>
          <w:tcPr>
            <w:tcW w:w="0" w:type="auto"/>
            <w:shd w:val="clear" w:color="auto" w:fill="FFFFFF"/>
            <w:tcMar>
              <w:top w:w="40" w:type="dxa"/>
              <w:left w:w="0" w:type="dxa"/>
              <w:bottom w:w="40" w:type="dxa"/>
              <w:right w:w="20" w:type="dxa"/>
            </w:tcMar>
            <w:vAlign w:val="center"/>
          </w:tcPr>
          <w:p w14:paraId="35D0B883"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B88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885"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B886"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B892" w14:textId="77777777">
        <w:tc>
          <w:tcPr>
            <w:tcW w:w="0" w:type="auto"/>
            <w:gridSpan w:val="3"/>
            <w:shd w:val="clear" w:color="auto" w:fill="CCEEFF"/>
            <w:tcMar>
              <w:top w:w="40" w:type="dxa"/>
              <w:left w:w="20" w:type="dxa"/>
              <w:bottom w:w="40" w:type="dxa"/>
              <w:right w:w="20" w:type="dxa"/>
            </w:tcMar>
            <w:vAlign w:val="center"/>
          </w:tcPr>
          <w:p w14:paraId="35D0B888" w14:textId="77777777" w:rsidR="00D42204" w:rsidRDefault="004E439D">
            <w:pPr>
              <w:textAlignment w:val="center"/>
            </w:pPr>
            <w:r>
              <w:rPr>
                <w:rFonts w:ascii="Times New Roman" w:eastAsia="宋体" w:hAnsi="Times New Roman"/>
                <w:color w:val="000000"/>
                <w:sz w:val="16"/>
                <w:szCs w:val="16"/>
              </w:rPr>
              <w:t>Valuation allowance</w:t>
            </w:r>
          </w:p>
        </w:tc>
        <w:tc>
          <w:tcPr>
            <w:tcW w:w="0" w:type="auto"/>
            <w:gridSpan w:val="3"/>
            <w:shd w:val="clear" w:color="auto" w:fill="CCEEFF"/>
            <w:tcMar>
              <w:top w:w="0" w:type="dxa"/>
              <w:left w:w="20" w:type="dxa"/>
              <w:bottom w:w="0" w:type="dxa"/>
              <w:right w:w="20" w:type="dxa"/>
            </w:tcMar>
            <w:vAlign w:val="bottom"/>
          </w:tcPr>
          <w:p w14:paraId="35D0B88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88A" w14:textId="77777777" w:rsidR="00D42204" w:rsidRDefault="004E439D">
            <w:pPr>
              <w:jc w:val="right"/>
              <w:textAlignment w:val="center"/>
            </w:pPr>
            <w:r>
              <w:rPr>
                <w:rFonts w:ascii="Times New Roman" w:eastAsia="宋体" w:hAnsi="Times New Roman"/>
                <w:color w:val="000000"/>
                <w:sz w:val="16"/>
                <w:szCs w:val="16"/>
              </w:rPr>
              <w:t>4.4 </w:t>
            </w:r>
          </w:p>
        </w:tc>
        <w:tc>
          <w:tcPr>
            <w:tcW w:w="0" w:type="auto"/>
            <w:shd w:val="clear" w:color="auto" w:fill="CCEEFF"/>
            <w:tcMar>
              <w:top w:w="40" w:type="dxa"/>
              <w:left w:w="0" w:type="dxa"/>
              <w:bottom w:w="40" w:type="dxa"/>
              <w:right w:w="20" w:type="dxa"/>
            </w:tcMar>
            <w:vAlign w:val="center"/>
          </w:tcPr>
          <w:p w14:paraId="35D0B88B"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B88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88D" w14:textId="77777777" w:rsidR="00D42204" w:rsidRDefault="004E439D">
            <w:pPr>
              <w:jc w:val="right"/>
              <w:textAlignment w:val="center"/>
            </w:pPr>
            <w:r>
              <w:rPr>
                <w:rFonts w:ascii="Times New Roman" w:eastAsia="宋体" w:hAnsi="Times New Roman"/>
                <w:color w:val="000000"/>
                <w:sz w:val="16"/>
                <w:szCs w:val="16"/>
              </w:rPr>
              <w:t>2.3 </w:t>
            </w:r>
          </w:p>
        </w:tc>
        <w:tc>
          <w:tcPr>
            <w:tcW w:w="0" w:type="auto"/>
            <w:shd w:val="clear" w:color="auto" w:fill="CCEEFF"/>
            <w:tcMar>
              <w:top w:w="40" w:type="dxa"/>
              <w:left w:w="0" w:type="dxa"/>
              <w:bottom w:w="40" w:type="dxa"/>
              <w:right w:w="20" w:type="dxa"/>
            </w:tcMar>
            <w:vAlign w:val="center"/>
          </w:tcPr>
          <w:p w14:paraId="35D0B88E"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B88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890" w14:textId="77777777" w:rsidR="00D42204" w:rsidRDefault="004E439D">
            <w:pPr>
              <w:jc w:val="right"/>
              <w:textAlignment w:val="center"/>
            </w:pPr>
            <w:r>
              <w:rPr>
                <w:rFonts w:ascii="Times New Roman" w:eastAsia="宋体" w:hAnsi="Times New Roman"/>
                <w:color w:val="000000"/>
                <w:sz w:val="16"/>
                <w:szCs w:val="16"/>
              </w:rPr>
              <w:t>2.3 </w:t>
            </w:r>
          </w:p>
        </w:tc>
        <w:tc>
          <w:tcPr>
            <w:tcW w:w="0" w:type="auto"/>
            <w:shd w:val="clear" w:color="auto" w:fill="CCEEFF"/>
            <w:tcMar>
              <w:top w:w="40" w:type="dxa"/>
              <w:left w:w="0" w:type="dxa"/>
              <w:bottom w:w="40" w:type="dxa"/>
              <w:right w:w="20" w:type="dxa"/>
            </w:tcMar>
            <w:vAlign w:val="center"/>
          </w:tcPr>
          <w:p w14:paraId="35D0B891"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B89D" w14:textId="77777777">
        <w:tc>
          <w:tcPr>
            <w:tcW w:w="0" w:type="auto"/>
            <w:gridSpan w:val="3"/>
            <w:shd w:val="clear" w:color="auto" w:fill="FFFFFF"/>
            <w:tcMar>
              <w:top w:w="40" w:type="dxa"/>
              <w:left w:w="20" w:type="dxa"/>
              <w:bottom w:w="40" w:type="dxa"/>
              <w:right w:w="20" w:type="dxa"/>
            </w:tcMar>
            <w:vAlign w:val="center"/>
          </w:tcPr>
          <w:p w14:paraId="35D0B893" w14:textId="77777777" w:rsidR="00D42204" w:rsidRDefault="004E439D">
            <w:pPr>
              <w:textAlignment w:val="center"/>
            </w:pPr>
            <w:r>
              <w:rPr>
                <w:rFonts w:ascii="Times New Roman" w:eastAsia="宋体" w:hAnsi="Times New Roman"/>
                <w:color w:val="000000"/>
                <w:sz w:val="16"/>
                <w:szCs w:val="16"/>
              </w:rPr>
              <w:t xml:space="preserve">Net </w:t>
            </w:r>
            <w:r>
              <w:rPr>
                <w:rFonts w:ascii="Times New Roman" w:eastAsia="宋体" w:hAnsi="Times New Roman"/>
                <w:color w:val="000000"/>
                <w:sz w:val="16"/>
                <w:szCs w:val="16"/>
              </w:rPr>
              <w:t>impact of repatriated international earnings</w:t>
            </w:r>
          </w:p>
        </w:tc>
        <w:tc>
          <w:tcPr>
            <w:tcW w:w="0" w:type="auto"/>
            <w:gridSpan w:val="3"/>
            <w:shd w:val="clear" w:color="auto" w:fill="FFFFFF"/>
            <w:tcMar>
              <w:top w:w="0" w:type="dxa"/>
              <w:left w:w="20" w:type="dxa"/>
              <w:bottom w:w="0" w:type="dxa"/>
              <w:right w:w="20" w:type="dxa"/>
            </w:tcMar>
            <w:vAlign w:val="bottom"/>
          </w:tcPr>
          <w:p w14:paraId="35D0B89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895" w14:textId="77777777" w:rsidR="00D42204" w:rsidRDefault="004E439D">
            <w:pPr>
              <w:jc w:val="right"/>
              <w:textAlignment w:val="center"/>
            </w:pPr>
            <w:r>
              <w:rPr>
                <w:rFonts w:ascii="Times New Roman" w:eastAsia="宋体" w:hAnsi="Times New Roman"/>
                <w:color w:val="000000"/>
                <w:sz w:val="16"/>
                <w:szCs w:val="16"/>
              </w:rPr>
              <w:t>(0.3)</w:t>
            </w:r>
          </w:p>
        </w:tc>
        <w:tc>
          <w:tcPr>
            <w:tcW w:w="0" w:type="auto"/>
            <w:shd w:val="clear" w:color="auto" w:fill="FFFFFF"/>
            <w:tcMar>
              <w:top w:w="40" w:type="dxa"/>
              <w:left w:w="0" w:type="dxa"/>
              <w:bottom w:w="40" w:type="dxa"/>
              <w:right w:w="20" w:type="dxa"/>
            </w:tcMar>
            <w:vAlign w:val="center"/>
          </w:tcPr>
          <w:p w14:paraId="35D0B896"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B89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898" w14:textId="77777777" w:rsidR="00D42204" w:rsidRDefault="004E439D">
            <w:pPr>
              <w:jc w:val="right"/>
              <w:textAlignment w:val="center"/>
            </w:pPr>
            <w:r>
              <w:rPr>
                <w:rFonts w:ascii="Times New Roman" w:eastAsia="宋体" w:hAnsi="Times New Roman"/>
                <w:color w:val="000000"/>
                <w:sz w:val="16"/>
                <w:szCs w:val="16"/>
              </w:rPr>
              <w:t>(0.4)</w:t>
            </w:r>
          </w:p>
        </w:tc>
        <w:tc>
          <w:tcPr>
            <w:tcW w:w="0" w:type="auto"/>
            <w:shd w:val="clear" w:color="auto" w:fill="FFFFFF"/>
            <w:tcMar>
              <w:top w:w="40" w:type="dxa"/>
              <w:left w:w="0" w:type="dxa"/>
              <w:bottom w:w="40" w:type="dxa"/>
              <w:right w:w="20" w:type="dxa"/>
            </w:tcMar>
            <w:vAlign w:val="center"/>
          </w:tcPr>
          <w:p w14:paraId="35D0B899"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B89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89B" w14:textId="77777777" w:rsidR="00D42204" w:rsidRDefault="004E439D">
            <w:pPr>
              <w:jc w:val="right"/>
              <w:textAlignment w:val="center"/>
            </w:pPr>
            <w:r>
              <w:rPr>
                <w:rFonts w:ascii="Times New Roman" w:eastAsia="宋体" w:hAnsi="Times New Roman"/>
                <w:color w:val="000000"/>
                <w:sz w:val="16"/>
                <w:szCs w:val="16"/>
              </w:rPr>
              <w:t>0.4 </w:t>
            </w:r>
          </w:p>
        </w:tc>
        <w:tc>
          <w:tcPr>
            <w:tcW w:w="0" w:type="auto"/>
            <w:shd w:val="clear" w:color="auto" w:fill="FFFFFF"/>
            <w:tcMar>
              <w:top w:w="40" w:type="dxa"/>
              <w:left w:w="0" w:type="dxa"/>
              <w:bottom w:w="40" w:type="dxa"/>
              <w:right w:w="20" w:type="dxa"/>
            </w:tcMar>
            <w:vAlign w:val="center"/>
          </w:tcPr>
          <w:p w14:paraId="35D0B89C"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B8A8" w14:textId="77777777">
        <w:tc>
          <w:tcPr>
            <w:tcW w:w="0" w:type="auto"/>
            <w:gridSpan w:val="3"/>
            <w:shd w:val="clear" w:color="auto" w:fill="CCEEFF"/>
            <w:tcMar>
              <w:top w:w="40" w:type="dxa"/>
              <w:left w:w="20" w:type="dxa"/>
              <w:bottom w:w="40" w:type="dxa"/>
              <w:right w:w="20" w:type="dxa"/>
            </w:tcMar>
            <w:vAlign w:val="center"/>
          </w:tcPr>
          <w:p w14:paraId="35D0B89E" w14:textId="77777777" w:rsidR="00D42204" w:rsidRDefault="004E439D">
            <w:pPr>
              <w:textAlignment w:val="center"/>
            </w:pPr>
            <w:r>
              <w:rPr>
                <w:rFonts w:ascii="Times New Roman" w:eastAsia="宋体" w:hAnsi="Times New Roman"/>
                <w:color w:val="000000"/>
                <w:sz w:val="16"/>
                <w:szCs w:val="16"/>
              </w:rPr>
              <w:t>Federal tax credits</w:t>
            </w:r>
          </w:p>
        </w:tc>
        <w:tc>
          <w:tcPr>
            <w:tcW w:w="0" w:type="auto"/>
            <w:gridSpan w:val="3"/>
            <w:shd w:val="clear" w:color="auto" w:fill="CCEEFF"/>
            <w:tcMar>
              <w:top w:w="0" w:type="dxa"/>
              <w:left w:w="20" w:type="dxa"/>
              <w:bottom w:w="0" w:type="dxa"/>
              <w:right w:w="20" w:type="dxa"/>
            </w:tcMar>
            <w:vAlign w:val="bottom"/>
          </w:tcPr>
          <w:p w14:paraId="35D0B89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8A0" w14:textId="77777777" w:rsidR="00D42204" w:rsidRDefault="004E439D">
            <w:pPr>
              <w:jc w:val="right"/>
              <w:textAlignment w:val="center"/>
            </w:pPr>
            <w:r>
              <w:rPr>
                <w:rFonts w:ascii="Times New Roman" w:eastAsia="宋体" w:hAnsi="Times New Roman"/>
                <w:color w:val="000000"/>
                <w:sz w:val="16"/>
                <w:szCs w:val="16"/>
              </w:rPr>
              <w:t>(1.1)</w:t>
            </w:r>
          </w:p>
        </w:tc>
        <w:tc>
          <w:tcPr>
            <w:tcW w:w="0" w:type="auto"/>
            <w:shd w:val="clear" w:color="auto" w:fill="CCEEFF"/>
            <w:tcMar>
              <w:top w:w="40" w:type="dxa"/>
              <w:left w:w="0" w:type="dxa"/>
              <w:bottom w:w="40" w:type="dxa"/>
              <w:right w:w="20" w:type="dxa"/>
            </w:tcMar>
            <w:vAlign w:val="center"/>
          </w:tcPr>
          <w:p w14:paraId="35D0B8A1"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B8A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8A3" w14:textId="77777777" w:rsidR="00D42204" w:rsidRDefault="004E439D">
            <w:pPr>
              <w:jc w:val="right"/>
              <w:textAlignment w:val="center"/>
            </w:pPr>
            <w:r>
              <w:rPr>
                <w:rFonts w:ascii="Times New Roman" w:eastAsia="宋体" w:hAnsi="Times New Roman"/>
                <w:color w:val="000000"/>
                <w:sz w:val="16"/>
                <w:szCs w:val="16"/>
              </w:rPr>
              <w:t>(0.9)</w:t>
            </w:r>
          </w:p>
        </w:tc>
        <w:tc>
          <w:tcPr>
            <w:tcW w:w="0" w:type="auto"/>
            <w:shd w:val="clear" w:color="auto" w:fill="CCEEFF"/>
            <w:tcMar>
              <w:top w:w="40" w:type="dxa"/>
              <w:left w:w="0" w:type="dxa"/>
              <w:bottom w:w="40" w:type="dxa"/>
              <w:right w:w="20" w:type="dxa"/>
            </w:tcMar>
            <w:vAlign w:val="center"/>
          </w:tcPr>
          <w:p w14:paraId="35D0B8A4"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B8A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8A6" w14:textId="77777777" w:rsidR="00D42204" w:rsidRDefault="004E439D">
            <w:pPr>
              <w:jc w:val="right"/>
              <w:textAlignment w:val="center"/>
            </w:pPr>
            <w:r>
              <w:rPr>
                <w:rFonts w:ascii="Times New Roman" w:eastAsia="宋体" w:hAnsi="Times New Roman"/>
                <w:color w:val="000000"/>
                <w:sz w:val="16"/>
                <w:szCs w:val="16"/>
              </w:rPr>
              <w:t>(0.8)</w:t>
            </w:r>
          </w:p>
        </w:tc>
        <w:tc>
          <w:tcPr>
            <w:tcW w:w="0" w:type="auto"/>
            <w:shd w:val="clear" w:color="auto" w:fill="CCEEFF"/>
            <w:tcMar>
              <w:top w:w="40" w:type="dxa"/>
              <w:left w:w="0" w:type="dxa"/>
              <w:bottom w:w="40" w:type="dxa"/>
              <w:right w:w="20" w:type="dxa"/>
            </w:tcMar>
            <w:vAlign w:val="center"/>
          </w:tcPr>
          <w:p w14:paraId="35D0B8A7"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B8B3" w14:textId="77777777">
        <w:tc>
          <w:tcPr>
            <w:tcW w:w="0" w:type="auto"/>
            <w:gridSpan w:val="3"/>
            <w:shd w:val="clear" w:color="auto" w:fill="FFFFFF"/>
            <w:tcMar>
              <w:top w:w="40" w:type="dxa"/>
              <w:left w:w="20" w:type="dxa"/>
              <w:bottom w:w="40" w:type="dxa"/>
              <w:right w:w="20" w:type="dxa"/>
            </w:tcMar>
            <w:vAlign w:val="center"/>
          </w:tcPr>
          <w:p w14:paraId="35D0B8A9" w14:textId="77777777" w:rsidR="00D42204" w:rsidRDefault="004E439D">
            <w:pPr>
              <w:textAlignment w:val="center"/>
            </w:pPr>
            <w:r>
              <w:rPr>
                <w:rFonts w:ascii="Times New Roman" w:eastAsia="宋体" w:hAnsi="Times New Roman"/>
                <w:color w:val="000000"/>
                <w:sz w:val="16"/>
                <w:szCs w:val="16"/>
              </w:rPr>
              <w:t>Enac</w:t>
            </w:r>
            <w:r>
              <w:rPr>
                <w:rFonts w:ascii="Times New Roman" w:eastAsia="宋体" w:hAnsi="Times New Roman"/>
                <w:color w:val="000000"/>
                <w:sz w:val="16"/>
                <w:szCs w:val="16"/>
              </w:rPr>
              <w:t>ted change in tax laws</w:t>
            </w:r>
          </w:p>
        </w:tc>
        <w:tc>
          <w:tcPr>
            <w:tcW w:w="0" w:type="auto"/>
            <w:gridSpan w:val="3"/>
            <w:shd w:val="clear" w:color="auto" w:fill="FFFFFF"/>
            <w:tcMar>
              <w:top w:w="0" w:type="dxa"/>
              <w:left w:w="20" w:type="dxa"/>
              <w:bottom w:w="0" w:type="dxa"/>
              <w:right w:w="20" w:type="dxa"/>
            </w:tcMar>
            <w:vAlign w:val="bottom"/>
          </w:tcPr>
          <w:p w14:paraId="35D0B8A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8AB"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B8AC"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B8A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8AE"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B8AF"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B8B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8B1" w14:textId="77777777" w:rsidR="00D42204" w:rsidRDefault="004E439D">
            <w:pPr>
              <w:jc w:val="right"/>
              <w:textAlignment w:val="center"/>
            </w:pPr>
            <w:r>
              <w:rPr>
                <w:rFonts w:ascii="Times New Roman" w:eastAsia="宋体" w:hAnsi="Times New Roman"/>
                <w:color w:val="000000"/>
                <w:sz w:val="16"/>
                <w:szCs w:val="16"/>
              </w:rPr>
              <w:t>(1.9)</w:t>
            </w:r>
          </w:p>
        </w:tc>
        <w:tc>
          <w:tcPr>
            <w:tcW w:w="0" w:type="auto"/>
            <w:shd w:val="clear" w:color="auto" w:fill="FFFFFF"/>
            <w:tcMar>
              <w:top w:w="40" w:type="dxa"/>
              <w:left w:w="0" w:type="dxa"/>
              <w:bottom w:w="40" w:type="dxa"/>
              <w:right w:w="20" w:type="dxa"/>
            </w:tcMar>
            <w:vAlign w:val="center"/>
          </w:tcPr>
          <w:p w14:paraId="35D0B8B2"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B8BE" w14:textId="77777777">
        <w:tc>
          <w:tcPr>
            <w:tcW w:w="0" w:type="auto"/>
            <w:gridSpan w:val="3"/>
            <w:shd w:val="clear" w:color="auto" w:fill="CCEEFF"/>
            <w:tcMar>
              <w:top w:w="40" w:type="dxa"/>
              <w:left w:w="20" w:type="dxa"/>
              <w:bottom w:w="40" w:type="dxa"/>
              <w:right w:w="20" w:type="dxa"/>
            </w:tcMar>
            <w:vAlign w:val="center"/>
          </w:tcPr>
          <w:p w14:paraId="35D0B8B4" w14:textId="77777777" w:rsidR="00D42204" w:rsidRDefault="004E439D">
            <w:pPr>
              <w:textAlignment w:val="center"/>
            </w:pPr>
            <w:r>
              <w:rPr>
                <w:rFonts w:ascii="Times New Roman" w:eastAsia="宋体" w:hAnsi="Times New Roman"/>
                <w:color w:val="000000"/>
                <w:sz w:val="16"/>
                <w:szCs w:val="16"/>
              </w:rPr>
              <w:t>Chan</w:t>
            </w:r>
            <w:r>
              <w:rPr>
                <w:rFonts w:ascii="Times New Roman" w:eastAsia="宋体" w:hAnsi="Times New Roman"/>
                <w:color w:val="000000"/>
                <w:sz w:val="16"/>
                <w:szCs w:val="16"/>
              </w:rPr>
              <w:t>ge in reserve for tax contingencies</w:t>
            </w:r>
          </w:p>
        </w:tc>
        <w:tc>
          <w:tcPr>
            <w:tcW w:w="0" w:type="auto"/>
            <w:gridSpan w:val="3"/>
            <w:shd w:val="clear" w:color="auto" w:fill="CCEEFF"/>
            <w:tcMar>
              <w:top w:w="0" w:type="dxa"/>
              <w:left w:w="20" w:type="dxa"/>
              <w:bottom w:w="0" w:type="dxa"/>
              <w:right w:w="20" w:type="dxa"/>
            </w:tcMar>
            <w:vAlign w:val="bottom"/>
          </w:tcPr>
          <w:p w14:paraId="35D0B8B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8B6" w14:textId="77777777" w:rsidR="00D42204" w:rsidRDefault="004E439D">
            <w:pPr>
              <w:jc w:val="right"/>
              <w:textAlignment w:val="center"/>
            </w:pPr>
            <w:r>
              <w:rPr>
                <w:rFonts w:ascii="Times New Roman" w:eastAsia="宋体" w:hAnsi="Times New Roman"/>
                <w:color w:val="000000"/>
                <w:sz w:val="16"/>
                <w:szCs w:val="16"/>
              </w:rPr>
              <w:t>0.2 </w:t>
            </w:r>
          </w:p>
        </w:tc>
        <w:tc>
          <w:tcPr>
            <w:tcW w:w="0" w:type="auto"/>
            <w:shd w:val="clear" w:color="auto" w:fill="CCEEFF"/>
            <w:tcMar>
              <w:top w:w="40" w:type="dxa"/>
              <w:left w:w="0" w:type="dxa"/>
              <w:bottom w:w="40" w:type="dxa"/>
              <w:right w:w="20" w:type="dxa"/>
            </w:tcMar>
            <w:vAlign w:val="center"/>
          </w:tcPr>
          <w:p w14:paraId="35D0B8B7"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B8B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8B9" w14:textId="77777777" w:rsidR="00D42204" w:rsidRDefault="004E439D">
            <w:pPr>
              <w:jc w:val="right"/>
              <w:textAlignment w:val="center"/>
            </w:pPr>
            <w:r>
              <w:rPr>
                <w:rFonts w:ascii="Times New Roman" w:eastAsia="宋体" w:hAnsi="Times New Roman"/>
                <w:color w:val="000000"/>
                <w:sz w:val="16"/>
                <w:szCs w:val="16"/>
              </w:rPr>
              <w:t>0.8 </w:t>
            </w:r>
          </w:p>
        </w:tc>
        <w:tc>
          <w:tcPr>
            <w:tcW w:w="0" w:type="auto"/>
            <w:shd w:val="clear" w:color="auto" w:fill="CCEEFF"/>
            <w:tcMar>
              <w:top w:w="40" w:type="dxa"/>
              <w:left w:w="0" w:type="dxa"/>
              <w:bottom w:w="40" w:type="dxa"/>
              <w:right w:w="20" w:type="dxa"/>
            </w:tcMar>
            <w:vAlign w:val="center"/>
          </w:tcPr>
          <w:p w14:paraId="35D0B8BA"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B8B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8BC" w14:textId="77777777" w:rsidR="00D42204" w:rsidRDefault="004E439D">
            <w:pPr>
              <w:jc w:val="right"/>
              <w:textAlignment w:val="center"/>
            </w:pPr>
            <w:r>
              <w:rPr>
                <w:rFonts w:ascii="Times New Roman" w:eastAsia="宋体" w:hAnsi="Times New Roman"/>
                <w:color w:val="000000"/>
                <w:sz w:val="16"/>
                <w:szCs w:val="16"/>
              </w:rPr>
              <w:t>2.5 </w:t>
            </w:r>
          </w:p>
        </w:tc>
        <w:tc>
          <w:tcPr>
            <w:tcW w:w="0" w:type="auto"/>
            <w:shd w:val="clear" w:color="auto" w:fill="CCEEFF"/>
            <w:tcMar>
              <w:top w:w="40" w:type="dxa"/>
              <w:left w:w="0" w:type="dxa"/>
              <w:bottom w:w="40" w:type="dxa"/>
              <w:right w:w="20" w:type="dxa"/>
            </w:tcMar>
            <w:vAlign w:val="center"/>
          </w:tcPr>
          <w:p w14:paraId="35D0B8BD"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B8C9" w14:textId="77777777">
        <w:tc>
          <w:tcPr>
            <w:tcW w:w="0" w:type="auto"/>
            <w:gridSpan w:val="3"/>
            <w:shd w:val="clear" w:color="auto" w:fill="FFFFFF"/>
            <w:tcMar>
              <w:top w:w="40" w:type="dxa"/>
              <w:left w:w="20" w:type="dxa"/>
              <w:bottom w:w="40" w:type="dxa"/>
              <w:right w:w="20" w:type="dxa"/>
            </w:tcMar>
            <w:vAlign w:val="center"/>
          </w:tcPr>
          <w:p w14:paraId="35D0B8BF" w14:textId="77777777" w:rsidR="00D42204" w:rsidRDefault="004E439D">
            <w:pPr>
              <w:textAlignment w:val="center"/>
            </w:pPr>
            <w:r>
              <w:rPr>
                <w:rFonts w:ascii="Times New Roman" w:eastAsia="宋体" w:hAnsi="Times New Roman"/>
                <w:color w:val="000000"/>
                <w:sz w:val="16"/>
                <w:szCs w:val="16"/>
              </w:rPr>
              <w:t>Othe</w:t>
            </w:r>
            <w:r>
              <w:rPr>
                <w:rFonts w:ascii="Times New Roman" w:eastAsia="宋体" w:hAnsi="Times New Roman"/>
                <w:color w:val="000000"/>
                <w:sz w:val="16"/>
                <w:szCs w:val="16"/>
              </w:rPr>
              <w:t>r, net</w:t>
            </w:r>
          </w:p>
        </w:tc>
        <w:tc>
          <w:tcPr>
            <w:tcW w:w="0" w:type="auto"/>
            <w:gridSpan w:val="3"/>
            <w:shd w:val="clear" w:color="auto" w:fill="FFFFFF"/>
            <w:tcMar>
              <w:top w:w="0" w:type="dxa"/>
              <w:left w:w="20" w:type="dxa"/>
              <w:bottom w:w="0" w:type="dxa"/>
              <w:right w:w="20" w:type="dxa"/>
            </w:tcMar>
            <w:vAlign w:val="bottom"/>
          </w:tcPr>
          <w:p w14:paraId="35D0B8C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8C1" w14:textId="77777777" w:rsidR="00D42204" w:rsidRDefault="004E439D">
            <w:pPr>
              <w:jc w:val="right"/>
              <w:textAlignment w:val="center"/>
            </w:pPr>
            <w:r>
              <w:rPr>
                <w:rFonts w:ascii="Times New Roman" w:eastAsia="宋体" w:hAnsi="Times New Roman"/>
                <w:color w:val="000000"/>
                <w:sz w:val="16"/>
                <w:szCs w:val="16"/>
              </w:rPr>
              <w:t>(0.6)</w:t>
            </w:r>
          </w:p>
        </w:tc>
        <w:tc>
          <w:tcPr>
            <w:tcW w:w="0" w:type="auto"/>
            <w:shd w:val="clear" w:color="auto" w:fill="FFFFFF"/>
            <w:tcMar>
              <w:top w:w="40" w:type="dxa"/>
              <w:left w:w="0" w:type="dxa"/>
              <w:bottom w:w="40" w:type="dxa"/>
              <w:right w:w="20" w:type="dxa"/>
            </w:tcMar>
            <w:vAlign w:val="center"/>
          </w:tcPr>
          <w:p w14:paraId="35D0B8C2"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B8C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8C4" w14:textId="77777777" w:rsidR="00D42204" w:rsidRDefault="004E439D">
            <w:pPr>
              <w:jc w:val="right"/>
              <w:textAlignment w:val="center"/>
            </w:pPr>
            <w:r>
              <w:rPr>
                <w:rFonts w:ascii="Times New Roman" w:eastAsia="宋体" w:hAnsi="Times New Roman"/>
                <w:color w:val="000000"/>
                <w:sz w:val="16"/>
                <w:szCs w:val="16"/>
              </w:rPr>
              <w:t>0.6 </w:t>
            </w:r>
          </w:p>
        </w:tc>
        <w:tc>
          <w:tcPr>
            <w:tcW w:w="0" w:type="auto"/>
            <w:shd w:val="clear" w:color="auto" w:fill="FFFFFF"/>
            <w:tcMar>
              <w:top w:w="40" w:type="dxa"/>
              <w:left w:w="0" w:type="dxa"/>
              <w:bottom w:w="40" w:type="dxa"/>
              <w:right w:w="20" w:type="dxa"/>
            </w:tcMar>
            <w:vAlign w:val="center"/>
          </w:tcPr>
          <w:p w14:paraId="35D0B8C5"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FFFFFF"/>
            <w:tcMar>
              <w:top w:w="0" w:type="dxa"/>
              <w:left w:w="20" w:type="dxa"/>
              <w:bottom w:w="0" w:type="dxa"/>
              <w:right w:w="20" w:type="dxa"/>
            </w:tcMar>
            <w:vAlign w:val="bottom"/>
          </w:tcPr>
          <w:p w14:paraId="35D0B8C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8C7" w14:textId="77777777" w:rsidR="00D42204" w:rsidRDefault="004E439D">
            <w:pPr>
              <w:jc w:val="right"/>
              <w:textAlignment w:val="center"/>
            </w:pPr>
            <w:r>
              <w:rPr>
                <w:rFonts w:ascii="Times New Roman" w:eastAsia="宋体" w:hAnsi="Times New Roman"/>
                <w:color w:val="000000"/>
                <w:sz w:val="16"/>
                <w:szCs w:val="16"/>
              </w:rPr>
              <w:t>(0.3)</w:t>
            </w:r>
          </w:p>
        </w:tc>
        <w:tc>
          <w:tcPr>
            <w:tcW w:w="0" w:type="auto"/>
            <w:shd w:val="clear" w:color="auto" w:fill="FFFFFF"/>
            <w:tcMar>
              <w:top w:w="40" w:type="dxa"/>
              <w:left w:w="0" w:type="dxa"/>
              <w:bottom w:w="40" w:type="dxa"/>
              <w:right w:w="20" w:type="dxa"/>
            </w:tcMar>
            <w:vAlign w:val="center"/>
          </w:tcPr>
          <w:p w14:paraId="35D0B8C8" w14:textId="77777777" w:rsidR="00D42204" w:rsidRDefault="004E439D">
            <w:pPr>
              <w:jc w:val="right"/>
              <w:textAlignment w:val="center"/>
            </w:pPr>
            <w:r>
              <w:rPr>
                <w:rFonts w:ascii="Times New Roman" w:eastAsia="宋体" w:hAnsi="Times New Roman"/>
                <w:color w:val="000000"/>
                <w:sz w:val="16"/>
                <w:szCs w:val="16"/>
              </w:rPr>
              <w:t>%</w:t>
            </w:r>
          </w:p>
        </w:tc>
      </w:tr>
      <w:tr w:rsidR="00D42204" w14:paraId="35D0B8D4" w14:textId="77777777">
        <w:tc>
          <w:tcPr>
            <w:tcW w:w="0" w:type="auto"/>
            <w:gridSpan w:val="3"/>
            <w:shd w:val="clear" w:color="auto" w:fill="CCEEFF"/>
            <w:tcMar>
              <w:top w:w="40" w:type="dxa"/>
              <w:left w:w="20" w:type="dxa"/>
              <w:bottom w:w="40" w:type="dxa"/>
              <w:right w:w="20" w:type="dxa"/>
            </w:tcMar>
            <w:vAlign w:val="center"/>
          </w:tcPr>
          <w:p w14:paraId="35D0B8CA" w14:textId="77777777" w:rsidR="00D42204" w:rsidRDefault="004E439D">
            <w:pPr>
              <w:textAlignment w:val="center"/>
            </w:pPr>
            <w:r>
              <w:rPr>
                <w:rFonts w:ascii="Times New Roman" w:eastAsia="宋体" w:hAnsi="Times New Roman"/>
                <w:b/>
                <w:bCs/>
                <w:color w:val="000000"/>
                <w:sz w:val="16"/>
                <w:szCs w:val="16"/>
              </w:rPr>
              <w:t>Effective income tax rate</w:t>
            </w:r>
          </w:p>
        </w:tc>
        <w:tc>
          <w:tcPr>
            <w:tcW w:w="0" w:type="auto"/>
            <w:gridSpan w:val="3"/>
            <w:shd w:val="clear" w:color="auto" w:fill="CCEEFF"/>
            <w:tcMar>
              <w:top w:w="0" w:type="dxa"/>
              <w:left w:w="20" w:type="dxa"/>
              <w:bottom w:w="0" w:type="dxa"/>
              <w:right w:w="20" w:type="dxa"/>
            </w:tcMar>
            <w:vAlign w:val="bottom"/>
          </w:tcPr>
          <w:p w14:paraId="35D0B8CB" w14:textId="77777777" w:rsidR="00D42204" w:rsidRDefault="00D4220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8CC" w14:textId="77777777" w:rsidR="00D42204" w:rsidRDefault="004E439D">
            <w:pPr>
              <w:jc w:val="right"/>
              <w:textAlignment w:val="center"/>
            </w:pPr>
            <w:r>
              <w:rPr>
                <w:rFonts w:ascii="Times New Roman" w:eastAsia="宋体" w:hAnsi="Times New Roman"/>
                <w:color w:val="000000"/>
                <w:sz w:val="16"/>
                <w:szCs w:val="16"/>
              </w:rPr>
              <w:t>25.4 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8CD"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B8CE" w14:textId="77777777" w:rsidR="00D42204" w:rsidRDefault="00D4220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8CF" w14:textId="77777777" w:rsidR="00D42204" w:rsidRDefault="004E439D">
            <w:pPr>
              <w:jc w:val="right"/>
              <w:textAlignment w:val="center"/>
            </w:pPr>
            <w:r>
              <w:rPr>
                <w:rFonts w:ascii="Times New Roman" w:eastAsia="宋体" w:hAnsi="Times New Roman"/>
                <w:color w:val="000000"/>
                <w:sz w:val="16"/>
                <w:szCs w:val="16"/>
              </w:rPr>
              <w:t>33.3 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8D0" w14:textId="77777777" w:rsidR="00D42204" w:rsidRDefault="004E439D">
            <w:pPr>
              <w:jc w:val="right"/>
              <w:textAlignment w:val="center"/>
            </w:pPr>
            <w:r>
              <w:rPr>
                <w:rFonts w:ascii="Times New Roman" w:eastAsia="宋体" w:hAnsi="Times New Roman"/>
                <w:color w:val="000000"/>
                <w:sz w:val="16"/>
                <w:szCs w:val="16"/>
              </w:rPr>
              <w:t>%</w:t>
            </w:r>
          </w:p>
        </w:tc>
        <w:tc>
          <w:tcPr>
            <w:tcW w:w="0" w:type="auto"/>
            <w:gridSpan w:val="3"/>
            <w:shd w:val="clear" w:color="auto" w:fill="CCEEFF"/>
            <w:tcMar>
              <w:top w:w="0" w:type="dxa"/>
              <w:left w:w="20" w:type="dxa"/>
              <w:bottom w:w="0" w:type="dxa"/>
              <w:right w:w="20" w:type="dxa"/>
            </w:tcMar>
            <w:vAlign w:val="bottom"/>
          </w:tcPr>
          <w:p w14:paraId="35D0B8D1" w14:textId="77777777" w:rsidR="00D42204" w:rsidRDefault="00D4220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8D2" w14:textId="77777777" w:rsidR="00D42204" w:rsidRDefault="004E439D">
            <w:pPr>
              <w:jc w:val="right"/>
              <w:textAlignment w:val="center"/>
            </w:pPr>
            <w:r>
              <w:rPr>
                <w:rFonts w:ascii="Times New Roman" w:eastAsia="宋体" w:hAnsi="Times New Roman"/>
                <w:color w:val="000000"/>
                <w:sz w:val="16"/>
                <w:szCs w:val="16"/>
              </w:rPr>
              <w:t>24.4 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8D3" w14:textId="77777777" w:rsidR="00D42204" w:rsidRDefault="004E439D">
            <w:pPr>
              <w:jc w:val="right"/>
              <w:textAlignment w:val="center"/>
            </w:pPr>
            <w:r>
              <w:rPr>
                <w:rFonts w:ascii="Times New Roman" w:eastAsia="宋体" w:hAnsi="Times New Roman"/>
                <w:color w:val="000000"/>
                <w:sz w:val="16"/>
                <w:szCs w:val="16"/>
              </w:rPr>
              <w:t>%</w:t>
            </w:r>
          </w:p>
        </w:tc>
      </w:tr>
    </w:tbl>
    <w:p w14:paraId="35D0B8D5" w14:textId="77777777" w:rsidR="00D42204" w:rsidRDefault="004E439D">
      <w:pPr>
        <w:spacing w:before="140"/>
      </w:pPr>
      <w:r>
        <w:rPr>
          <w:rFonts w:ascii="Times New Roman" w:eastAsia="宋体" w:hAnsi="Times New Roman"/>
          <w:color w:val="000000"/>
          <w:sz w:val="20"/>
          <w:szCs w:val="20"/>
        </w:rPr>
        <w:t>The following sections regarding deferred taxes, unremitted earnings, net operating losses, tax credit carryforwards, valuation allowances and uncertain tax positions exclude amounts related to operations classified as</w:t>
      </w:r>
      <w:r>
        <w:rPr>
          <w:rFonts w:ascii="Times New Roman" w:eastAsia="宋体" w:hAnsi="Times New Roman"/>
          <w:color w:val="000000"/>
          <w:sz w:val="20"/>
          <w:szCs w:val="20"/>
        </w:rPr>
        <w:t xml:space="preserve"> held for sale. </w:t>
      </w:r>
    </w:p>
    <w:p w14:paraId="35D0B8D6" w14:textId="77777777" w:rsidR="00D42204" w:rsidRDefault="004E439D">
      <w:pPr>
        <w:spacing w:before="240"/>
      </w:pPr>
      <w:r>
        <w:rPr>
          <w:rFonts w:ascii="Times New Roman" w:eastAsia="宋体" w:hAnsi="Times New Roman"/>
          <w:i/>
          <w:iCs/>
          <w:color w:val="000000"/>
          <w:sz w:val="20"/>
          <w:szCs w:val="20"/>
        </w:rPr>
        <w:t>Deferred Taxes</w:t>
      </w:r>
    </w:p>
    <w:p w14:paraId="35D0B8D7" w14:textId="77777777" w:rsidR="00D42204" w:rsidRDefault="004E439D">
      <w:pPr>
        <w:spacing w:before="100"/>
      </w:pPr>
      <w:r>
        <w:rPr>
          <w:rFonts w:ascii="Times New Roman" w:eastAsia="宋体" w:hAnsi="Times New Roman"/>
          <w:color w:val="000000"/>
          <w:sz w:val="20"/>
          <w:szCs w:val="20"/>
        </w:rPr>
        <w:t>The significant components of the Company's deferred tax account balances are as follows:</w:t>
      </w:r>
    </w:p>
    <w:tbl>
      <w:tblPr>
        <w:tblW w:w="4993" w:type="pct"/>
        <w:tblCellMar>
          <w:top w:w="15" w:type="dxa"/>
          <w:left w:w="15" w:type="dxa"/>
          <w:bottom w:w="15" w:type="dxa"/>
          <w:right w:w="15" w:type="dxa"/>
        </w:tblCellMar>
        <w:tblLook w:val="04A0" w:firstRow="1" w:lastRow="0" w:firstColumn="1" w:lastColumn="0" w:noHBand="0" w:noVBand="1"/>
      </w:tblPr>
      <w:tblGrid>
        <w:gridCol w:w="44"/>
        <w:gridCol w:w="6320"/>
        <w:gridCol w:w="38"/>
        <w:gridCol w:w="36"/>
        <w:gridCol w:w="36"/>
        <w:gridCol w:w="36"/>
        <w:gridCol w:w="100"/>
        <w:gridCol w:w="717"/>
        <w:gridCol w:w="36"/>
        <w:gridCol w:w="36"/>
        <w:gridCol w:w="36"/>
        <w:gridCol w:w="36"/>
        <w:gridCol w:w="100"/>
        <w:gridCol w:w="717"/>
        <w:gridCol w:w="36"/>
      </w:tblGrid>
      <w:tr w:rsidR="00D42204" w14:paraId="35D0B8E7" w14:textId="77777777">
        <w:tc>
          <w:tcPr>
            <w:tcW w:w="50" w:type="pct"/>
            <w:shd w:val="clear" w:color="auto" w:fill="auto"/>
            <w:vAlign w:val="bottom"/>
          </w:tcPr>
          <w:p w14:paraId="35D0B8D8" w14:textId="77777777" w:rsidR="00D42204" w:rsidRDefault="00D42204">
            <w:pPr>
              <w:rPr>
                <w:rFonts w:ascii="宋体"/>
              </w:rPr>
            </w:pPr>
          </w:p>
        </w:tc>
        <w:tc>
          <w:tcPr>
            <w:tcW w:w="3817" w:type="pct"/>
            <w:shd w:val="clear" w:color="auto" w:fill="auto"/>
            <w:vAlign w:val="bottom"/>
          </w:tcPr>
          <w:p w14:paraId="35D0B8D9" w14:textId="77777777" w:rsidR="00D42204" w:rsidRDefault="00D42204">
            <w:pPr>
              <w:rPr>
                <w:rFonts w:ascii="宋体"/>
              </w:rPr>
            </w:pPr>
          </w:p>
        </w:tc>
        <w:tc>
          <w:tcPr>
            <w:tcW w:w="5" w:type="pct"/>
            <w:shd w:val="clear" w:color="auto" w:fill="auto"/>
            <w:vAlign w:val="bottom"/>
          </w:tcPr>
          <w:p w14:paraId="35D0B8DA" w14:textId="77777777" w:rsidR="00D42204" w:rsidRDefault="00D42204">
            <w:pPr>
              <w:rPr>
                <w:rFonts w:ascii="宋体"/>
              </w:rPr>
            </w:pPr>
          </w:p>
        </w:tc>
        <w:tc>
          <w:tcPr>
            <w:tcW w:w="5" w:type="pct"/>
            <w:shd w:val="clear" w:color="auto" w:fill="auto"/>
            <w:vAlign w:val="bottom"/>
          </w:tcPr>
          <w:p w14:paraId="35D0B8DB" w14:textId="77777777" w:rsidR="00D42204" w:rsidRDefault="00D42204">
            <w:pPr>
              <w:rPr>
                <w:rFonts w:ascii="宋体"/>
              </w:rPr>
            </w:pPr>
          </w:p>
        </w:tc>
        <w:tc>
          <w:tcPr>
            <w:tcW w:w="26" w:type="pct"/>
            <w:shd w:val="clear" w:color="auto" w:fill="auto"/>
            <w:vAlign w:val="bottom"/>
          </w:tcPr>
          <w:p w14:paraId="35D0B8DC" w14:textId="77777777" w:rsidR="00D42204" w:rsidRDefault="00D42204">
            <w:pPr>
              <w:rPr>
                <w:rFonts w:ascii="宋体"/>
              </w:rPr>
            </w:pPr>
          </w:p>
        </w:tc>
        <w:tc>
          <w:tcPr>
            <w:tcW w:w="5" w:type="pct"/>
            <w:shd w:val="clear" w:color="auto" w:fill="auto"/>
            <w:vAlign w:val="bottom"/>
          </w:tcPr>
          <w:p w14:paraId="35D0B8DD" w14:textId="77777777" w:rsidR="00D42204" w:rsidRDefault="00D42204">
            <w:pPr>
              <w:rPr>
                <w:rFonts w:ascii="宋体"/>
              </w:rPr>
            </w:pPr>
          </w:p>
        </w:tc>
        <w:tc>
          <w:tcPr>
            <w:tcW w:w="50" w:type="pct"/>
            <w:shd w:val="clear" w:color="auto" w:fill="auto"/>
            <w:vAlign w:val="bottom"/>
          </w:tcPr>
          <w:p w14:paraId="35D0B8DE" w14:textId="77777777" w:rsidR="00D42204" w:rsidRDefault="00D42204">
            <w:pPr>
              <w:rPr>
                <w:rFonts w:ascii="宋体"/>
              </w:rPr>
            </w:pPr>
          </w:p>
        </w:tc>
        <w:tc>
          <w:tcPr>
            <w:tcW w:w="472" w:type="pct"/>
            <w:shd w:val="clear" w:color="auto" w:fill="auto"/>
            <w:vAlign w:val="bottom"/>
          </w:tcPr>
          <w:p w14:paraId="35D0B8DF" w14:textId="77777777" w:rsidR="00D42204" w:rsidRDefault="00D42204">
            <w:pPr>
              <w:rPr>
                <w:rFonts w:ascii="宋体"/>
              </w:rPr>
            </w:pPr>
          </w:p>
        </w:tc>
        <w:tc>
          <w:tcPr>
            <w:tcW w:w="5" w:type="pct"/>
            <w:shd w:val="clear" w:color="auto" w:fill="auto"/>
            <w:vAlign w:val="bottom"/>
          </w:tcPr>
          <w:p w14:paraId="35D0B8E0" w14:textId="77777777" w:rsidR="00D42204" w:rsidRDefault="00D42204">
            <w:pPr>
              <w:rPr>
                <w:rFonts w:ascii="宋体"/>
              </w:rPr>
            </w:pPr>
          </w:p>
        </w:tc>
        <w:tc>
          <w:tcPr>
            <w:tcW w:w="5" w:type="pct"/>
            <w:shd w:val="clear" w:color="auto" w:fill="auto"/>
            <w:vAlign w:val="bottom"/>
          </w:tcPr>
          <w:p w14:paraId="35D0B8E1" w14:textId="77777777" w:rsidR="00D42204" w:rsidRDefault="00D42204">
            <w:pPr>
              <w:rPr>
                <w:rFonts w:ascii="宋体"/>
              </w:rPr>
            </w:pPr>
          </w:p>
        </w:tc>
        <w:tc>
          <w:tcPr>
            <w:tcW w:w="26" w:type="pct"/>
            <w:shd w:val="clear" w:color="auto" w:fill="auto"/>
            <w:vAlign w:val="bottom"/>
          </w:tcPr>
          <w:p w14:paraId="35D0B8E2" w14:textId="77777777" w:rsidR="00D42204" w:rsidRDefault="00D42204">
            <w:pPr>
              <w:rPr>
                <w:rFonts w:ascii="宋体"/>
              </w:rPr>
            </w:pPr>
          </w:p>
        </w:tc>
        <w:tc>
          <w:tcPr>
            <w:tcW w:w="5" w:type="pct"/>
            <w:shd w:val="clear" w:color="auto" w:fill="auto"/>
            <w:vAlign w:val="bottom"/>
          </w:tcPr>
          <w:p w14:paraId="35D0B8E3" w14:textId="77777777" w:rsidR="00D42204" w:rsidRDefault="00D42204">
            <w:pPr>
              <w:rPr>
                <w:rFonts w:ascii="宋体"/>
              </w:rPr>
            </w:pPr>
          </w:p>
        </w:tc>
        <w:tc>
          <w:tcPr>
            <w:tcW w:w="50" w:type="pct"/>
            <w:shd w:val="clear" w:color="auto" w:fill="auto"/>
            <w:vAlign w:val="bottom"/>
          </w:tcPr>
          <w:p w14:paraId="35D0B8E4" w14:textId="77777777" w:rsidR="00D42204" w:rsidRDefault="00D42204">
            <w:pPr>
              <w:rPr>
                <w:rFonts w:ascii="宋体"/>
              </w:rPr>
            </w:pPr>
          </w:p>
        </w:tc>
        <w:tc>
          <w:tcPr>
            <w:tcW w:w="472" w:type="pct"/>
            <w:shd w:val="clear" w:color="auto" w:fill="auto"/>
            <w:vAlign w:val="bottom"/>
          </w:tcPr>
          <w:p w14:paraId="35D0B8E5" w14:textId="77777777" w:rsidR="00D42204" w:rsidRDefault="00D42204">
            <w:pPr>
              <w:rPr>
                <w:rFonts w:ascii="宋体"/>
              </w:rPr>
            </w:pPr>
          </w:p>
        </w:tc>
        <w:tc>
          <w:tcPr>
            <w:tcW w:w="5" w:type="pct"/>
            <w:shd w:val="clear" w:color="auto" w:fill="auto"/>
            <w:vAlign w:val="bottom"/>
          </w:tcPr>
          <w:p w14:paraId="35D0B8E6" w14:textId="77777777" w:rsidR="00D42204" w:rsidRDefault="00D42204">
            <w:pPr>
              <w:rPr>
                <w:rFonts w:ascii="宋体"/>
              </w:rPr>
            </w:pPr>
          </w:p>
        </w:tc>
      </w:tr>
      <w:tr w:rsidR="00D42204" w14:paraId="35D0B8EB" w14:textId="77777777">
        <w:tc>
          <w:tcPr>
            <w:tcW w:w="0" w:type="auto"/>
            <w:gridSpan w:val="3"/>
            <w:shd w:val="clear" w:color="auto" w:fill="auto"/>
            <w:tcMar>
              <w:top w:w="40" w:type="dxa"/>
              <w:left w:w="20" w:type="dxa"/>
              <w:bottom w:w="40" w:type="dxa"/>
              <w:right w:w="20" w:type="dxa"/>
            </w:tcMar>
            <w:vAlign w:val="bottom"/>
          </w:tcPr>
          <w:p w14:paraId="35D0B8E8"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B8E9" w14:textId="77777777" w:rsidR="00D42204" w:rsidRDefault="00D42204">
            <w:pPr>
              <w:rPr>
                <w:rFonts w:ascii="宋体"/>
              </w:rPr>
            </w:pPr>
          </w:p>
        </w:tc>
        <w:tc>
          <w:tcPr>
            <w:tcW w:w="0" w:type="auto"/>
            <w:gridSpan w:val="9"/>
            <w:shd w:val="clear" w:color="auto" w:fill="auto"/>
            <w:tcMar>
              <w:top w:w="40" w:type="dxa"/>
              <w:left w:w="20" w:type="dxa"/>
              <w:bottom w:w="40" w:type="dxa"/>
              <w:right w:w="20" w:type="dxa"/>
            </w:tcMar>
            <w:vAlign w:val="bottom"/>
          </w:tcPr>
          <w:p w14:paraId="35D0B8EA" w14:textId="77777777" w:rsidR="00D42204" w:rsidRDefault="004E439D">
            <w:pPr>
              <w:jc w:val="center"/>
              <w:textAlignment w:val="bottom"/>
            </w:pPr>
            <w:r>
              <w:rPr>
                <w:rFonts w:ascii="Times New Roman" w:eastAsia="宋体" w:hAnsi="Times New Roman"/>
                <w:b/>
                <w:bCs/>
                <w:color w:val="000000"/>
                <w:sz w:val="16"/>
                <w:szCs w:val="16"/>
              </w:rPr>
              <w:t>January 31,</w:t>
            </w:r>
          </w:p>
        </w:tc>
      </w:tr>
      <w:tr w:rsidR="00D42204" w14:paraId="35D0B8F1" w14:textId="77777777">
        <w:tc>
          <w:tcPr>
            <w:tcW w:w="0" w:type="auto"/>
            <w:gridSpan w:val="3"/>
            <w:shd w:val="clear" w:color="auto" w:fill="auto"/>
            <w:tcMar>
              <w:top w:w="40" w:type="dxa"/>
              <w:left w:w="20" w:type="dxa"/>
              <w:bottom w:w="40" w:type="dxa"/>
              <w:right w:w="20" w:type="dxa"/>
            </w:tcMar>
            <w:vAlign w:val="bottom"/>
          </w:tcPr>
          <w:p w14:paraId="35D0B8EC"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8ED"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8EE"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8EF"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8F0" w14:textId="77777777" w:rsidR="00D42204" w:rsidRDefault="004E439D">
            <w:pPr>
              <w:jc w:val="center"/>
              <w:textAlignment w:val="bottom"/>
            </w:pPr>
            <w:r>
              <w:rPr>
                <w:rFonts w:ascii="Times New Roman" w:eastAsia="宋体" w:hAnsi="Times New Roman"/>
                <w:b/>
                <w:bCs/>
                <w:color w:val="000000"/>
                <w:sz w:val="16"/>
                <w:szCs w:val="16"/>
              </w:rPr>
              <w:t>2021</w:t>
            </w:r>
          </w:p>
        </w:tc>
      </w:tr>
      <w:tr w:rsidR="00D42204" w14:paraId="35D0B8F7" w14:textId="77777777">
        <w:tc>
          <w:tcPr>
            <w:tcW w:w="0" w:type="auto"/>
            <w:gridSpan w:val="3"/>
            <w:shd w:val="clear" w:color="auto" w:fill="CCEEFF"/>
            <w:tcMar>
              <w:top w:w="40" w:type="dxa"/>
              <w:left w:w="20" w:type="dxa"/>
              <w:bottom w:w="40" w:type="dxa"/>
              <w:right w:w="20" w:type="dxa"/>
            </w:tcMar>
            <w:vAlign w:val="center"/>
          </w:tcPr>
          <w:p w14:paraId="35D0B8F2" w14:textId="77777777" w:rsidR="00D42204" w:rsidRDefault="004E439D">
            <w:pPr>
              <w:textAlignment w:val="center"/>
            </w:pPr>
            <w:r>
              <w:rPr>
                <w:rFonts w:ascii="Times New Roman" w:eastAsia="宋体" w:hAnsi="Times New Roman"/>
                <w:b/>
                <w:bCs/>
                <w:color w:val="000000"/>
                <w:sz w:val="16"/>
                <w:szCs w:val="16"/>
              </w:rPr>
              <w:t>Deferred tax assets:</w:t>
            </w:r>
          </w:p>
        </w:tc>
        <w:tc>
          <w:tcPr>
            <w:tcW w:w="0" w:type="auto"/>
            <w:gridSpan w:val="3"/>
            <w:shd w:val="clear" w:color="auto" w:fill="CCEEFF"/>
            <w:tcMar>
              <w:top w:w="0" w:type="dxa"/>
              <w:left w:w="20" w:type="dxa"/>
              <w:bottom w:w="0" w:type="dxa"/>
              <w:right w:w="20" w:type="dxa"/>
            </w:tcMar>
            <w:vAlign w:val="bottom"/>
          </w:tcPr>
          <w:p w14:paraId="35D0B8F3"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8F4"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8F5"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8F6" w14:textId="77777777" w:rsidR="00D42204" w:rsidRDefault="00D42204">
            <w:pPr>
              <w:rPr>
                <w:rFonts w:ascii="宋体"/>
              </w:rPr>
            </w:pPr>
          </w:p>
        </w:tc>
      </w:tr>
      <w:tr w:rsidR="00D42204" w14:paraId="35D0B901" w14:textId="77777777">
        <w:tc>
          <w:tcPr>
            <w:tcW w:w="0" w:type="auto"/>
            <w:gridSpan w:val="3"/>
            <w:shd w:val="clear" w:color="auto" w:fill="FFFFFF"/>
            <w:tcMar>
              <w:top w:w="40" w:type="dxa"/>
              <w:left w:w="380" w:type="dxa"/>
              <w:bottom w:w="40" w:type="dxa"/>
              <w:right w:w="20" w:type="dxa"/>
            </w:tcMar>
            <w:vAlign w:val="center"/>
          </w:tcPr>
          <w:p w14:paraId="35D0B8F8" w14:textId="77777777" w:rsidR="00D42204" w:rsidRDefault="004E439D">
            <w:pPr>
              <w:textAlignment w:val="center"/>
            </w:pPr>
            <w:r>
              <w:rPr>
                <w:rFonts w:ascii="Times New Roman" w:eastAsia="宋体" w:hAnsi="Times New Roman"/>
                <w:color w:val="000000"/>
                <w:sz w:val="16"/>
                <w:szCs w:val="16"/>
              </w:rPr>
              <w:t xml:space="preserve">Loss and tax credit </w:t>
            </w:r>
            <w:r>
              <w:rPr>
                <w:rFonts w:ascii="Times New Roman" w:eastAsia="宋体" w:hAnsi="Times New Roman"/>
                <w:color w:val="000000"/>
                <w:sz w:val="16"/>
                <w:szCs w:val="16"/>
              </w:rPr>
              <w:t>carryforwards</w:t>
            </w:r>
          </w:p>
        </w:tc>
        <w:tc>
          <w:tcPr>
            <w:tcW w:w="0" w:type="auto"/>
            <w:gridSpan w:val="3"/>
            <w:shd w:val="clear" w:color="auto" w:fill="FFFFFF"/>
            <w:tcMar>
              <w:top w:w="0" w:type="dxa"/>
              <w:left w:w="20" w:type="dxa"/>
              <w:bottom w:w="0" w:type="dxa"/>
              <w:right w:w="20" w:type="dxa"/>
            </w:tcMar>
            <w:vAlign w:val="bottom"/>
          </w:tcPr>
          <w:p w14:paraId="35D0B8F9"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8FA"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8FB" w14:textId="77777777" w:rsidR="00D42204" w:rsidRDefault="004E439D">
            <w:pPr>
              <w:jc w:val="right"/>
              <w:textAlignment w:val="center"/>
            </w:pPr>
            <w:r>
              <w:rPr>
                <w:rFonts w:ascii="Times New Roman" w:eastAsia="宋体" w:hAnsi="Times New Roman"/>
                <w:color w:val="000000"/>
                <w:sz w:val="16"/>
                <w:szCs w:val="16"/>
              </w:rPr>
              <w:t>9,456 </w:t>
            </w:r>
          </w:p>
        </w:tc>
        <w:tc>
          <w:tcPr>
            <w:tcW w:w="0" w:type="auto"/>
            <w:shd w:val="clear" w:color="auto" w:fill="FFFFFF"/>
            <w:tcMar>
              <w:top w:w="40" w:type="dxa"/>
              <w:left w:w="0" w:type="dxa"/>
              <w:bottom w:w="40" w:type="dxa"/>
              <w:right w:w="20" w:type="dxa"/>
            </w:tcMar>
            <w:vAlign w:val="center"/>
          </w:tcPr>
          <w:p w14:paraId="35D0B8F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8FD"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8FE"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8FF" w14:textId="77777777" w:rsidR="00D42204" w:rsidRDefault="004E439D">
            <w:pPr>
              <w:jc w:val="right"/>
              <w:textAlignment w:val="center"/>
            </w:pPr>
            <w:r>
              <w:rPr>
                <w:rFonts w:ascii="Times New Roman" w:eastAsia="宋体" w:hAnsi="Times New Roman"/>
                <w:color w:val="000000"/>
                <w:sz w:val="16"/>
                <w:szCs w:val="16"/>
              </w:rPr>
              <w:t>9,179 </w:t>
            </w:r>
          </w:p>
        </w:tc>
        <w:tc>
          <w:tcPr>
            <w:tcW w:w="0" w:type="auto"/>
            <w:shd w:val="clear" w:color="auto" w:fill="FFFFFF"/>
            <w:tcMar>
              <w:top w:w="40" w:type="dxa"/>
              <w:left w:w="0" w:type="dxa"/>
              <w:bottom w:w="40" w:type="dxa"/>
              <w:right w:w="20" w:type="dxa"/>
            </w:tcMar>
            <w:vAlign w:val="center"/>
          </w:tcPr>
          <w:p w14:paraId="35D0B900" w14:textId="77777777" w:rsidR="00D42204" w:rsidRDefault="00D42204">
            <w:pPr>
              <w:jc w:val="right"/>
              <w:rPr>
                <w:rFonts w:ascii="宋体"/>
              </w:rPr>
            </w:pPr>
          </w:p>
        </w:tc>
      </w:tr>
      <w:tr w:rsidR="00D42204" w14:paraId="35D0B909" w14:textId="77777777">
        <w:tc>
          <w:tcPr>
            <w:tcW w:w="0" w:type="auto"/>
            <w:gridSpan w:val="3"/>
            <w:shd w:val="clear" w:color="auto" w:fill="CCEEFF"/>
            <w:tcMar>
              <w:top w:w="40" w:type="dxa"/>
              <w:left w:w="380" w:type="dxa"/>
              <w:bottom w:w="40" w:type="dxa"/>
              <w:right w:w="20" w:type="dxa"/>
            </w:tcMar>
            <w:vAlign w:val="center"/>
          </w:tcPr>
          <w:p w14:paraId="35D0B902" w14:textId="77777777" w:rsidR="00D42204" w:rsidRDefault="004E439D">
            <w:pPr>
              <w:textAlignment w:val="center"/>
            </w:pPr>
            <w:r>
              <w:rPr>
                <w:rFonts w:ascii="Times New Roman" w:eastAsia="宋体" w:hAnsi="Times New Roman"/>
                <w:color w:val="000000"/>
                <w:sz w:val="16"/>
                <w:szCs w:val="16"/>
              </w:rPr>
              <w:t>Accrued liabilities</w:t>
            </w:r>
          </w:p>
        </w:tc>
        <w:tc>
          <w:tcPr>
            <w:tcW w:w="0" w:type="auto"/>
            <w:gridSpan w:val="3"/>
            <w:shd w:val="clear" w:color="auto" w:fill="CCEEFF"/>
            <w:tcMar>
              <w:top w:w="0" w:type="dxa"/>
              <w:left w:w="20" w:type="dxa"/>
              <w:bottom w:w="0" w:type="dxa"/>
              <w:right w:w="20" w:type="dxa"/>
            </w:tcMar>
            <w:vAlign w:val="bottom"/>
          </w:tcPr>
          <w:p w14:paraId="35D0B90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904" w14:textId="77777777" w:rsidR="00D42204" w:rsidRDefault="004E439D">
            <w:pPr>
              <w:jc w:val="right"/>
              <w:textAlignment w:val="center"/>
            </w:pPr>
            <w:r>
              <w:rPr>
                <w:rFonts w:ascii="Times New Roman" w:eastAsia="宋体" w:hAnsi="Times New Roman"/>
                <w:color w:val="000000"/>
                <w:sz w:val="16"/>
                <w:szCs w:val="16"/>
              </w:rPr>
              <w:t>2,752 </w:t>
            </w:r>
          </w:p>
        </w:tc>
        <w:tc>
          <w:tcPr>
            <w:tcW w:w="0" w:type="auto"/>
            <w:shd w:val="clear" w:color="auto" w:fill="CCEEFF"/>
            <w:tcMar>
              <w:top w:w="40" w:type="dxa"/>
              <w:left w:w="0" w:type="dxa"/>
              <w:bottom w:w="40" w:type="dxa"/>
              <w:right w:w="20" w:type="dxa"/>
            </w:tcMar>
            <w:vAlign w:val="center"/>
          </w:tcPr>
          <w:p w14:paraId="35D0B90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90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907" w14:textId="77777777" w:rsidR="00D42204" w:rsidRDefault="004E439D">
            <w:pPr>
              <w:jc w:val="right"/>
              <w:textAlignment w:val="center"/>
            </w:pPr>
            <w:r>
              <w:rPr>
                <w:rFonts w:ascii="Times New Roman" w:eastAsia="宋体" w:hAnsi="Times New Roman"/>
                <w:color w:val="000000"/>
                <w:sz w:val="16"/>
                <w:szCs w:val="16"/>
              </w:rPr>
              <w:t>2,582 </w:t>
            </w:r>
          </w:p>
        </w:tc>
        <w:tc>
          <w:tcPr>
            <w:tcW w:w="0" w:type="auto"/>
            <w:shd w:val="clear" w:color="auto" w:fill="CCEEFF"/>
            <w:tcMar>
              <w:top w:w="40" w:type="dxa"/>
              <w:left w:w="0" w:type="dxa"/>
              <w:bottom w:w="40" w:type="dxa"/>
              <w:right w:w="20" w:type="dxa"/>
            </w:tcMar>
            <w:vAlign w:val="center"/>
          </w:tcPr>
          <w:p w14:paraId="35D0B908" w14:textId="77777777" w:rsidR="00D42204" w:rsidRDefault="00D42204">
            <w:pPr>
              <w:jc w:val="right"/>
              <w:rPr>
                <w:rFonts w:ascii="宋体"/>
              </w:rPr>
            </w:pPr>
          </w:p>
        </w:tc>
      </w:tr>
      <w:tr w:rsidR="00D42204" w14:paraId="35D0B911" w14:textId="77777777">
        <w:tc>
          <w:tcPr>
            <w:tcW w:w="0" w:type="auto"/>
            <w:gridSpan w:val="3"/>
            <w:shd w:val="clear" w:color="auto" w:fill="FFFFFF"/>
            <w:tcMar>
              <w:top w:w="40" w:type="dxa"/>
              <w:left w:w="380" w:type="dxa"/>
              <w:bottom w:w="40" w:type="dxa"/>
              <w:right w:w="20" w:type="dxa"/>
            </w:tcMar>
            <w:vAlign w:val="center"/>
          </w:tcPr>
          <w:p w14:paraId="35D0B90A" w14:textId="77777777" w:rsidR="00D42204" w:rsidRDefault="004E439D">
            <w:pPr>
              <w:textAlignment w:val="center"/>
            </w:pPr>
            <w:r>
              <w:rPr>
                <w:rFonts w:ascii="Times New Roman" w:eastAsia="宋体" w:hAnsi="Times New Roman"/>
                <w:color w:val="000000"/>
                <w:sz w:val="16"/>
                <w:szCs w:val="16"/>
              </w:rPr>
              <w:t>Share-based compensation</w:t>
            </w:r>
          </w:p>
        </w:tc>
        <w:tc>
          <w:tcPr>
            <w:tcW w:w="0" w:type="auto"/>
            <w:gridSpan w:val="3"/>
            <w:shd w:val="clear" w:color="auto" w:fill="FFFFFF"/>
            <w:tcMar>
              <w:top w:w="0" w:type="dxa"/>
              <w:left w:w="20" w:type="dxa"/>
              <w:bottom w:w="0" w:type="dxa"/>
              <w:right w:w="20" w:type="dxa"/>
            </w:tcMar>
            <w:vAlign w:val="bottom"/>
          </w:tcPr>
          <w:p w14:paraId="35D0B90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90C" w14:textId="77777777" w:rsidR="00D42204" w:rsidRDefault="004E439D">
            <w:pPr>
              <w:jc w:val="right"/>
              <w:textAlignment w:val="center"/>
            </w:pPr>
            <w:r>
              <w:rPr>
                <w:rFonts w:ascii="Times New Roman" w:eastAsia="宋体" w:hAnsi="Times New Roman"/>
                <w:color w:val="000000"/>
                <w:sz w:val="16"/>
                <w:szCs w:val="16"/>
              </w:rPr>
              <w:t>231 </w:t>
            </w:r>
          </w:p>
        </w:tc>
        <w:tc>
          <w:tcPr>
            <w:tcW w:w="0" w:type="auto"/>
            <w:shd w:val="clear" w:color="auto" w:fill="FFFFFF"/>
            <w:tcMar>
              <w:top w:w="40" w:type="dxa"/>
              <w:left w:w="0" w:type="dxa"/>
              <w:bottom w:w="40" w:type="dxa"/>
              <w:right w:w="20" w:type="dxa"/>
            </w:tcMar>
            <w:vAlign w:val="center"/>
          </w:tcPr>
          <w:p w14:paraId="35D0B90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90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90F" w14:textId="77777777" w:rsidR="00D42204" w:rsidRDefault="004E439D">
            <w:pPr>
              <w:jc w:val="right"/>
              <w:textAlignment w:val="center"/>
            </w:pPr>
            <w:r>
              <w:rPr>
                <w:rFonts w:ascii="Times New Roman" w:eastAsia="宋体" w:hAnsi="Times New Roman"/>
                <w:color w:val="000000"/>
                <w:sz w:val="16"/>
                <w:szCs w:val="16"/>
              </w:rPr>
              <w:t>224 </w:t>
            </w:r>
          </w:p>
        </w:tc>
        <w:tc>
          <w:tcPr>
            <w:tcW w:w="0" w:type="auto"/>
            <w:shd w:val="clear" w:color="auto" w:fill="FFFFFF"/>
            <w:tcMar>
              <w:top w:w="40" w:type="dxa"/>
              <w:left w:w="0" w:type="dxa"/>
              <w:bottom w:w="40" w:type="dxa"/>
              <w:right w:w="20" w:type="dxa"/>
            </w:tcMar>
            <w:vAlign w:val="center"/>
          </w:tcPr>
          <w:p w14:paraId="35D0B910" w14:textId="77777777" w:rsidR="00D42204" w:rsidRDefault="00D42204">
            <w:pPr>
              <w:jc w:val="right"/>
              <w:rPr>
                <w:rFonts w:ascii="宋体"/>
              </w:rPr>
            </w:pPr>
          </w:p>
        </w:tc>
      </w:tr>
      <w:tr w:rsidR="00D42204" w14:paraId="35D0B919" w14:textId="77777777">
        <w:tc>
          <w:tcPr>
            <w:tcW w:w="0" w:type="auto"/>
            <w:gridSpan w:val="3"/>
            <w:shd w:val="clear" w:color="auto" w:fill="CCEEFF"/>
            <w:tcMar>
              <w:top w:w="40" w:type="dxa"/>
              <w:left w:w="380" w:type="dxa"/>
              <w:bottom w:w="40" w:type="dxa"/>
              <w:right w:w="20" w:type="dxa"/>
            </w:tcMar>
            <w:vAlign w:val="center"/>
          </w:tcPr>
          <w:p w14:paraId="35D0B912" w14:textId="77777777" w:rsidR="00D42204" w:rsidRDefault="004E439D">
            <w:pPr>
              <w:textAlignment w:val="center"/>
            </w:pPr>
            <w:r>
              <w:rPr>
                <w:rFonts w:ascii="Times New Roman" w:eastAsia="宋体" w:hAnsi="Times New Roman"/>
                <w:color w:val="000000"/>
                <w:sz w:val="16"/>
                <w:szCs w:val="16"/>
              </w:rPr>
              <w:t>Lease obligations</w:t>
            </w:r>
          </w:p>
        </w:tc>
        <w:tc>
          <w:tcPr>
            <w:tcW w:w="0" w:type="auto"/>
            <w:gridSpan w:val="3"/>
            <w:shd w:val="clear" w:color="auto" w:fill="CCEEFF"/>
            <w:tcMar>
              <w:top w:w="0" w:type="dxa"/>
              <w:left w:w="20" w:type="dxa"/>
              <w:bottom w:w="0" w:type="dxa"/>
              <w:right w:w="20" w:type="dxa"/>
            </w:tcMar>
            <w:vAlign w:val="bottom"/>
          </w:tcPr>
          <w:p w14:paraId="35D0B91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914" w14:textId="77777777" w:rsidR="00D42204" w:rsidRDefault="004E439D">
            <w:pPr>
              <w:jc w:val="right"/>
              <w:textAlignment w:val="center"/>
            </w:pPr>
            <w:r>
              <w:rPr>
                <w:rFonts w:ascii="Times New Roman" w:eastAsia="宋体" w:hAnsi="Times New Roman"/>
                <w:color w:val="000000"/>
                <w:sz w:val="16"/>
                <w:szCs w:val="16"/>
              </w:rPr>
              <w:t>4,320 </w:t>
            </w:r>
          </w:p>
        </w:tc>
        <w:tc>
          <w:tcPr>
            <w:tcW w:w="0" w:type="auto"/>
            <w:shd w:val="clear" w:color="auto" w:fill="CCEEFF"/>
            <w:tcMar>
              <w:top w:w="40" w:type="dxa"/>
              <w:left w:w="0" w:type="dxa"/>
              <w:bottom w:w="40" w:type="dxa"/>
              <w:right w:w="20" w:type="dxa"/>
            </w:tcMar>
            <w:vAlign w:val="center"/>
          </w:tcPr>
          <w:p w14:paraId="35D0B91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91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917" w14:textId="77777777" w:rsidR="00D42204" w:rsidRDefault="004E439D">
            <w:pPr>
              <w:jc w:val="right"/>
              <w:textAlignment w:val="center"/>
            </w:pPr>
            <w:r>
              <w:rPr>
                <w:rFonts w:ascii="Times New Roman" w:eastAsia="宋体" w:hAnsi="Times New Roman"/>
                <w:color w:val="000000"/>
                <w:sz w:val="16"/>
                <w:szCs w:val="16"/>
              </w:rPr>
              <w:t>4,450 </w:t>
            </w:r>
          </w:p>
        </w:tc>
        <w:tc>
          <w:tcPr>
            <w:tcW w:w="0" w:type="auto"/>
            <w:shd w:val="clear" w:color="auto" w:fill="CCEEFF"/>
            <w:tcMar>
              <w:top w:w="40" w:type="dxa"/>
              <w:left w:w="0" w:type="dxa"/>
              <w:bottom w:w="40" w:type="dxa"/>
              <w:right w:w="20" w:type="dxa"/>
            </w:tcMar>
            <w:vAlign w:val="center"/>
          </w:tcPr>
          <w:p w14:paraId="35D0B918" w14:textId="77777777" w:rsidR="00D42204" w:rsidRDefault="00D42204">
            <w:pPr>
              <w:jc w:val="right"/>
              <w:rPr>
                <w:rFonts w:ascii="宋体"/>
              </w:rPr>
            </w:pPr>
          </w:p>
        </w:tc>
      </w:tr>
      <w:tr w:rsidR="00D42204" w14:paraId="35D0B921" w14:textId="77777777">
        <w:tc>
          <w:tcPr>
            <w:tcW w:w="0" w:type="auto"/>
            <w:gridSpan w:val="3"/>
            <w:shd w:val="clear" w:color="auto" w:fill="FFFFFF"/>
            <w:tcMar>
              <w:top w:w="40" w:type="dxa"/>
              <w:left w:w="380" w:type="dxa"/>
              <w:bottom w:w="40" w:type="dxa"/>
              <w:right w:w="20" w:type="dxa"/>
            </w:tcMar>
            <w:vAlign w:val="center"/>
          </w:tcPr>
          <w:p w14:paraId="35D0B91A" w14:textId="77777777" w:rsidR="00D42204" w:rsidRDefault="004E439D">
            <w:pPr>
              <w:textAlignment w:val="center"/>
            </w:pPr>
            <w:r>
              <w:rPr>
                <w:rFonts w:ascii="Times New Roman" w:eastAsia="宋体" w:hAnsi="Times New Roman"/>
                <w:color w:val="000000"/>
                <w:sz w:val="16"/>
                <w:szCs w:val="16"/>
              </w:rPr>
              <w:t>Other</w:t>
            </w:r>
          </w:p>
        </w:tc>
        <w:tc>
          <w:tcPr>
            <w:tcW w:w="0" w:type="auto"/>
            <w:gridSpan w:val="3"/>
            <w:shd w:val="clear" w:color="auto" w:fill="FFFFFF"/>
            <w:tcMar>
              <w:top w:w="0" w:type="dxa"/>
              <w:left w:w="20" w:type="dxa"/>
              <w:bottom w:w="0" w:type="dxa"/>
              <w:right w:w="20" w:type="dxa"/>
            </w:tcMar>
            <w:vAlign w:val="bottom"/>
          </w:tcPr>
          <w:p w14:paraId="35D0B91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91C" w14:textId="77777777" w:rsidR="00D42204" w:rsidRDefault="004E439D">
            <w:pPr>
              <w:jc w:val="right"/>
              <w:textAlignment w:val="center"/>
            </w:pPr>
            <w:r>
              <w:rPr>
                <w:rFonts w:ascii="Times New Roman" w:eastAsia="宋体" w:hAnsi="Times New Roman"/>
                <w:color w:val="000000"/>
                <w:sz w:val="16"/>
                <w:szCs w:val="16"/>
              </w:rPr>
              <w:t>893 </w:t>
            </w:r>
          </w:p>
        </w:tc>
        <w:tc>
          <w:tcPr>
            <w:tcW w:w="0" w:type="auto"/>
            <w:shd w:val="clear" w:color="auto" w:fill="FFFFFF"/>
            <w:tcMar>
              <w:top w:w="40" w:type="dxa"/>
              <w:left w:w="0" w:type="dxa"/>
              <w:bottom w:w="40" w:type="dxa"/>
              <w:right w:w="20" w:type="dxa"/>
            </w:tcMar>
            <w:vAlign w:val="center"/>
          </w:tcPr>
          <w:p w14:paraId="35D0B91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91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91F" w14:textId="77777777" w:rsidR="00D42204" w:rsidRDefault="004E439D">
            <w:pPr>
              <w:jc w:val="right"/>
              <w:textAlignment w:val="center"/>
            </w:pPr>
            <w:r>
              <w:rPr>
                <w:rFonts w:ascii="Times New Roman" w:eastAsia="宋体" w:hAnsi="Times New Roman"/>
                <w:color w:val="000000"/>
                <w:sz w:val="16"/>
                <w:szCs w:val="16"/>
              </w:rPr>
              <w:t>589 </w:t>
            </w:r>
          </w:p>
        </w:tc>
        <w:tc>
          <w:tcPr>
            <w:tcW w:w="0" w:type="auto"/>
            <w:shd w:val="clear" w:color="auto" w:fill="FFFFFF"/>
            <w:tcMar>
              <w:top w:w="40" w:type="dxa"/>
              <w:left w:w="0" w:type="dxa"/>
              <w:bottom w:w="40" w:type="dxa"/>
              <w:right w:w="20" w:type="dxa"/>
            </w:tcMar>
            <w:vAlign w:val="center"/>
          </w:tcPr>
          <w:p w14:paraId="35D0B920" w14:textId="77777777" w:rsidR="00D42204" w:rsidRDefault="00D42204">
            <w:pPr>
              <w:jc w:val="right"/>
              <w:rPr>
                <w:rFonts w:ascii="宋体"/>
              </w:rPr>
            </w:pPr>
          </w:p>
        </w:tc>
      </w:tr>
      <w:tr w:rsidR="00D42204" w14:paraId="35D0B929" w14:textId="77777777">
        <w:tc>
          <w:tcPr>
            <w:tcW w:w="0" w:type="auto"/>
            <w:gridSpan w:val="3"/>
            <w:shd w:val="clear" w:color="auto" w:fill="CCEEFF"/>
            <w:tcMar>
              <w:top w:w="40" w:type="dxa"/>
              <w:left w:w="20" w:type="dxa"/>
              <w:bottom w:w="40" w:type="dxa"/>
              <w:right w:w="20" w:type="dxa"/>
            </w:tcMar>
            <w:vAlign w:val="center"/>
          </w:tcPr>
          <w:p w14:paraId="35D0B922" w14:textId="77777777" w:rsidR="00D42204" w:rsidRDefault="004E439D">
            <w:pPr>
              <w:textAlignment w:val="center"/>
            </w:pPr>
            <w:r>
              <w:rPr>
                <w:rFonts w:ascii="Times New Roman" w:eastAsia="宋体" w:hAnsi="Times New Roman"/>
                <w:b/>
                <w:bCs/>
                <w:color w:val="000000"/>
                <w:sz w:val="16"/>
                <w:szCs w:val="16"/>
              </w:rPr>
              <w:t>Total deferred tax assets</w:t>
            </w:r>
          </w:p>
        </w:tc>
        <w:tc>
          <w:tcPr>
            <w:tcW w:w="0" w:type="auto"/>
            <w:gridSpan w:val="3"/>
            <w:shd w:val="clear" w:color="auto" w:fill="CCEEFF"/>
            <w:tcMar>
              <w:top w:w="0" w:type="dxa"/>
              <w:left w:w="20" w:type="dxa"/>
              <w:bottom w:w="0" w:type="dxa"/>
              <w:right w:w="20" w:type="dxa"/>
            </w:tcMar>
            <w:vAlign w:val="bottom"/>
          </w:tcPr>
          <w:p w14:paraId="35D0B923"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B924" w14:textId="77777777" w:rsidR="00D42204" w:rsidRDefault="004E439D">
            <w:pPr>
              <w:jc w:val="right"/>
              <w:textAlignment w:val="center"/>
            </w:pPr>
            <w:r>
              <w:rPr>
                <w:rFonts w:ascii="Times New Roman" w:eastAsia="宋体" w:hAnsi="Times New Roman"/>
                <w:color w:val="000000"/>
                <w:sz w:val="16"/>
                <w:szCs w:val="16"/>
              </w:rPr>
              <w:t>17,652 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92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926"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B927" w14:textId="77777777" w:rsidR="00D42204" w:rsidRDefault="004E439D">
            <w:pPr>
              <w:jc w:val="right"/>
              <w:textAlignment w:val="center"/>
            </w:pPr>
            <w:r>
              <w:rPr>
                <w:rFonts w:ascii="Times New Roman" w:eastAsia="宋体" w:hAnsi="Times New Roman"/>
                <w:color w:val="000000"/>
                <w:sz w:val="16"/>
                <w:szCs w:val="16"/>
              </w:rPr>
              <w:t>17,024 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928" w14:textId="77777777" w:rsidR="00D42204" w:rsidRDefault="00D42204">
            <w:pPr>
              <w:jc w:val="right"/>
              <w:rPr>
                <w:rFonts w:ascii="宋体"/>
              </w:rPr>
            </w:pPr>
          </w:p>
        </w:tc>
      </w:tr>
      <w:tr w:rsidR="00D42204" w14:paraId="35D0B931" w14:textId="77777777">
        <w:tc>
          <w:tcPr>
            <w:tcW w:w="0" w:type="auto"/>
            <w:gridSpan w:val="3"/>
            <w:shd w:val="clear" w:color="auto" w:fill="FFFFFF"/>
            <w:tcMar>
              <w:top w:w="40" w:type="dxa"/>
              <w:left w:w="20" w:type="dxa"/>
              <w:bottom w:w="40" w:type="dxa"/>
              <w:right w:w="20" w:type="dxa"/>
            </w:tcMar>
            <w:vAlign w:val="center"/>
          </w:tcPr>
          <w:p w14:paraId="35D0B92A" w14:textId="77777777" w:rsidR="00D42204" w:rsidRDefault="004E439D">
            <w:pPr>
              <w:textAlignment w:val="center"/>
            </w:pPr>
            <w:r>
              <w:rPr>
                <w:rFonts w:ascii="Times New Roman" w:eastAsia="宋体" w:hAnsi="Times New Roman"/>
                <w:color w:val="000000"/>
                <w:sz w:val="16"/>
                <w:szCs w:val="16"/>
              </w:rPr>
              <w:t>Valuation allowances</w:t>
            </w:r>
          </w:p>
        </w:tc>
        <w:tc>
          <w:tcPr>
            <w:tcW w:w="0" w:type="auto"/>
            <w:gridSpan w:val="3"/>
            <w:shd w:val="clear" w:color="auto" w:fill="FFFFFF"/>
            <w:tcMar>
              <w:top w:w="0" w:type="dxa"/>
              <w:left w:w="20" w:type="dxa"/>
              <w:bottom w:w="0" w:type="dxa"/>
              <w:right w:w="20" w:type="dxa"/>
            </w:tcMar>
            <w:vAlign w:val="bottom"/>
          </w:tcPr>
          <w:p w14:paraId="35D0B92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92C" w14:textId="77777777" w:rsidR="00D42204" w:rsidRDefault="004E439D">
            <w:pPr>
              <w:jc w:val="right"/>
              <w:textAlignment w:val="center"/>
            </w:pPr>
            <w:r>
              <w:rPr>
                <w:rFonts w:ascii="Times New Roman" w:eastAsia="宋体" w:hAnsi="Times New Roman"/>
                <w:color w:val="000000"/>
                <w:sz w:val="16"/>
                <w:szCs w:val="16"/>
              </w:rPr>
              <w:t>(9,542)</w:t>
            </w:r>
          </w:p>
        </w:tc>
        <w:tc>
          <w:tcPr>
            <w:tcW w:w="0" w:type="auto"/>
            <w:shd w:val="clear" w:color="auto" w:fill="FFFFFF"/>
            <w:tcMar>
              <w:top w:w="40" w:type="dxa"/>
              <w:left w:w="0" w:type="dxa"/>
              <w:bottom w:w="40" w:type="dxa"/>
              <w:right w:w="20" w:type="dxa"/>
            </w:tcMar>
            <w:vAlign w:val="center"/>
          </w:tcPr>
          <w:p w14:paraId="35D0B92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92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92F" w14:textId="77777777" w:rsidR="00D42204" w:rsidRDefault="004E439D">
            <w:pPr>
              <w:jc w:val="right"/>
              <w:textAlignment w:val="center"/>
            </w:pPr>
            <w:r>
              <w:rPr>
                <w:rFonts w:ascii="Times New Roman" w:eastAsia="宋体" w:hAnsi="Times New Roman"/>
                <w:color w:val="000000"/>
                <w:sz w:val="16"/>
                <w:szCs w:val="16"/>
              </w:rPr>
              <w:t>(8,782)</w:t>
            </w:r>
          </w:p>
        </w:tc>
        <w:tc>
          <w:tcPr>
            <w:tcW w:w="0" w:type="auto"/>
            <w:shd w:val="clear" w:color="auto" w:fill="FFFFFF"/>
            <w:tcMar>
              <w:top w:w="40" w:type="dxa"/>
              <w:left w:w="0" w:type="dxa"/>
              <w:bottom w:w="40" w:type="dxa"/>
              <w:right w:w="20" w:type="dxa"/>
            </w:tcMar>
            <w:vAlign w:val="center"/>
          </w:tcPr>
          <w:p w14:paraId="35D0B930" w14:textId="77777777" w:rsidR="00D42204" w:rsidRDefault="00D42204">
            <w:pPr>
              <w:jc w:val="right"/>
              <w:rPr>
                <w:rFonts w:ascii="宋体"/>
              </w:rPr>
            </w:pPr>
          </w:p>
        </w:tc>
      </w:tr>
      <w:tr w:rsidR="00D42204" w14:paraId="35D0B939" w14:textId="77777777">
        <w:tc>
          <w:tcPr>
            <w:tcW w:w="0" w:type="auto"/>
            <w:gridSpan w:val="3"/>
            <w:shd w:val="clear" w:color="auto" w:fill="CCEEFF"/>
            <w:tcMar>
              <w:top w:w="40" w:type="dxa"/>
              <w:left w:w="20" w:type="dxa"/>
              <w:bottom w:w="40" w:type="dxa"/>
              <w:right w:w="20" w:type="dxa"/>
            </w:tcMar>
            <w:vAlign w:val="center"/>
          </w:tcPr>
          <w:p w14:paraId="35D0B932" w14:textId="77777777" w:rsidR="00D42204" w:rsidRDefault="004E439D">
            <w:pPr>
              <w:textAlignment w:val="center"/>
            </w:pPr>
            <w:r>
              <w:rPr>
                <w:rFonts w:ascii="Times New Roman" w:eastAsia="宋体" w:hAnsi="Times New Roman"/>
                <w:b/>
                <w:bCs/>
                <w:color w:val="000000"/>
                <w:sz w:val="16"/>
                <w:szCs w:val="16"/>
              </w:rPr>
              <w:t>Deferred tax assets, net of valuation allowances</w:t>
            </w:r>
          </w:p>
        </w:tc>
        <w:tc>
          <w:tcPr>
            <w:tcW w:w="0" w:type="auto"/>
            <w:gridSpan w:val="3"/>
            <w:shd w:val="clear" w:color="auto" w:fill="CCEEFF"/>
            <w:tcMar>
              <w:top w:w="0" w:type="dxa"/>
              <w:left w:w="20" w:type="dxa"/>
              <w:bottom w:w="0" w:type="dxa"/>
              <w:right w:w="20" w:type="dxa"/>
            </w:tcMar>
            <w:vAlign w:val="bottom"/>
          </w:tcPr>
          <w:p w14:paraId="35D0B933"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B934" w14:textId="77777777" w:rsidR="00D42204" w:rsidRDefault="004E439D">
            <w:pPr>
              <w:jc w:val="right"/>
              <w:textAlignment w:val="center"/>
            </w:pPr>
            <w:r>
              <w:rPr>
                <w:rFonts w:ascii="Times New Roman" w:eastAsia="宋体" w:hAnsi="Times New Roman"/>
                <w:color w:val="000000"/>
                <w:sz w:val="16"/>
                <w:szCs w:val="16"/>
              </w:rPr>
              <w:t>8,110 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93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936"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B937" w14:textId="77777777" w:rsidR="00D42204" w:rsidRDefault="004E439D">
            <w:pPr>
              <w:jc w:val="right"/>
              <w:textAlignment w:val="center"/>
            </w:pPr>
            <w:r>
              <w:rPr>
                <w:rFonts w:ascii="Times New Roman" w:eastAsia="宋体" w:hAnsi="Times New Roman"/>
                <w:color w:val="000000"/>
                <w:sz w:val="16"/>
                <w:szCs w:val="16"/>
              </w:rPr>
              <w:t>8,242 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938" w14:textId="77777777" w:rsidR="00D42204" w:rsidRDefault="00D42204">
            <w:pPr>
              <w:jc w:val="right"/>
              <w:rPr>
                <w:rFonts w:ascii="宋体"/>
              </w:rPr>
            </w:pPr>
          </w:p>
        </w:tc>
      </w:tr>
      <w:tr w:rsidR="00D42204" w14:paraId="35D0B93F" w14:textId="77777777">
        <w:tc>
          <w:tcPr>
            <w:tcW w:w="0" w:type="auto"/>
            <w:gridSpan w:val="3"/>
            <w:shd w:val="clear" w:color="auto" w:fill="FFFFFF"/>
            <w:tcMar>
              <w:top w:w="40" w:type="dxa"/>
              <w:left w:w="20" w:type="dxa"/>
              <w:bottom w:w="40" w:type="dxa"/>
              <w:right w:w="20" w:type="dxa"/>
            </w:tcMar>
            <w:vAlign w:val="center"/>
          </w:tcPr>
          <w:p w14:paraId="35D0B93A" w14:textId="77777777" w:rsidR="00D42204" w:rsidRDefault="004E439D">
            <w:pPr>
              <w:textAlignment w:val="center"/>
            </w:pPr>
            <w:r>
              <w:rPr>
                <w:rFonts w:ascii="Times New Roman" w:eastAsia="宋体" w:hAnsi="Times New Roman"/>
                <w:b/>
                <w:bCs/>
                <w:color w:val="000000"/>
                <w:sz w:val="16"/>
                <w:szCs w:val="16"/>
              </w:rPr>
              <w:t>Deferred tax liabilities:</w:t>
            </w:r>
          </w:p>
        </w:tc>
        <w:tc>
          <w:tcPr>
            <w:tcW w:w="0" w:type="auto"/>
            <w:gridSpan w:val="3"/>
            <w:shd w:val="clear" w:color="auto" w:fill="FFFFFF"/>
            <w:tcMar>
              <w:top w:w="0" w:type="dxa"/>
              <w:left w:w="20" w:type="dxa"/>
              <w:bottom w:w="0" w:type="dxa"/>
              <w:right w:w="20" w:type="dxa"/>
            </w:tcMar>
            <w:vAlign w:val="bottom"/>
          </w:tcPr>
          <w:p w14:paraId="35D0B93B" w14:textId="77777777" w:rsidR="00D42204" w:rsidRDefault="00D4220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5D0B93C"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93D" w14:textId="77777777" w:rsidR="00D42204" w:rsidRDefault="00D4220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35D0B93E" w14:textId="77777777" w:rsidR="00D42204" w:rsidRDefault="00D42204">
            <w:pPr>
              <w:rPr>
                <w:rFonts w:ascii="宋体"/>
              </w:rPr>
            </w:pPr>
          </w:p>
        </w:tc>
      </w:tr>
      <w:tr w:rsidR="00D42204" w14:paraId="35D0B947" w14:textId="77777777">
        <w:tc>
          <w:tcPr>
            <w:tcW w:w="0" w:type="auto"/>
            <w:gridSpan w:val="3"/>
            <w:shd w:val="clear" w:color="auto" w:fill="CCEEFF"/>
            <w:tcMar>
              <w:top w:w="40" w:type="dxa"/>
              <w:left w:w="380" w:type="dxa"/>
              <w:bottom w:w="40" w:type="dxa"/>
              <w:right w:w="20" w:type="dxa"/>
            </w:tcMar>
            <w:vAlign w:val="center"/>
          </w:tcPr>
          <w:p w14:paraId="35D0B940" w14:textId="77777777" w:rsidR="00D42204" w:rsidRDefault="004E439D">
            <w:pPr>
              <w:textAlignment w:val="center"/>
            </w:pPr>
            <w:r>
              <w:rPr>
                <w:rFonts w:ascii="Times New Roman" w:eastAsia="宋体" w:hAnsi="Times New Roman"/>
                <w:color w:val="000000"/>
                <w:sz w:val="16"/>
                <w:szCs w:val="16"/>
              </w:rPr>
              <w:t>Property and equipment</w:t>
            </w:r>
          </w:p>
        </w:tc>
        <w:tc>
          <w:tcPr>
            <w:tcW w:w="0" w:type="auto"/>
            <w:gridSpan w:val="3"/>
            <w:shd w:val="clear" w:color="auto" w:fill="CCEEFF"/>
            <w:tcMar>
              <w:top w:w="0" w:type="dxa"/>
              <w:left w:w="20" w:type="dxa"/>
              <w:bottom w:w="0" w:type="dxa"/>
              <w:right w:w="20" w:type="dxa"/>
            </w:tcMar>
            <w:vAlign w:val="bottom"/>
          </w:tcPr>
          <w:p w14:paraId="35D0B94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942" w14:textId="77777777" w:rsidR="00D42204" w:rsidRDefault="004E439D">
            <w:pPr>
              <w:jc w:val="right"/>
              <w:textAlignment w:val="center"/>
            </w:pPr>
            <w:r>
              <w:rPr>
                <w:rFonts w:ascii="Times New Roman" w:eastAsia="宋体" w:hAnsi="Times New Roman"/>
                <w:color w:val="000000"/>
                <w:sz w:val="16"/>
                <w:szCs w:val="16"/>
              </w:rPr>
              <w:t>4,414 </w:t>
            </w:r>
          </w:p>
        </w:tc>
        <w:tc>
          <w:tcPr>
            <w:tcW w:w="0" w:type="auto"/>
            <w:shd w:val="clear" w:color="auto" w:fill="CCEEFF"/>
            <w:tcMar>
              <w:top w:w="40" w:type="dxa"/>
              <w:left w:w="0" w:type="dxa"/>
              <w:bottom w:w="40" w:type="dxa"/>
              <w:right w:w="20" w:type="dxa"/>
            </w:tcMar>
            <w:vAlign w:val="center"/>
          </w:tcPr>
          <w:p w14:paraId="35D0B94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94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945" w14:textId="77777777" w:rsidR="00D42204" w:rsidRDefault="004E439D">
            <w:pPr>
              <w:jc w:val="right"/>
              <w:textAlignment w:val="center"/>
            </w:pPr>
            <w:r>
              <w:rPr>
                <w:rFonts w:ascii="Times New Roman" w:eastAsia="宋体" w:hAnsi="Times New Roman"/>
                <w:color w:val="000000"/>
                <w:sz w:val="16"/>
                <w:szCs w:val="16"/>
              </w:rPr>
              <w:t>4,802 </w:t>
            </w:r>
          </w:p>
        </w:tc>
        <w:tc>
          <w:tcPr>
            <w:tcW w:w="0" w:type="auto"/>
            <w:shd w:val="clear" w:color="auto" w:fill="CCEEFF"/>
            <w:tcMar>
              <w:top w:w="40" w:type="dxa"/>
              <w:left w:w="0" w:type="dxa"/>
              <w:bottom w:w="40" w:type="dxa"/>
              <w:right w:w="20" w:type="dxa"/>
            </w:tcMar>
            <w:vAlign w:val="center"/>
          </w:tcPr>
          <w:p w14:paraId="35D0B946" w14:textId="77777777" w:rsidR="00D42204" w:rsidRDefault="00D42204">
            <w:pPr>
              <w:jc w:val="right"/>
              <w:rPr>
                <w:rFonts w:ascii="宋体"/>
              </w:rPr>
            </w:pPr>
          </w:p>
        </w:tc>
      </w:tr>
      <w:tr w:rsidR="00D42204" w14:paraId="35D0B94F" w14:textId="77777777">
        <w:tc>
          <w:tcPr>
            <w:tcW w:w="0" w:type="auto"/>
            <w:gridSpan w:val="3"/>
            <w:shd w:val="clear" w:color="auto" w:fill="FFFFFF"/>
            <w:tcMar>
              <w:top w:w="40" w:type="dxa"/>
              <w:left w:w="380" w:type="dxa"/>
              <w:bottom w:w="40" w:type="dxa"/>
              <w:right w:w="20" w:type="dxa"/>
            </w:tcMar>
            <w:vAlign w:val="center"/>
          </w:tcPr>
          <w:p w14:paraId="35D0B948" w14:textId="77777777" w:rsidR="00D42204" w:rsidRDefault="004E439D">
            <w:pPr>
              <w:textAlignment w:val="center"/>
            </w:pPr>
            <w:r>
              <w:rPr>
                <w:rFonts w:ascii="Times New Roman" w:eastAsia="宋体" w:hAnsi="Times New Roman"/>
                <w:color w:val="000000"/>
                <w:sz w:val="16"/>
                <w:szCs w:val="16"/>
              </w:rPr>
              <w:t>Acquired intangibles</w:t>
            </w:r>
          </w:p>
        </w:tc>
        <w:tc>
          <w:tcPr>
            <w:tcW w:w="0" w:type="auto"/>
            <w:gridSpan w:val="3"/>
            <w:shd w:val="clear" w:color="auto" w:fill="FFFFFF"/>
            <w:tcMar>
              <w:top w:w="0" w:type="dxa"/>
              <w:left w:w="20" w:type="dxa"/>
              <w:bottom w:w="0" w:type="dxa"/>
              <w:right w:w="20" w:type="dxa"/>
            </w:tcMar>
            <w:vAlign w:val="bottom"/>
          </w:tcPr>
          <w:p w14:paraId="35D0B94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94A" w14:textId="77777777" w:rsidR="00D42204" w:rsidRDefault="004E439D">
            <w:pPr>
              <w:jc w:val="right"/>
              <w:textAlignment w:val="center"/>
            </w:pPr>
            <w:r>
              <w:rPr>
                <w:rFonts w:ascii="Times New Roman" w:eastAsia="宋体" w:hAnsi="Times New Roman"/>
                <w:color w:val="000000"/>
                <w:sz w:val="16"/>
                <w:szCs w:val="16"/>
              </w:rPr>
              <w:t>1,065 </w:t>
            </w:r>
          </w:p>
        </w:tc>
        <w:tc>
          <w:tcPr>
            <w:tcW w:w="0" w:type="auto"/>
            <w:shd w:val="clear" w:color="auto" w:fill="FFFFFF"/>
            <w:tcMar>
              <w:top w:w="40" w:type="dxa"/>
              <w:left w:w="0" w:type="dxa"/>
              <w:bottom w:w="40" w:type="dxa"/>
              <w:right w:w="20" w:type="dxa"/>
            </w:tcMar>
            <w:vAlign w:val="center"/>
          </w:tcPr>
          <w:p w14:paraId="35D0B94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94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94D" w14:textId="77777777" w:rsidR="00D42204" w:rsidRDefault="004E439D">
            <w:pPr>
              <w:jc w:val="right"/>
              <w:textAlignment w:val="center"/>
            </w:pPr>
            <w:r>
              <w:rPr>
                <w:rFonts w:ascii="Times New Roman" w:eastAsia="宋体" w:hAnsi="Times New Roman"/>
                <w:color w:val="000000"/>
                <w:sz w:val="16"/>
                <w:szCs w:val="16"/>
              </w:rPr>
              <w:t>1,071 </w:t>
            </w:r>
          </w:p>
        </w:tc>
        <w:tc>
          <w:tcPr>
            <w:tcW w:w="0" w:type="auto"/>
            <w:shd w:val="clear" w:color="auto" w:fill="FFFFFF"/>
            <w:tcMar>
              <w:top w:w="40" w:type="dxa"/>
              <w:left w:w="0" w:type="dxa"/>
              <w:bottom w:w="40" w:type="dxa"/>
              <w:right w:w="20" w:type="dxa"/>
            </w:tcMar>
            <w:vAlign w:val="center"/>
          </w:tcPr>
          <w:p w14:paraId="35D0B94E" w14:textId="77777777" w:rsidR="00D42204" w:rsidRDefault="00D42204">
            <w:pPr>
              <w:jc w:val="right"/>
              <w:rPr>
                <w:rFonts w:ascii="宋体"/>
              </w:rPr>
            </w:pPr>
          </w:p>
        </w:tc>
      </w:tr>
      <w:tr w:rsidR="00D42204" w14:paraId="35D0B957" w14:textId="77777777">
        <w:tc>
          <w:tcPr>
            <w:tcW w:w="0" w:type="auto"/>
            <w:gridSpan w:val="3"/>
            <w:shd w:val="clear" w:color="auto" w:fill="CCEEFF"/>
            <w:tcMar>
              <w:top w:w="40" w:type="dxa"/>
              <w:left w:w="380" w:type="dxa"/>
              <w:bottom w:w="40" w:type="dxa"/>
              <w:right w:w="20" w:type="dxa"/>
            </w:tcMar>
            <w:vAlign w:val="center"/>
          </w:tcPr>
          <w:p w14:paraId="35D0B950" w14:textId="77777777" w:rsidR="00D42204" w:rsidRDefault="004E439D">
            <w:pPr>
              <w:textAlignment w:val="center"/>
            </w:pPr>
            <w:r>
              <w:rPr>
                <w:rFonts w:ascii="Times New Roman" w:eastAsia="宋体" w:hAnsi="Times New Roman"/>
                <w:color w:val="000000"/>
                <w:sz w:val="16"/>
                <w:szCs w:val="16"/>
              </w:rPr>
              <w:t>Inventory</w:t>
            </w:r>
          </w:p>
        </w:tc>
        <w:tc>
          <w:tcPr>
            <w:tcW w:w="0" w:type="auto"/>
            <w:gridSpan w:val="3"/>
            <w:shd w:val="clear" w:color="auto" w:fill="CCEEFF"/>
            <w:tcMar>
              <w:top w:w="0" w:type="dxa"/>
              <w:left w:w="20" w:type="dxa"/>
              <w:bottom w:w="0" w:type="dxa"/>
              <w:right w:w="20" w:type="dxa"/>
            </w:tcMar>
            <w:vAlign w:val="bottom"/>
          </w:tcPr>
          <w:p w14:paraId="35D0B95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952" w14:textId="77777777" w:rsidR="00D42204" w:rsidRDefault="004E439D">
            <w:pPr>
              <w:jc w:val="right"/>
              <w:textAlignment w:val="center"/>
            </w:pPr>
            <w:r>
              <w:rPr>
                <w:rFonts w:ascii="Times New Roman" w:eastAsia="宋体" w:hAnsi="Times New Roman"/>
                <w:color w:val="000000"/>
                <w:sz w:val="16"/>
                <w:szCs w:val="16"/>
              </w:rPr>
              <w:t>1,588 </w:t>
            </w:r>
          </w:p>
        </w:tc>
        <w:tc>
          <w:tcPr>
            <w:tcW w:w="0" w:type="auto"/>
            <w:shd w:val="clear" w:color="auto" w:fill="CCEEFF"/>
            <w:tcMar>
              <w:top w:w="40" w:type="dxa"/>
              <w:left w:w="0" w:type="dxa"/>
              <w:bottom w:w="40" w:type="dxa"/>
              <w:right w:w="20" w:type="dxa"/>
            </w:tcMar>
            <w:vAlign w:val="center"/>
          </w:tcPr>
          <w:p w14:paraId="35D0B95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95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955" w14:textId="77777777" w:rsidR="00D42204" w:rsidRDefault="004E439D">
            <w:pPr>
              <w:jc w:val="right"/>
              <w:textAlignment w:val="center"/>
            </w:pPr>
            <w:r>
              <w:rPr>
                <w:rFonts w:ascii="Times New Roman" w:eastAsia="宋体" w:hAnsi="Times New Roman"/>
                <w:color w:val="000000"/>
                <w:sz w:val="16"/>
                <w:szCs w:val="16"/>
              </w:rPr>
              <w:t>1,235 </w:t>
            </w:r>
          </w:p>
        </w:tc>
        <w:tc>
          <w:tcPr>
            <w:tcW w:w="0" w:type="auto"/>
            <w:shd w:val="clear" w:color="auto" w:fill="CCEEFF"/>
            <w:tcMar>
              <w:top w:w="40" w:type="dxa"/>
              <w:left w:w="0" w:type="dxa"/>
              <w:bottom w:w="40" w:type="dxa"/>
              <w:right w:w="20" w:type="dxa"/>
            </w:tcMar>
            <w:vAlign w:val="center"/>
          </w:tcPr>
          <w:p w14:paraId="35D0B956" w14:textId="77777777" w:rsidR="00D42204" w:rsidRDefault="00D42204">
            <w:pPr>
              <w:jc w:val="right"/>
              <w:rPr>
                <w:rFonts w:ascii="宋体"/>
              </w:rPr>
            </w:pPr>
          </w:p>
        </w:tc>
      </w:tr>
      <w:tr w:rsidR="00D42204" w14:paraId="35D0B95F" w14:textId="77777777">
        <w:tc>
          <w:tcPr>
            <w:tcW w:w="0" w:type="auto"/>
            <w:gridSpan w:val="3"/>
            <w:shd w:val="clear" w:color="auto" w:fill="FFFFFF"/>
            <w:tcMar>
              <w:top w:w="40" w:type="dxa"/>
              <w:left w:w="380" w:type="dxa"/>
              <w:bottom w:w="40" w:type="dxa"/>
              <w:right w:w="20" w:type="dxa"/>
            </w:tcMar>
            <w:vAlign w:val="center"/>
          </w:tcPr>
          <w:p w14:paraId="35D0B958" w14:textId="77777777" w:rsidR="00D42204" w:rsidRDefault="004E439D">
            <w:pPr>
              <w:textAlignment w:val="center"/>
            </w:pPr>
            <w:r>
              <w:rPr>
                <w:rFonts w:ascii="Times New Roman" w:eastAsia="宋体" w:hAnsi="Times New Roman"/>
                <w:color w:val="000000"/>
                <w:sz w:val="16"/>
                <w:szCs w:val="16"/>
              </w:rPr>
              <w:t xml:space="preserve">Lease right of use </w:t>
            </w:r>
            <w:r>
              <w:rPr>
                <w:rFonts w:ascii="Times New Roman" w:eastAsia="宋体" w:hAnsi="Times New Roman"/>
                <w:color w:val="000000"/>
                <w:sz w:val="16"/>
                <w:szCs w:val="16"/>
              </w:rPr>
              <w:t>assets</w:t>
            </w:r>
          </w:p>
        </w:tc>
        <w:tc>
          <w:tcPr>
            <w:tcW w:w="0" w:type="auto"/>
            <w:gridSpan w:val="3"/>
            <w:shd w:val="clear" w:color="auto" w:fill="FFFFFF"/>
            <w:tcMar>
              <w:top w:w="0" w:type="dxa"/>
              <w:left w:w="20" w:type="dxa"/>
              <w:bottom w:w="0" w:type="dxa"/>
              <w:right w:w="20" w:type="dxa"/>
            </w:tcMar>
            <w:vAlign w:val="bottom"/>
          </w:tcPr>
          <w:p w14:paraId="35D0B95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95A" w14:textId="77777777" w:rsidR="00D42204" w:rsidRDefault="004E439D">
            <w:pPr>
              <w:jc w:val="right"/>
              <w:textAlignment w:val="center"/>
            </w:pPr>
            <w:r>
              <w:rPr>
                <w:rFonts w:ascii="Times New Roman" w:eastAsia="宋体" w:hAnsi="Times New Roman"/>
                <w:color w:val="000000"/>
                <w:sz w:val="16"/>
                <w:szCs w:val="16"/>
              </w:rPr>
              <w:t>4,355 </w:t>
            </w:r>
          </w:p>
        </w:tc>
        <w:tc>
          <w:tcPr>
            <w:tcW w:w="0" w:type="auto"/>
            <w:shd w:val="clear" w:color="auto" w:fill="FFFFFF"/>
            <w:tcMar>
              <w:top w:w="40" w:type="dxa"/>
              <w:left w:w="0" w:type="dxa"/>
              <w:bottom w:w="40" w:type="dxa"/>
              <w:right w:w="20" w:type="dxa"/>
            </w:tcMar>
            <w:vAlign w:val="center"/>
          </w:tcPr>
          <w:p w14:paraId="35D0B95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95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95D" w14:textId="77777777" w:rsidR="00D42204" w:rsidRDefault="004E439D">
            <w:pPr>
              <w:jc w:val="right"/>
              <w:textAlignment w:val="center"/>
            </w:pPr>
            <w:r>
              <w:rPr>
                <w:rFonts w:ascii="Times New Roman" w:eastAsia="宋体" w:hAnsi="Times New Roman"/>
                <w:color w:val="000000"/>
                <w:sz w:val="16"/>
                <w:szCs w:val="16"/>
              </w:rPr>
              <w:t>4,390 </w:t>
            </w:r>
          </w:p>
        </w:tc>
        <w:tc>
          <w:tcPr>
            <w:tcW w:w="0" w:type="auto"/>
            <w:shd w:val="clear" w:color="auto" w:fill="FFFFFF"/>
            <w:tcMar>
              <w:top w:w="40" w:type="dxa"/>
              <w:left w:w="0" w:type="dxa"/>
              <w:bottom w:w="40" w:type="dxa"/>
              <w:right w:w="20" w:type="dxa"/>
            </w:tcMar>
            <w:vAlign w:val="center"/>
          </w:tcPr>
          <w:p w14:paraId="35D0B95E" w14:textId="77777777" w:rsidR="00D42204" w:rsidRDefault="00D42204">
            <w:pPr>
              <w:jc w:val="right"/>
              <w:rPr>
                <w:rFonts w:ascii="宋体"/>
              </w:rPr>
            </w:pPr>
          </w:p>
        </w:tc>
      </w:tr>
      <w:tr w:rsidR="00D42204" w14:paraId="35D0B967" w14:textId="77777777">
        <w:tc>
          <w:tcPr>
            <w:tcW w:w="0" w:type="auto"/>
            <w:gridSpan w:val="3"/>
            <w:shd w:val="clear" w:color="auto" w:fill="CCEEFF"/>
            <w:tcMar>
              <w:top w:w="40" w:type="dxa"/>
              <w:left w:w="380" w:type="dxa"/>
              <w:bottom w:w="40" w:type="dxa"/>
              <w:right w:w="20" w:type="dxa"/>
            </w:tcMar>
            <w:vAlign w:val="center"/>
          </w:tcPr>
          <w:p w14:paraId="35D0B960" w14:textId="77777777" w:rsidR="00D42204" w:rsidRDefault="004E439D">
            <w:pPr>
              <w:textAlignment w:val="center"/>
            </w:pPr>
            <w:r>
              <w:rPr>
                <w:rFonts w:ascii="Times New Roman" w:eastAsia="宋体" w:hAnsi="Times New Roman"/>
                <w:color w:val="000000"/>
                <w:sz w:val="16"/>
                <w:szCs w:val="16"/>
              </w:rPr>
              <w:t>Mark-to-market investments</w:t>
            </w:r>
          </w:p>
        </w:tc>
        <w:tc>
          <w:tcPr>
            <w:tcW w:w="0" w:type="auto"/>
            <w:gridSpan w:val="3"/>
            <w:shd w:val="clear" w:color="auto" w:fill="CCEEFF"/>
            <w:tcMar>
              <w:top w:w="0" w:type="dxa"/>
              <w:left w:w="20" w:type="dxa"/>
              <w:bottom w:w="0" w:type="dxa"/>
              <w:right w:w="20" w:type="dxa"/>
            </w:tcMar>
            <w:vAlign w:val="bottom"/>
          </w:tcPr>
          <w:p w14:paraId="35D0B96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962" w14:textId="77777777" w:rsidR="00D42204" w:rsidRDefault="004E439D">
            <w:pPr>
              <w:jc w:val="right"/>
              <w:textAlignment w:val="center"/>
            </w:pPr>
            <w:r>
              <w:rPr>
                <w:rFonts w:ascii="Times New Roman" w:eastAsia="宋体" w:hAnsi="Times New Roman"/>
                <w:color w:val="000000"/>
                <w:sz w:val="16"/>
                <w:szCs w:val="16"/>
              </w:rPr>
              <w:t>1,825 </w:t>
            </w:r>
          </w:p>
        </w:tc>
        <w:tc>
          <w:tcPr>
            <w:tcW w:w="0" w:type="auto"/>
            <w:shd w:val="clear" w:color="auto" w:fill="CCEEFF"/>
            <w:tcMar>
              <w:top w:w="40" w:type="dxa"/>
              <w:left w:w="0" w:type="dxa"/>
              <w:bottom w:w="40" w:type="dxa"/>
              <w:right w:w="20" w:type="dxa"/>
            </w:tcMar>
            <w:vAlign w:val="center"/>
          </w:tcPr>
          <w:p w14:paraId="35D0B96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96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965" w14:textId="77777777" w:rsidR="00D42204" w:rsidRDefault="004E439D">
            <w:pPr>
              <w:jc w:val="right"/>
              <w:textAlignment w:val="center"/>
            </w:pPr>
            <w:r>
              <w:rPr>
                <w:rFonts w:ascii="Times New Roman" w:eastAsia="宋体" w:hAnsi="Times New Roman"/>
                <w:color w:val="000000"/>
                <w:sz w:val="16"/>
                <w:szCs w:val="16"/>
              </w:rPr>
              <w:t>2,678 </w:t>
            </w:r>
          </w:p>
        </w:tc>
        <w:tc>
          <w:tcPr>
            <w:tcW w:w="0" w:type="auto"/>
            <w:shd w:val="clear" w:color="auto" w:fill="CCEEFF"/>
            <w:tcMar>
              <w:top w:w="40" w:type="dxa"/>
              <w:left w:w="0" w:type="dxa"/>
              <w:bottom w:w="40" w:type="dxa"/>
              <w:right w:w="20" w:type="dxa"/>
            </w:tcMar>
            <w:vAlign w:val="center"/>
          </w:tcPr>
          <w:p w14:paraId="35D0B966" w14:textId="77777777" w:rsidR="00D42204" w:rsidRDefault="00D42204">
            <w:pPr>
              <w:jc w:val="right"/>
              <w:rPr>
                <w:rFonts w:ascii="宋体"/>
              </w:rPr>
            </w:pPr>
          </w:p>
        </w:tc>
      </w:tr>
      <w:tr w:rsidR="00D42204" w14:paraId="35D0B96F" w14:textId="77777777">
        <w:tc>
          <w:tcPr>
            <w:tcW w:w="0" w:type="auto"/>
            <w:gridSpan w:val="3"/>
            <w:shd w:val="clear" w:color="auto" w:fill="FFFFFF"/>
            <w:tcMar>
              <w:top w:w="40" w:type="dxa"/>
              <w:left w:w="380" w:type="dxa"/>
              <w:bottom w:w="40" w:type="dxa"/>
              <w:right w:w="20" w:type="dxa"/>
            </w:tcMar>
            <w:vAlign w:val="center"/>
          </w:tcPr>
          <w:p w14:paraId="35D0B968" w14:textId="77777777" w:rsidR="00D42204" w:rsidRDefault="004E439D">
            <w:pPr>
              <w:textAlignment w:val="center"/>
            </w:pPr>
            <w:r>
              <w:rPr>
                <w:rFonts w:ascii="Times New Roman" w:eastAsia="宋体" w:hAnsi="Times New Roman"/>
                <w:color w:val="000000"/>
                <w:sz w:val="16"/>
                <w:szCs w:val="16"/>
              </w:rPr>
              <w:t>Other</w:t>
            </w:r>
          </w:p>
        </w:tc>
        <w:tc>
          <w:tcPr>
            <w:tcW w:w="0" w:type="auto"/>
            <w:gridSpan w:val="3"/>
            <w:shd w:val="clear" w:color="auto" w:fill="FFFFFF"/>
            <w:tcMar>
              <w:top w:w="0" w:type="dxa"/>
              <w:left w:w="20" w:type="dxa"/>
              <w:bottom w:w="0" w:type="dxa"/>
              <w:right w:w="20" w:type="dxa"/>
            </w:tcMar>
            <w:vAlign w:val="bottom"/>
          </w:tcPr>
          <w:p w14:paraId="35D0B96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96A" w14:textId="77777777" w:rsidR="00D42204" w:rsidRDefault="004E439D">
            <w:pPr>
              <w:jc w:val="right"/>
              <w:textAlignment w:val="center"/>
            </w:pPr>
            <w:r>
              <w:rPr>
                <w:rFonts w:ascii="Times New Roman" w:eastAsia="宋体" w:hAnsi="Times New Roman"/>
                <w:color w:val="000000"/>
                <w:sz w:val="16"/>
                <w:szCs w:val="16"/>
              </w:rPr>
              <w:t>307 </w:t>
            </w:r>
          </w:p>
        </w:tc>
        <w:tc>
          <w:tcPr>
            <w:tcW w:w="0" w:type="auto"/>
            <w:shd w:val="clear" w:color="auto" w:fill="FFFFFF"/>
            <w:tcMar>
              <w:top w:w="40" w:type="dxa"/>
              <w:left w:w="0" w:type="dxa"/>
              <w:bottom w:w="40" w:type="dxa"/>
              <w:right w:w="20" w:type="dxa"/>
            </w:tcMar>
            <w:vAlign w:val="center"/>
          </w:tcPr>
          <w:p w14:paraId="35D0B96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96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96D" w14:textId="77777777" w:rsidR="00D42204" w:rsidRDefault="004E439D">
            <w:pPr>
              <w:jc w:val="right"/>
              <w:textAlignment w:val="center"/>
            </w:pPr>
            <w:r>
              <w:rPr>
                <w:rFonts w:ascii="Times New Roman" w:eastAsia="宋体" w:hAnsi="Times New Roman"/>
                <w:color w:val="000000"/>
                <w:sz w:val="16"/>
                <w:szCs w:val="16"/>
              </w:rPr>
              <w:t>675 </w:t>
            </w:r>
          </w:p>
        </w:tc>
        <w:tc>
          <w:tcPr>
            <w:tcW w:w="0" w:type="auto"/>
            <w:shd w:val="clear" w:color="auto" w:fill="FFFFFF"/>
            <w:tcMar>
              <w:top w:w="40" w:type="dxa"/>
              <w:left w:w="0" w:type="dxa"/>
              <w:bottom w:w="40" w:type="dxa"/>
              <w:right w:w="20" w:type="dxa"/>
            </w:tcMar>
            <w:vAlign w:val="center"/>
          </w:tcPr>
          <w:p w14:paraId="35D0B96E" w14:textId="77777777" w:rsidR="00D42204" w:rsidRDefault="00D42204">
            <w:pPr>
              <w:jc w:val="right"/>
              <w:rPr>
                <w:rFonts w:ascii="宋体"/>
              </w:rPr>
            </w:pPr>
          </w:p>
        </w:tc>
      </w:tr>
      <w:tr w:rsidR="00D42204" w14:paraId="35D0B977" w14:textId="77777777">
        <w:tc>
          <w:tcPr>
            <w:tcW w:w="0" w:type="auto"/>
            <w:gridSpan w:val="3"/>
            <w:shd w:val="clear" w:color="auto" w:fill="CCEEFF"/>
            <w:tcMar>
              <w:top w:w="40" w:type="dxa"/>
              <w:left w:w="20" w:type="dxa"/>
              <w:bottom w:w="40" w:type="dxa"/>
              <w:right w:w="20" w:type="dxa"/>
            </w:tcMar>
            <w:vAlign w:val="center"/>
          </w:tcPr>
          <w:p w14:paraId="35D0B970" w14:textId="77777777" w:rsidR="00D42204" w:rsidRDefault="004E439D">
            <w:pPr>
              <w:textAlignment w:val="center"/>
            </w:pPr>
            <w:r>
              <w:rPr>
                <w:rFonts w:ascii="Times New Roman" w:eastAsia="宋体" w:hAnsi="Times New Roman"/>
                <w:b/>
                <w:bCs/>
                <w:color w:val="000000"/>
                <w:sz w:val="16"/>
                <w:szCs w:val="16"/>
              </w:rPr>
              <w:t>Total deferred tax liabilities</w:t>
            </w:r>
          </w:p>
        </w:tc>
        <w:tc>
          <w:tcPr>
            <w:tcW w:w="0" w:type="auto"/>
            <w:gridSpan w:val="3"/>
            <w:shd w:val="clear" w:color="auto" w:fill="CCEEFF"/>
            <w:tcMar>
              <w:top w:w="0" w:type="dxa"/>
              <w:left w:w="20" w:type="dxa"/>
              <w:bottom w:w="0" w:type="dxa"/>
              <w:right w:w="20" w:type="dxa"/>
            </w:tcMar>
            <w:vAlign w:val="bottom"/>
          </w:tcPr>
          <w:p w14:paraId="35D0B971"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B972" w14:textId="77777777" w:rsidR="00D42204" w:rsidRDefault="004E439D">
            <w:pPr>
              <w:jc w:val="right"/>
              <w:textAlignment w:val="center"/>
            </w:pPr>
            <w:r>
              <w:rPr>
                <w:rFonts w:ascii="Times New Roman" w:eastAsia="宋体" w:hAnsi="Times New Roman"/>
                <w:color w:val="000000"/>
                <w:sz w:val="16"/>
                <w:szCs w:val="16"/>
              </w:rPr>
              <w:t>13,554 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97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974" w14:textId="77777777" w:rsidR="00D42204" w:rsidRDefault="00D4220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35D0B975" w14:textId="77777777" w:rsidR="00D42204" w:rsidRDefault="004E439D">
            <w:pPr>
              <w:jc w:val="right"/>
              <w:textAlignment w:val="center"/>
            </w:pPr>
            <w:r>
              <w:rPr>
                <w:rFonts w:ascii="Times New Roman" w:eastAsia="宋体" w:hAnsi="Times New Roman"/>
                <w:color w:val="000000"/>
                <w:sz w:val="16"/>
                <w:szCs w:val="16"/>
              </w:rPr>
              <w:t>14,851 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976" w14:textId="77777777" w:rsidR="00D42204" w:rsidRDefault="00D42204">
            <w:pPr>
              <w:jc w:val="right"/>
              <w:rPr>
                <w:rFonts w:ascii="宋体"/>
              </w:rPr>
            </w:pPr>
          </w:p>
        </w:tc>
      </w:tr>
      <w:tr w:rsidR="00D42204" w14:paraId="35D0B981" w14:textId="77777777">
        <w:tc>
          <w:tcPr>
            <w:tcW w:w="0" w:type="auto"/>
            <w:gridSpan w:val="3"/>
            <w:shd w:val="clear" w:color="auto" w:fill="FFFFFF"/>
            <w:tcMar>
              <w:top w:w="40" w:type="dxa"/>
              <w:left w:w="20" w:type="dxa"/>
              <w:bottom w:w="40" w:type="dxa"/>
              <w:right w:w="20" w:type="dxa"/>
            </w:tcMar>
            <w:vAlign w:val="center"/>
          </w:tcPr>
          <w:p w14:paraId="35D0B978" w14:textId="77777777" w:rsidR="00D42204" w:rsidRDefault="004E439D">
            <w:pPr>
              <w:textAlignment w:val="center"/>
            </w:pPr>
            <w:r>
              <w:rPr>
                <w:rFonts w:ascii="Times New Roman" w:eastAsia="宋体" w:hAnsi="Times New Roman"/>
                <w:b/>
                <w:bCs/>
                <w:color w:val="000000"/>
                <w:sz w:val="16"/>
                <w:szCs w:val="16"/>
              </w:rPr>
              <w:t>Net deferred tax liabilities</w:t>
            </w:r>
          </w:p>
        </w:tc>
        <w:tc>
          <w:tcPr>
            <w:tcW w:w="0" w:type="auto"/>
            <w:gridSpan w:val="3"/>
            <w:shd w:val="clear" w:color="auto" w:fill="FFFFFF"/>
            <w:tcMar>
              <w:top w:w="0" w:type="dxa"/>
              <w:left w:w="20" w:type="dxa"/>
              <w:bottom w:w="0" w:type="dxa"/>
              <w:right w:w="20" w:type="dxa"/>
            </w:tcMar>
            <w:vAlign w:val="bottom"/>
          </w:tcPr>
          <w:p w14:paraId="35D0B979"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B97A"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B97B" w14:textId="77777777" w:rsidR="00D42204" w:rsidRDefault="004E439D">
            <w:pPr>
              <w:jc w:val="right"/>
              <w:textAlignment w:val="center"/>
            </w:pPr>
            <w:r>
              <w:rPr>
                <w:rFonts w:ascii="Times New Roman" w:eastAsia="宋体" w:hAnsi="Times New Roman"/>
                <w:color w:val="000000"/>
                <w:sz w:val="16"/>
                <w:szCs w:val="16"/>
              </w:rPr>
              <w:t>5,444 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B97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97D"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B97E"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B97F" w14:textId="77777777" w:rsidR="00D42204" w:rsidRDefault="004E439D">
            <w:pPr>
              <w:jc w:val="right"/>
              <w:textAlignment w:val="center"/>
            </w:pPr>
            <w:r>
              <w:rPr>
                <w:rFonts w:ascii="Times New Roman" w:eastAsia="宋体" w:hAnsi="Times New Roman"/>
                <w:color w:val="000000"/>
                <w:sz w:val="16"/>
                <w:szCs w:val="16"/>
              </w:rPr>
              <w:t>6,609 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B980" w14:textId="77777777" w:rsidR="00D42204" w:rsidRDefault="00D42204">
            <w:pPr>
              <w:jc w:val="right"/>
              <w:rPr>
                <w:rFonts w:ascii="宋体"/>
              </w:rPr>
            </w:pPr>
          </w:p>
        </w:tc>
      </w:tr>
    </w:tbl>
    <w:p w14:paraId="35D0B982" w14:textId="77777777" w:rsidR="00D42204" w:rsidRDefault="004E439D">
      <w:pPr>
        <w:spacing w:before="100"/>
      </w:pPr>
      <w:r>
        <w:rPr>
          <w:rFonts w:ascii="Times New Roman" w:eastAsia="宋体" w:hAnsi="Times New Roman"/>
          <w:color w:val="000000"/>
          <w:sz w:val="20"/>
          <w:szCs w:val="20"/>
        </w:rPr>
        <w:t>The defe</w:t>
      </w:r>
      <w:r>
        <w:rPr>
          <w:rFonts w:ascii="Times New Roman" w:eastAsia="宋体" w:hAnsi="Times New Roman"/>
          <w:color w:val="000000"/>
          <w:sz w:val="20"/>
          <w:szCs w:val="20"/>
        </w:rPr>
        <w:t>rred taxes noted above are classified as follows in the Company's Consolidated Balance Sheets:</w:t>
      </w:r>
    </w:p>
    <w:tbl>
      <w:tblPr>
        <w:tblW w:w="4993" w:type="pct"/>
        <w:tblCellMar>
          <w:top w:w="15" w:type="dxa"/>
          <w:left w:w="15" w:type="dxa"/>
          <w:bottom w:w="15" w:type="dxa"/>
          <w:right w:w="15" w:type="dxa"/>
        </w:tblCellMar>
        <w:tblLook w:val="04A0" w:firstRow="1" w:lastRow="0" w:firstColumn="1" w:lastColumn="0" w:noHBand="0" w:noVBand="1"/>
      </w:tblPr>
      <w:tblGrid>
        <w:gridCol w:w="44"/>
        <w:gridCol w:w="6320"/>
        <w:gridCol w:w="38"/>
        <w:gridCol w:w="36"/>
        <w:gridCol w:w="36"/>
        <w:gridCol w:w="36"/>
        <w:gridCol w:w="100"/>
        <w:gridCol w:w="717"/>
        <w:gridCol w:w="36"/>
        <w:gridCol w:w="36"/>
        <w:gridCol w:w="36"/>
        <w:gridCol w:w="36"/>
        <w:gridCol w:w="100"/>
        <w:gridCol w:w="717"/>
        <w:gridCol w:w="36"/>
      </w:tblGrid>
      <w:tr w:rsidR="00D42204" w14:paraId="35D0B992" w14:textId="77777777">
        <w:tc>
          <w:tcPr>
            <w:tcW w:w="50" w:type="pct"/>
            <w:shd w:val="clear" w:color="auto" w:fill="auto"/>
            <w:vAlign w:val="bottom"/>
          </w:tcPr>
          <w:p w14:paraId="35D0B983" w14:textId="77777777" w:rsidR="00D42204" w:rsidRDefault="00D42204">
            <w:pPr>
              <w:rPr>
                <w:rFonts w:ascii="宋体"/>
              </w:rPr>
            </w:pPr>
          </w:p>
        </w:tc>
        <w:tc>
          <w:tcPr>
            <w:tcW w:w="3817" w:type="pct"/>
            <w:shd w:val="clear" w:color="auto" w:fill="auto"/>
            <w:vAlign w:val="bottom"/>
          </w:tcPr>
          <w:p w14:paraId="35D0B984" w14:textId="77777777" w:rsidR="00D42204" w:rsidRDefault="00D42204">
            <w:pPr>
              <w:rPr>
                <w:rFonts w:ascii="宋体"/>
              </w:rPr>
            </w:pPr>
          </w:p>
        </w:tc>
        <w:tc>
          <w:tcPr>
            <w:tcW w:w="5" w:type="pct"/>
            <w:shd w:val="clear" w:color="auto" w:fill="auto"/>
            <w:vAlign w:val="bottom"/>
          </w:tcPr>
          <w:p w14:paraId="35D0B985" w14:textId="77777777" w:rsidR="00D42204" w:rsidRDefault="00D42204">
            <w:pPr>
              <w:rPr>
                <w:rFonts w:ascii="宋体"/>
              </w:rPr>
            </w:pPr>
          </w:p>
        </w:tc>
        <w:tc>
          <w:tcPr>
            <w:tcW w:w="5" w:type="pct"/>
            <w:shd w:val="clear" w:color="auto" w:fill="auto"/>
            <w:vAlign w:val="bottom"/>
          </w:tcPr>
          <w:p w14:paraId="35D0B986" w14:textId="77777777" w:rsidR="00D42204" w:rsidRDefault="00D42204">
            <w:pPr>
              <w:rPr>
                <w:rFonts w:ascii="宋体"/>
              </w:rPr>
            </w:pPr>
          </w:p>
        </w:tc>
        <w:tc>
          <w:tcPr>
            <w:tcW w:w="26" w:type="pct"/>
            <w:shd w:val="clear" w:color="auto" w:fill="auto"/>
            <w:vAlign w:val="bottom"/>
          </w:tcPr>
          <w:p w14:paraId="35D0B987" w14:textId="77777777" w:rsidR="00D42204" w:rsidRDefault="00D42204">
            <w:pPr>
              <w:rPr>
                <w:rFonts w:ascii="宋体"/>
              </w:rPr>
            </w:pPr>
          </w:p>
        </w:tc>
        <w:tc>
          <w:tcPr>
            <w:tcW w:w="5" w:type="pct"/>
            <w:shd w:val="clear" w:color="auto" w:fill="auto"/>
            <w:vAlign w:val="bottom"/>
          </w:tcPr>
          <w:p w14:paraId="35D0B988" w14:textId="77777777" w:rsidR="00D42204" w:rsidRDefault="00D42204">
            <w:pPr>
              <w:rPr>
                <w:rFonts w:ascii="宋体"/>
              </w:rPr>
            </w:pPr>
          </w:p>
        </w:tc>
        <w:tc>
          <w:tcPr>
            <w:tcW w:w="50" w:type="pct"/>
            <w:shd w:val="clear" w:color="auto" w:fill="auto"/>
            <w:vAlign w:val="bottom"/>
          </w:tcPr>
          <w:p w14:paraId="35D0B989" w14:textId="77777777" w:rsidR="00D42204" w:rsidRDefault="00D42204">
            <w:pPr>
              <w:rPr>
                <w:rFonts w:ascii="宋体"/>
              </w:rPr>
            </w:pPr>
          </w:p>
        </w:tc>
        <w:tc>
          <w:tcPr>
            <w:tcW w:w="472" w:type="pct"/>
            <w:shd w:val="clear" w:color="auto" w:fill="auto"/>
            <w:vAlign w:val="bottom"/>
          </w:tcPr>
          <w:p w14:paraId="35D0B98A" w14:textId="77777777" w:rsidR="00D42204" w:rsidRDefault="00D42204">
            <w:pPr>
              <w:rPr>
                <w:rFonts w:ascii="宋体"/>
              </w:rPr>
            </w:pPr>
          </w:p>
        </w:tc>
        <w:tc>
          <w:tcPr>
            <w:tcW w:w="5" w:type="pct"/>
            <w:shd w:val="clear" w:color="auto" w:fill="auto"/>
            <w:vAlign w:val="bottom"/>
          </w:tcPr>
          <w:p w14:paraId="35D0B98B" w14:textId="77777777" w:rsidR="00D42204" w:rsidRDefault="00D42204">
            <w:pPr>
              <w:rPr>
                <w:rFonts w:ascii="宋体"/>
              </w:rPr>
            </w:pPr>
          </w:p>
        </w:tc>
        <w:tc>
          <w:tcPr>
            <w:tcW w:w="5" w:type="pct"/>
            <w:shd w:val="clear" w:color="auto" w:fill="auto"/>
            <w:vAlign w:val="bottom"/>
          </w:tcPr>
          <w:p w14:paraId="35D0B98C" w14:textId="77777777" w:rsidR="00D42204" w:rsidRDefault="00D42204">
            <w:pPr>
              <w:rPr>
                <w:rFonts w:ascii="宋体"/>
              </w:rPr>
            </w:pPr>
          </w:p>
        </w:tc>
        <w:tc>
          <w:tcPr>
            <w:tcW w:w="26" w:type="pct"/>
            <w:shd w:val="clear" w:color="auto" w:fill="auto"/>
            <w:vAlign w:val="bottom"/>
          </w:tcPr>
          <w:p w14:paraId="35D0B98D" w14:textId="77777777" w:rsidR="00D42204" w:rsidRDefault="00D42204">
            <w:pPr>
              <w:rPr>
                <w:rFonts w:ascii="宋体"/>
              </w:rPr>
            </w:pPr>
          </w:p>
        </w:tc>
        <w:tc>
          <w:tcPr>
            <w:tcW w:w="5" w:type="pct"/>
            <w:shd w:val="clear" w:color="auto" w:fill="auto"/>
            <w:vAlign w:val="bottom"/>
          </w:tcPr>
          <w:p w14:paraId="35D0B98E" w14:textId="77777777" w:rsidR="00D42204" w:rsidRDefault="00D42204">
            <w:pPr>
              <w:rPr>
                <w:rFonts w:ascii="宋体"/>
              </w:rPr>
            </w:pPr>
          </w:p>
        </w:tc>
        <w:tc>
          <w:tcPr>
            <w:tcW w:w="50" w:type="pct"/>
            <w:shd w:val="clear" w:color="auto" w:fill="auto"/>
            <w:vAlign w:val="bottom"/>
          </w:tcPr>
          <w:p w14:paraId="35D0B98F" w14:textId="77777777" w:rsidR="00D42204" w:rsidRDefault="00D42204">
            <w:pPr>
              <w:rPr>
                <w:rFonts w:ascii="宋体"/>
              </w:rPr>
            </w:pPr>
          </w:p>
        </w:tc>
        <w:tc>
          <w:tcPr>
            <w:tcW w:w="472" w:type="pct"/>
            <w:shd w:val="clear" w:color="auto" w:fill="auto"/>
            <w:vAlign w:val="bottom"/>
          </w:tcPr>
          <w:p w14:paraId="35D0B990" w14:textId="77777777" w:rsidR="00D42204" w:rsidRDefault="00D42204">
            <w:pPr>
              <w:rPr>
                <w:rFonts w:ascii="宋体"/>
              </w:rPr>
            </w:pPr>
          </w:p>
        </w:tc>
        <w:tc>
          <w:tcPr>
            <w:tcW w:w="5" w:type="pct"/>
            <w:shd w:val="clear" w:color="auto" w:fill="auto"/>
            <w:vAlign w:val="bottom"/>
          </w:tcPr>
          <w:p w14:paraId="35D0B991" w14:textId="77777777" w:rsidR="00D42204" w:rsidRDefault="00D42204">
            <w:pPr>
              <w:rPr>
                <w:rFonts w:ascii="宋体"/>
              </w:rPr>
            </w:pPr>
          </w:p>
        </w:tc>
      </w:tr>
      <w:tr w:rsidR="00D42204" w14:paraId="35D0B996" w14:textId="77777777">
        <w:tc>
          <w:tcPr>
            <w:tcW w:w="0" w:type="auto"/>
            <w:gridSpan w:val="3"/>
            <w:shd w:val="clear" w:color="auto" w:fill="auto"/>
            <w:tcMar>
              <w:top w:w="40" w:type="dxa"/>
              <w:left w:w="20" w:type="dxa"/>
              <w:bottom w:w="40" w:type="dxa"/>
              <w:right w:w="20" w:type="dxa"/>
            </w:tcMar>
            <w:vAlign w:val="bottom"/>
          </w:tcPr>
          <w:p w14:paraId="35D0B993"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B994" w14:textId="77777777" w:rsidR="00D42204" w:rsidRDefault="00D42204">
            <w:pPr>
              <w:rPr>
                <w:rFonts w:ascii="宋体"/>
              </w:rPr>
            </w:pPr>
          </w:p>
        </w:tc>
        <w:tc>
          <w:tcPr>
            <w:tcW w:w="0" w:type="auto"/>
            <w:gridSpan w:val="9"/>
            <w:shd w:val="clear" w:color="auto" w:fill="auto"/>
            <w:tcMar>
              <w:top w:w="40" w:type="dxa"/>
              <w:left w:w="20" w:type="dxa"/>
              <w:bottom w:w="40" w:type="dxa"/>
              <w:right w:w="20" w:type="dxa"/>
            </w:tcMar>
            <w:vAlign w:val="bottom"/>
          </w:tcPr>
          <w:p w14:paraId="35D0B995" w14:textId="77777777" w:rsidR="00D42204" w:rsidRDefault="004E439D">
            <w:pPr>
              <w:jc w:val="center"/>
              <w:textAlignment w:val="bottom"/>
            </w:pPr>
            <w:r>
              <w:rPr>
                <w:rFonts w:ascii="Times New Roman" w:eastAsia="宋体" w:hAnsi="Times New Roman"/>
                <w:b/>
                <w:bCs/>
                <w:color w:val="000000"/>
                <w:sz w:val="16"/>
                <w:szCs w:val="16"/>
              </w:rPr>
              <w:t>January 31,</w:t>
            </w:r>
          </w:p>
        </w:tc>
      </w:tr>
      <w:tr w:rsidR="00D42204" w14:paraId="35D0B99C" w14:textId="77777777">
        <w:tc>
          <w:tcPr>
            <w:tcW w:w="0" w:type="auto"/>
            <w:gridSpan w:val="3"/>
            <w:shd w:val="clear" w:color="auto" w:fill="auto"/>
            <w:tcMar>
              <w:top w:w="40" w:type="dxa"/>
              <w:left w:w="20" w:type="dxa"/>
              <w:bottom w:w="40" w:type="dxa"/>
              <w:right w:w="20" w:type="dxa"/>
            </w:tcMar>
            <w:vAlign w:val="bottom"/>
          </w:tcPr>
          <w:p w14:paraId="35D0B997"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998"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999"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99A"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99B" w14:textId="77777777" w:rsidR="00D42204" w:rsidRDefault="004E439D">
            <w:pPr>
              <w:jc w:val="center"/>
              <w:textAlignment w:val="bottom"/>
            </w:pPr>
            <w:r>
              <w:rPr>
                <w:rFonts w:ascii="Times New Roman" w:eastAsia="宋体" w:hAnsi="Times New Roman"/>
                <w:b/>
                <w:bCs/>
                <w:color w:val="000000"/>
                <w:sz w:val="16"/>
                <w:szCs w:val="16"/>
              </w:rPr>
              <w:t>2021</w:t>
            </w:r>
          </w:p>
        </w:tc>
      </w:tr>
      <w:tr w:rsidR="00D42204" w14:paraId="35D0B9A2" w14:textId="77777777">
        <w:tc>
          <w:tcPr>
            <w:tcW w:w="0" w:type="auto"/>
            <w:gridSpan w:val="3"/>
            <w:shd w:val="clear" w:color="auto" w:fill="CCEEFF"/>
            <w:tcMar>
              <w:top w:w="40" w:type="dxa"/>
              <w:left w:w="20" w:type="dxa"/>
              <w:bottom w:w="40" w:type="dxa"/>
              <w:right w:w="20" w:type="dxa"/>
            </w:tcMar>
            <w:vAlign w:val="center"/>
          </w:tcPr>
          <w:p w14:paraId="35D0B99D" w14:textId="77777777" w:rsidR="00D42204" w:rsidRDefault="004E439D">
            <w:pPr>
              <w:textAlignment w:val="center"/>
            </w:pPr>
            <w:r>
              <w:rPr>
                <w:rFonts w:ascii="Times New Roman" w:eastAsia="宋体" w:hAnsi="Times New Roman"/>
                <w:b/>
                <w:bCs/>
                <w:color w:val="000000"/>
                <w:sz w:val="16"/>
                <w:szCs w:val="16"/>
              </w:rPr>
              <w:t>Balance Sheet classification</w:t>
            </w:r>
          </w:p>
        </w:tc>
        <w:tc>
          <w:tcPr>
            <w:tcW w:w="0" w:type="auto"/>
            <w:gridSpan w:val="3"/>
            <w:shd w:val="clear" w:color="auto" w:fill="CCEEFF"/>
            <w:tcMar>
              <w:top w:w="0" w:type="dxa"/>
              <w:left w:w="20" w:type="dxa"/>
              <w:bottom w:w="0" w:type="dxa"/>
              <w:right w:w="20" w:type="dxa"/>
            </w:tcMar>
            <w:vAlign w:val="bottom"/>
          </w:tcPr>
          <w:p w14:paraId="35D0B99E"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99F"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9A0"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9A1" w14:textId="77777777" w:rsidR="00D42204" w:rsidRDefault="00D42204">
            <w:pPr>
              <w:rPr>
                <w:rFonts w:ascii="宋体"/>
              </w:rPr>
            </w:pPr>
          </w:p>
        </w:tc>
      </w:tr>
      <w:tr w:rsidR="00D42204" w14:paraId="35D0B9A8" w14:textId="77777777">
        <w:tc>
          <w:tcPr>
            <w:tcW w:w="0" w:type="auto"/>
            <w:gridSpan w:val="3"/>
            <w:shd w:val="clear" w:color="auto" w:fill="FFFFFF"/>
            <w:tcMar>
              <w:top w:w="40" w:type="dxa"/>
              <w:left w:w="20" w:type="dxa"/>
              <w:bottom w:w="40" w:type="dxa"/>
              <w:right w:w="20" w:type="dxa"/>
            </w:tcMar>
            <w:vAlign w:val="center"/>
          </w:tcPr>
          <w:p w14:paraId="35D0B9A3" w14:textId="77777777" w:rsidR="00D42204" w:rsidRDefault="004E439D">
            <w:pPr>
              <w:textAlignment w:val="center"/>
            </w:pPr>
            <w:r>
              <w:rPr>
                <w:rFonts w:ascii="Times New Roman" w:eastAsia="宋体" w:hAnsi="Times New Roman"/>
                <w:b/>
                <w:bCs/>
                <w:color w:val="000000"/>
                <w:sz w:val="16"/>
                <w:szCs w:val="16"/>
              </w:rPr>
              <w:t>Assets:</w:t>
            </w:r>
          </w:p>
        </w:tc>
        <w:tc>
          <w:tcPr>
            <w:tcW w:w="0" w:type="auto"/>
            <w:gridSpan w:val="3"/>
            <w:shd w:val="clear" w:color="auto" w:fill="FFFFFF"/>
            <w:tcMar>
              <w:top w:w="0" w:type="dxa"/>
              <w:left w:w="20" w:type="dxa"/>
              <w:bottom w:w="0" w:type="dxa"/>
              <w:right w:w="20" w:type="dxa"/>
            </w:tcMar>
            <w:vAlign w:val="bottom"/>
          </w:tcPr>
          <w:p w14:paraId="35D0B9A4"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9A5"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9A6"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9A7" w14:textId="77777777" w:rsidR="00D42204" w:rsidRDefault="00D42204">
            <w:pPr>
              <w:rPr>
                <w:rFonts w:ascii="宋体"/>
              </w:rPr>
            </w:pPr>
          </w:p>
        </w:tc>
      </w:tr>
      <w:tr w:rsidR="00D42204" w14:paraId="35D0B9B2" w14:textId="77777777">
        <w:tc>
          <w:tcPr>
            <w:tcW w:w="0" w:type="auto"/>
            <w:gridSpan w:val="3"/>
            <w:shd w:val="clear" w:color="auto" w:fill="CCEEFF"/>
            <w:tcMar>
              <w:top w:w="40" w:type="dxa"/>
              <w:left w:w="380" w:type="dxa"/>
              <w:bottom w:w="40" w:type="dxa"/>
              <w:right w:w="20" w:type="dxa"/>
            </w:tcMar>
          </w:tcPr>
          <w:p w14:paraId="35D0B9A9" w14:textId="77777777" w:rsidR="00D42204" w:rsidRDefault="004E439D">
            <w:pPr>
              <w:textAlignment w:val="top"/>
            </w:pPr>
            <w:r>
              <w:rPr>
                <w:rFonts w:ascii="Times New Roman" w:eastAsia="宋体" w:hAnsi="Times New Roman"/>
                <w:color w:val="000000"/>
                <w:sz w:val="16"/>
                <w:szCs w:val="16"/>
              </w:rPr>
              <w:t>Other long-term assets</w:t>
            </w:r>
          </w:p>
        </w:tc>
        <w:tc>
          <w:tcPr>
            <w:tcW w:w="0" w:type="auto"/>
            <w:gridSpan w:val="3"/>
            <w:shd w:val="clear" w:color="auto" w:fill="CCEEFF"/>
            <w:tcMar>
              <w:top w:w="0" w:type="dxa"/>
              <w:left w:w="20" w:type="dxa"/>
              <w:bottom w:w="0" w:type="dxa"/>
              <w:right w:w="20" w:type="dxa"/>
            </w:tcMar>
            <w:vAlign w:val="bottom"/>
          </w:tcPr>
          <w:p w14:paraId="35D0B9AA"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B9AB"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B9AC" w14:textId="77777777" w:rsidR="00D42204" w:rsidRDefault="004E439D">
            <w:pPr>
              <w:jc w:val="right"/>
              <w:textAlignment w:val="center"/>
            </w:pPr>
            <w:r>
              <w:rPr>
                <w:rFonts w:ascii="Times New Roman" w:eastAsia="宋体" w:hAnsi="Times New Roman"/>
                <w:color w:val="000000"/>
                <w:sz w:val="16"/>
                <w:szCs w:val="16"/>
              </w:rPr>
              <w:t>1,473 </w:t>
            </w:r>
          </w:p>
        </w:tc>
        <w:tc>
          <w:tcPr>
            <w:tcW w:w="0" w:type="auto"/>
            <w:shd w:val="clear" w:color="auto" w:fill="CCEEFF"/>
            <w:tcMar>
              <w:top w:w="40" w:type="dxa"/>
              <w:left w:w="0" w:type="dxa"/>
              <w:bottom w:w="40" w:type="dxa"/>
              <w:right w:w="20" w:type="dxa"/>
            </w:tcMar>
            <w:vAlign w:val="center"/>
          </w:tcPr>
          <w:p w14:paraId="35D0B9A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9AE"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B9AF"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B9B0" w14:textId="77777777" w:rsidR="00D42204" w:rsidRDefault="004E439D">
            <w:pPr>
              <w:jc w:val="right"/>
              <w:textAlignment w:val="center"/>
            </w:pPr>
            <w:r>
              <w:rPr>
                <w:rFonts w:ascii="Times New Roman" w:eastAsia="宋体" w:hAnsi="Times New Roman"/>
                <w:color w:val="000000"/>
                <w:sz w:val="16"/>
                <w:szCs w:val="16"/>
              </w:rPr>
              <w:t>1,836 </w:t>
            </w:r>
          </w:p>
        </w:tc>
        <w:tc>
          <w:tcPr>
            <w:tcW w:w="0" w:type="auto"/>
            <w:shd w:val="clear" w:color="auto" w:fill="CCEEFF"/>
            <w:tcMar>
              <w:top w:w="40" w:type="dxa"/>
              <w:left w:w="0" w:type="dxa"/>
              <w:bottom w:w="40" w:type="dxa"/>
              <w:right w:w="20" w:type="dxa"/>
            </w:tcMar>
            <w:vAlign w:val="center"/>
          </w:tcPr>
          <w:p w14:paraId="35D0B9B1" w14:textId="77777777" w:rsidR="00D42204" w:rsidRDefault="00D42204">
            <w:pPr>
              <w:jc w:val="right"/>
              <w:rPr>
                <w:rFonts w:ascii="宋体"/>
              </w:rPr>
            </w:pPr>
          </w:p>
        </w:tc>
      </w:tr>
      <w:tr w:rsidR="00D42204" w14:paraId="35D0B9B8" w14:textId="77777777">
        <w:tc>
          <w:tcPr>
            <w:tcW w:w="0" w:type="auto"/>
            <w:gridSpan w:val="3"/>
            <w:shd w:val="clear" w:color="auto" w:fill="FFFFFF"/>
            <w:tcMar>
              <w:top w:w="40" w:type="dxa"/>
              <w:left w:w="20" w:type="dxa"/>
              <w:bottom w:w="40" w:type="dxa"/>
              <w:right w:w="20" w:type="dxa"/>
            </w:tcMar>
            <w:vAlign w:val="center"/>
          </w:tcPr>
          <w:p w14:paraId="35D0B9B3" w14:textId="77777777" w:rsidR="00D42204" w:rsidRDefault="004E439D">
            <w:pPr>
              <w:textAlignment w:val="center"/>
            </w:pPr>
            <w:r>
              <w:rPr>
                <w:rFonts w:ascii="Times New Roman" w:eastAsia="宋体" w:hAnsi="Times New Roman"/>
                <w:b/>
                <w:bCs/>
                <w:color w:val="000000"/>
                <w:sz w:val="16"/>
                <w:szCs w:val="16"/>
              </w:rPr>
              <w:t>Liabilities:</w:t>
            </w:r>
          </w:p>
        </w:tc>
        <w:tc>
          <w:tcPr>
            <w:tcW w:w="0" w:type="auto"/>
            <w:gridSpan w:val="3"/>
            <w:shd w:val="clear" w:color="auto" w:fill="FFFFFF"/>
            <w:tcMar>
              <w:top w:w="0" w:type="dxa"/>
              <w:left w:w="20" w:type="dxa"/>
              <w:bottom w:w="0" w:type="dxa"/>
              <w:right w:w="20" w:type="dxa"/>
            </w:tcMar>
            <w:vAlign w:val="bottom"/>
          </w:tcPr>
          <w:p w14:paraId="35D0B9B4"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9B5"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9B6"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9B7" w14:textId="77777777" w:rsidR="00D42204" w:rsidRDefault="00D42204">
            <w:pPr>
              <w:rPr>
                <w:rFonts w:ascii="宋体"/>
              </w:rPr>
            </w:pPr>
          </w:p>
        </w:tc>
      </w:tr>
      <w:tr w:rsidR="00D42204" w14:paraId="35D0B9C0" w14:textId="77777777">
        <w:tc>
          <w:tcPr>
            <w:tcW w:w="0" w:type="auto"/>
            <w:gridSpan w:val="3"/>
            <w:shd w:val="clear" w:color="auto" w:fill="CCEEFF"/>
            <w:tcMar>
              <w:top w:w="40" w:type="dxa"/>
              <w:left w:w="380" w:type="dxa"/>
              <w:bottom w:w="40" w:type="dxa"/>
              <w:right w:w="20" w:type="dxa"/>
            </w:tcMar>
            <w:vAlign w:val="center"/>
          </w:tcPr>
          <w:p w14:paraId="35D0B9B9" w14:textId="77777777" w:rsidR="00D42204" w:rsidRDefault="004E439D">
            <w:pPr>
              <w:textAlignment w:val="center"/>
            </w:pPr>
            <w:r>
              <w:rPr>
                <w:rFonts w:ascii="Times New Roman" w:eastAsia="宋体" w:hAnsi="Times New Roman"/>
                <w:color w:val="000000"/>
                <w:sz w:val="16"/>
                <w:szCs w:val="16"/>
              </w:rPr>
              <w:t>Deferred income taxes and other</w:t>
            </w:r>
          </w:p>
        </w:tc>
        <w:tc>
          <w:tcPr>
            <w:tcW w:w="0" w:type="auto"/>
            <w:gridSpan w:val="3"/>
            <w:shd w:val="clear" w:color="auto" w:fill="CCEEFF"/>
            <w:tcMar>
              <w:top w:w="0" w:type="dxa"/>
              <w:left w:w="20" w:type="dxa"/>
              <w:bottom w:w="0" w:type="dxa"/>
              <w:right w:w="20" w:type="dxa"/>
            </w:tcMar>
            <w:vAlign w:val="bottom"/>
          </w:tcPr>
          <w:p w14:paraId="35D0B9B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9BB" w14:textId="77777777" w:rsidR="00D42204" w:rsidRDefault="004E439D">
            <w:pPr>
              <w:jc w:val="right"/>
              <w:textAlignment w:val="center"/>
            </w:pPr>
            <w:r>
              <w:rPr>
                <w:rFonts w:ascii="Times New Roman" w:eastAsia="宋体" w:hAnsi="Times New Roman"/>
                <w:color w:val="000000"/>
                <w:sz w:val="16"/>
                <w:szCs w:val="16"/>
              </w:rPr>
              <w:t>6,917 </w:t>
            </w:r>
          </w:p>
        </w:tc>
        <w:tc>
          <w:tcPr>
            <w:tcW w:w="0" w:type="auto"/>
            <w:shd w:val="clear" w:color="auto" w:fill="CCEEFF"/>
            <w:tcMar>
              <w:top w:w="40" w:type="dxa"/>
              <w:left w:w="0" w:type="dxa"/>
              <w:bottom w:w="40" w:type="dxa"/>
              <w:right w:w="20" w:type="dxa"/>
            </w:tcMar>
            <w:vAlign w:val="center"/>
          </w:tcPr>
          <w:p w14:paraId="35D0B9B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9B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9BE" w14:textId="77777777" w:rsidR="00D42204" w:rsidRDefault="004E439D">
            <w:pPr>
              <w:jc w:val="right"/>
              <w:textAlignment w:val="center"/>
            </w:pPr>
            <w:r>
              <w:rPr>
                <w:rFonts w:ascii="Times New Roman" w:eastAsia="宋体" w:hAnsi="Times New Roman"/>
                <w:color w:val="000000"/>
                <w:sz w:val="16"/>
                <w:szCs w:val="16"/>
              </w:rPr>
              <w:t>8,445 </w:t>
            </w:r>
          </w:p>
        </w:tc>
        <w:tc>
          <w:tcPr>
            <w:tcW w:w="0" w:type="auto"/>
            <w:shd w:val="clear" w:color="auto" w:fill="CCEEFF"/>
            <w:tcMar>
              <w:top w:w="40" w:type="dxa"/>
              <w:left w:w="0" w:type="dxa"/>
              <w:bottom w:w="40" w:type="dxa"/>
              <w:right w:w="20" w:type="dxa"/>
            </w:tcMar>
            <w:vAlign w:val="center"/>
          </w:tcPr>
          <w:p w14:paraId="35D0B9BF" w14:textId="77777777" w:rsidR="00D42204" w:rsidRDefault="00D42204">
            <w:pPr>
              <w:jc w:val="right"/>
              <w:rPr>
                <w:rFonts w:ascii="宋体"/>
              </w:rPr>
            </w:pPr>
          </w:p>
        </w:tc>
      </w:tr>
      <w:tr w:rsidR="00D42204" w14:paraId="35D0B9C6" w14:textId="77777777">
        <w:trPr>
          <w:hidden/>
        </w:trPr>
        <w:tc>
          <w:tcPr>
            <w:tcW w:w="0" w:type="auto"/>
            <w:gridSpan w:val="3"/>
            <w:shd w:val="clear" w:color="auto" w:fill="auto"/>
            <w:vAlign w:val="bottom"/>
          </w:tcPr>
          <w:p w14:paraId="35D0B9C1" w14:textId="77777777" w:rsidR="00D42204" w:rsidRDefault="00D42204">
            <w:pPr>
              <w:rPr>
                <w:rFonts w:ascii="宋体"/>
                <w:vanish/>
              </w:rPr>
            </w:pPr>
          </w:p>
        </w:tc>
        <w:tc>
          <w:tcPr>
            <w:tcW w:w="0" w:type="auto"/>
            <w:gridSpan w:val="3"/>
            <w:shd w:val="clear" w:color="auto" w:fill="auto"/>
            <w:vAlign w:val="bottom"/>
          </w:tcPr>
          <w:p w14:paraId="35D0B9C2" w14:textId="77777777" w:rsidR="00D42204" w:rsidRDefault="00D42204">
            <w:pPr>
              <w:rPr>
                <w:rFonts w:ascii="宋体"/>
                <w:vanish/>
              </w:rPr>
            </w:pPr>
          </w:p>
        </w:tc>
        <w:tc>
          <w:tcPr>
            <w:tcW w:w="0" w:type="auto"/>
            <w:gridSpan w:val="3"/>
            <w:shd w:val="clear" w:color="auto" w:fill="auto"/>
            <w:vAlign w:val="bottom"/>
          </w:tcPr>
          <w:p w14:paraId="35D0B9C3" w14:textId="77777777" w:rsidR="00D42204" w:rsidRDefault="00D42204">
            <w:pPr>
              <w:rPr>
                <w:rFonts w:ascii="宋体"/>
                <w:vanish/>
              </w:rPr>
            </w:pPr>
          </w:p>
        </w:tc>
        <w:tc>
          <w:tcPr>
            <w:tcW w:w="0" w:type="auto"/>
            <w:gridSpan w:val="3"/>
            <w:shd w:val="clear" w:color="auto" w:fill="auto"/>
            <w:vAlign w:val="bottom"/>
          </w:tcPr>
          <w:p w14:paraId="35D0B9C4" w14:textId="77777777" w:rsidR="00D42204" w:rsidRDefault="00D42204">
            <w:pPr>
              <w:rPr>
                <w:rFonts w:ascii="宋体"/>
                <w:vanish/>
              </w:rPr>
            </w:pPr>
          </w:p>
        </w:tc>
        <w:tc>
          <w:tcPr>
            <w:tcW w:w="0" w:type="auto"/>
            <w:gridSpan w:val="3"/>
            <w:shd w:val="clear" w:color="auto" w:fill="auto"/>
            <w:vAlign w:val="bottom"/>
          </w:tcPr>
          <w:p w14:paraId="35D0B9C5" w14:textId="77777777" w:rsidR="00D42204" w:rsidRDefault="00D42204">
            <w:pPr>
              <w:rPr>
                <w:rFonts w:ascii="宋体"/>
                <w:vanish/>
              </w:rPr>
            </w:pPr>
          </w:p>
        </w:tc>
      </w:tr>
      <w:tr w:rsidR="00D42204" w14:paraId="35D0B9D0" w14:textId="77777777">
        <w:tc>
          <w:tcPr>
            <w:tcW w:w="0" w:type="auto"/>
            <w:gridSpan w:val="3"/>
            <w:shd w:val="clear" w:color="auto" w:fill="FFFFFF"/>
            <w:tcMar>
              <w:top w:w="40" w:type="dxa"/>
              <w:left w:w="20" w:type="dxa"/>
              <w:bottom w:w="40" w:type="dxa"/>
              <w:right w:w="20" w:type="dxa"/>
            </w:tcMar>
            <w:vAlign w:val="center"/>
          </w:tcPr>
          <w:p w14:paraId="35D0B9C7" w14:textId="77777777" w:rsidR="00D42204" w:rsidRDefault="004E439D">
            <w:pPr>
              <w:textAlignment w:val="center"/>
            </w:pPr>
            <w:r>
              <w:rPr>
                <w:rFonts w:ascii="Times New Roman" w:eastAsia="宋体" w:hAnsi="Times New Roman"/>
                <w:b/>
                <w:bCs/>
                <w:color w:val="000000"/>
                <w:sz w:val="16"/>
                <w:szCs w:val="16"/>
              </w:rPr>
              <w:t>Net deferred tax liabilities</w:t>
            </w:r>
          </w:p>
        </w:tc>
        <w:tc>
          <w:tcPr>
            <w:tcW w:w="0" w:type="auto"/>
            <w:gridSpan w:val="3"/>
            <w:shd w:val="clear" w:color="auto" w:fill="FFFFFF"/>
            <w:tcMar>
              <w:top w:w="0" w:type="dxa"/>
              <w:left w:w="20" w:type="dxa"/>
              <w:bottom w:w="0" w:type="dxa"/>
              <w:right w:w="20" w:type="dxa"/>
            </w:tcMar>
            <w:vAlign w:val="bottom"/>
          </w:tcPr>
          <w:p w14:paraId="35D0B9C8"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B9C9"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B9CA" w14:textId="77777777" w:rsidR="00D42204" w:rsidRDefault="004E439D">
            <w:pPr>
              <w:jc w:val="right"/>
              <w:textAlignment w:val="center"/>
            </w:pPr>
            <w:r>
              <w:rPr>
                <w:rFonts w:ascii="Times New Roman" w:eastAsia="宋体" w:hAnsi="Times New Roman"/>
                <w:color w:val="000000"/>
                <w:sz w:val="16"/>
                <w:szCs w:val="16"/>
              </w:rPr>
              <w:t>5,444 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B9C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9CC"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B9CD"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B9CE" w14:textId="77777777" w:rsidR="00D42204" w:rsidRDefault="004E439D">
            <w:pPr>
              <w:jc w:val="right"/>
              <w:textAlignment w:val="center"/>
            </w:pPr>
            <w:r>
              <w:rPr>
                <w:rFonts w:ascii="Times New Roman" w:eastAsia="宋体" w:hAnsi="Times New Roman"/>
                <w:color w:val="000000"/>
                <w:sz w:val="16"/>
                <w:szCs w:val="16"/>
              </w:rPr>
              <w:t>6,609 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B9CF" w14:textId="77777777" w:rsidR="00D42204" w:rsidRDefault="00D42204">
            <w:pPr>
              <w:jc w:val="right"/>
              <w:rPr>
                <w:rFonts w:ascii="宋体"/>
              </w:rPr>
            </w:pPr>
          </w:p>
        </w:tc>
      </w:tr>
    </w:tbl>
    <w:p w14:paraId="35D0B9D1" w14:textId="77777777" w:rsidR="00D42204" w:rsidRDefault="004E439D">
      <w:pPr>
        <w:jc w:val="center"/>
      </w:pPr>
      <w:r>
        <w:rPr>
          <w:rFonts w:ascii="Times New Roman" w:eastAsia="宋体" w:hAnsi="Times New Roman"/>
          <w:color w:val="000000"/>
          <w:sz w:val="20"/>
          <w:szCs w:val="20"/>
        </w:rPr>
        <w:t>72</w:t>
      </w:r>
    </w:p>
    <w:p w14:paraId="35D0B9D2" w14:textId="77777777" w:rsidR="00D42204" w:rsidRDefault="004E439D">
      <w:r>
        <w:pict w14:anchorId="35D0C3A3">
          <v:rect id="_x0000_i1096" style="width:415.3pt;height:1.5pt" o:hralign="center" o:hrstd="t" o:hr="t" fillcolor="#a0a0a0" stroked="f"/>
        </w:pict>
      </w:r>
    </w:p>
    <w:p w14:paraId="35D0B9D3" w14:textId="77777777" w:rsidR="00D42204" w:rsidRDefault="00D42204"/>
    <w:p w14:paraId="35D0B9D4" w14:textId="77777777" w:rsidR="00D42204" w:rsidRDefault="004E439D">
      <w:pPr>
        <w:spacing w:before="80"/>
      </w:pPr>
      <w:r>
        <w:rPr>
          <w:rFonts w:ascii="Times New Roman" w:eastAsia="宋体" w:hAnsi="Times New Roman"/>
          <w:i/>
          <w:iCs/>
          <w:color w:val="000000"/>
          <w:sz w:val="20"/>
          <w:szCs w:val="20"/>
        </w:rPr>
        <w:t>Unremitted Earnings</w:t>
      </w:r>
    </w:p>
    <w:p w14:paraId="35D0B9D5" w14:textId="77777777" w:rsidR="00D42204" w:rsidRDefault="004E439D">
      <w:pPr>
        <w:spacing w:before="100"/>
      </w:pPr>
      <w:r>
        <w:rPr>
          <w:rFonts w:ascii="Times New Roman" w:eastAsia="宋体" w:hAnsi="Times New Roman"/>
          <w:color w:val="000000"/>
          <w:sz w:val="20"/>
          <w:szCs w:val="20"/>
        </w:rPr>
        <w:t>Prior to the Tax Cuts and Jobs Act of 2017 (the "Tax Act"), the Company asserted that all unremitted earnings of its foreign subsidiaries were considered indefinitely reinvested. As a result of the Tax Act, the Company reported and paid</w:t>
      </w:r>
      <w:r>
        <w:rPr>
          <w:rFonts w:ascii="Times New Roman" w:eastAsia="宋体" w:hAnsi="Times New Roman"/>
          <w:color w:val="000000"/>
          <w:sz w:val="20"/>
          <w:szCs w:val="20"/>
        </w:rPr>
        <w:t xml:space="preserve"> U.S. tax on the majority of its previously unremitted foreign earnings, and repatriations of foreign earnings will generally be free of U.S. federal tax, but may incur other taxes such as withholding or state taxes.  As of January 31, 2022, the Company ha</w:t>
      </w:r>
      <w:r>
        <w:rPr>
          <w:rFonts w:ascii="Times New Roman" w:eastAsia="宋体" w:hAnsi="Times New Roman"/>
          <w:color w:val="000000"/>
          <w:sz w:val="20"/>
          <w:szCs w:val="20"/>
        </w:rPr>
        <w:t>s not recorded approximately $3 billion of deferred tax liabilities associated with remaining unremitted foreign earnings considered indefinitely reinvested, for which U.S. and foreign income and withholding taxes would be due upon repatriation.</w:t>
      </w:r>
    </w:p>
    <w:p w14:paraId="35D0B9D6" w14:textId="77777777" w:rsidR="00D42204" w:rsidRDefault="004E439D">
      <w:pPr>
        <w:spacing w:before="180"/>
      </w:pPr>
      <w:r>
        <w:rPr>
          <w:rFonts w:ascii="Times New Roman" w:eastAsia="宋体" w:hAnsi="Times New Roman"/>
          <w:i/>
          <w:iCs/>
          <w:color w:val="000000"/>
          <w:sz w:val="20"/>
          <w:szCs w:val="20"/>
        </w:rPr>
        <w:t>Net Operat</w:t>
      </w:r>
      <w:r>
        <w:rPr>
          <w:rFonts w:ascii="Times New Roman" w:eastAsia="宋体" w:hAnsi="Times New Roman"/>
          <w:i/>
          <w:iCs/>
          <w:color w:val="000000"/>
          <w:sz w:val="20"/>
          <w:szCs w:val="20"/>
        </w:rPr>
        <w:t>ing Losses, Tax Credit Carryforwards and Valuation Allowances</w:t>
      </w:r>
    </w:p>
    <w:p w14:paraId="35D0B9D7" w14:textId="77777777" w:rsidR="00D42204" w:rsidRDefault="004E439D">
      <w:pPr>
        <w:spacing w:before="100"/>
      </w:pPr>
      <w:r>
        <w:rPr>
          <w:rFonts w:ascii="Times New Roman" w:eastAsia="宋体" w:hAnsi="Times New Roman"/>
          <w:color w:val="000000"/>
          <w:sz w:val="20"/>
          <w:szCs w:val="20"/>
        </w:rPr>
        <w:t>As of January 31, 2022, the Company's net operating loss and capital loss carryforwards totaled approximately $39.3 billion. Of these carryforwards, approximately $26.6 billion will expire, if n</w:t>
      </w:r>
      <w:r>
        <w:rPr>
          <w:rFonts w:ascii="Times New Roman" w:eastAsia="宋体" w:hAnsi="Times New Roman"/>
          <w:color w:val="000000"/>
          <w:sz w:val="20"/>
          <w:szCs w:val="20"/>
        </w:rPr>
        <w:t xml:space="preserve">ot utilized, in various years through 2042. The remaining carryforwards have no expiration. </w:t>
      </w:r>
    </w:p>
    <w:p w14:paraId="35D0B9D8" w14:textId="77777777" w:rsidR="00D42204" w:rsidRDefault="004E439D">
      <w:pPr>
        <w:spacing w:before="100"/>
      </w:pPr>
      <w:r>
        <w:rPr>
          <w:rFonts w:ascii="Times New Roman" w:eastAsia="宋体" w:hAnsi="Times New Roman"/>
          <w:color w:val="000000"/>
          <w:sz w:val="20"/>
          <w:szCs w:val="20"/>
        </w:rPr>
        <w:t xml:space="preserve">The recoverability of these future tax deductions and credits is evaluated by assessing the adequacy of future expected taxable income from all sources, including </w:t>
      </w:r>
      <w:r>
        <w:rPr>
          <w:rFonts w:ascii="Times New Roman" w:eastAsia="宋体" w:hAnsi="Times New Roman"/>
          <w:color w:val="000000"/>
          <w:sz w:val="20"/>
          <w:szCs w:val="20"/>
        </w:rPr>
        <w:t>taxable income in prior carryback years, reversal of taxable temporary differences, forecasted operating earnings and available tax planning strategies. To the extent the Company does not consider it more likely than not that a deferred tax asset will be r</w:t>
      </w:r>
      <w:r>
        <w:rPr>
          <w:rFonts w:ascii="Times New Roman" w:eastAsia="宋体" w:hAnsi="Times New Roman"/>
          <w:color w:val="000000"/>
          <w:sz w:val="20"/>
          <w:szCs w:val="20"/>
        </w:rPr>
        <w:t>ecovered, a valuation allowance is generally established. To the extent that a valuation allowance was established and it is subsequently determined that it is more likely than not that the deferred tax assets will be recovered, the change in the valuation</w:t>
      </w:r>
      <w:r>
        <w:rPr>
          <w:rFonts w:ascii="Times New Roman" w:eastAsia="宋体" w:hAnsi="Times New Roman"/>
          <w:color w:val="000000"/>
          <w:sz w:val="20"/>
          <w:szCs w:val="20"/>
        </w:rPr>
        <w:t xml:space="preserve"> allowance is recognized in the Consolidated Statements of Income.</w:t>
      </w:r>
    </w:p>
    <w:p w14:paraId="35D0B9D9" w14:textId="77777777" w:rsidR="00D42204" w:rsidRDefault="004E439D">
      <w:pPr>
        <w:spacing w:before="100"/>
      </w:pPr>
      <w:r>
        <w:rPr>
          <w:rFonts w:ascii="Times New Roman" w:eastAsia="宋体" w:hAnsi="Times New Roman"/>
          <w:color w:val="000000"/>
          <w:sz w:val="20"/>
          <w:szCs w:val="20"/>
        </w:rPr>
        <w:t xml:space="preserve">The Company had valuation allowances of $9.5 billion and $8.8 billion as of January 31, 2022 and 2021, respectively, on deferred tax assets associated primarily with the net operating loss </w:t>
      </w:r>
      <w:r>
        <w:rPr>
          <w:rFonts w:ascii="Times New Roman" w:eastAsia="宋体" w:hAnsi="Times New Roman"/>
          <w:color w:val="000000"/>
          <w:sz w:val="20"/>
          <w:szCs w:val="20"/>
        </w:rPr>
        <w:t>carryforwards. Activity in the valuation allowance during fiscal 2022 related to valuation allowance builds in multiple markets, as well as releases due to the expiration of underlying deferred tax assets.</w:t>
      </w:r>
    </w:p>
    <w:p w14:paraId="35D0B9DA" w14:textId="77777777" w:rsidR="00D42204" w:rsidRDefault="004E439D">
      <w:pPr>
        <w:spacing w:before="180"/>
      </w:pPr>
      <w:r>
        <w:rPr>
          <w:rFonts w:ascii="Times New Roman" w:eastAsia="宋体" w:hAnsi="Times New Roman"/>
          <w:i/>
          <w:iCs/>
          <w:color w:val="000000"/>
          <w:sz w:val="20"/>
          <w:szCs w:val="20"/>
        </w:rPr>
        <w:t>Uncertain Tax Positions</w:t>
      </w:r>
    </w:p>
    <w:p w14:paraId="35D0B9DB" w14:textId="77777777" w:rsidR="00D42204" w:rsidRDefault="004E439D">
      <w:pPr>
        <w:spacing w:before="100"/>
      </w:pPr>
      <w:r>
        <w:rPr>
          <w:rFonts w:ascii="Times New Roman" w:eastAsia="宋体" w:hAnsi="Times New Roman"/>
          <w:color w:val="000000"/>
          <w:sz w:val="20"/>
          <w:szCs w:val="20"/>
        </w:rPr>
        <w:t xml:space="preserve">The benefits of uncertain </w:t>
      </w:r>
      <w:r>
        <w:rPr>
          <w:rFonts w:ascii="Times New Roman" w:eastAsia="宋体" w:hAnsi="Times New Roman"/>
          <w:color w:val="000000"/>
          <w:sz w:val="20"/>
          <w:szCs w:val="20"/>
        </w:rPr>
        <w:t>tax positions are recorded in the Company's Consolidated Financial Statements only after determining a more-likely-than-not probability that the uncertain tax positions will withstand challenge, if any, from taxing authorities.</w:t>
      </w:r>
    </w:p>
    <w:p w14:paraId="35D0B9DC" w14:textId="77777777" w:rsidR="00D42204" w:rsidRDefault="004E439D">
      <w:pPr>
        <w:spacing w:before="100"/>
      </w:pPr>
      <w:r>
        <w:rPr>
          <w:rFonts w:ascii="Times New Roman" w:eastAsia="宋体" w:hAnsi="Times New Roman"/>
          <w:color w:val="000000"/>
          <w:sz w:val="20"/>
          <w:szCs w:val="20"/>
        </w:rPr>
        <w:t>As of January 31, 2022 and 2</w:t>
      </w:r>
      <w:r>
        <w:rPr>
          <w:rFonts w:ascii="Times New Roman" w:eastAsia="宋体" w:hAnsi="Times New Roman"/>
          <w:color w:val="000000"/>
          <w:sz w:val="20"/>
          <w:szCs w:val="20"/>
        </w:rPr>
        <w:t>021, the amount of gross unrecognized tax benefits related to continuing operations was $3.2 billion and $3.1 billion, respectively. The amount of unrecognized tax benefits that would affect the Company's effective income tax rate was $1.8 billion and $1.7</w:t>
      </w:r>
      <w:r>
        <w:rPr>
          <w:rFonts w:ascii="Times New Roman" w:eastAsia="宋体" w:hAnsi="Times New Roman"/>
          <w:color w:val="000000"/>
          <w:sz w:val="20"/>
          <w:szCs w:val="20"/>
        </w:rPr>
        <w:t xml:space="preserve"> billion as of January 31, 2022 and 2021, respectively.</w:t>
      </w:r>
    </w:p>
    <w:p w14:paraId="35D0B9DD" w14:textId="77777777" w:rsidR="00D42204" w:rsidRDefault="004E439D">
      <w:pPr>
        <w:spacing w:before="100"/>
      </w:pPr>
      <w:r>
        <w:rPr>
          <w:rFonts w:ascii="Times New Roman" w:eastAsia="宋体" w:hAnsi="Times New Roman"/>
          <w:color w:val="000000"/>
          <w:sz w:val="20"/>
          <w:szCs w:val="20"/>
        </w:rPr>
        <w:t>A reconciliation of gross unrecognized tax benefits from continuing operations is as follows:</w:t>
      </w:r>
    </w:p>
    <w:tbl>
      <w:tblPr>
        <w:tblW w:w="4993" w:type="pct"/>
        <w:tblCellMar>
          <w:top w:w="15" w:type="dxa"/>
          <w:left w:w="15" w:type="dxa"/>
          <w:bottom w:w="15" w:type="dxa"/>
          <w:right w:w="15" w:type="dxa"/>
        </w:tblCellMar>
        <w:tblLook w:val="04A0" w:firstRow="1" w:lastRow="0" w:firstColumn="1" w:lastColumn="0" w:noHBand="0" w:noVBand="1"/>
      </w:tblPr>
      <w:tblGrid>
        <w:gridCol w:w="42"/>
        <w:gridCol w:w="5673"/>
        <w:gridCol w:w="37"/>
        <w:gridCol w:w="36"/>
        <w:gridCol w:w="36"/>
        <w:gridCol w:w="36"/>
        <w:gridCol w:w="100"/>
        <w:gridCol w:w="613"/>
        <w:gridCol w:w="36"/>
        <w:gridCol w:w="36"/>
        <w:gridCol w:w="36"/>
        <w:gridCol w:w="36"/>
        <w:gridCol w:w="100"/>
        <w:gridCol w:w="613"/>
        <w:gridCol w:w="36"/>
        <w:gridCol w:w="36"/>
        <w:gridCol w:w="36"/>
        <w:gridCol w:w="36"/>
        <w:gridCol w:w="100"/>
        <w:gridCol w:w="614"/>
        <w:gridCol w:w="36"/>
      </w:tblGrid>
      <w:tr w:rsidR="00D42204" w14:paraId="35D0B9F3" w14:textId="77777777">
        <w:tc>
          <w:tcPr>
            <w:tcW w:w="50" w:type="pct"/>
            <w:shd w:val="clear" w:color="auto" w:fill="auto"/>
            <w:vAlign w:val="bottom"/>
          </w:tcPr>
          <w:p w14:paraId="35D0B9DE" w14:textId="77777777" w:rsidR="00D42204" w:rsidRDefault="00D42204">
            <w:pPr>
              <w:rPr>
                <w:rFonts w:ascii="宋体"/>
              </w:rPr>
            </w:pPr>
          </w:p>
        </w:tc>
        <w:tc>
          <w:tcPr>
            <w:tcW w:w="3429" w:type="pct"/>
            <w:shd w:val="clear" w:color="auto" w:fill="auto"/>
            <w:vAlign w:val="bottom"/>
          </w:tcPr>
          <w:p w14:paraId="35D0B9DF" w14:textId="77777777" w:rsidR="00D42204" w:rsidRDefault="00D42204">
            <w:pPr>
              <w:rPr>
                <w:rFonts w:ascii="宋体"/>
              </w:rPr>
            </w:pPr>
          </w:p>
        </w:tc>
        <w:tc>
          <w:tcPr>
            <w:tcW w:w="5" w:type="pct"/>
            <w:shd w:val="clear" w:color="auto" w:fill="auto"/>
            <w:vAlign w:val="bottom"/>
          </w:tcPr>
          <w:p w14:paraId="35D0B9E0" w14:textId="77777777" w:rsidR="00D42204" w:rsidRDefault="00D42204">
            <w:pPr>
              <w:rPr>
                <w:rFonts w:ascii="宋体"/>
              </w:rPr>
            </w:pPr>
          </w:p>
        </w:tc>
        <w:tc>
          <w:tcPr>
            <w:tcW w:w="5" w:type="pct"/>
            <w:shd w:val="clear" w:color="auto" w:fill="auto"/>
            <w:vAlign w:val="bottom"/>
          </w:tcPr>
          <w:p w14:paraId="35D0B9E1" w14:textId="77777777" w:rsidR="00D42204" w:rsidRDefault="00D42204">
            <w:pPr>
              <w:rPr>
                <w:rFonts w:ascii="宋体"/>
              </w:rPr>
            </w:pPr>
          </w:p>
        </w:tc>
        <w:tc>
          <w:tcPr>
            <w:tcW w:w="26" w:type="pct"/>
            <w:shd w:val="clear" w:color="auto" w:fill="auto"/>
            <w:vAlign w:val="bottom"/>
          </w:tcPr>
          <w:p w14:paraId="35D0B9E2" w14:textId="77777777" w:rsidR="00D42204" w:rsidRDefault="00D42204">
            <w:pPr>
              <w:rPr>
                <w:rFonts w:ascii="宋体"/>
              </w:rPr>
            </w:pPr>
          </w:p>
        </w:tc>
        <w:tc>
          <w:tcPr>
            <w:tcW w:w="5" w:type="pct"/>
            <w:shd w:val="clear" w:color="auto" w:fill="auto"/>
            <w:vAlign w:val="bottom"/>
          </w:tcPr>
          <w:p w14:paraId="35D0B9E3" w14:textId="77777777" w:rsidR="00D42204" w:rsidRDefault="00D42204">
            <w:pPr>
              <w:rPr>
                <w:rFonts w:ascii="宋体"/>
              </w:rPr>
            </w:pPr>
          </w:p>
        </w:tc>
        <w:tc>
          <w:tcPr>
            <w:tcW w:w="50" w:type="pct"/>
            <w:shd w:val="clear" w:color="auto" w:fill="auto"/>
            <w:vAlign w:val="bottom"/>
          </w:tcPr>
          <w:p w14:paraId="35D0B9E4" w14:textId="77777777" w:rsidR="00D42204" w:rsidRDefault="00D42204">
            <w:pPr>
              <w:rPr>
                <w:rFonts w:ascii="宋体"/>
              </w:rPr>
            </w:pPr>
          </w:p>
        </w:tc>
        <w:tc>
          <w:tcPr>
            <w:tcW w:w="413" w:type="pct"/>
            <w:shd w:val="clear" w:color="auto" w:fill="auto"/>
            <w:vAlign w:val="bottom"/>
          </w:tcPr>
          <w:p w14:paraId="35D0B9E5" w14:textId="77777777" w:rsidR="00D42204" w:rsidRDefault="00D42204">
            <w:pPr>
              <w:rPr>
                <w:rFonts w:ascii="宋体"/>
              </w:rPr>
            </w:pPr>
          </w:p>
        </w:tc>
        <w:tc>
          <w:tcPr>
            <w:tcW w:w="5" w:type="pct"/>
            <w:shd w:val="clear" w:color="auto" w:fill="auto"/>
            <w:vAlign w:val="bottom"/>
          </w:tcPr>
          <w:p w14:paraId="35D0B9E6" w14:textId="77777777" w:rsidR="00D42204" w:rsidRDefault="00D42204">
            <w:pPr>
              <w:rPr>
                <w:rFonts w:ascii="宋体"/>
              </w:rPr>
            </w:pPr>
          </w:p>
        </w:tc>
        <w:tc>
          <w:tcPr>
            <w:tcW w:w="5" w:type="pct"/>
            <w:shd w:val="clear" w:color="auto" w:fill="auto"/>
            <w:vAlign w:val="bottom"/>
          </w:tcPr>
          <w:p w14:paraId="35D0B9E7" w14:textId="77777777" w:rsidR="00D42204" w:rsidRDefault="00D42204">
            <w:pPr>
              <w:rPr>
                <w:rFonts w:ascii="宋体"/>
              </w:rPr>
            </w:pPr>
          </w:p>
        </w:tc>
        <w:tc>
          <w:tcPr>
            <w:tcW w:w="26" w:type="pct"/>
            <w:shd w:val="clear" w:color="auto" w:fill="auto"/>
            <w:vAlign w:val="bottom"/>
          </w:tcPr>
          <w:p w14:paraId="35D0B9E8" w14:textId="77777777" w:rsidR="00D42204" w:rsidRDefault="00D42204">
            <w:pPr>
              <w:rPr>
                <w:rFonts w:ascii="宋体"/>
              </w:rPr>
            </w:pPr>
          </w:p>
        </w:tc>
        <w:tc>
          <w:tcPr>
            <w:tcW w:w="5" w:type="pct"/>
            <w:shd w:val="clear" w:color="auto" w:fill="auto"/>
            <w:vAlign w:val="bottom"/>
          </w:tcPr>
          <w:p w14:paraId="35D0B9E9" w14:textId="77777777" w:rsidR="00D42204" w:rsidRDefault="00D42204">
            <w:pPr>
              <w:rPr>
                <w:rFonts w:ascii="宋体"/>
              </w:rPr>
            </w:pPr>
          </w:p>
        </w:tc>
        <w:tc>
          <w:tcPr>
            <w:tcW w:w="50" w:type="pct"/>
            <w:shd w:val="clear" w:color="auto" w:fill="auto"/>
            <w:vAlign w:val="bottom"/>
          </w:tcPr>
          <w:p w14:paraId="35D0B9EA" w14:textId="77777777" w:rsidR="00D42204" w:rsidRDefault="00D42204">
            <w:pPr>
              <w:rPr>
                <w:rFonts w:ascii="宋体"/>
              </w:rPr>
            </w:pPr>
          </w:p>
        </w:tc>
        <w:tc>
          <w:tcPr>
            <w:tcW w:w="413" w:type="pct"/>
            <w:shd w:val="clear" w:color="auto" w:fill="auto"/>
            <w:vAlign w:val="bottom"/>
          </w:tcPr>
          <w:p w14:paraId="35D0B9EB" w14:textId="77777777" w:rsidR="00D42204" w:rsidRDefault="00D42204">
            <w:pPr>
              <w:rPr>
                <w:rFonts w:ascii="宋体"/>
              </w:rPr>
            </w:pPr>
          </w:p>
        </w:tc>
        <w:tc>
          <w:tcPr>
            <w:tcW w:w="5" w:type="pct"/>
            <w:shd w:val="clear" w:color="auto" w:fill="auto"/>
            <w:vAlign w:val="bottom"/>
          </w:tcPr>
          <w:p w14:paraId="35D0B9EC" w14:textId="77777777" w:rsidR="00D42204" w:rsidRDefault="00D42204">
            <w:pPr>
              <w:rPr>
                <w:rFonts w:ascii="宋体"/>
              </w:rPr>
            </w:pPr>
          </w:p>
        </w:tc>
        <w:tc>
          <w:tcPr>
            <w:tcW w:w="5" w:type="pct"/>
            <w:shd w:val="clear" w:color="auto" w:fill="auto"/>
            <w:vAlign w:val="bottom"/>
          </w:tcPr>
          <w:p w14:paraId="35D0B9ED" w14:textId="77777777" w:rsidR="00D42204" w:rsidRDefault="00D42204">
            <w:pPr>
              <w:rPr>
                <w:rFonts w:ascii="宋体"/>
              </w:rPr>
            </w:pPr>
          </w:p>
        </w:tc>
        <w:tc>
          <w:tcPr>
            <w:tcW w:w="26" w:type="pct"/>
            <w:shd w:val="clear" w:color="auto" w:fill="auto"/>
            <w:vAlign w:val="bottom"/>
          </w:tcPr>
          <w:p w14:paraId="35D0B9EE" w14:textId="77777777" w:rsidR="00D42204" w:rsidRDefault="00D42204">
            <w:pPr>
              <w:rPr>
                <w:rFonts w:ascii="宋体"/>
              </w:rPr>
            </w:pPr>
          </w:p>
        </w:tc>
        <w:tc>
          <w:tcPr>
            <w:tcW w:w="5" w:type="pct"/>
            <w:shd w:val="clear" w:color="auto" w:fill="auto"/>
            <w:vAlign w:val="bottom"/>
          </w:tcPr>
          <w:p w14:paraId="35D0B9EF" w14:textId="77777777" w:rsidR="00D42204" w:rsidRDefault="00D42204">
            <w:pPr>
              <w:rPr>
                <w:rFonts w:ascii="宋体"/>
              </w:rPr>
            </w:pPr>
          </w:p>
        </w:tc>
        <w:tc>
          <w:tcPr>
            <w:tcW w:w="50" w:type="pct"/>
            <w:shd w:val="clear" w:color="auto" w:fill="auto"/>
            <w:vAlign w:val="bottom"/>
          </w:tcPr>
          <w:p w14:paraId="35D0B9F0" w14:textId="77777777" w:rsidR="00D42204" w:rsidRDefault="00D42204">
            <w:pPr>
              <w:rPr>
                <w:rFonts w:ascii="宋体"/>
              </w:rPr>
            </w:pPr>
          </w:p>
        </w:tc>
        <w:tc>
          <w:tcPr>
            <w:tcW w:w="413" w:type="pct"/>
            <w:shd w:val="clear" w:color="auto" w:fill="auto"/>
            <w:vAlign w:val="bottom"/>
          </w:tcPr>
          <w:p w14:paraId="35D0B9F1" w14:textId="77777777" w:rsidR="00D42204" w:rsidRDefault="00D42204">
            <w:pPr>
              <w:rPr>
                <w:rFonts w:ascii="宋体"/>
              </w:rPr>
            </w:pPr>
          </w:p>
        </w:tc>
        <w:tc>
          <w:tcPr>
            <w:tcW w:w="5" w:type="pct"/>
            <w:shd w:val="clear" w:color="auto" w:fill="auto"/>
            <w:vAlign w:val="bottom"/>
          </w:tcPr>
          <w:p w14:paraId="35D0B9F2" w14:textId="77777777" w:rsidR="00D42204" w:rsidRDefault="00D42204">
            <w:pPr>
              <w:rPr>
                <w:rFonts w:ascii="宋体"/>
              </w:rPr>
            </w:pPr>
          </w:p>
        </w:tc>
      </w:tr>
      <w:tr w:rsidR="00D42204" w14:paraId="35D0B9F7" w14:textId="77777777">
        <w:tc>
          <w:tcPr>
            <w:tcW w:w="0" w:type="auto"/>
            <w:gridSpan w:val="3"/>
            <w:shd w:val="clear" w:color="auto" w:fill="auto"/>
            <w:tcMar>
              <w:top w:w="40" w:type="dxa"/>
              <w:left w:w="20" w:type="dxa"/>
              <w:bottom w:w="40" w:type="dxa"/>
              <w:right w:w="20" w:type="dxa"/>
            </w:tcMar>
            <w:vAlign w:val="bottom"/>
          </w:tcPr>
          <w:p w14:paraId="35D0B9F4"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B9F5"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B9F6" w14:textId="77777777" w:rsidR="00D42204" w:rsidRDefault="004E439D">
            <w:pPr>
              <w:jc w:val="center"/>
              <w:textAlignment w:val="bottom"/>
            </w:pPr>
            <w:r>
              <w:rPr>
                <w:rFonts w:ascii="Times New Roman" w:eastAsia="宋体" w:hAnsi="Times New Roman"/>
                <w:b/>
                <w:bCs/>
                <w:color w:val="000000"/>
                <w:sz w:val="16"/>
                <w:szCs w:val="16"/>
              </w:rPr>
              <w:t>Fiscal Years Ended January 31,</w:t>
            </w:r>
          </w:p>
        </w:tc>
      </w:tr>
      <w:tr w:rsidR="00D42204" w14:paraId="35D0B9FF" w14:textId="77777777">
        <w:tc>
          <w:tcPr>
            <w:tcW w:w="0" w:type="auto"/>
            <w:gridSpan w:val="3"/>
            <w:shd w:val="clear" w:color="auto" w:fill="auto"/>
            <w:tcMar>
              <w:top w:w="40" w:type="dxa"/>
              <w:left w:w="20" w:type="dxa"/>
              <w:bottom w:w="40" w:type="dxa"/>
              <w:right w:w="20" w:type="dxa"/>
            </w:tcMar>
            <w:vAlign w:val="bottom"/>
          </w:tcPr>
          <w:p w14:paraId="35D0B9F8"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9F9"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9FA"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9FB"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9FC"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9FD"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9FE"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BA0D" w14:textId="77777777">
        <w:tc>
          <w:tcPr>
            <w:tcW w:w="0" w:type="auto"/>
            <w:gridSpan w:val="3"/>
            <w:shd w:val="clear" w:color="auto" w:fill="CCEEFF"/>
            <w:tcMar>
              <w:top w:w="40" w:type="dxa"/>
              <w:left w:w="20" w:type="dxa"/>
              <w:bottom w:w="40" w:type="dxa"/>
              <w:right w:w="20" w:type="dxa"/>
            </w:tcMar>
            <w:vAlign w:val="center"/>
          </w:tcPr>
          <w:p w14:paraId="35D0BA00" w14:textId="77777777" w:rsidR="00D42204" w:rsidRDefault="004E439D">
            <w:pPr>
              <w:textAlignment w:val="center"/>
            </w:pPr>
            <w:r>
              <w:rPr>
                <w:rFonts w:ascii="Times New Roman" w:eastAsia="宋体" w:hAnsi="Times New Roman"/>
                <w:b/>
                <w:bCs/>
                <w:color w:val="000000"/>
                <w:sz w:val="16"/>
                <w:szCs w:val="16"/>
              </w:rPr>
              <w:t>Gross unrecognized tax benefits, beginning of year</w:t>
            </w:r>
          </w:p>
        </w:tc>
        <w:tc>
          <w:tcPr>
            <w:tcW w:w="0" w:type="auto"/>
            <w:gridSpan w:val="3"/>
            <w:shd w:val="clear" w:color="auto" w:fill="CCEEFF"/>
            <w:tcMar>
              <w:top w:w="0" w:type="dxa"/>
              <w:left w:w="20" w:type="dxa"/>
              <w:bottom w:w="0" w:type="dxa"/>
              <w:right w:w="20" w:type="dxa"/>
            </w:tcMar>
            <w:vAlign w:val="bottom"/>
          </w:tcPr>
          <w:p w14:paraId="35D0BA01"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A02"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A03" w14:textId="77777777" w:rsidR="00D42204" w:rsidRDefault="004E439D">
            <w:pPr>
              <w:jc w:val="right"/>
              <w:textAlignment w:val="center"/>
            </w:pPr>
            <w:r>
              <w:rPr>
                <w:rFonts w:ascii="Times New Roman" w:eastAsia="宋体" w:hAnsi="Times New Roman"/>
                <w:color w:val="000000"/>
                <w:sz w:val="16"/>
                <w:szCs w:val="16"/>
              </w:rPr>
              <w:t>3,135 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A0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A05"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A06"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A07" w14:textId="77777777" w:rsidR="00D42204" w:rsidRDefault="004E439D">
            <w:pPr>
              <w:jc w:val="right"/>
              <w:textAlignment w:val="center"/>
            </w:pPr>
            <w:r>
              <w:rPr>
                <w:rFonts w:ascii="Times New Roman" w:eastAsia="宋体" w:hAnsi="Times New Roman"/>
                <w:color w:val="000000"/>
                <w:sz w:val="16"/>
                <w:szCs w:val="16"/>
              </w:rPr>
              <w:t>1,817 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A0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A09"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A0A"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A0B" w14:textId="77777777" w:rsidR="00D42204" w:rsidRDefault="004E439D">
            <w:pPr>
              <w:jc w:val="right"/>
              <w:textAlignment w:val="center"/>
            </w:pPr>
            <w:r>
              <w:rPr>
                <w:rFonts w:ascii="Times New Roman" w:eastAsia="宋体" w:hAnsi="Times New Roman"/>
                <w:color w:val="000000"/>
                <w:sz w:val="16"/>
                <w:szCs w:val="16"/>
              </w:rPr>
              <w:t>1,305 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A0C" w14:textId="77777777" w:rsidR="00D42204" w:rsidRDefault="00D42204">
            <w:pPr>
              <w:jc w:val="right"/>
              <w:rPr>
                <w:rFonts w:ascii="宋体"/>
              </w:rPr>
            </w:pPr>
          </w:p>
        </w:tc>
      </w:tr>
      <w:tr w:rsidR="00D42204" w14:paraId="35D0BA18" w14:textId="77777777">
        <w:tc>
          <w:tcPr>
            <w:tcW w:w="0" w:type="auto"/>
            <w:gridSpan w:val="3"/>
            <w:shd w:val="clear" w:color="auto" w:fill="FFFFFF"/>
            <w:tcMar>
              <w:top w:w="40" w:type="dxa"/>
              <w:left w:w="20" w:type="dxa"/>
              <w:bottom w:w="40" w:type="dxa"/>
              <w:right w:w="20" w:type="dxa"/>
            </w:tcMar>
            <w:vAlign w:val="center"/>
          </w:tcPr>
          <w:p w14:paraId="35D0BA0E" w14:textId="77777777" w:rsidR="00D42204" w:rsidRDefault="004E439D">
            <w:pPr>
              <w:textAlignment w:val="center"/>
            </w:pPr>
            <w:r>
              <w:rPr>
                <w:rFonts w:ascii="Times New Roman" w:eastAsia="宋体" w:hAnsi="Times New Roman"/>
                <w:color w:val="000000"/>
                <w:sz w:val="16"/>
                <w:szCs w:val="16"/>
              </w:rPr>
              <w:t>Increases related to prior year tax positions</w:t>
            </w:r>
          </w:p>
        </w:tc>
        <w:tc>
          <w:tcPr>
            <w:tcW w:w="0" w:type="auto"/>
            <w:gridSpan w:val="3"/>
            <w:shd w:val="clear" w:color="auto" w:fill="FFFFFF"/>
            <w:tcMar>
              <w:top w:w="0" w:type="dxa"/>
              <w:left w:w="20" w:type="dxa"/>
              <w:bottom w:w="0" w:type="dxa"/>
              <w:right w:w="20" w:type="dxa"/>
            </w:tcMar>
            <w:vAlign w:val="bottom"/>
          </w:tcPr>
          <w:p w14:paraId="35D0BA0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A10" w14:textId="77777777" w:rsidR="00D42204" w:rsidRDefault="004E439D">
            <w:pPr>
              <w:jc w:val="right"/>
              <w:textAlignment w:val="center"/>
            </w:pPr>
            <w:r>
              <w:rPr>
                <w:rFonts w:ascii="Times New Roman" w:eastAsia="宋体" w:hAnsi="Times New Roman"/>
                <w:color w:val="000000"/>
                <w:sz w:val="16"/>
                <w:szCs w:val="16"/>
              </w:rPr>
              <w:t>170 </w:t>
            </w:r>
          </w:p>
        </w:tc>
        <w:tc>
          <w:tcPr>
            <w:tcW w:w="0" w:type="auto"/>
            <w:shd w:val="clear" w:color="auto" w:fill="FFFFFF"/>
            <w:tcMar>
              <w:top w:w="40" w:type="dxa"/>
              <w:left w:w="0" w:type="dxa"/>
              <w:bottom w:w="40" w:type="dxa"/>
              <w:right w:w="20" w:type="dxa"/>
            </w:tcMar>
            <w:vAlign w:val="center"/>
          </w:tcPr>
          <w:p w14:paraId="35D0BA1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A1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A13" w14:textId="77777777" w:rsidR="00D42204" w:rsidRDefault="004E439D">
            <w:pPr>
              <w:jc w:val="right"/>
              <w:textAlignment w:val="center"/>
            </w:pPr>
            <w:r>
              <w:rPr>
                <w:rFonts w:ascii="Times New Roman" w:eastAsia="宋体" w:hAnsi="Times New Roman"/>
                <w:color w:val="000000"/>
                <w:sz w:val="16"/>
                <w:szCs w:val="16"/>
              </w:rPr>
              <w:t>92 </w:t>
            </w:r>
          </w:p>
        </w:tc>
        <w:tc>
          <w:tcPr>
            <w:tcW w:w="0" w:type="auto"/>
            <w:shd w:val="clear" w:color="auto" w:fill="FFFFFF"/>
            <w:tcMar>
              <w:top w:w="40" w:type="dxa"/>
              <w:left w:w="0" w:type="dxa"/>
              <w:bottom w:w="40" w:type="dxa"/>
              <w:right w:w="20" w:type="dxa"/>
            </w:tcMar>
            <w:vAlign w:val="center"/>
          </w:tcPr>
          <w:p w14:paraId="35D0BA1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A1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A16" w14:textId="77777777" w:rsidR="00D42204" w:rsidRDefault="004E439D">
            <w:pPr>
              <w:jc w:val="right"/>
              <w:textAlignment w:val="center"/>
            </w:pPr>
            <w:r>
              <w:rPr>
                <w:rFonts w:ascii="Times New Roman" w:eastAsia="宋体" w:hAnsi="Times New Roman"/>
                <w:color w:val="000000"/>
                <w:sz w:val="16"/>
                <w:szCs w:val="16"/>
              </w:rPr>
              <w:t>516 </w:t>
            </w:r>
          </w:p>
        </w:tc>
        <w:tc>
          <w:tcPr>
            <w:tcW w:w="0" w:type="auto"/>
            <w:shd w:val="clear" w:color="auto" w:fill="FFFFFF"/>
            <w:tcMar>
              <w:top w:w="40" w:type="dxa"/>
              <w:left w:w="0" w:type="dxa"/>
              <w:bottom w:w="40" w:type="dxa"/>
              <w:right w:w="20" w:type="dxa"/>
            </w:tcMar>
            <w:vAlign w:val="center"/>
          </w:tcPr>
          <w:p w14:paraId="35D0BA17" w14:textId="77777777" w:rsidR="00D42204" w:rsidRDefault="00D42204">
            <w:pPr>
              <w:jc w:val="right"/>
              <w:rPr>
                <w:rFonts w:ascii="宋体"/>
              </w:rPr>
            </w:pPr>
          </w:p>
        </w:tc>
      </w:tr>
      <w:tr w:rsidR="00D42204" w14:paraId="35D0BA23" w14:textId="77777777">
        <w:tc>
          <w:tcPr>
            <w:tcW w:w="0" w:type="auto"/>
            <w:gridSpan w:val="3"/>
            <w:shd w:val="clear" w:color="auto" w:fill="CCEEFF"/>
            <w:tcMar>
              <w:top w:w="40" w:type="dxa"/>
              <w:left w:w="20" w:type="dxa"/>
              <w:bottom w:w="40" w:type="dxa"/>
              <w:right w:w="20" w:type="dxa"/>
            </w:tcMar>
            <w:vAlign w:val="center"/>
          </w:tcPr>
          <w:p w14:paraId="35D0BA19" w14:textId="77777777" w:rsidR="00D42204" w:rsidRDefault="004E439D">
            <w:pPr>
              <w:textAlignment w:val="center"/>
            </w:pPr>
            <w:r>
              <w:rPr>
                <w:rFonts w:ascii="Times New Roman" w:eastAsia="宋体" w:hAnsi="Times New Roman"/>
                <w:color w:val="000000"/>
                <w:sz w:val="16"/>
                <w:szCs w:val="16"/>
              </w:rPr>
              <w:t>Decreases related to prior year tax positions</w:t>
            </w:r>
          </w:p>
        </w:tc>
        <w:tc>
          <w:tcPr>
            <w:tcW w:w="0" w:type="auto"/>
            <w:gridSpan w:val="3"/>
            <w:shd w:val="clear" w:color="auto" w:fill="CCEEFF"/>
            <w:tcMar>
              <w:top w:w="0" w:type="dxa"/>
              <w:left w:w="20" w:type="dxa"/>
              <w:bottom w:w="0" w:type="dxa"/>
              <w:right w:w="20" w:type="dxa"/>
            </w:tcMar>
            <w:vAlign w:val="bottom"/>
          </w:tcPr>
          <w:p w14:paraId="35D0BA1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A1B" w14:textId="77777777" w:rsidR="00D42204" w:rsidRDefault="004E439D">
            <w:pPr>
              <w:jc w:val="right"/>
              <w:textAlignment w:val="center"/>
            </w:pPr>
            <w:r>
              <w:rPr>
                <w:rFonts w:ascii="Times New Roman" w:eastAsia="宋体" w:hAnsi="Times New Roman"/>
                <w:color w:val="000000"/>
                <w:sz w:val="16"/>
                <w:szCs w:val="16"/>
              </w:rPr>
              <w:t>(97)</w:t>
            </w:r>
          </w:p>
        </w:tc>
        <w:tc>
          <w:tcPr>
            <w:tcW w:w="0" w:type="auto"/>
            <w:shd w:val="clear" w:color="auto" w:fill="CCEEFF"/>
            <w:tcMar>
              <w:top w:w="40" w:type="dxa"/>
              <w:left w:w="0" w:type="dxa"/>
              <w:bottom w:w="40" w:type="dxa"/>
              <w:right w:w="20" w:type="dxa"/>
            </w:tcMar>
            <w:vAlign w:val="center"/>
          </w:tcPr>
          <w:p w14:paraId="35D0BA1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A1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A1E" w14:textId="77777777" w:rsidR="00D42204" w:rsidRDefault="004E439D">
            <w:pPr>
              <w:jc w:val="right"/>
              <w:textAlignment w:val="center"/>
            </w:pPr>
            <w:r>
              <w:rPr>
                <w:rFonts w:ascii="Times New Roman" w:eastAsia="宋体" w:hAnsi="Times New Roman"/>
                <w:color w:val="000000"/>
                <w:sz w:val="16"/>
                <w:szCs w:val="16"/>
              </w:rPr>
              <w:t>(264)</w:t>
            </w:r>
          </w:p>
        </w:tc>
        <w:tc>
          <w:tcPr>
            <w:tcW w:w="0" w:type="auto"/>
            <w:shd w:val="clear" w:color="auto" w:fill="CCEEFF"/>
            <w:tcMar>
              <w:top w:w="40" w:type="dxa"/>
              <w:left w:w="0" w:type="dxa"/>
              <w:bottom w:w="40" w:type="dxa"/>
              <w:right w:w="20" w:type="dxa"/>
            </w:tcMar>
            <w:vAlign w:val="center"/>
          </w:tcPr>
          <w:p w14:paraId="35D0BA1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A2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A21" w14:textId="77777777" w:rsidR="00D42204" w:rsidRDefault="004E439D">
            <w:pPr>
              <w:jc w:val="right"/>
              <w:textAlignment w:val="center"/>
            </w:pPr>
            <w:r>
              <w:rPr>
                <w:rFonts w:ascii="Times New Roman" w:eastAsia="宋体" w:hAnsi="Times New Roman"/>
                <w:color w:val="000000"/>
                <w:sz w:val="16"/>
                <w:szCs w:val="16"/>
              </w:rPr>
              <w:t>(15)</w:t>
            </w:r>
          </w:p>
        </w:tc>
        <w:tc>
          <w:tcPr>
            <w:tcW w:w="0" w:type="auto"/>
            <w:shd w:val="clear" w:color="auto" w:fill="CCEEFF"/>
            <w:tcMar>
              <w:top w:w="40" w:type="dxa"/>
              <w:left w:w="0" w:type="dxa"/>
              <w:bottom w:w="40" w:type="dxa"/>
              <w:right w:w="20" w:type="dxa"/>
            </w:tcMar>
            <w:vAlign w:val="center"/>
          </w:tcPr>
          <w:p w14:paraId="35D0BA22" w14:textId="77777777" w:rsidR="00D42204" w:rsidRDefault="00D42204">
            <w:pPr>
              <w:jc w:val="right"/>
              <w:rPr>
                <w:rFonts w:ascii="宋体"/>
              </w:rPr>
            </w:pPr>
          </w:p>
        </w:tc>
      </w:tr>
      <w:tr w:rsidR="00D42204" w14:paraId="35D0BA2E" w14:textId="77777777">
        <w:tc>
          <w:tcPr>
            <w:tcW w:w="0" w:type="auto"/>
            <w:gridSpan w:val="3"/>
            <w:shd w:val="clear" w:color="auto" w:fill="FFFFFF"/>
            <w:tcMar>
              <w:top w:w="40" w:type="dxa"/>
              <w:left w:w="20" w:type="dxa"/>
              <w:bottom w:w="40" w:type="dxa"/>
              <w:right w:w="20" w:type="dxa"/>
            </w:tcMar>
            <w:vAlign w:val="center"/>
          </w:tcPr>
          <w:p w14:paraId="35D0BA24" w14:textId="77777777" w:rsidR="00D42204" w:rsidRDefault="004E439D">
            <w:pPr>
              <w:textAlignment w:val="center"/>
            </w:pPr>
            <w:r>
              <w:rPr>
                <w:rFonts w:ascii="Times New Roman" w:eastAsia="宋体" w:hAnsi="Times New Roman"/>
                <w:color w:val="000000"/>
                <w:sz w:val="16"/>
                <w:szCs w:val="16"/>
              </w:rPr>
              <w:t>Incr</w:t>
            </w:r>
            <w:r>
              <w:rPr>
                <w:rFonts w:ascii="Times New Roman" w:eastAsia="宋体" w:hAnsi="Times New Roman"/>
                <w:color w:val="000000"/>
                <w:sz w:val="16"/>
                <w:szCs w:val="16"/>
              </w:rPr>
              <w:t>eases related to current year tax positions</w:t>
            </w:r>
          </w:p>
        </w:tc>
        <w:tc>
          <w:tcPr>
            <w:tcW w:w="0" w:type="auto"/>
            <w:gridSpan w:val="3"/>
            <w:shd w:val="clear" w:color="auto" w:fill="FFFFFF"/>
            <w:tcMar>
              <w:top w:w="0" w:type="dxa"/>
              <w:left w:w="20" w:type="dxa"/>
              <w:bottom w:w="0" w:type="dxa"/>
              <w:right w:w="20" w:type="dxa"/>
            </w:tcMar>
            <w:vAlign w:val="bottom"/>
          </w:tcPr>
          <w:p w14:paraId="35D0BA2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A26" w14:textId="77777777" w:rsidR="00D42204" w:rsidRDefault="004E439D">
            <w:pPr>
              <w:jc w:val="right"/>
              <w:textAlignment w:val="center"/>
            </w:pPr>
            <w:r>
              <w:rPr>
                <w:rFonts w:ascii="Times New Roman" w:eastAsia="宋体" w:hAnsi="Times New Roman"/>
                <w:color w:val="000000"/>
                <w:sz w:val="16"/>
                <w:szCs w:val="16"/>
              </w:rPr>
              <w:t>75 </w:t>
            </w:r>
          </w:p>
        </w:tc>
        <w:tc>
          <w:tcPr>
            <w:tcW w:w="0" w:type="auto"/>
            <w:shd w:val="clear" w:color="auto" w:fill="FFFFFF"/>
            <w:tcMar>
              <w:top w:w="40" w:type="dxa"/>
              <w:left w:w="0" w:type="dxa"/>
              <w:bottom w:w="40" w:type="dxa"/>
              <w:right w:w="20" w:type="dxa"/>
            </w:tcMar>
            <w:vAlign w:val="center"/>
          </w:tcPr>
          <w:p w14:paraId="35D0BA2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A2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A29" w14:textId="77777777" w:rsidR="00D42204" w:rsidRDefault="004E439D">
            <w:pPr>
              <w:jc w:val="right"/>
              <w:textAlignment w:val="center"/>
            </w:pPr>
            <w:r>
              <w:rPr>
                <w:rFonts w:ascii="Times New Roman" w:eastAsia="宋体" w:hAnsi="Times New Roman"/>
                <w:color w:val="000000"/>
                <w:sz w:val="16"/>
                <w:szCs w:val="16"/>
              </w:rPr>
              <w:t>1,582 </w:t>
            </w:r>
          </w:p>
        </w:tc>
        <w:tc>
          <w:tcPr>
            <w:tcW w:w="0" w:type="auto"/>
            <w:shd w:val="clear" w:color="auto" w:fill="FFFFFF"/>
            <w:tcMar>
              <w:top w:w="40" w:type="dxa"/>
              <w:left w:w="0" w:type="dxa"/>
              <w:bottom w:w="40" w:type="dxa"/>
              <w:right w:w="20" w:type="dxa"/>
            </w:tcMar>
            <w:vAlign w:val="center"/>
          </w:tcPr>
          <w:p w14:paraId="35D0BA2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A2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A2C" w14:textId="77777777" w:rsidR="00D42204" w:rsidRDefault="004E439D">
            <w:pPr>
              <w:jc w:val="right"/>
              <w:textAlignment w:val="center"/>
            </w:pPr>
            <w:r>
              <w:rPr>
                <w:rFonts w:ascii="Times New Roman" w:eastAsia="宋体" w:hAnsi="Times New Roman"/>
                <w:color w:val="000000"/>
                <w:sz w:val="16"/>
                <w:szCs w:val="16"/>
              </w:rPr>
              <w:t>66 </w:t>
            </w:r>
          </w:p>
        </w:tc>
        <w:tc>
          <w:tcPr>
            <w:tcW w:w="0" w:type="auto"/>
            <w:shd w:val="clear" w:color="auto" w:fill="FFFFFF"/>
            <w:tcMar>
              <w:top w:w="40" w:type="dxa"/>
              <w:left w:w="0" w:type="dxa"/>
              <w:bottom w:w="40" w:type="dxa"/>
              <w:right w:w="20" w:type="dxa"/>
            </w:tcMar>
            <w:vAlign w:val="center"/>
          </w:tcPr>
          <w:p w14:paraId="35D0BA2D" w14:textId="77777777" w:rsidR="00D42204" w:rsidRDefault="00D42204">
            <w:pPr>
              <w:jc w:val="right"/>
              <w:rPr>
                <w:rFonts w:ascii="宋体"/>
              </w:rPr>
            </w:pPr>
          </w:p>
        </w:tc>
      </w:tr>
      <w:tr w:rsidR="00D42204" w14:paraId="35D0BA39" w14:textId="77777777">
        <w:tc>
          <w:tcPr>
            <w:tcW w:w="0" w:type="auto"/>
            <w:gridSpan w:val="3"/>
            <w:shd w:val="clear" w:color="auto" w:fill="CCEEFF"/>
            <w:tcMar>
              <w:top w:w="40" w:type="dxa"/>
              <w:left w:w="20" w:type="dxa"/>
              <w:bottom w:w="40" w:type="dxa"/>
              <w:right w:w="20" w:type="dxa"/>
            </w:tcMar>
            <w:vAlign w:val="center"/>
          </w:tcPr>
          <w:p w14:paraId="35D0BA2F" w14:textId="77777777" w:rsidR="00D42204" w:rsidRDefault="004E439D">
            <w:pPr>
              <w:textAlignment w:val="center"/>
            </w:pPr>
            <w:r>
              <w:rPr>
                <w:rFonts w:ascii="Times New Roman" w:eastAsia="宋体" w:hAnsi="Times New Roman"/>
                <w:color w:val="000000"/>
                <w:sz w:val="16"/>
                <w:szCs w:val="16"/>
              </w:rPr>
              <w:t>Settlements during the period</w:t>
            </w:r>
          </w:p>
        </w:tc>
        <w:tc>
          <w:tcPr>
            <w:tcW w:w="0" w:type="auto"/>
            <w:gridSpan w:val="3"/>
            <w:shd w:val="clear" w:color="auto" w:fill="CCEEFF"/>
            <w:tcMar>
              <w:top w:w="0" w:type="dxa"/>
              <w:left w:w="20" w:type="dxa"/>
              <w:bottom w:w="0" w:type="dxa"/>
              <w:right w:w="20" w:type="dxa"/>
            </w:tcMar>
            <w:vAlign w:val="bottom"/>
          </w:tcPr>
          <w:p w14:paraId="35D0BA3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A31" w14:textId="77777777" w:rsidR="00D42204" w:rsidRDefault="004E439D">
            <w:pPr>
              <w:jc w:val="right"/>
              <w:textAlignment w:val="center"/>
            </w:pPr>
            <w:r>
              <w:rPr>
                <w:rFonts w:ascii="Times New Roman" w:eastAsia="宋体" w:hAnsi="Times New Roman"/>
                <w:color w:val="000000"/>
                <w:sz w:val="16"/>
                <w:szCs w:val="16"/>
              </w:rPr>
              <w:t>(5)</w:t>
            </w:r>
          </w:p>
        </w:tc>
        <w:tc>
          <w:tcPr>
            <w:tcW w:w="0" w:type="auto"/>
            <w:shd w:val="clear" w:color="auto" w:fill="CCEEFF"/>
            <w:tcMar>
              <w:top w:w="40" w:type="dxa"/>
              <w:left w:w="0" w:type="dxa"/>
              <w:bottom w:w="40" w:type="dxa"/>
              <w:right w:w="20" w:type="dxa"/>
            </w:tcMar>
            <w:vAlign w:val="center"/>
          </w:tcPr>
          <w:p w14:paraId="35D0BA3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A3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A34" w14:textId="77777777" w:rsidR="00D42204" w:rsidRDefault="004E439D">
            <w:pPr>
              <w:jc w:val="right"/>
              <w:textAlignment w:val="center"/>
            </w:pPr>
            <w:r>
              <w:rPr>
                <w:rFonts w:ascii="Times New Roman" w:eastAsia="宋体" w:hAnsi="Times New Roman"/>
                <w:color w:val="000000"/>
                <w:sz w:val="16"/>
                <w:szCs w:val="16"/>
              </w:rPr>
              <w:t>(64)</w:t>
            </w:r>
          </w:p>
        </w:tc>
        <w:tc>
          <w:tcPr>
            <w:tcW w:w="0" w:type="auto"/>
            <w:shd w:val="clear" w:color="auto" w:fill="CCEEFF"/>
            <w:tcMar>
              <w:top w:w="40" w:type="dxa"/>
              <w:left w:w="0" w:type="dxa"/>
              <w:bottom w:w="40" w:type="dxa"/>
              <w:right w:w="20" w:type="dxa"/>
            </w:tcMar>
            <w:vAlign w:val="center"/>
          </w:tcPr>
          <w:p w14:paraId="35D0BA3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A3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A37" w14:textId="77777777" w:rsidR="00D42204" w:rsidRDefault="004E439D">
            <w:pPr>
              <w:jc w:val="right"/>
              <w:textAlignment w:val="center"/>
            </w:pPr>
            <w:r>
              <w:rPr>
                <w:rFonts w:ascii="Times New Roman" w:eastAsia="宋体" w:hAnsi="Times New Roman"/>
                <w:color w:val="000000"/>
                <w:sz w:val="16"/>
                <w:szCs w:val="16"/>
              </w:rPr>
              <w:t>(29)</w:t>
            </w:r>
          </w:p>
        </w:tc>
        <w:tc>
          <w:tcPr>
            <w:tcW w:w="0" w:type="auto"/>
            <w:shd w:val="clear" w:color="auto" w:fill="CCEEFF"/>
            <w:tcMar>
              <w:top w:w="40" w:type="dxa"/>
              <w:left w:w="0" w:type="dxa"/>
              <w:bottom w:w="40" w:type="dxa"/>
              <w:right w:w="20" w:type="dxa"/>
            </w:tcMar>
            <w:vAlign w:val="center"/>
          </w:tcPr>
          <w:p w14:paraId="35D0BA38" w14:textId="77777777" w:rsidR="00D42204" w:rsidRDefault="00D42204">
            <w:pPr>
              <w:jc w:val="right"/>
              <w:rPr>
                <w:rFonts w:ascii="宋体"/>
              </w:rPr>
            </w:pPr>
          </w:p>
        </w:tc>
      </w:tr>
      <w:tr w:rsidR="00D42204" w14:paraId="35D0BA44" w14:textId="77777777">
        <w:tc>
          <w:tcPr>
            <w:tcW w:w="0" w:type="auto"/>
            <w:gridSpan w:val="3"/>
            <w:shd w:val="clear" w:color="auto" w:fill="FFFFFF"/>
            <w:tcMar>
              <w:top w:w="40" w:type="dxa"/>
              <w:left w:w="20" w:type="dxa"/>
              <w:bottom w:w="40" w:type="dxa"/>
              <w:right w:w="20" w:type="dxa"/>
            </w:tcMar>
            <w:vAlign w:val="center"/>
          </w:tcPr>
          <w:p w14:paraId="35D0BA3A" w14:textId="77777777" w:rsidR="00D42204" w:rsidRDefault="004E439D">
            <w:pPr>
              <w:textAlignment w:val="center"/>
            </w:pPr>
            <w:r>
              <w:rPr>
                <w:rFonts w:ascii="Times New Roman" w:eastAsia="宋体" w:hAnsi="Times New Roman"/>
                <w:color w:val="000000"/>
                <w:sz w:val="16"/>
                <w:szCs w:val="16"/>
              </w:rPr>
              <w:t>Laps</w:t>
            </w:r>
            <w:r>
              <w:rPr>
                <w:rFonts w:ascii="Times New Roman" w:eastAsia="宋体" w:hAnsi="Times New Roman"/>
                <w:color w:val="000000"/>
                <w:sz w:val="16"/>
                <w:szCs w:val="16"/>
              </w:rPr>
              <w:t>e in statutes of limitations</w:t>
            </w:r>
          </w:p>
        </w:tc>
        <w:tc>
          <w:tcPr>
            <w:tcW w:w="0" w:type="auto"/>
            <w:gridSpan w:val="3"/>
            <w:shd w:val="clear" w:color="auto" w:fill="FFFFFF"/>
            <w:tcMar>
              <w:top w:w="0" w:type="dxa"/>
              <w:left w:w="20" w:type="dxa"/>
              <w:bottom w:w="0" w:type="dxa"/>
              <w:right w:w="20" w:type="dxa"/>
            </w:tcMar>
            <w:vAlign w:val="bottom"/>
          </w:tcPr>
          <w:p w14:paraId="35D0BA3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A3C" w14:textId="77777777" w:rsidR="00D42204" w:rsidRDefault="004E439D">
            <w:pPr>
              <w:jc w:val="right"/>
              <w:textAlignment w:val="center"/>
            </w:pPr>
            <w:r>
              <w:rPr>
                <w:rFonts w:ascii="Times New Roman" w:eastAsia="宋体" w:hAnsi="Times New Roman"/>
                <w:color w:val="000000"/>
                <w:sz w:val="16"/>
                <w:szCs w:val="16"/>
              </w:rPr>
              <w:t>(33)</w:t>
            </w:r>
          </w:p>
        </w:tc>
        <w:tc>
          <w:tcPr>
            <w:tcW w:w="0" w:type="auto"/>
            <w:shd w:val="clear" w:color="auto" w:fill="FFFFFF"/>
            <w:tcMar>
              <w:top w:w="40" w:type="dxa"/>
              <w:left w:w="0" w:type="dxa"/>
              <w:bottom w:w="40" w:type="dxa"/>
              <w:right w:w="20" w:type="dxa"/>
            </w:tcMar>
            <w:vAlign w:val="center"/>
          </w:tcPr>
          <w:p w14:paraId="35D0BA3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A3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A3F" w14:textId="77777777" w:rsidR="00D42204" w:rsidRDefault="004E439D">
            <w:pPr>
              <w:jc w:val="right"/>
              <w:textAlignment w:val="center"/>
            </w:pPr>
            <w:r>
              <w:rPr>
                <w:rFonts w:ascii="Times New Roman" w:eastAsia="宋体" w:hAnsi="Times New Roman"/>
                <w:color w:val="000000"/>
                <w:sz w:val="16"/>
                <w:szCs w:val="16"/>
              </w:rPr>
              <w:t>(28)</w:t>
            </w:r>
          </w:p>
        </w:tc>
        <w:tc>
          <w:tcPr>
            <w:tcW w:w="0" w:type="auto"/>
            <w:shd w:val="clear" w:color="auto" w:fill="FFFFFF"/>
            <w:tcMar>
              <w:top w:w="40" w:type="dxa"/>
              <w:left w:w="0" w:type="dxa"/>
              <w:bottom w:w="40" w:type="dxa"/>
              <w:right w:w="20" w:type="dxa"/>
            </w:tcMar>
            <w:vAlign w:val="center"/>
          </w:tcPr>
          <w:p w14:paraId="35D0BA4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A4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A42" w14:textId="77777777" w:rsidR="00D42204" w:rsidRDefault="004E439D">
            <w:pPr>
              <w:jc w:val="right"/>
              <w:textAlignment w:val="center"/>
            </w:pPr>
            <w:r>
              <w:rPr>
                <w:rFonts w:ascii="Times New Roman" w:eastAsia="宋体" w:hAnsi="Times New Roman"/>
                <w:color w:val="000000"/>
                <w:sz w:val="16"/>
                <w:szCs w:val="16"/>
              </w:rPr>
              <w:t>(26)</w:t>
            </w:r>
          </w:p>
        </w:tc>
        <w:tc>
          <w:tcPr>
            <w:tcW w:w="0" w:type="auto"/>
            <w:shd w:val="clear" w:color="auto" w:fill="FFFFFF"/>
            <w:tcMar>
              <w:top w:w="40" w:type="dxa"/>
              <w:left w:w="0" w:type="dxa"/>
              <w:bottom w:w="40" w:type="dxa"/>
              <w:right w:w="20" w:type="dxa"/>
            </w:tcMar>
            <w:vAlign w:val="center"/>
          </w:tcPr>
          <w:p w14:paraId="35D0BA43" w14:textId="77777777" w:rsidR="00D42204" w:rsidRDefault="00D42204">
            <w:pPr>
              <w:jc w:val="right"/>
              <w:rPr>
                <w:rFonts w:ascii="宋体"/>
              </w:rPr>
            </w:pPr>
          </w:p>
        </w:tc>
      </w:tr>
      <w:tr w:rsidR="00D42204" w14:paraId="35D0BA52" w14:textId="77777777">
        <w:tc>
          <w:tcPr>
            <w:tcW w:w="0" w:type="auto"/>
            <w:gridSpan w:val="3"/>
            <w:shd w:val="clear" w:color="auto" w:fill="CCEEFF"/>
            <w:tcMar>
              <w:top w:w="40" w:type="dxa"/>
              <w:left w:w="20" w:type="dxa"/>
              <w:bottom w:w="40" w:type="dxa"/>
              <w:right w:w="20" w:type="dxa"/>
            </w:tcMar>
            <w:vAlign w:val="center"/>
          </w:tcPr>
          <w:p w14:paraId="35D0BA45" w14:textId="77777777" w:rsidR="00D42204" w:rsidRDefault="004E439D">
            <w:pPr>
              <w:textAlignment w:val="center"/>
            </w:pPr>
            <w:r>
              <w:rPr>
                <w:rFonts w:ascii="Times New Roman" w:eastAsia="宋体" w:hAnsi="Times New Roman"/>
                <w:b/>
                <w:bCs/>
                <w:color w:val="000000"/>
                <w:sz w:val="16"/>
                <w:szCs w:val="16"/>
              </w:rPr>
              <w:t>Gross unrecognized tax benefits, end of year</w:t>
            </w:r>
          </w:p>
        </w:tc>
        <w:tc>
          <w:tcPr>
            <w:tcW w:w="0" w:type="auto"/>
            <w:gridSpan w:val="3"/>
            <w:shd w:val="clear" w:color="auto" w:fill="CCEEFF"/>
            <w:tcMar>
              <w:top w:w="0" w:type="dxa"/>
              <w:left w:w="20" w:type="dxa"/>
              <w:bottom w:w="0" w:type="dxa"/>
              <w:right w:w="20" w:type="dxa"/>
            </w:tcMar>
            <w:vAlign w:val="bottom"/>
          </w:tcPr>
          <w:p w14:paraId="35D0BA46"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A47"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A48" w14:textId="77777777" w:rsidR="00D42204" w:rsidRDefault="004E439D">
            <w:pPr>
              <w:jc w:val="right"/>
              <w:textAlignment w:val="center"/>
            </w:pPr>
            <w:r>
              <w:rPr>
                <w:rFonts w:ascii="Times New Roman" w:eastAsia="宋体" w:hAnsi="Times New Roman"/>
                <w:color w:val="000000"/>
                <w:sz w:val="16"/>
                <w:szCs w:val="16"/>
              </w:rPr>
              <w:t>3,245 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A4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A4A"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A4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A4C" w14:textId="77777777" w:rsidR="00D42204" w:rsidRDefault="004E439D">
            <w:pPr>
              <w:jc w:val="right"/>
              <w:textAlignment w:val="center"/>
            </w:pPr>
            <w:r>
              <w:rPr>
                <w:rFonts w:ascii="Times New Roman" w:eastAsia="宋体" w:hAnsi="Times New Roman"/>
                <w:color w:val="000000"/>
                <w:sz w:val="16"/>
                <w:szCs w:val="16"/>
              </w:rPr>
              <w:t>3,135 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A4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A4E"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A4F"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A50" w14:textId="77777777" w:rsidR="00D42204" w:rsidRDefault="004E439D">
            <w:pPr>
              <w:jc w:val="right"/>
              <w:textAlignment w:val="center"/>
            </w:pPr>
            <w:r>
              <w:rPr>
                <w:rFonts w:ascii="Times New Roman" w:eastAsia="宋体" w:hAnsi="Times New Roman"/>
                <w:color w:val="000000"/>
                <w:sz w:val="16"/>
                <w:szCs w:val="16"/>
              </w:rPr>
              <w:t>1,817 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A51" w14:textId="77777777" w:rsidR="00D42204" w:rsidRDefault="00D42204">
            <w:pPr>
              <w:jc w:val="right"/>
              <w:rPr>
                <w:rFonts w:ascii="宋体"/>
              </w:rPr>
            </w:pPr>
          </w:p>
        </w:tc>
      </w:tr>
    </w:tbl>
    <w:p w14:paraId="35D0BA53" w14:textId="77777777" w:rsidR="00D42204" w:rsidRDefault="004E439D">
      <w:pPr>
        <w:spacing w:before="140"/>
      </w:pPr>
      <w:r>
        <w:rPr>
          <w:rFonts w:ascii="Times New Roman" w:eastAsia="宋体" w:hAnsi="Times New Roman"/>
          <w:color w:val="000000"/>
          <w:sz w:val="20"/>
          <w:szCs w:val="20"/>
        </w:rPr>
        <w:t>The Company classifies interest and penalties related to uncertain tax benefits as interest expense and as operating, selling, general and administrative expenses, res</w:t>
      </w:r>
      <w:r>
        <w:rPr>
          <w:rFonts w:ascii="Times New Roman" w:eastAsia="宋体" w:hAnsi="Times New Roman"/>
          <w:color w:val="000000"/>
          <w:sz w:val="20"/>
          <w:szCs w:val="20"/>
        </w:rPr>
        <w:t>pectively. Interest expense and penalties related to these positions were immaterial for fiscal 2022, 2021 and 2020. During the next twelve months, it is reasonably possible that tax audit resolutions could reduce unrecognized tax benefits by an immaterial</w:t>
      </w:r>
      <w:r>
        <w:rPr>
          <w:rFonts w:ascii="Times New Roman" w:eastAsia="宋体" w:hAnsi="Times New Roman"/>
          <w:color w:val="000000"/>
          <w:sz w:val="20"/>
          <w:szCs w:val="20"/>
        </w:rPr>
        <w:t xml:space="preserve"> amount, either because the tax positions are sustained on audit or because the Company agrees to their disallowance. The Company is focused on resolving tax audits as expeditiously as possible. As a result of these efforts, unrecognized tax benefits could</w:t>
      </w:r>
      <w:r>
        <w:rPr>
          <w:rFonts w:ascii="Times New Roman" w:eastAsia="宋体" w:hAnsi="Times New Roman"/>
          <w:color w:val="000000"/>
          <w:sz w:val="20"/>
          <w:szCs w:val="20"/>
        </w:rPr>
        <w:t xml:space="preserve"> potentially be reduced beyond the provided range during the next twelve months. The Company does not expect any change to have a material impact to its Consolidated Financial Statements.</w:t>
      </w:r>
    </w:p>
    <w:p w14:paraId="35D0BA54" w14:textId="77777777" w:rsidR="00D42204" w:rsidRDefault="004E439D">
      <w:pPr>
        <w:spacing w:before="100"/>
      </w:pPr>
      <w:r>
        <w:rPr>
          <w:rFonts w:ascii="Times New Roman" w:eastAsia="宋体" w:hAnsi="Times New Roman"/>
          <w:color w:val="000000"/>
          <w:sz w:val="20"/>
          <w:szCs w:val="20"/>
        </w:rPr>
        <w:t xml:space="preserve">The Company remains subject to income tax examinations for its U.S. </w:t>
      </w:r>
      <w:r>
        <w:rPr>
          <w:rFonts w:ascii="Times New Roman" w:eastAsia="宋体" w:hAnsi="Times New Roman"/>
          <w:color w:val="000000"/>
          <w:sz w:val="20"/>
          <w:szCs w:val="20"/>
        </w:rPr>
        <w:t>federal income taxes generally for fiscal 2014, and 2018 through 2022. The Company also remains subject to income tax examinations for international income taxes for fiscal 2013 through 2022, and for U.S. state and local income taxes generally for the fisc</w:t>
      </w:r>
      <w:r>
        <w:rPr>
          <w:rFonts w:ascii="Times New Roman" w:eastAsia="宋体" w:hAnsi="Times New Roman"/>
          <w:color w:val="000000"/>
          <w:sz w:val="20"/>
          <w:szCs w:val="20"/>
        </w:rPr>
        <w:t>al years ended 2013 through 2022. With few exceptions, the Company is no longer subject to U.S. federal, state, local, or foreign examinations by tax authorities for years before fiscal 2013.</w:t>
      </w:r>
    </w:p>
    <w:p w14:paraId="35D0BA55" w14:textId="77777777" w:rsidR="00D42204" w:rsidRDefault="004E439D">
      <w:pPr>
        <w:jc w:val="center"/>
      </w:pPr>
      <w:r>
        <w:rPr>
          <w:rFonts w:ascii="Times New Roman" w:eastAsia="宋体" w:hAnsi="Times New Roman"/>
          <w:color w:val="000000"/>
          <w:sz w:val="20"/>
          <w:szCs w:val="20"/>
        </w:rPr>
        <w:t>73</w:t>
      </w:r>
    </w:p>
    <w:p w14:paraId="35D0BA56" w14:textId="77777777" w:rsidR="00D42204" w:rsidRDefault="004E439D">
      <w:r>
        <w:pict w14:anchorId="35D0C3A4">
          <v:rect id="_x0000_i1097" style="width:415.3pt;height:1.5pt" o:hralign="center" o:hrstd="t" o:hr="t" fillcolor="#a0a0a0" stroked="f"/>
        </w:pict>
      </w:r>
    </w:p>
    <w:p w14:paraId="35D0BA57" w14:textId="77777777" w:rsidR="00D42204" w:rsidRDefault="00D42204"/>
    <w:p w14:paraId="35D0BA58" w14:textId="77777777" w:rsidR="00D42204" w:rsidRDefault="004E439D">
      <w:pPr>
        <w:spacing w:before="180"/>
      </w:pPr>
      <w:r>
        <w:rPr>
          <w:rFonts w:ascii="Times New Roman" w:eastAsia="宋体" w:hAnsi="Times New Roman"/>
          <w:i/>
          <w:iCs/>
          <w:color w:val="000000"/>
          <w:sz w:val="20"/>
          <w:szCs w:val="20"/>
        </w:rPr>
        <w:t>Other Taxes</w:t>
      </w:r>
    </w:p>
    <w:p w14:paraId="35D0BA59" w14:textId="77777777" w:rsidR="00D42204" w:rsidRDefault="004E439D">
      <w:pPr>
        <w:spacing w:before="100"/>
      </w:pPr>
      <w:r>
        <w:rPr>
          <w:rFonts w:ascii="Times New Roman" w:eastAsia="宋体" w:hAnsi="Times New Roman"/>
          <w:color w:val="000000"/>
          <w:sz w:val="20"/>
          <w:szCs w:val="20"/>
        </w:rPr>
        <w:t>The Company is subject to tax examinations for</w:t>
      </w:r>
      <w:r>
        <w:rPr>
          <w:rFonts w:ascii="Times New Roman" w:eastAsia="宋体" w:hAnsi="Times New Roman"/>
          <w:color w:val="000000"/>
          <w:sz w:val="20"/>
          <w:szCs w:val="20"/>
        </w:rPr>
        <w:t xml:space="preserve"> value added, sales-based, payroll and other non-income taxes. A number of these examinations are ongoing in various jurisdictions. In certain cases, the Company has received assessments and judgments from the respective taxing authorities in connection wi</w:t>
      </w:r>
      <w:r>
        <w:rPr>
          <w:rFonts w:ascii="Times New Roman" w:eastAsia="宋体" w:hAnsi="Times New Roman"/>
          <w:color w:val="000000"/>
          <w:sz w:val="20"/>
          <w:szCs w:val="20"/>
        </w:rPr>
        <w:t>th these examinations. Unless otherwise indicated, the possible losses or range of possible losses associated with these matters are individually immaterial, but a group of related matters, if decided adversely to the Company, could result in a liability m</w:t>
      </w:r>
      <w:r>
        <w:rPr>
          <w:rFonts w:ascii="Times New Roman" w:eastAsia="宋体" w:hAnsi="Times New Roman"/>
          <w:color w:val="000000"/>
          <w:sz w:val="20"/>
          <w:szCs w:val="20"/>
        </w:rPr>
        <w:t>aterial to the Company's Consolidated Financial Statements.</w:t>
      </w:r>
    </w:p>
    <w:p w14:paraId="35D0BA5A" w14:textId="77777777" w:rsidR="00D42204" w:rsidRDefault="004E439D">
      <w:pPr>
        <w:spacing w:before="180"/>
      </w:pPr>
      <w:r>
        <w:rPr>
          <w:rFonts w:ascii="Times New Roman" w:eastAsia="宋体" w:hAnsi="Times New Roman"/>
          <w:b/>
          <w:bCs/>
          <w:color w:val="000000"/>
          <w:sz w:val="20"/>
          <w:szCs w:val="20"/>
        </w:rPr>
        <w:t>Note 10. Contingencies</w:t>
      </w:r>
    </w:p>
    <w:p w14:paraId="35D0BA5B" w14:textId="77777777" w:rsidR="00D42204" w:rsidRDefault="004E439D">
      <w:pPr>
        <w:spacing w:before="100"/>
      </w:pPr>
      <w:r>
        <w:rPr>
          <w:rFonts w:ascii="Times New Roman" w:eastAsia="宋体" w:hAnsi="Times New Roman"/>
          <w:b/>
          <w:bCs/>
          <w:i/>
          <w:iCs/>
          <w:color w:val="000000"/>
          <w:sz w:val="20"/>
          <w:szCs w:val="20"/>
        </w:rPr>
        <w:t>Legal Proceedings</w:t>
      </w:r>
    </w:p>
    <w:p w14:paraId="35D0BA5C" w14:textId="77777777" w:rsidR="00D42204" w:rsidRDefault="004E439D">
      <w:pPr>
        <w:spacing w:before="100"/>
      </w:pPr>
      <w:r>
        <w:rPr>
          <w:rFonts w:ascii="Times New Roman" w:eastAsia="宋体" w:hAnsi="Times New Roman"/>
          <w:color w:val="000000"/>
          <w:sz w:val="20"/>
          <w:szCs w:val="20"/>
        </w:rPr>
        <w:t xml:space="preserve">The Company is involved in a number of legal proceedings and certain regulatory matters. The Company has made accruals with respect to these </w:t>
      </w:r>
      <w:r>
        <w:rPr>
          <w:rFonts w:ascii="Times New Roman" w:eastAsia="宋体" w:hAnsi="Times New Roman"/>
          <w:color w:val="000000"/>
          <w:sz w:val="20"/>
          <w:szCs w:val="20"/>
        </w:rPr>
        <w:t>matters, where appropriate, which are reflected in the Company's Consolidated Financial Statements. For some matters, a liability is not probable or the amount cannot be reasonably estimated and therefore an accrual has not been made. However, where a liab</w:t>
      </w:r>
      <w:r>
        <w:rPr>
          <w:rFonts w:ascii="Times New Roman" w:eastAsia="宋体" w:hAnsi="Times New Roman"/>
          <w:color w:val="000000"/>
          <w:sz w:val="20"/>
          <w:szCs w:val="20"/>
        </w:rPr>
        <w:t>ility is reasonably possible and may be material, such matters have been disclosed. The Company may enter into discussions regarding settlement of these matters, and may enter into settlement agreements, if it believes settlement is in the best interest of</w:t>
      </w:r>
      <w:r>
        <w:rPr>
          <w:rFonts w:ascii="Times New Roman" w:eastAsia="宋体" w:hAnsi="Times New Roman"/>
          <w:color w:val="000000"/>
          <w:sz w:val="20"/>
          <w:szCs w:val="20"/>
        </w:rPr>
        <w:t xml:space="preserve"> the Company and its shareholders.</w:t>
      </w:r>
    </w:p>
    <w:p w14:paraId="35D0BA5D" w14:textId="77777777" w:rsidR="00D42204" w:rsidRDefault="004E439D">
      <w:pPr>
        <w:spacing w:before="100"/>
      </w:pPr>
      <w:r>
        <w:rPr>
          <w:rFonts w:ascii="Times New Roman" w:eastAsia="宋体" w:hAnsi="Times New Roman"/>
          <w:color w:val="000000"/>
          <w:sz w:val="20"/>
          <w:szCs w:val="20"/>
        </w:rPr>
        <w:t>Unless stated otherwise, the matters discussed below, if decided adversely to or settled by the Company, individually or in the aggregate, may result in a liability material to the Company's financial position, results of</w:t>
      </w:r>
      <w:r>
        <w:rPr>
          <w:rFonts w:ascii="Times New Roman" w:eastAsia="宋体" w:hAnsi="Times New Roman"/>
          <w:color w:val="000000"/>
          <w:sz w:val="20"/>
          <w:szCs w:val="20"/>
        </w:rPr>
        <w:t xml:space="preserve"> operations or cash flows.</w:t>
      </w:r>
    </w:p>
    <w:p w14:paraId="35D0BA5E" w14:textId="77777777" w:rsidR="00D42204" w:rsidRDefault="004E439D">
      <w:pPr>
        <w:spacing w:before="100"/>
      </w:pPr>
      <w:r>
        <w:rPr>
          <w:rFonts w:ascii="Times New Roman" w:eastAsia="宋体" w:hAnsi="Times New Roman"/>
          <w:i/>
          <w:iCs/>
          <w:color w:val="000000"/>
          <w:sz w:val="20"/>
          <w:szCs w:val="20"/>
        </w:rPr>
        <w:t>Opioids Litigation</w:t>
      </w:r>
    </w:p>
    <w:p w14:paraId="35D0BA5F" w14:textId="77777777" w:rsidR="00D42204" w:rsidRDefault="004E439D">
      <w:pPr>
        <w:spacing w:before="100"/>
      </w:pPr>
      <w:r>
        <w:rPr>
          <w:rFonts w:ascii="Times New Roman" w:eastAsia="宋体" w:hAnsi="Times New Roman"/>
          <w:color w:val="000000"/>
          <w:sz w:val="20"/>
          <w:szCs w:val="20"/>
        </w:rPr>
        <w:t>In December 2017, the United States Judicial Panel on Multidistrict Litigation consolidated numerous lawsuits filed against a wide array of defendants by various plaintiffs, including counties, cities, healthca</w:t>
      </w:r>
      <w:r>
        <w:rPr>
          <w:rFonts w:ascii="Times New Roman" w:eastAsia="宋体" w:hAnsi="Times New Roman"/>
          <w:color w:val="000000"/>
          <w:sz w:val="20"/>
          <w:szCs w:val="20"/>
        </w:rPr>
        <w:t xml:space="preserve">re providers, Native American tribes, individuals, and third-party payers, asserting claims generally concerning the impacts of widespread opioid abuse. The consolidated multidistrict litigation is entitled </w:t>
      </w:r>
      <w:r>
        <w:rPr>
          <w:rFonts w:ascii="Times New Roman" w:eastAsia="宋体" w:hAnsi="Times New Roman"/>
          <w:i/>
          <w:iCs/>
          <w:color w:val="000000"/>
          <w:sz w:val="20"/>
          <w:szCs w:val="20"/>
        </w:rPr>
        <w:t>In re National Prescription Opiate Litigation</w:t>
      </w:r>
      <w:r>
        <w:rPr>
          <w:rFonts w:ascii="Times New Roman" w:eastAsia="宋体" w:hAnsi="Times New Roman"/>
          <w:color w:val="000000"/>
          <w:sz w:val="20"/>
          <w:szCs w:val="20"/>
        </w:rPr>
        <w:t xml:space="preserve"> (MD</w:t>
      </w:r>
      <w:r>
        <w:rPr>
          <w:rFonts w:ascii="Times New Roman" w:eastAsia="宋体" w:hAnsi="Times New Roman"/>
          <w:color w:val="000000"/>
          <w:sz w:val="20"/>
          <w:szCs w:val="20"/>
        </w:rPr>
        <w:t xml:space="preserve">L No. 2804) (the "MDL") and is pending in the U.S. District Court for the Northern District of Ohio. The Company is named as a defendant in some of the cases included in this multidistrict litigation. The liability phase of a trial in one of the MDL cases </w:t>
      </w:r>
      <w:r>
        <w:rPr>
          <w:rFonts w:ascii="Times New Roman" w:eastAsia="宋体" w:hAnsi="Times New Roman"/>
          <w:color w:val="000000"/>
          <w:sz w:val="20"/>
          <w:szCs w:val="20"/>
        </w:rPr>
        <w:t>began on October 4, 2021 against a number of parties, including the Company, regarding opioid dispensing claims. On November 23, 2021, the jury found in favor of the plaintiffs as to the liability of all defendants, including the Company. The abatement pha</w:t>
      </w:r>
      <w:r>
        <w:rPr>
          <w:rFonts w:ascii="Times New Roman" w:eastAsia="宋体" w:hAnsi="Times New Roman"/>
          <w:color w:val="000000"/>
          <w:sz w:val="20"/>
          <w:szCs w:val="20"/>
        </w:rPr>
        <w:t>se of the trial, which will determine amounts owed by the defendants, is currently scheduled to begin on May 10, 2022. The Company intends to appeal the jury verdict from the liability phase upon completion of the abatement phase of the trial.</w:t>
      </w:r>
    </w:p>
    <w:p w14:paraId="35D0BA60" w14:textId="77777777" w:rsidR="00D42204" w:rsidRDefault="004E439D">
      <w:pPr>
        <w:spacing w:before="100"/>
      </w:pPr>
      <w:r>
        <w:rPr>
          <w:rFonts w:ascii="Times New Roman" w:eastAsia="宋体" w:hAnsi="Times New Roman"/>
          <w:color w:val="000000"/>
          <w:sz w:val="20"/>
          <w:szCs w:val="20"/>
        </w:rPr>
        <w:t>Similar case</w:t>
      </w:r>
      <w:r>
        <w:rPr>
          <w:rFonts w:ascii="Times New Roman" w:eastAsia="宋体" w:hAnsi="Times New Roman"/>
          <w:color w:val="000000"/>
          <w:sz w:val="20"/>
          <w:szCs w:val="20"/>
        </w:rPr>
        <w:t>s that name the Company have also been filed in state courts by state, local and tribal governments, health care providers and other plaintiffs. Plaintiffs are seeking compensatory and punitive damages, as well as injunctive relief including abatement. The</w:t>
      </w:r>
      <w:r>
        <w:rPr>
          <w:rFonts w:ascii="Times New Roman" w:eastAsia="宋体" w:hAnsi="Times New Roman"/>
          <w:color w:val="000000"/>
          <w:sz w:val="20"/>
          <w:szCs w:val="20"/>
        </w:rPr>
        <w:t xml:space="preserve"> Company cannot predict the number of such claims that may be filed, but believes it has substantial factual and legal defenses to these claims, and intends to defend the claims vigorously. The Company has also been responding to subpoenas, information req</w:t>
      </w:r>
      <w:r>
        <w:rPr>
          <w:rFonts w:ascii="Times New Roman" w:eastAsia="宋体" w:hAnsi="Times New Roman"/>
          <w:color w:val="000000"/>
          <w:sz w:val="20"/>
          <w:szCs w:val="20"/>
        </w:rPr>
        <w:t xml:space="preserve">uests and investigations from governmental entities related to nationwide controlled substance dispensing and distribution practices involving opioids. </w:t>
      </w:r>
    </w:p>
    <w:p w14:paraId="35D0BA61" w14:textId="77777777" w:rsidR="00D42204" w:rsidRDefault="004E439D">
      <w:pPr>
        <w:spacing w:before="100"/>
      </w:pPr>
      <w:r>
        <w:rPr>
          <w:rFonts w:ascii="Times New Roman" w:eastAsia="宋体" w:hAnsi="Times New Roman"/>
          <w:color w:val="000000"/>
          <w:sz w:val="20"/>
          <w:szCs w:val="20"/>
        </w:rPr>
        <w:t>On October 22, 2020, the Company filed a declaratory judgment action in the U.S. District Court for the</w:t>
      </w:r>
      <w:r>
        <w:rPr>
          <w:rFonts w:ascii="Times New Roman" w:eastAsia="宋体" w:hAnsi="Times New Roman"/>
          <w:color w:val="000000"/>
          <w:sz w:val="20"/>
          <w:szCs w:val="20"/>
        </w:rPr>
        <w:t xml:space="preserve"> Eastern District of Texas against the U.S. Department of Justice (the "DOJ") and the U.S. Drug Enforcement Administration, asking a federal court to clarify the roles and responsibilities of pharmacists and pharmacies as to the dispensing and distribution</w:t>
      </w:r>
      <w:r>
        <w:rPr>
          <w:rFonts w:ascii="Times New Roman" w:eastAsia="宋体" w:hAnsi="Times New Roman"/>
          <w:color w:val="000000"/>
          <w:sz w:val="20"/>
          <w:szCs w:val="20"/>
        </w:rPr>
        <w:t xml:space="preserve"> of opioids under the Controlled Substances Act (the "CSA"). The Company's action was dismissed. The Company had appealed this decision to the Fifth Circuit. On December 22, 2021, the Fifth Circuit affirmed the dismissal of the action. </w:t>
      </w:r>
    </w:p>
    <w:p w14:paraId="35D0BA62" w14:textId="77777777" w:rsidR="00D42204" w:rsidRDefault="004E439D">
      <w:pPr>
        <w:spacing w:before="100"/>
      </w:pPr>
      <w:r>
        <w:rPr>
          <w:rFonts w:ascii="Times New Roman" w:eastAsia="宋体" w:hAnsi="Times New Roman"/>
          <w:color w:val="000000"/>
          <w:sz w:val="20"/>
          <w:szCs w:val="20"/>
        </w:rPr>
        <w:t>On December 22, 202</w:t>
      </w:r>
      <w:r>
        <w:rPr>
          <w:rFonts w:ascii="Times New Roman" w:eastAsia="宋体" w:hAnsi="Times New Roman"/>
          <w:color w:val="000000"/>
          <w:sz w:val="20"/>
          <w:szCs w:val="20"/>
        </w:rPr>
        <w:t>0, the DOJ filed a civil complaint in the U.S. District Court for the District of Delaware alleging that the Company unlawfully dispensed controlled substances from its pharmacies and unlawfully distributed controlled substances to those pharmacies. The co</w:t>
      </w:r>
      <w:r>
        <w:rPr>
          <w:rFonts w:ascii="Times New Roman" w:eastAsia="宋体" w:hAnsi="Times New Roman"/>
          <w:color w:val="000000"/>
          <w:sz w:val="20"/>
          <w:szCs w:val="20"/>
        </w:rPr>
        <w:t>mplaint alleges that this conduct resulted in violations of the CSA. The DOJ is seeking civil penalties and injunctive relief. The Company filed a motion to dismiss the DOJ complaint on February 22, 2021. The DOJ filed its opposition brief on April 23, 202</w:t>
      </w:r>
      <w:r>
        <w:rPr>
          <w:rFonts w:ascii="Times New Roman" w:eastAsia="宋体" w:hAnsi="Times New Roman"/>
          <w:color w:val="000000"/>
          <w:sz w:val="20"/>
          <w:szCs w:val="20"/>
        </w:rPr>
        <w:t>1 and the Company filed its reply brief on May 24, 2021.</w:t>
      </w:r>
      <w:r>
        <w:rPr>
          <w:rFonts w:ascii="Times New Roman" w:eastAsia="宋体" w:hAnsi="Times New Roman"/>
          <w:color w:val="000000"/>
        </w:rPr>
        <w:t xml:space="preserve"> </w:t>
      </w:r>
      <w:r>
        <w:rPr>
          <w:rFonts w:ascii="Times New Roman" w:eastAsia="宋体" w:hAnsi="Times New Roman"/>
          <w:color w:val="000000"/>
          <w:sz w:val="20"/>
          <w:szCs w:val="20"/>
        </w:rPr>
        <w:t>On November 19, 2021, the District Court stayed further proceedings in the DOJ complaint pending the decision of the United States Supreme Court in two consolidated cases (not involving Walmart) inte</w:t>
      </w:r>
      <w:r>
        <w:rPr>
          <w:rFonts w:ascii="Times New Roman" w:eastAsia="宋体" w:hAnsi="Times New Roman"/>
          <w:color w:val="000000"/>
          <w:sz w:val="20"/>
          <w:szCs w:val="20"/>
        </w:rPr>
        <w:t>rpreting the CSA.</w:t>
      </w:r>
    </w:p>
    <w:p w14:paraId="35D0BA63" w14:textId="77777777" w:rsidR="00D42204" w:rsidRDefault="004E439D">
      <w:pPr>
        <w:spacing w:before="100"/>
      </w:pPr>
      <w:r>
        <w:rPr>
          <w:rFonts w:ascii="Times New Roman" w:eastAsia="宋体" w:hAnsi="Times New Roman"/>
          <w:color w:val="000000"/>
          <w:sz w:val="20"/>
          <w:szCs w:val="20"/>
        </w:rPr>
        <w:t>In addition, the Company is the subject of two securities class actions alleging violations of the federal securities laws regarding the Company's disclosures with respect to opioids, filed in the U.S. District Court for the District of D</w:t>
      </w:r>
      <w:r>
        <w:rPr>
          <w:rFonts w:ascii="Times New Roman" w:eastAsia="宋体" w:hAnsi="Times New Roman"/>
          <w:color w:val="000000"/>
          <w:sz w:val="20"/>
          <w:szCs w:val="20"/>
        </w:rPr>
        <w:t>elaware on January 20, 2021 and March 5, 2021 purportedly on behalf of a class of investors who acquired Walmart stock from March 30, 2016 through December 22, 2020. Those cases have been consolidated. On October 8, 2021, the defendants filed a motion to d</w:t>
      </w:r>
      <w:r>
        <w:rPr>
          <w:rFonts w:ascii="Times New Roman" w:eastAsia="宋体" w:hAnsi="Times New Roman"/>
          <w:color w:val="000000"/>
          <w:sz w:val="20"/>
          <w:szCs w:val="20"/>
        </w:rPr>
        <w:t xml:space="preserve">ismiss the consolidated securities action; the lead plaintiff responded to the motion on January 10, 2022; and the defendants filed their reply brief on February 10, 2022. Derivative actions were also filed by two of the Company's shareholders in the U.S. </w:t>
      </w:r>
      <w:r>
        <w:rPr>
          <w:rFonts w:ascii="Times New Roman" w:eastAsia="宋体" w:hAnsi="Times New Roman"/>
          <w:color w:val="000000"/>
          <w:sz w:val="20"/>
          <w:szCs w:val="20"/>
        </w:rPr>
        <w:t>District Court for the District of Delaware on February 9, 2021 and April 16, 2021 alleging breach of fiduciary duties against certain of its current and former directors with respect to oversight of the Company's distribution and dispensing of opioids and</w:t>
      </w:r>
      <w:r>
        <w:rPr>
          <w:rFonts w:ascii="Times New Roman" w:eastAsia="宋体" w:hAnsi="Times New Roman"/>
          <w:color w:val="000000"/>
          <w:sz w:val="20"/>
          <w:szCs w:val="20"/>
        </w:rPr>
        <w:t xml:space="preserve"> also alleging violations of the federal securities laws and other breaches of duty by current directors and two current officers in connection with the Company's opioids disclosures. Those cases have been stayed pending developments in other Opioids </w:t>
      </w:r>
    </w:p>
    <w:p w14:paraId="35D0BA64" w14:textId="77777777" w:rsidR="00D42204" w:rsidRDefault="004E439D">
      <w:pPr>
        <w:jc w:val="center"/>
      </w:pPr>
      <w:r>
        <w:rPr>
          <w:rFonts w:ascii="Times New Roman" w:eastAsia="宋体" w:hAnsi="Times New Roman"/>
          <w:color w:val="000000"/>
          <w:sz w:val="20"/>
          <w:szCs w:val="20"/>
        </w:rPr>
        <w:t>74</w:t>
      </w:r>
    </w:p>
    <w:p w14:paraId="35D0BA65" w14:textId="77777777" w:rsidR="00D42204" w:rsidRDefault="004E439D">
      <w:r>
        <w:pict w14:anchorId="35D0C3A5">
          <v:rect id="_x0000_i1098" style="width:415.3pt;height:1.5pt" o:hralign="center" o:hrstd="t" o:hr="t" fillcolor="#a0a0a0" stroked="f"/>
        </w:pict>
      </w:r>
    </w:p>
    <w:p w14:paraId="35D0BA66" w14:textId="77777777" w:rsidR="00D42204" w:rsidRDefault="00D42204"/>
    <w:p w14:paraId="35D0BA67" w14:textId="77777777" w:rsidR="00D42204" w:rsidRDefault="004E439D">
      <w:pPr>
        <w:spacing w:before="100"/>
      </w:pPr>
      <w:r>
        <w:rPr>
          <w:rFonts w:ascii="Times New Roman" w:eastAsia="宋体" w:hAnsi="Times New Roman"/>
          <w:color w:val="000000"/>
          <w:sz w:val="20"/>
          <w:szCs w:val="20"/>
        </w:rPr>
        <w:t>Litigation matters. On September 27, 2021, three shareholders filed a derivative action in the Delaware Court of Chancery alleging that certain members of the current Board and certain former officers breached their fiduciary duties in failing to adequat</w:t>
      </w:r>
      <w:r>
        <w:rPr>
          <w:rFonts w:ascii="Times New Roman" w:eastAsia="宋体" w:hAnsi="Times New Roman"/>
          <w:color w:val="000000"/>
          <w:sz w:val="20"/>
          <w:szCs w:val="20"/>
        </w:rPr>
        <w:t xml:space="preserve">ely oversee the Company's prescription opioids business. The defendants filed the opening brief on their motion to dismiss that case on December 21, 2021, and the plaintiffs responded by filing an amended complaint on February 22, 2022. </w:t>
      </w:r>
    </w:p>
    <w:p w14:paraId="35D0BA68" w14:textId="77777777" w:rsidR="00D42204" w:rsidRDefault="004E439D">
      <w:pPr>
        <w:spacing w:before="100"/>
      </w:pPr>
      <w:r>
        <w:rPr>
          <w:rFonts w:ascii="Times New Roman" w:eastAsia="宋体" w:hAnsi="Times New Roman"/>
          <w:color w:val="000000"/>
          <w:sz w:val="20"/>
          <w:szCs w:val="20"/>
        </w:rPr>
        <w:t>The Company cannot</w:t>
      </w:r>
      <w:r>
        <w:rPr>
          <w:rFonts w:ascii="Times New Roman" w:eastAsia="宋体" w:hAnsi="Times New Roman"/>
          <w:color w:val="000000"/>
          <w:sz w:val="20"/>
          <w:szCs w:val="20"/>
        </w:rPr>
        <w:t xml:space="preserve"> reasonably estimate any loss or range of loss that may arise from the various Opioids Litigation and intends to vigorously defend these litigation matters. Accordingly, the Company can provide no assurance as to the scope and outcome of these matters and </w:t>
      </w:r>
      <w:r>
        <w:rPr>
          <w:rFonts w:ascii="Times New Roman" w:eastAsia="宋体" w:hAnsi="Times New Roman"/>
          <w:color w:val="000000"/>
          <w:sz w:val="20"/>
          <w:szCs w:val="20"/>
        </w:rPr>
        <w:t>no assurance as to whether its business, financial position, results of operations or cash flows will not be materially adversely affected.</w:t>
      </w:r>
    </w:p>
    <w:p w14:paraId="35D0BA69" w14:textId="77777777" w:rsidR="00D42204" w:rsidRDefault="004E439D">
      <w:pPr>
        <w:spacing w:before="100"/>
      </w:pPr>
      <w:r>
        <w:rPr>
          <w:rFonts w:ascii="Times New Roman" w:eastAsia="宋体" w:hAnsi="Times New Roman"/>
          <w:i/>
          <w:iCs/>
          <w:color w:val="000000"/>
          <w:sz w:val="20"/>
          <w:szCs w:val="20"/>
        </w:rPr>
        <w:t>Asda Equal Value Claims</w:t>
      </w:r>
    </w:p>
    <w:p w14:paraId="35D0BA6A" w14:textId="77777777" w:rsidR="00D42204" w:rsidRDefault="004E439D">
      <w:pPr>
        <w:spacing w:before="100"/>
      </w:pPr>
      <w:r>
        <w:rPr>
          <w:rFonts w:ascii="Times New Roman" w:eastAsia="宋体" w:hAnsi="Times New Roman"/>
          <w:color w:val="000000"/>
          <w:sz w:val="20"/>
          <w:szCs w:val="20"/>
        </w:rPr>
        <w:t>Asda, formerly a subsidiary of the Company, was and still is a defendant in certain equal va</w:t>
      </w:r>
      <w:r>
        <w:rPr>
          <w:rFonts w:ascii="Times New Roman" w:eastAsia="宋体" w:hAnsi="Times New Roman"/>
          <w:color w:val="000000"/>
          <w:sz w:val="20"/>
          <w:szCs w:val="20"/>
        </w:rPr>
        <w:t>lue claims that began in 2008 and are proceeding before an Employment Tribunal in Manchester in the United Kingdom on behalf of current and former Asda store employees (the "Asda Equal Value Claims"), and further claims may be asserted in the future. Subse</w:t>
      </w:r>
      <w:r>
        <w:rPr>
          <w:rFonts w:ascii="Times New Roman" w:eastAsia="宋体" w:hAnsi="Times New Roman"/>
          <w:color w:val="000000"/>
          <w:sz w:val="20"/>
          <w:szCs w:val="20"/>
        </w:rPr>
        <w:t>quent to the divestiture of Asda in February 2021, the Company will continue to oversee the conduct of the defense of these claims. While potential liability for these claims remains with Asda, the Company has agreed to provide indemnification with respect</w:t>
      </w:r>
      <w:r>
        <w:rPr>
          <w:rFonts w:ascii="Times New Roman" w:eastAsia="宋体" w:hAnsi="Times New Roman"/>
          <w:color w:val="000000"/>
          <w:sz w:val="20"/>
          <w:szCs w:val="20"/>
        </w:rPr>
        <w:t xml:space="preserve"> to these claims up to a contractually determined amount. The Company cannot predict the number of such claims that may be filed, and cannot reasonably estimate any loss or range of loss that may arise related to these proceedings. Accordingly, the Company</w:t>
      </w:r>
      <w:r>
        <w:rPr>
          <w:rFonts w:ascii="Times New Roman" w:eastAsia="宋体" w:hAnsi="Times New Roman"/>
          <w:color w:val="000000"/>
          <w:sz w:val="20"/>
          <w:szCs w:val="20"/>
        </w:rPr>
        <w:t xml:space="preserve"> can provide no assurance as to the scope and outcomes of these matters. </w:t>
      </w:r>
    </w:p>
    <w:p w14:paraId="35D0BA6B" w14:textId="77777777" w:rsidR="00D42204" w:rsidRDefault="004E439D">
      <w:pPr>
        <w:spacing w:before="180"/>
      </w:pPr>
      <w:r>
        <w:rPr>
          <w:rFonts w:ascii="Times New Roman" w:eastAsia="宋体" w:hAnsi="Times New Roman"/>
          <w:b/>
          <w:bCs/>
          <w:color w:val="000000"/>
          <w:sz w:val="20"/>
          <w:szCs w:val="20"/>
        </w:rPr>
        <w:t>Note 11. Retirement-Related Benefits</w:t>
      </w:r>
    </w:p>
    <w:p w14:paraId="35D0BA6C" w14:textId="77777777" w:rsidR="00D42204" w:rsidRDefault="004E439D">
      <w:pPr>
        <w:spacing w:before="100"/>
      </w:pPr>
      <w:r>
        <w:rPr>
          <w:rFonts w:ascii="Times New Roman" w:eastAsia="宋体" w:hAnsi="Times New Roman"/>
          <w:color w:val="000000"/>
          <w:sz w:val="20"/>
          <w:szCs w:val="20"/>
        </w:rPr>
        <w:t>The Company offers a 401(k) plan for associates in the U.S. under which eligible associates can begin contributing to the plan immediately upon h</w:t>
      </w:r>
      <w:r>
        <w:rPr>
          <w:rFonts w:ascii="Times New Roman" w:eastAsia="宋体" w:hAnsi="Times New Roman"/>
          <w:color w:val="000000"/>
          <w:sz w:val="20"/>
          <w:szCs w:val="20"/>
        </w:rPr>
        <w:t>ire. The Company also offers a 401(k) type plan for associates in Puerto Rico under which associates can begin to contribute generally after one year of employment. Under these plans, after one year of employment, the Company matches 100% of participant co</w:t>
      </w:r>
      <w:r>
        <w:rPr>
          <w:rFonts w:ascii="Times New Roman" w:eastAsia="宋体" w:hAnsi="Times New Roman"/>
          <w:color w:val="000000"/>
          <w:sz w:val="20"/>
          <w:szCs w:val="20"/>
        </w:rPr>
        <w:t>ntributions up to 6% of annual eligible earnings. The matching contributions immediately vest at 100% for each associate. Participants can contribute up to 50% of their pre-tax earnings, but not more than the statutory limits.</w:t>
      </w:r>
    </w:p>
    <w:p w14:paraId="35D0BA6D" w14:textId="77777777" w:rsidR="00D42204" w:rsidRDefault="004E439D">
      <w:pPr>
        <w:spacing w:before="100"/>
      </w:pPr>
      <w:r>
        <w:rPr>
          <w:rFonts w:ascii="Times New Roman" w:eastAsia="宋体" w:hAnsi="Times New Roman"/>
          <w:color w:val="000000"/>
          <w:sz w:val="20"/>
          <w:szCs w:val="20"/>
        </w:rPr>
        <w:t>Associates in international c</w:t>
      </w:r>
      <w:r>
        <w:rPr>
          <w:rFonts w:ascii="Times New Roman" w:eastAsia="宋体" w:hAnsi="Times New Roman"/>
          <w:color w:val="000000"/>
          <w:sz w:val="20"/>
          <w:szCs w:val="20"/>
        </w:rPr>
        <w:t>ountries who are not U.S. citizens are covered by various defined contribution post-employment benefit arrangements. These plans are administered based upon the legislative and tax requirements in the countries in which they are established.</w:t>
      </w:r>
    </w:p>
    <w:p w14:paraId="35D0BA6E" w14:textId="77777777" w:rsidR="00D42204" w:rsidRDefault="004E439D">
      <w:pPr>
        <w:spacing w:before="100"/>
      </w:pPr>
      <w:r>
        <w:rPr>
          <w:rFonts w:ascii="Times New Roman" w:eastAsia="宋体" w:hAnsi="Times New Roman"/>
          <w:color w:val="000000"/>
          <w:sz w:val="20"/>
          <w:szCs w:val="20"/>
        </w:rPr>
        <w:t xml:space="preserve">The following </w:t>
      </w:r>
      <w:r>
        <w:rPr>
          <w:rFonts w:ascii="Times New Roman" w:eastAsia="宋体" w:hAnsi="Times New Roman"/>
          <w:color w:val="000000"/>
          <w:sz w:val="20"/>
          <w:szCs w:val="20"/>
        </w:rPr>
        <w:t>table summarizes the contribution expense related to the Company's defined contribution plans for fiscal 2022, 2021 and 2020:</w:t>
      </w:r>
    </w:p>
    <w:tbl>
      <w:tblPr>
        <w:tblW w:w="4993" w:type="pct"/>
        <w:jc w:val="center"/>
        <w:tblCellMar>
          <w:top w:w="15" w:type="dxa"/>
          <w:left w:w="15" w:type="dxa"/>
          <w:bottom w:w="15" w:type="dxa"/>
          <w:right w:w="15" w:type="dxa"/>
        </w:tblCellMar>
        <w:tblLook w:val="04A0" w:firstRow="1" w:lastRow="0" w:firstColumn="1" w:lastColumn="0" w:noHBand="0" w:noVBand="1"/>
      </w:tblPr>
      <w:tblGrid>
        <w:gridCol w:w="42"/>
        <w:gridCol w:w="5378"/>
        <w:gridCol w:w="38"/>
        <w:gridCol w:w="36"/>
        <w:gridCol w:w="36"/>
        <w:gridCol w:w="36"/>
        <w:gridCol w:w="100"/>
        <w:gridCol w:w="711"/>
        <w:gridCol w:w="36"/>
        <w:gridCol w:w="36"/>
        <w:gridCol w:w="36"/>
        <w:gridCol w:w="36"/>
        <w:gridCol w:w="100"/>
        <w:gridCol w:w="711"/>
        <w:gridCol w:w="36"/>
        <w:gridCol w:w="36"/>
        <w:gridCol w:w="36"/>
        <w:gridCol w:w="36"/>
        <w:gridCol w:w="100"/>
        <w:gridCol w:w="712"/>
        <w:gridCol w:w="36"/>
      </w:tblGrid>
      <w:tr w:rsidR="00D42204" w14:paraId="35D0BA84" w14:textId="77777777">
        <w:trPr>
          <w:jc w:val="center"/>
        </w:trPr>
        <w:tc>
          <w:tcPr>
            <w:tcW w:w="50" w:type="pct"/>
            <w:shd w:val="clear" w:color="auto" w:fill="auto"/>
            <w:vAlign w:val="bottom"/>
          </w:tcPr>
          <w:p w14:paraId="35D0BA6F" w14:textId="77777777" w:rsidR="00D42204" w:rsidRDefault="00D42204">
            <w:pPr>
              <w:rPr>
                <w:rFonts w:ascii="宋体"/>
              </w:rPr>
            </w:pPr>
          </w:p>
        </w:tc>
        <w:tc>
          <w:tcPr>
            <w:tcW w:w="3253" w:type="pct"/>
            <w:shd w:val="clear" w:color="auto" w:fill="auto"/>
            <w:vAlign w:val="bottom"/>
          </w:tcPr>
          <w:p w14:paraId="35D0BA70" w14:textId="77777777" w:rsidR="00D42204" w:rsidRDefault="00D42204">
            <w:pPr>
              <w:rPr>
                <w:rFonts w:ascii="宋体"/>
              </w:rPr>
            </w:pPr>
          </w:p>
        </w:tc>
        <w:tc>
          <w:tcPr>
            <w:tcW w:w="5" w:type="pct"/>
            <w:shd w:val="clear" w:color="auto" w:fill="auto"/>
            <w:vAlign w:val="bottom"/>
          </w:tcPr>
          <w:p w14:paraId="35D0BA71" w14:textId="77777777" w:rsidR="00D42204" w:rsidRDefault="00D42204">
            <w:pPr>
              <w:rPr>
                <w:rFonts w:ascii="宋体"/>
              </w:rPr>
            </w:pPr>
          </w:p>
        </w:tc>
        <w:tc>
          <w:tcPr>
            <w:tcW w:w="5" w:type="pct"/>
            <w:shd w:val="clear" w:color="auto" w:fill="auto"/>
            <w:vAlign w:val="bottom"/>
          </w:tcPr>
          <w:p w14:paraId="35D0BA72" w14:textId="77777777" w:rsidR="00D42204" w:rsidRDefault="00D42204">
            <w:pPr>
              <w:rPr>
                <w:rFonts w:ascii="宋体"/>
              </w:rPr>
            </w:pPr>
          </w:p>
        </w:tc>
        <w:tc>
          <w:tcPr>
            <w:tcW w:w="26" w:type="pct"/>
            <w:shd w:val="clear" w:color="auto" w:fill="auto"/>
            <w:vAlign w:val="bottom"/>
          </w:tcPr>
          <w:p w14:paraId="35D0BA73" w14:textId="77777777" w:rsidR="00D42204" w:rsidRDefault="00D42204">
            <w:pPr>
              <w:rPr>
                <w:rFonts w:ascii="宋体"/>
              </w:rPr>
            </w:pPr>
          </w:p>
        </w:tc>
        <w:tc>
          <w:tcPr>
            <w:tcW w:w="5" w:type="pct"/>
            <w:shd w:val="clear" w:color="auto" w:fill="auto"/>
            <w:vAlign w:val="bottom"/>
          </w:tcPr>
          <w:p w14:paraId="35D0BA74" w14:textId="77777777" w:rsidR="00D42204" w:rsidRDefault="00D42204">
            <w:pPr>
              <w:rPr>
                <w:rFonts w:ascii="宋体"/>
              </w:rPr>
            </w:pPr>
          </w:p>
        </w:tc>
        <w:tc>
          <w:tcPr>
            <w:tcW w:w="50" w:type="pct"/>
            <w:shd w:val="clear" w:color="auto" w:fill="auto"/>
            <w:vAlign w:val="bottom"/>
          </w:tcPr>
          <w:p w14:paraId="35D0BA75" w14:textId="77777777" w:rsidR="00D42204" w:rsidRDefault="00D42204">
            <w:pPr>
              <w:rPr>
                <w:rFonts w:ascii="宋体"/>
              </w:rPr>
            </w:pPr>
          </w:p>
        </w:tc>
        <w:tc>
          <w:tcPr>
            <w:tcW w:w="472" w:type="pct"/>
            <w:shd w:val="clear" w:color="auto" w:fill="auto"/>
            <w:vAlign w:val="bottom"/>
          </w:tcPr>
          <w:p w14:paraId="35D0BA76" w14:textId="77777777" w:rsidR="00D42204" w:rsidRDefault="00D42204">
            <w:pPr>
              <w:rPr>
                <w:rFonts w:ascii="宋体"/>
              </w:rPr>
            </w:pPr>
          </w:p>
        </w:tc>
        <w:tc>
          <w:tcPr>
            <w:tcW w:w="5" w:type="pct"/>
            <w:shd w:val="clear" w:color="auto" w:fill="auto"/>
            <w:vAlign w:val="bottom"/>
          </w:tcPr>
          <w:p w14:paraId="35D0BA77" w14:textId="77777777" w:rsidR="00D42204" w:rsidRDefault="00D42204">
            <w:pPr>
              <w:rPr>
                <w:rFonts w:ascii="宋体"/>
              </w:rPr>
            </w:pPr>
          </w:p>
        </w:tc>
        <w:tc>
          <w:tcPr>
            <w:tcW w:w="5" w:type="pct"/>
            <w:shd w:val="clear" w:color="auto" w:fill="auto"/>
            <w:vAlign w:val="bottom"/>
          </w:tcPr>
          <w:p w14:paraId="35D0BA78" w14:textId="77777777" w:rsidR="00D42204" w:rsidRDefault="00D42204">
            <w:pPr>
              <w:rPr>
                <w:rFonts w:ascii="宋体"/>
              </w:rPr>
            </w:pPr>
          </w:p>
        </w:tc>
        <w:tc>
          <w:tcPr>
            <w:tcW w:w="26" w:type="pct"/>
            <w:shd w:val="clear" w:color="auto" w:fill="auto"/>
            <w:vAlign w:val="bottom"/>
          </w:tcPr>
          <w:p w14:paraId="35D0BA79" w14:textId="77777777" w:rsidR="00D42204" w:rsidRDefault="00D42204">
            <w:pPr>
              <w:rPr>
                <w:rFonts w:ascii="宋体"/>
              </w:rPr>
            </w:pPr>
          </w:p>
        </w:tc>
        <w:tc>
          <w:tcPr>
            <w:tcW w:w="5" w:type="pct"/>
            <w:shd w:val="clear" w:color="auto" w:fill="auto"/>
            <w:vAlign w:val="bottom"/>
          </w:tcPr>
          <w:p w14:paraId="35D0BA7A" w14:textId="77777777" w:rsidR="00D42204" w:rsidRDefault="00D42204">
            <w:pPr>
              <w:rPr>
                <w:rFonts w:ascii="宋体"/>
              </w:rPr>
            </w:pPr>
          </w:p>
        </w:tc>
        <w:tc>
          <w:tcPr>
            <w:tcW w:w="50" w:type="pct"/>
            <w:shd w:val="clear" w:color="auto" w:fill="auto"/>
            <w:vAlign w:val="bottom"/>
          </w:tcPr>
          <w:p w14:paraId="35D0BA7B" w14:textId="77777777" w:rsidR="00D42204" w:rsidRDefault="00D42204">
            <w:pPr>
              <w:rPr>
                <w:rFonts w:ascii="宋体"/>
              </w:rPr>
            </w:pPr>
          </w:p>
        </w:tc>
        <w:tc>
          <w:tcPr>
            <w:tcW w:w="472" w:type="pct"/>
            <w:shd w:val="clear" w:color="auto" w:fill="auto"/>
            <w:vAlign w:val="bottom"/>
          </w:tcPr>
          <w:p w14:paraId="35D0BA7C" w14:textId="77777777" w:rsidR="00D42204" w:rsidRDefault="00D42204">
            <w:pPr>
              <w:rPr>
                <w:rFonts w:ascii="宋体"/>
              </w:rPr>
            </w:pPr>
          </w:p>
        </w:tc>
        <w:tc>
          <w:tcPr>
            <w:tcW w:w="5" w:type="pct"/>
            <w:shd w:val="clear" w:color="auto" w:fill="auto"/>
            <w:vAlign w:val="bottom"/>
          </w:tcPr>
          <w:p w14:paraId="35D0BA7D" w14:textId="77777777" w:rsidR="00D42204" w:rsidRDefault="00D42204">
            <w:pPr>
              <w:rPr>
                <w:rFonts w:ascii="宋体"/>
              </w:rPr>
            </w:pPr>
          </w:p>
        </w:tc>
        <w:tc>
          <w:tcPr>
            <w:tcW w:w="5" w:type="pct"/>
            <w:shd w:val="clear" w:color="auto" w:fill="auto"/>
            <w:vAlign w:val="bottom"/>
          </w:tcPr>
          <w:p w14:paraId="35D0BA7E" w14:textId="77777777" w:rsidR="00D42204" w:rsidRDefault="00D42204">
            <w:pPr>
              <w:rPr>
                <w:rFonts w:ascii="宋体"/>
              </w:rPr>
            </w:pPr>
          </w:p>
        </w:tc>
        <w:tc>
          <w:tcPr>
            <w:tcW w:w="26" w:type="pct"/>
            <w:shd w:val="clear" w:color="auto" w:fill="auto"/>
            <w:vAlign w:val="bottom"/>
          </w:tcPr>
          <w:p w14:paraId="35D0BA7F" w14:textId="77777777" w:rsidR="00D42204" w:rsidRDefault="00D42204">
            <w:pPr>
              <w:rPr>
                <w:rFonts w:ascii="宋体"/>
              </w:rPr>
            </w:pPr>
          </w:p>
        </w:tc>
        <w:tc>
          <w:tcPr>
            <w:tcW w:w="5" w:type="pct"/>
            <w:shd w:val="clear" w:color="auto" w:fill="auto"/>
            <w:vAlign w:val="bottom"/>
          </w:tcPr>
          <w:p w14:paraId="35D0BA80" w14:textId="77777777" w:rsidR="00D42204" w:rsidRDefault="00D42204">
            <w:pPr>
              <w:rPr>
                <w:rFonts w:ascii="宋体"/>
              </w:rPr>
            </w:pPr>
          </w:p>
        </w:tc>
        <w:tc>
          <w:tcPr>
            <w:tcW w:w="50" w:type="pct"/>
            <w:shd w:val="clear" w:color="auto" w:fill="auto"/>
            <w:vAlign w:val="bottom"/>
          </w:tcPr>
          <w:p w14:paraId="35D0BA81" w14:textId="77777777" w:rsidR="00D42204" w:rsidRDefault="00D42204">
            <w:pPr>
              <w:rPr>
                <w:rFonts w:ascii="宋体"/>
              </w:rPr>
            </w:pPr>
          </w:p>
        </w:tc>
        <w:tc>
          <w:tcPr>
            <w:tcW w:w="472" w:type="pct"/>
            <w:shd w:val="clear" w:color="auto" w:fill="auto"/>
            <w:vAlign w:val="bottom"/>
          </w:tcPr>
          <w:p w14:paraId="35D0BA82" w14:textId="77777777" w:rsidR="00D42204" w:rsidRDefault="00D42204">
            <w:pPr>
              <w:rPr>
                <w:rFonts w:ascii="宋体"/>
              </w:rPr>
            </w:pPr>
          </w:p>
        </w:tc>
        <w:tc>
          <w:tcPr>
            <w:tcW w:w="5" w:type="pct"/>
            <w:shd w:val="clear" w:color="auto" w:fill="auto"/>
            <w:vAlign w:val="bottom"/>
          </w:tcPr>
          <w:p w14:paraId="35D0BA83" w14:textId="77777777" w:rsidR="00D42204" w:rsidRDefault="00D42204">
            <w:pPr>
              <w:rPr>
                <w:rFonts w:ascii="宋体"/>
              </w:rPr>
            </w:pPr>
          </w:p>
        </w:tc>
      </w:tr>
      <w:tr w:rsidR="00D42204" w14:paraId="35D0BA88" w14:textId="77777777">
        <w:trPr>
          <w:jc w:val="center"/>
        </w:trPr>
        <w:tc>
          <w:tcPr>
            <w:tcW w:w="0" w:type="auto"/>
            <w:gridSpan w:val="3"/>
            <w:shd w:val="clear" w:color="auto" w:fill="auto"/>
            <w:tcMar>
              <w:top w:w="0" w:type="dxa"/>
              <w:left w:w="20" w:type="dxa"/>
              <w:bottom w:w="0" w:type="dxa"/>
              <w:right w:w="20" w:type="dxa"/>
            </w:tcMar>
            <w:vAlign w:val="bottom"/>
          </w:tcPr>
          <w:p w14:paraId="35D0BA85"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A86"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BA87" w14:textId="77777777" w:rsidR="00D42204" w:rsidRDefault="004E439D">
            <w:pPr>
              <w:jc w:val="center"/>
              <w:textAlignment w:val="bottom"/>
            </w:pPr>
            <w:r>
              <w:rPr>
                <w:rFonts w:ascii="Times New Roman" w:eastAsia="宋体" w:hAnsi="Times New Roman"/>
                <w:b/>
                <w:bCs/>
                <w:color w:val="000000"/>
                <w:sz w:val="16"/>
                <w:szCs w:val="16"/>
              </w:rPr>
              <w:t>Fiscal</w:t>
            </w:r>
            <w:r>
              <w:rPr>
                <w:rFonts w:ascii="Times New Roman" w:eastAsia="宋体" w:hAnsi="Times New Roman"/>
                <w:b/>
                <w:bCs/>
                <w:color w:val="000000"/>
                <w:sz w:val="16"/>
                <w:szCs w:val="16"/>
              </w:rPr>
              <w:t xml:space="preserve"> Years Ended January 31,</w:t>
            </w:r>
          </w:p>
        </w:tc>
      </w:tr>
      <w:tr w:rsidR="00D42204" w14:paraId="35D0BA90" w14:textId="77777777">
        <w:trPr>
          <w:jc w:val="center"/>
        </w:trPr>
        <w:tc>
          <w:tcPr>
            <w:tcW w:w="0" w:type="auto"/>
            <w:gridSpan w:val="3"/>
            <w:shd w:val="clear" w:color="auto" w:fill="auto"/>
            <w:tcMar>
              <w:top w:w="40" w:type="dxa"/>
              <w:left w:w="20" w:type="dxa"/>
              <w:bottom w:w="40" w:type="dxa"/>
              <w:right w:w="20" w:type="dxa"/>
            </w:tcMar>
            <w:vAlign w:val="bottom"/>
          </w:tcPr>
          <w:p w14:paraId="35D0BA89"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A8A"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A8B"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A8C"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A8D"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A8E"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A8F"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BA98" w14:textId="77777777">
        <w:trPr>
          <w:jc w:val="center"/>
        </w:trPr>
        <w:tc>
          <w:tcPr>
            <w:tcW w:w="0" w:type="auto"/>
            <w:gridSpan w:val="3"/>
            <w:shd w:val="clear" w:color="auto" w:fill="CCEEFF"/>
            <w:tcMar>
              <w:top w:w="40" w:type="dxa"/>
              <w:left w:w="20" w:type="dxa"/>
              <w:bottom w:w="40" w:type="dxa"/>
              <w:right w:w="20" w:type="dxa"/>
            </w:tcMar>
            <w:vAlign w:val="center"/>
          </w:tcPr>
          <w:p w14:paraId="35D0BA91" w14:textId="77777777" w:rsidR="00D42204" w:rsidRDefault="004E439D">
            <w:pPr>
              <w:textAlignment w:val="center"/>
            </w:pPr>
            <w:r>
              <w:rPr>
                <w:rFonts w:ascii="Times New Roman" w:eastAsia="宋体" w:hAnsi="Times New Roman"/>
                <w:b/>
                <w:bCs/>
                <w:color w:val="000000"/>
                <w:sz w:val="16"/>
                <w:szCs w:val="16"/>
              </w:rPr>
              <w:t>Defined contribution plans:</w:t>
            </w:r>
          </w:p>
        </w:tc>
        <w:tc>
          <w:tcPr>
            <w:tcW w:w="0" w:type="auto"/>
            <w:gridSpan w:val="3"/>
            <w:shd w:val="clear" w:color="auto" w:fill="CCEEFF"/>
            <w:tcMar>
              <w:top w:w="0" w:type="dxa"/>
              <w:left w:w="20" w:type="dxa"/>
              <w:bottom w:w="0" w:type="dxa"/>
              <w:right w:w="20" w:type="dxa"/>
            </w:tcMar>
            <w:vAlign w:val="bottom"/>
          </w:tcPr>
          <w:p w14:paraId="35D0BA92"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A93"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A94"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A95"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A96"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A97" w14:textId="77777777" w:rsidR="00D42204" w:rsidRDefault="00D42204">
            <w:pPr>
              <w:rPr>
                <w:rFonts w:ascii="宋体"/>
              </w:rPr>
            </w:pPr>
          </w:p>
        </w:tc>
      </w:tr>
      <w:tr w:rsidR="00D42204" w14:paraId="35D0BAA6" w14:textId="77777777">
        <w:trPr>
          <w:jc w:val="center"/>
        </w:trPr>
        <w:tc>
          <w:tcPr>
            <w:tcW w:w="0" w:type="auto"/>
            <w:gridSpan w:val="3"/>
            <w:shd w:val="clear" w:color="auto" w:fill="FFFFFF"/>
            <w:tcMar>
              <w:top w:w="40" w:type="dxa"/>
              <w:left w:w="245" w:type="dxa"/>
              <w:bottom w:w="40" w:type="dxa"/>
              <w:right w:w="20" w:type="dxa"/>
            </w:tcMar>
            <w:vAlign w:val="center"/>
          </w:tcPr>
          <w:p w14:paraId="35D0BA99" w14:textId="77777777" w:rsidR="00D42204" w:rsidRDefault="004E439D">
            <w:pPr>
              <w:textAlignment w:val="center"/>
            </w:pPr>
            <w:r>
              <w:rPr>
                <w:rFonts w:ascii="Times New Roman" w:eastAsia="宋体" w:hAnsi="Times New Roman"/>
                <w:color w:val="000000"/>
                <w:sz w:val="16"/>
                <w:szCs w:val="16"/>
              </w:rPr>
              <w:t>U.S.</w:t>
            </w:r>
          </w:p>
        </w:tc>
        <w:tc>
          <w:tcPr>
            <w:tcW w:w="0" w:type="auto"/>
            <w:gridSpan w:val="3"/>
            <w:shd w:val="clear" w:color="auto" w:fill="FFFFFF"/>
            <w:tcMar>
              <w:top w:w="0" w:type="dxa"/>
              <w:left w:w="20" w:type="dxa"/>
              <w:bottom w:w="0" w:type="dxa"/>
              <w:right w:w="20" w:type="dxa"/>
            </w:tcMar>
            <w:vAlign w:val="bottom"/>
          </w:tcPr>
          <w:p w14:paraId="35D0BA9A" w14:textId="77777777" w:rsidR="00D42204" w:rsidRDefault="00D42204">
            <w:pPr>
              <w:rPr>
                <w:rFonts w:ascii="宋体"/>
              </w:rPr>
            </w:pPr>
          </w:p>
        </w:tc>
        <w:tc>
          <w:tcPr>
            <w:tcW w:w="0" w:type="auto"/>
            <w:shd w:val="clear" w:color="auto" w:fill="auto"/>
            <w:tcMar>
              <w:top w:w="40" w:type="dxa"/>
              <w:left w:w="20" w:type="dxa"/>
              <w:bottom w:w="40" w:type="dxa"/>
              <w:right w:w="0" w:type="dxa"/>
            </w:tcMar>
            <w:vAlign w:val="center"/>
          </w:tcPr>
          <w:p w14:paraId="35D0BA9B"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auto"/>
            <w:tcMar>
              <w:top w:w="40" w:type="dxa"/>
              <w:left w:w="0" w:type="dxa"/>
              <w:bottom w:w="40" w:type="dxa"/>
              <w:right w:w="0" w:type="dxa"/>
            </w:tcMar>
            <w:vAlign w:val="center"/>
          </w:tcPr>
          <w:p w14:paraId="35D0BA9C" w14:textId="77777777" w:rsidR="00D42204" w:rsidRDefault="004E439D">
            <w:pPr>
              <w:jc w:val="right"/>
              <w:textAlignment w:val="center"/>
            </w:pPr>
            <w:r>
              <w:rPr>
                <w:rFonts w:ascii="Times New Roman" w:eastAsia="宋体" w:hAnsi="Times New Roman"/>
                <w:color w:val="000000"/>
                <w:sz w:val="16"/>
                <w:szCs w:val="16"/>
              </w:rPr>
              <w:t>1,441 </w:t>
            </w:r>
          </w:p>
        </w:tc>
        <w:tc>
          <w:tcPr>
            <w:tcW w:w="0" w:type="auto"/>
            <w:shd w:val="clear" w:color="auto" w:fill="auto"/>
            <w:tcMar>
              <w:top w:w="40" w:type="dxa"/>
              <w:left w:w="0" w:type="dxa"/>
              <w:bottom w:w="40" w:type="dxa"/>
              <w:right w:w="20" w:type="dxa"/>
            </w:tcMar>
            <w:vAlign w:val="center"/>
          </w:tcPr>
          <w:p w14:paraId="35D0BA9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A9E"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A9F"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AA0" w14:textId="77777777" w:rsidR="00D42204" w:rsidRDefault="004E439D">
            <w:pPr>
              <w:jc w:val="right"/>
              <w:textAlignment w:val="center"/>
            </w:pPr>
            <w:r>
              <w:rPr>
                <w:rFonts w:ascii="Times New Roman" w:eastAsia="宋体" w:hAnsi="Times New Roman"/>
                <w:color w:val="000000"/>
                <w:sz w:val="16"/>
                <w:szCs w:val="16"/>
              </w:rPr>
              <w:t>1,290 </w:t>
            </w:r>
          </w:p>
        </w:tc>
        <w:tc>
          <w:tcPr>
            <w:tcW w:w="0" w:type="auto"/>
            <w:shd w:val="clear" w:color="auto" w:fill="FFFFFF"/>
            <w:tcMar>
              <w:top w:w="40" w:type="dxa"/>
              <w:left w:w="0" w:type="dxa"/>
              <w:bottom w:w="40" w:type="dxa"/>
              <w:right w:w="20" w:type="dxa"/>
            </w:tcMar>
            <w:vAlign w:val="center"/>
          </w:tcPr>
          <w:p w14:paraId="35D0BAA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AA2"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AA3"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AA4" w14:textId="77777777" w:rsidR="00D42204" w:rsidRDefault="004E439D">
            <w:pPr>
              <w:jc w:val="right"/>
              <w:textAlignment w:val="center"/>
            </w:pPr>
            <w:r>
              <w:rPr>
                <w:rFonts w:ascii="Times New Roman" w:eastAsia="宋体" w:hAnsi="Times New Roman"/>
                <w:color w:val="000000"/>
                <w:sz w:val="16"/>
                <w:szCs w:val="16"/>
              </w:rPr>
              <w:t>1,184 </w:t>
            </w:r>
          </w:p>
        </w:tc>
        <w:tc>
          <w:tcPr>
            <w:tcW w:w="0" w:type="auto"/>
            <w:shd w:val="clear" w:color="auto" w:fill="FFFFFF"/>
            <w:tcMar>
              <w:top w:w="40" w:type="dxa"/>
              <w:left w:w="0" w:type="dxa"/>
              <w:bottom w:w="40" w:type="dxa"/>
              <w:right w:w="20" w:type="dxa"/>
            </w:tcMar>
            <w:vAlign w:val="center"/>
          </w:tcPr>
          <w:p w14:paraId="35D0BAA5" w14:textId="77777777" w:rsidR="00D42204" w:rsidRDefault="00D42204">
            <w:pPr>
              <w:jc w:val="right"/>
              <w:rPr>
                <w:rFonts w:ascii="宋体"/>
              </w:rPr>
            </w:pPr>
          </w:p>
        </w:tc>
      </w:tr>
      <w:tr w:rsidR="00D42204" w14:paraId="35D0BAB1" w14:textId="77777777">
        <w:trPr>
          <w:jc w:val="center"/>
        </w:trPr>
        <w:tc>
          <w:tcPr>
            <w:tcW w:w="0" w:type="auto"/>
            <w:gridSpan w:val="3"/>
            <w:shd w:val="clear" w:color="auto" w:fill="CCEEFF"/>
            <w:tcMar>
              <w:top w:w="40" w:type="dxa"/>
              <w:left w:w="245" w:type="dxa"/>
              <w:bottom w:w="40" w:type="dxa"/>
              <w:right w:w="20" w:type="dxa"/>
            </w:tcMar>
            <w:vAlign w:val="center"/>
          </w:tcPr>
          <w:p w14:paraId="35D0BAA7" w14:textId="77777777" w:rsidR="00D42204" w:rsidRDefault="004E439D">
            <w:pPr>
              <w:textAlignment w:val="center"/>
            </w:pPr>
            <w:r>
              <w:rPr>
                <w:rFonts w:ascii="Times New Roman" w:eastAsia="宋体" w:hAnsi="Times New Roman"/>
                <w:color w:val="000000"/>
                <w:sz w:val="16"/>
                <w:szCs w:val="16"/>
              </w:rPr>
              <w:t>International</w:t>
            </w:r>
          </w:p>
        </w:tc>
        <w:tc>
          <w:tcPr>
            <w:tcW w:w="0" w:type="auto"/>
            <w:gridSpan w:val="3"/>
            <w:shd w:val="clear" w:color="auto" w:fill="CCEEFF"/>
            <w:tcMar>
              <w:top w:w="0" w:type="dxa"/>
              <w:left w:w="20" w:type="dxa"/>
              <w:bottom w:w="0" w:type="dxa"/>
              <w:right w:w="20" w:type="dxa"/>
            </w:tcMar>
            <w:vAlign w:val="bottom"/>
          </w:tcPr>
          <w:p w14:paraId="35D0BAA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AA9" w14:textId="77777777" w:rsidR="00D42204" w:rsidRDefault="004E439D">
            <w:pPr>
              <w:jc w:val="right"/>
              <w:textAlignment w:val="center"/>
            </w:pPr>
            <w:r>
              <w:rPr>
                <w:rFonts w:ascii="Times New Roman" w:eastAsia="宋体" w:hAnsi="Times New Roman"/>
                <w:color w:val="000000"/>
                <w:sz w:val="16"/>
                <w:szCs w:val="16"/>
              </w:rPr>
              <w:t>39 </w:t>
            </w:r>
          </w:p>
        </w:tc>
        <w:tc>
          <w:tcPr>
            <w:tcW w:w="0" w:type="auto"/>
            <w:shd w:val="clear" w:color="auto" w:fill="CCEEFF"/>
            <w:tcMar>
              <w:top w:w="40" w:type="dxa"/>
              <w:left w:w="0" w:type="dxa"/>
              <w:bottom w:w="40" w:type="dxa"/>
              <w:right w:w="20" w:type="dxa"/>
            </w:tcMar>
            <w:vAlign w:val="center"/>
          </w:tcPr>
          <w:p w14:paraId="35D0BAA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AA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AAC" w14:textId="77777777" w:rsidR="00D42204" w:rsidRDefault="004E439D">
            <w:pPr>
              <w:jc w:val="right"/>
              <w:textAlignment w:val="center"/>
            </w:pPr>
            <w:r>
              <w:rPr>
                <w:rFonts w:ascii="Times New Roman" w:eastAsia="宋体" w:hAnsi="Times New Roman"/>
                <w:color w:val="000000"/>
                <w:sz w:val="16"/>
                <w:szCs w:val="16"/>
              </w:rPr>
              <w:t>200 </w:t>
            </w:r>
          </w:p>
        </w:tc>
        <w:tc>
          <w:tcPr>
            <w:tcW w:w="0" w:type="auto"/>
            <w:shd w:val="clear" w:color="auto" w:fill="CCEEFF"/>
            <w:tcMar>
              <w:top w:w="40" w:type="dxa"/>
              <w:left w:w="0" w:type="dxa"/>
              <w:bottom w:w="40" w:type="dxa"/>
              <w:right w:w="20" w:type="dxa"/>
            </w:tcMar>
            <w:vAlign w:val="center"/>
          </w:tcPr>
          <w:p w14:paraId="35D0BAA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AA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AAF" w14:textId="77777777" w:rsidR="00D42204" w:rsidRDefault="004E439D">
            <w:pPr>
              <w:jc w:val="right"/>
              <w:textAlignment w:val="center"/>
            </w:pPr>
            <w:r>
              <w:rPr>
                <w:rFonts w:ascii="Times New Roman" w:eastAsia="宋体" w:hAnsi="Times New Roman"/>
                <w:color w:val="000000"/>
                <w:sz w:val="16"/>
                <w:szCs w:val="16"/>
              </w:rPr>
              <w:t>177 </w:t>
            </w:r>
          </w:p>
        </w:tc>
        <w:tc>
          <w:tcPr>
            <w:tcW w:w="0" w:type="auto"/>
            <w:shd w:val="clear" w:color="auto" w:fill="CCEEFF"/>
            <w:tcMar>
              <w:top w:w="40" w:type="dxa"/>
              <w:left w:w="0" w:type="dxa"/>
              <w:bottom w:w="40" w:type="dxa"/>
              <w:right w:w="20" w:type="dxa"/>
            </w:tcMar>
            <w:vAlign w:val="center"/>
          </w:tcPr>
          <w:p w14:paraId="35D0BAB0" w14:textId="77777777" w:rsidR="00D42204" w:rsidRDefault="00D42204">
            <w:pPr>
              <w:jc w:val="right"/>
              <w:rPr>
                <w:rFonts w:ascii="宋体"/>
              </w:rPr>
            </w:pPr>
          </w:p>
        </w:tc>
      </w:tr>
      <w:tr w:rsidR="00D42204" w14:paraId="35D0BABF" w14:textId="77777777">
        <w:trPr>
          <w:jc w:val="center"/>
        </w:trPr>
        <w:tc>
          <w:tcPr>
            <w:tcW w:w="0" w:type="auto"/>
            <w:gridSpan w:val="3"/>
            <w:shd w:val="clear" w:color="auto" w:fill="FFFFFF"/>
            <w:tcMar>
              <w:top w:w="40" w:type="dxa"/>
              <w:left w:w="20" w:type="dxa"/>
              <w:bottom w:w="40" w:type="dxa"/>
              <w:right w:w="20" w:type="dxa"/>
            </w:tcMar>
            <w:vAlign w:val="center"/>
          </w:tcPr>
          <w:p w14:paraId="35D0BAB2" w14:textId="77777777" w:rsidR="00D42204" w:rsidRDefault="004E439D">
            <w:pPr>
              <w:textAlignment w:val="center"/>
            </w:pPr>
            <w:r>
              <w:rPr>
                <w:rFonts w:ascii="Times New Roman" w:eastAsia="宋体" w:hAnsi="Times New Roman"/>
                <w:b/>
                <w:bCs/>
                <w:color w:val="000000"/>
                <w:sz w:val="16"/>
                <w:szCs w:val="16"/>
              </w:rPr>
              <w:t>Total contribution expense for defined contribution plans</w:t>
            </w:r>
          </w:p>
        </w:tc>
        <w:tc>
          <w:tcPr>
            <w:tcW w:w="0" w:type="auto"/>
            <w:gridSpan w:val="3"/>
            <w:shd w:val="clear" w:color="auto" w:fill="FFFFFF"/>
            <w:tcMar>
              <w:top w:w="0" w:type="dxa"/>
              <w:left w:w="20" w:type="dxa"/>
              <w:bottom w:w="0" w:type="dxa"/>
              <w:right w:w="20" w:type="dxa"/>
            </w:tcMar>
            <w:vAlign w:val="bottom"/>
          </w:tcPr>
          <w:p w14:paraId="35D0BAB3"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BAB4"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BAB5" w14:textId="77777777" w:rsidR="00D42204" w:rsidRDefault="004E439D">
            <w:pPr>
              <w:jc w:val="right"/>
              <w:textAlignment w:val="center"/>
            </w:pPr>
            <w:r>
              <w:rPr>
                <w:rFonts w:ascii="Times New Roman" w:eastAsia="宋体" w:hAnsi="Times New Roman"/>
                <w:color w:val="000000"/>
                <w:sz w:val="16"/>
                <w:szCs w:val="16"/>
              </w:rPr>
              <w:t>1,480 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BAB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AB7"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BAB8"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BAB9" w14:textId="77777777" w:rsidR="00D42204" w:rsidRDefault="004E439D">
            <w:pPr>
              <w:jc w:val="right"/>
              <w:textAlignment w:val="center"/>
            </w:pPr>
            <w:r>
              <w:rPr>
                <w:rFonts w:ascii="Times New Roman" w:eastAsia="宋体" w:hAnsi="Times New Roman"/>
                <w:color w:val="000000"/>
                <w:sz w:val="16"/>
                <w:szCs w:val="16"/>
              </w:rPr>
              <w:t>1,490 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BAB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ABB"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35D0BABC"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35D0BABD" w14:textId="77777777" w:rsidR="00D42204" w:rsidRDefault="004E439D">
            <w:pPr>
              <w:jc w:val="right"/>
              <w:textAlignment w:val="center"/>
            </w:pPr>
            <w:r>
              <w:rPr>
                <w:rFonts w:ascii="Times New Roman" w:eastAsia="宋体" w:hAnsi="Times New Roman"/>
                <w:color w:val="000000"/>
                <w:sz w:val="16"/>
                <w:szCs w:val="16"/>
              </w:rPr>
              <w:t>1,361 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35D0BABE" w14:textId="77777777" w:rsidR="00D42204" w:rsidRDefault="00D42204">
            <w:pPr>
              <w:jc w:val="right"/>
              <w:rPr>
                <w:rFonts w:ascii="宋体"/>
              </w:rPr>
            </w:pPr>
          </w:p>
        </w:tc>
      </w:tr>
    </w:tbl>
    <w:p w14:paraId="35D0BAC0" w14:textId="77777777" w:rsidR="00D42204" w:rsidRDefault="004E439D">
      <w:pPr>
        <w:spacing w:before="140"/>
      </w:pPr>
      <w:r>
        <w:rPr>
          <w:rFonts w:ascii="Times New Roman" w:eastAsia="宋体" w:hAnsi="Times New Roman"/>
          <w:color w:val="000000"/>
          <w:sz w:val="20"/>
          <w:szCs w:val="20"/>
        </w:rPr>
        <w:t>Additionally, the Company's previously owned subsidiary in the United Kingdom sponsored a defined benefit pension plan. In fiscal 2020, Asda, Walmart and the Trustee</w:t>
      </w:r>
      <w:r>
        <w:rPr>
          <w:rFonts w:ascii="Times New Roman" w:eastAsia="宋体" w:hAnsi="Times New Roman"/>
          <w:color w:val="000000"/>
          <w:sz w:val="20"/>
          <w:szCs w:val="20"/>
        </w:rPr>
        <w:t xml:space="preserve"> of the Asda Group Pension Scheme (the "Plan") entered into an agreement pursuant to which Asda made a cash contribution of $1.0 billion to the Plan (the "Asda Pension Contribution") which enabled the Plan to purchase a bulk annuity insurance contract for </w:t>
      </w:r>
      <w:r>
        <w:rPr>
          <w:rFonts w:ascii="Times New Roman" w:eastAsia="宋体" w:hAnsi="Times New Roman"/>
          <w:color w:val="000000"/>
          <w:sz w:val="20"/>
          <w:szCs w:val="20"/>
        </w:rPr>
        <w:t>the benefit of Plan participants, and released the Plan and Asda from any future obligations. In connection with the sale of Asda, all accumulated pension components of $2.3 billion were included in the disposal group and the estimated pre-tax loss recogni</w:t>
      </w:r>
      <w:r>
        <w:rPr>
          <w:rFonts w:ascii="Times New Roman" w:eastAsia="宋体" w:hAnsi="Times New Roman"/>
          <w:color w:val="000000"/>
          <w:sz w:val="20"/>
          <w:szCs w:val="20"/>
        </w:rPr>
        <w:t xml:space="preserve">zed during the fourth quarter of fiscal 2021 as discussed in </w:t>
      </w:r>
      <w:hyperlink r:id="rId155" w:anchor="i1ba69ebb72ec48f9b754a5e96c4cdf3f_175" w:history="1">
        <w:r>
          <w:rPr>
            <w:rStyle w:val="a5"/>
            <w:rFonts w:ascii="Times New Roman" w:eastAsia="宋体" w:hAnsi="Times New Roman"/>
            <w:sz w:val="20"/>
            <w:szCs w:val="20"/>
          </w:rPr>
          <w:t>Note 8</w:t>
        </w:r>
      </w:hyperlink>
      <w:r>
        <w:rPr>
          <w:rFonts w:ascii="Times New Roman" w:eastAsia="宋体" w:hAnsi="Times New Roman"/>
          <w:color w:val="000000"/>
          <w:sz w:val="20"/>
          <w:szCs w:val="20"/>
        </w:rPr>
        <w:t xml:space="preserve"> and </w:t>
      </w:r>
      <w:hyperlink r:id="rId156" w:anchor="i1ba69ebb72ec48f9b754a5e96c4cdf3f_190"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xml:space="preserve">. </w:t>
      </w:r>
    </w:p>
    <w:p w14:paraId="35D0BAC1" w14:textId="77777777" w:rsidR="00D42204" w:rsidRDefault="004E439D">
      <w:pPr>
        <w:jc w:val="center"/>
      </w:pPr>
      <w:r>
        <w:rPr>
          <w:rFonts w:ascii="Times New Roman" w:eastAsia="宋体" w:hAnsi="Times New Roman"/>
          <w:color w:val="000000"/>
          <w:sz w:val="20"/>
          <w:szCs w:val="20"/>
        </w:rPr>
        <w:t>75</w:t>
      </w:r>
    </w:p>
    <w:p w14:paraId="35D0BAC2" w14:textId="77777777" w:rsidR="00D42204" w:rsidRDefault="004E439D">
      <w:r>
        <w:pict w14:anchorId="35D0C3A6">
          <v:rect id="_x0000_i1099" style="width:415.3pt;height:1.5pt" o:hralign="center" o:hrstd="t" o:hr="t" fillcolor="#a0a0a0" stroked="f"/>
        </w:pict>
      </w:r>
    </w:p>
    <w:p w14:paraId="35D0BAC3" w14:textId="77777777" w:rsidR="00D42204" w:rsidRDefault="00D42204"/>
    <w:p w14:paraId="35D0BAC4" w14:textId="77777777" w:rsidR="00D42204" w:rsidRDefault="004E439D">
      <w:pPr>
        <w:spacing w:before="180"/>
      </w:pPr>
      <w:r>
        <w:rPr>
          <w:rFonts w:ascii="Times New Roman" w:eastAsia="宋体" w:hAnsi="Times New Roman"/>
          <w:b/>
          <w:bCs/>
          <w:color w:val="000000"/>
          <w:sz w:val="20"/>
          <w:szCs w:val="20"/>
        </w:rPr>
        <w:t>Note 12. Disposals, Acquisitions and Related Items</w:t>
      </w:r>
    </w:p>
    <w:p w14:paraId="35D0BAC5" w14:textId="77777777" w:rsidR="00D42204" w:rsidRDefault="004E439D">
      <w:pPr>
        <w:spacing w:before="180"/>
      </w:pPr>
      <w:r>
        <w:rPr>
          <w:rFonts w:ascii="Times New Roman" w:eastAsia="宋体" w:hAnsi="Times New Roman"/>
          <w:color w:val="000000"/>
          <w:sz w:val="20"/>
          <w:szCs w:val="20"/>
        </w:rPr>
        <w:t xml:space="preserve">The following disposals impact the </w:t>
      </w:r>
      <w:r>
        <w:rPr>
          <w:rFonts w:ascii="Times New Roman" w:eastAsia="宋体" w:hAnsi="Times New Roman"/>
          <w:color w:val="000000"/>
          <w:sz w:val="20"/>
          <w:szCs w:val="20"/>
        </w:rPr>
        <w:t>Company's Walmart International segment. Other immaterial transactions have also</w:t>
      </w:r>
    </w:p>
    <w:p w14:paraId="35D0BAC6" w14:textId="77777777" w:rsidR="00D42204" w:rsidRDefault="004E439D">
      <w:r>
        <w:rPr>
          <w:rFonts w:ascii="Times New Roman" w:eastAsia="宋体" w:hAnsi="Times New Roman"/>
          <w:color w:val="000000"/>
          <w:sz w:val="20"/>
          <w:szCs w:val="20"/>
        </w:rPr>
        <w:t>occurred or been announced.</w:t>
      </w:r>
    </w:p>
    <w:p w14:paraId="35D0BAC7" w14:textId="77777777" w:rsidR="00D42204" w:rsidRDefault="004E439D">
      <w:pPr>
        <w:spacing w:before="100"/>
      </w:pPr>
      <w:r>
        <w:rPr>
          <w:rFonts w:ascii="Times New Roman" w:eastAsia="宋体" w:hAnsi="Times New Roman"/>
          <w:i/>
          <w:iCs/>
          <w:color w:val="000000"/>
          <w:sz w:val="20"/>
          <w:szCs w:val="20"/>
        </w:rPr>
        <w:t>Asda</w:t>
      </w:r>
    </w:p>
    <w:p w14:paraId="35D0BAC8" w14:textId="77777777" w:rsidR="00D42204" w:rsidRDefault="004E439D">
      <w:pPr>
        <w:spacing w:before="100"/>
      </w:pPr>
      <w:r>
        <w:rPr>
          <w:rFonts w:ascii="Times New Roman" w:eastAsia="宋体" w:hAnsi="Times New Roman"/>
          <w:color w:val="000000"/>
          <w:sz w:val="20"/>
          <w:szCs w:val="20"/>
        </w:rPr>
        <w:t xml:space="preserve">In February 2021, the Company completed the divestiture of Asda, the Company's retail operations in the U.K., for net </w:t>
      </w:r>
      <w:r>
        <w:rPr>
          <w:rFonts w:ascii="Times New Roman" w:eastAsia="宋体" w:hAnsi="Times New Roman"/>
          <w:color w:val="000000"/>
          <w:sz w:val="20"/>
          <w:szCs w:val="20"/>
        </w:rPr>
        <w:t>consideration of $9.6 billion. Upon closing of the transaction, the Company recorded an incremental pre-tax loss of $0.2 billion in other gains and losses in its Consolidated Statement of Income in the first quarter of fiscal 2022, primarily related to cha</w:t>
      </w:r>
      <w:r>
        <w:rPr>
          <w:rFonts w:ascii="Times New Roman" w:eastAsia="宋体" w:hAnsi="Times New Roman"/>
          <w:color w:val="000000"/>
          <w:sz w:val="20"/>
          <w:szCs w:val="20"/>
        </w:rPr>
        <w:t>nges in the net assets of the disposal group, currency exchange rate fluctuations and customary purchase price adjustments upon closing. During the first quarter of fiscal 2022, the Company deconsolidated the financial statements of Asda and recognized its</w:t>
      </w:r>
      <w:r>
        <w:rPr>
          <w:rFonts w:ascii="Times New Roman" w:eastAsia="宋体" w:hAnsi="Times New Roman"/>
          <w:color w:val="000000"/>
          <w:sz w:val="20"/>
          <w:szCs w:val="20"/>
        </w:rPr>
        <w:t xml:space="preserve"> retained investment in Asda as a debt security within other long-term assets and also recognized certain legal and tax indemnity liabilities within deferred income taxes and other on the Consolidated Balance Sheet.</w:t>
      </w:r>
    </w:p>
    <w:p w14:paraId="35D0BAC9" w14:textId="77777777" w:rsidR="00D42204" w:rsidRDefault="004E439D">
      <w:pPr>
        <w:spacing w:before="100"/>
      </w:pPr>
      <w:r>
        <w:rPr>
          <w:rFonts w:ascii="Times New Roman" w:eastAsia="宋体" w:hAnsi="Times New Roman"/>
          <w:color w:val="000000"/>
          <w:sz w:val="20"/>
          <w:szCs w:val="20"/>
        </w:rPr>
        <w:t xml:space="preserve">Asda was classified as held for sale in </w:t>
      </w:r>
      <w:r>
        <w:rPr>
          <w:rFonts w:ascii="Times New Roman" w:eastAsia="宋体" w:hAnsi="Times New Roman"/>
          <w:color w:val="000000"/>
          <w:sz w:val="20"/>
          <w:szCs w:val="20"/>
        </w:rPr>
        <w:t>the Consolidated Balance Sheet as of January 31, 2021, and as a result, the Company recognized an estimated pre-tax loss of $5.5 billion in other gains and losses in its Consolidated Statement of Income in the fourth quarter of fiscal 2021. Upon classifyin</w:t>
      </w:r>
      <w:r>
        <w:rPr>
          <w:rFonts w:ascii="Times New Roman" w:eastAsia="宋体" w:hAnsi="Times New Roman"/>
          <w:color w:val="000000"/>
          <w:sz w:val="20"/>
          <w:szCs w:val="20"/>
        </w:rPr>
        <w:t xml:space="preserve">g the Asda disposal group as held for sale, $2.3 billion of accumulated pension components associated with the expected derecognition of the Asda pension plan were included as part of the loss. In calculating the loss, the fair value of the disposal group </w:t>
      </w:r>
      <w:r>
        <w:rPr>
          <w:rFonts w:ascii="Times New Roman" w:eastAsia="宋体" w:hAnsi="Times New Roman"/>
          <w:color w:val="000000"/>
          <w:sz w:val="20"/>
          <w:szCs w:val="20"/>
        </w:rPr>
        <w:t xml:space="preserve">was reduced by approximately $0.8 billion related to the estimated fair value of certain indemnities and other transaction related costs. </w:t>
      </w:r>
    </w:p>
    <w:p w14:paraId="35D0BACA" w14:textId="77777777" w:rsidR="00D42204" w:rsidRDefault="004E439D">
      <w:pPr>
        <w:spacing w:before="100"/>
      </w:pPr>
      <w:r>
        <w:rPr>
          <w:rFonts w:ascii="Times New Roman" w:eastAsia="宋体" w:hAnsi="Times New Roman"/>
          <w:i/>
          <w:iCs/>
          <w:color w:val="000000"/>
          <w:sz w:val="20"/>
          <w:szCs w:val="20"/>
        </w:rPr>
        <w:t>Seiyu</w:t>
      </w:r>
    </w:p>
    <w:p w14:paraId="35D0BACB" w14:textId="77777777" w:rsidR="00D42204" w:rsidRDefault="004E439D">
      <w:pPr>
        <w:spacing w:before="100"/>
      </w:pPr>
      <w:r>
        <w:rPr>
          <w:rFonts w:ascii="Times New Roman" w:eastAsia="宋体" w:hAnsi="Times New Roman"/>
          <w:color w:val="000000"/>
          <w:sz w:val="20"/>
          <w:szCs w:val="20"/>
        </w:rPr>
        <w:t>In March 2021, the Company completed the divestiture of Seiyu, the Company's retail operations in Japan, for ne</w:t>
      </w:r>
      <w:r>
        <w:rPr>
          <w:rFonts w:ascii="Times New Roman" w:eastAsia="宋体" w:hAnsi="Times New Roman"/>
          <w:color w:val="000000"/>
          <w:sz w:val="20"/>
          <w:szCs w:val="20"/>
        </w:rPr>
        <w:t>t consideration of $1.2 billion. Upon closing of the transaction, the Company recorded an incremental pre-tax loss of $0.2 billion in other gains and losses in its Consolidated Statement of Income in the first quarter of fiscal 2022, primarily related to c</w:t>
      </w:r>
      <w:r>
        <w:rPr>
          <w:rFonts w:ascii="Times New Roman" w:eastAsia="宋体" w:hAnsi="Times New Roman"/>
          <w:color w:val="000000"/>
          <w:sz w:val="20"/>
          <w:szCs w:val="20"/>
        </w:rPr>
        <w:t xml:space="preserve">hanges in the net assets of the disposal group, currency exchange rate fluctuations and customary purchase price adjustments upon closing. During the first quarter of fiscal 2022, the Company deconsolidated the financial statements of Seiyu and recognized </w:t>
      </w:r>
      <w:r>
        <w:rPr>
          <w:rFonts w:ascii="Times New Roman" w:eastAsia="宋体" w:hAnsi="Times New Roman"/>
          <w:color w:val="000000"/>
          <w:sz w:val="20"/>
          <w:szCs w:val="20"/>
        </w:rPr>
        <w:t>its retained 15 percent ownership interest in Seiyu as an equity investment within other long-term assets on the Consolidated Balance Sheet.</w:t>
      </w:r>
    </w:p>
    <w:p w14:paraId="35D0BACC" w14:textId="77777777" w:rsidR="00D42204" w:rsidRDefault="004E439D">
      <w:pPr>
        <w:spacing w:before="100"/>
      </w:pPr>
      <w:r>
        <w:rPr>
          <w:rFonts w:ascii="Times New Roman" w:eastAsia="宋体" w:hAnsi="Times New Roman"/>
          <w:color w:val="000000"/>
          <w:sz w:val="20"/>
          <w:szCs w:val="20"/>
        </w:rPr>
        <w:t>Seiyu was classified as held for sale in the Consolidated Balance Sheet as of January 31, 2021, and as a result, th</w:t>
      </w:r>
      <w:r>
        <w:rPr>
          <w:rFonts w:ascii="Times New Roman" w:eastAsia="宋体" w:hAnsi="Times New Roman"/>
          <w:color w:val="000000"/>
          <w:sz w:val="20"/>
          <w:szCs w:val="20"/>
        </w:rPr>
        <w:t xml:space="preserve">e Company recognized an estimated pre-tax loss of $1.9 billion in other gains and losses in its Consolidated Statement of Income in the fourth quarter of fiscal 2021. </w:t>
      </w:r>
    </w:p>
    <w:p w14:paraId="35D0BACD" w14:textId="77777777" w:rsidR="00D42204" w:rsidRDefault="004E439D">
      <w:pPr>
        <w:spacing w:before="100"/>
      </w:pPr>
      <w:r>
        <w:rPr>
          <w:rFonts w:ascii="Times New Roman" w:eastAsia="宋体" w:hAnsi="Times New Roman"/>
          <w:color w:val="000000"/>
          <w:sz w:val="20"/>
          <w:szCs w:val="20"/>
        </w:rPr>
        <w:t xml:space="preserve">Assets and liabilities held for sale associated with the Asda and Seiyu disposal groups </w:t>
      </w:r>
      <w:r>
        <w:rPr>
          <w:rFonts w:ascii="Times New Roman" w:eastAsia="宋体" w:hAnsi="Times New Roman"/>
          <w:color w:val="000000"/>
          <w:sz w:val="20"/>
          <w:szCs w:val="20"/>
        </w:rPr>
        <w:t>as of January 31,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51"/>
        <w:gridCol w:w="6947"/>
        <w:gridCol w:w="37"/>
        <w:gridCol w:w="36"/>
        <w:gridCol w:w="36"/>
        <w:gridCol w:w="36"/>
        <w:gridCol w:w="100"/>
        <w:gridCol w:w="1057"/>
        <w:gridCol w:w="36"/>
      </w:tblGrid>
      <w:tr w:rsidR="00D42204" w14:paraId="35D0BAD7" w14:textId="77777777">
        <w:tc>
          <w:tcPr>
            <w:tcW w:w="50" w:type="pct"/>
            <w:shd w:val="clear" w:color="auto" w:fill="auto"/>
            <w:vAlign w:val="bottom"/>
          </w:tcPr>
          <w:p w14:paraId="35D0BACE" w14:textId="77777777" w:rsidR="00D42204" w:rsidRDefault="00D42204">
            <w:pPr>
              <w:rPr>
                <w:rFonts w:ascii="宋体"/>
              </w:rPr>
            </w:pPr>
          </w:p>
        </w:tc>
        <w:tc>
          <w:tcPr>
            <w:tcW w:w="4184" w:type="pct"/>
            <w:shd w:val="clear" w:color="auto" w:fill="auto"/>
            <w:vAlign w:val="bottom"/>
          </w:tcPr>
          <w:p w14:paraId="35D0BACF" w14:textId="77777777" w:rsidR="00D42204" w:rsidRDefault="00D42204">
            <w:pPr>
              <w:rPr>
                <w:rFonts w:ascii="宋体"/>
              </w:rPr>
            </w:pPr>
          </w:p>
        </w:tc>
        <w:tc>
          <w:tcPr>
            <w:tcW w:w="5" w:type="pct"/>
            <w:shd w:val="clear" w:color="auto" w:fill="auto"/>
            <w:vAlign w:val="bottom"/>
          </w:tcPr>
          <w:p w14:paraId="35D0BAD0" w14:textId="77777777" w:rsidR="00D42204" w:rsidRDefault="00D42204">
            <w:pPr>
              <w:rPr>
                <w:rFonts w:ascii="宋体"/>
              </w:rPr>
            </w:pPr>
          </w:p>
        </w:tc>
        <w:tc>
          <w:tcPr>
            <w:tcW w:w="5" w:type="pct"/>
            <w:shd w:val="clear" w:color="auto" w:fill="auto"/>
            <w:vAlign w:val="bottom"/>
          </w:tcPr>
          <w:p w14:paraId="35D0BAD1" w14:textId="77777777" w:rsidR="00D42204" w:rsidRDefault="00D42204">
            <w:pPr>
              <w:rPr>
                <w:rFonts w:ascii="宋体"/>
              </w:rPr>
            </w:pPr>
          </w:p>
        </w:tc>
        <w:tc>
          <w:tcPr>
            <w:tcW w:w="26" w:type="pct"/>
            <w:shd w:val="clear" w:color="auto" w:fill="auto"/>
            <w:vAlign w:val="bottom"/>
          </w:tcPr>
          <w:p w14:paraId="35D0BAD2" w14:textId="77777777" w:rsidR="00D42204" w:rsidRDefault="00D42204">
            <w:pPr>
              <w:rPr>
                <w:rFonts w:ascii="宋体"/>
              </w:rPr>
            </w:pPr>
          </w:p>
        </w:tc>
        <w:tc>
          <w:tcPr>
            <w:tcW w:w="5" w:type="pct"/>
            <w:shd w:val="clear" w:color="auto" w:fill="auto"/>
            <w:vAlign w:val="bottom"/>
          </w:tcPr>
          <w:p w14:paraId="35D0BAD3" w14:textId="77777777" w:rsidR="00D42204" w:rsidRDefault="00D42204">
            <w:pPr>
              <w:rPr>
                <w:rFonts w:ascii="宋体"/>
              </w:rPr>
            </w:pPr>
          </w:p>
        </w:tc>
        <w:tc>
          <w:tcPr>
            <w:tcW w:w="50" w:type="pct"/>
            <w:shd w:val="clear" w:color="auto" w:fill="auto"/>
            <w:vAlign w:val="bottom"/>
          </w:tcPr>
          <w:p w14:paraId="35D0BAD4" w14:textId="77777777" w:rsidR="00D42204" w:rsidRDefault="00D42204">
            <w:pPr>
              <w:rPr>
                <w:rFonts w:ascii="宋体"/>
              </w:rPr>
            </w:pPr>
          </w:p>
        </w:tc>
        <w:tc>
          <w:tcPr>
            <w:tcW w:w="668" w:type="pct"/>
            <w:shd w:val="clear" w:color="auto" w:fill="auto"/>
            <w:vAlign w:val="bottom"/>
          </w:tcPr>
          <w:p w14:paraId="35D0BAD5" w14:textId="77777777" w:rsidR="00D42204" w:rsidRDefault="00D42204">
            <w:pPr>
              <w:rPr>
                <w:rFonts w:ascii="宋体"/>
              </w:rPr>
            </w:pPr>
          </w:p>
        </w:tc>
        <w:tc>
          <w:tcPr>
            <w:tcW w:w="5" w:type="pct"/>
            <w:shd w:val="clear" w:color="auto" w:fill="auto"/>
            <w:vAlign w:val="bottom"/>
          </w:tcPr>
          <w:p w14:paraId="35D0BAD6" w14:textId="77777777" w:rsidR="00D42204" w:rsidRDefault="00D42204">
            <w:pPr>
              <w:rPr>
                <w:rFonts w:ascii="宋体"/>
              </w:rPr>
            </w:pPr>
          </w:p>
        </w:tc>
      </w:tr>
      <w:tr w:rsidR="00D42204" w14:paraId="35D0BADB" w14:textId="77777777">
        <w:tc>
          <w:tcPr>
            <w:tcW w:w="0" w:type="auto"/>
            <w:gridSpan w:val="3"/>
            <w:shd w:val="clear" w:color="auto" w:fill="auto"/>
            <w:tcMar>
              <w:top w:w="0" w:type="dxa"/>
              <w:left w:w="20" w:type="dxa"/>
              <w:bottom w:w="0" w:type="dxa"/>
              <w:right w:w="20" w:type="dxa"/>
            </w:tcMar>
            <w:vAlign w:val="bottom"/>
          </w:tcPr>
          <w:p w14:paraId="35D0BAD8"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AD9"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ADA" w14:textId="77777777" w:rsidR="00D42204" w:rsidRDefault="004E439D">
            <w:pPr>
              <w:jc w:val="center"/>
              <w:textAlignment w:val="bottom"/>
            </w:pPr>
            <w:r>
              <w:rPr>
                <w:rFonts w:ascii="Times New Roman" w:eastAsia="宋体" w:hAnsi="Times New Roman"/>
                <w:b/>
                <w:bCs/>
                <w:color w:val="000000"/>
                <w:sz w:val="16"/>
                <w:szCs w:val="16"/>
              </w:rPr>
              <w:t>January 31,</w:t>
            </w:r>
          </w:p>
        </w:tc>
      </w:tr>
      <w:tr w:rsidR="00D42204" w14:paraId="35D0BADF" w14:textId="77777777">
        <w:tc>
          <w:tcPr>
            <w:tcW w:w="0" w:type="auto"/>
            <w:gridSpan w:val="3"/>
            <w:shd w:val="clear" w:color="auto" w:fill="auto"/>
            <w:tcMar>
              <w:top w:w="40" w:type="dxa"/>
              <w:left w:w="20" w:type="dxa"/>
              <w:bottom w:w="40" w:type="dxa"/>
              <w:right w:w="20" w:type="dxa"/>
            </w:tcMar>
            <w:vAlign w:val="bottom"/>
          </w:tcPr>
          <w:p w14:paraId="35D0BADC"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ADD"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ADE" w14:textId="77777777" w:rsidR="00D42204" w:rsidRDefault="004E439D">
            <w:pPr>
              <w:jc w:val="center"/>
              <w:textAlignment w:val="bottom"/>
            </w:pPr>
            <w:r>
              <w:rPr>
                <w:rFonts w:ascii="Times New Roman" w:eastAsia="宋体" w:hAnsi="Times New Roman"/>
                <w:b/>
                <w:bCs/>
                <w:color w:val="000000"/>
                <w:sz w:val="16"/>
                <w:szCs w:val="16"/>
              </w:rPr>
              <w:t>2021</w:t>
            </w:r>
          </w:p>
        </w:tc>
      </w:tr>
      <w:tr w:rsidR="00D42204" w14:paraId="35D0BAE5" w14:textId="77777777">
        <w:tc>
          <w:tcPr>
            <w:tcW w:w="0" w:type="auto"/>
            <w:gridSpan w:val="3"/>
            <w:shd w:val="clear" w:color="auto" w:fill="CCEEFF"/>
            <w:tcMar>
              <w:top w:w="40" w:type="dxa"/>
              <w:left w:w="20" w:type="dxa"/>
              <w:bottom w:w="40" w:type="dxa"/>
              <w:right w:w="20" w:type="dxa"/>
            </w:tcMar>
            <w:vAlign w:val="center"/>
          </w:tcPr>
          <w:p w14:paraId="35D0BAE0" w14:textId="77777777" w:rsidR="00D42204" w:rsidRDefault="004E439D">
            <w:pPr>
              <w:textAlignment w:val="center"/>
            </w:pPr>
            <w:r>
              <w:rPr>
                <w:rFonts w:ascii="Times New Roman" w:eastAsia="宋体" w:hAnsi="Times New Roman"/>
                <w:color w:val="000000"/>
                <w:sz w:val="16"/>
                <w:szCs w:val="16"/>
              </w:rPr>
              <w:t>Cash and cash equivalents</w:t>
            </w:r>
          </w:p>
        </w:tc>
        <w:tc>
          <w:tcPr>
            <w:tcW w:w="0" w:type="auto"/>
            <w:gridSpan w:val="3"/>
            <w:shd w:val="clear" w:color="auto" w:fill="CCEEFF"/>
            <w:tcMar>
              <w:top w:w="0" w:type="dxa"/>
              <w:left w:w="20" w:type="dxa"/>
              <w:bottom w:w="0" w:type="dxa"/>
              <w:right w:w="20" w:type="dxa"/>
            </w:tcMar>
            <w:vAlign w:val="bottom"/>
          </w:tcPr>
          <w:p w14:paraId="35D0BAE1"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AE2"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AE3" w14:textId="77777777" w:rsidR="00D42204" w:rsidRDefault="004E439D">
            <w:pPr>
              <w:jc w:val="right"/>
              <w:textAlignment w:val="center"/>
            </w:pPr>
            <w:r>
              <w:rPr>
                <w:rFonts w:ascii="Times New Roman" w:eastAsia="宋体" w:hAnsi="Times New Roman"/>
                <w:color w:val="000000"/>
                <w:sz w:val="16"/>
                <w:szCs w:val="16"/>
              </w:rPr>
              <w:t>1,848 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AE4" w14:textId="77777777" w:rsidR="00D42204" w:rsidRDefault="00D42204">
            <w:pPr>
              <w:jc w:val="right"/>
              <w:rPr>
                <w:rFonts w:ascii="宋体"/>
              </w:rPr>
            </w:pPr>
          </w:p>
        </w:tc>
      </w:tr>
      <w:tr w:rsidR="00D42204" w14:paraId="35D0BAEA" w14:textId="77777777">
        <w:tc>
          <w:tcPr>
            <w:tcW w:w="0" w:type="auto"/>
            <w:gridSpan w:val="3"/>
            <w:shd w:val="clear" w:color="auto" w:fill="FFFFFF"/>
            <w:tcMar>
              <w:top w:w="40" w:type="dxa"/>
              <w:left w:w="20" w:type="dxa"/>
              <w:bottom w:w="40" w:type="dxa"/>
              <w:right w:w="20" w:type="dxa"/>
            </w:tcMar>
            <w:vAlign w:val="center"/>
          </w:tcPr>
          <w:p w14:paraId="35D0BAE6" w14:textId="77777777" w:rsidR="00D42204" w:rsidRDefault="004E439D">
            <w:pPr>
              <w:textAlignment w:val="center"/>
            </w:pPr>
            <w:r>
              <w:rPr>
                <w:rFonts w:ascii="Times New Roman" w:eastAsia="宋体" w:hAnsi="Times New Roman"/>
                <w:color w:val="000000"/>
                <w:sz w:val="16"/>
                <w:szCs w:val="16"/>
              </w:rPr>
              <w:t>Other current assets</w:t>
            </w:r>
            <w:r>
              <w:rPr>
                <w:rFonts w:ascii="Times New Roman" w:eastAsia="宋体" w:hAnsi="Times New Roman"/>
                <w:color w:val="000000"/>
                <w:sz w:val="10"/>
                <w:szCs w:val="10"/>
              </w:rPr>
              <w:t>(1)</w:t>
            </w:r>
          </w:p>
        </w:tc>
        <w:tc>
          <w:tcPr>
            <w:tcW w:w="0" w:type="auto"/>
            <w:gridSpan w:val="3"/>
            <w:shd w:val="clear" w:color="auto" w:fill="FFFFFF"/>
            <w:tcMar>
              <w:top w:w="0" w:type="dxa"/>
              <w:left w:w="20" w:type="dxa"/>
              <w:bottom w:w="0" w:type="dxa"/>
              <w:right w:w="20" w:type="dxa"/>
            </w:tcMar>
            <w:vAlign w:val="bottom"/>
          </w:tcPr>
          <w:p w14:paraId="35D0BAE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AE8" w14:textId="77777777" w:rsidR="00D42204" w:rsidRDefault="004E439D">
            <w:pPr>
              <w:jc w:val="right"/>
              <w:textAlignment w:val="center"/>
            </w:pPr>
            <w:r>
              <w:rPr>
                <w:rFonts w:ascii="Times New Roman" w:eastAsia="宋体" w:hAnsi="Times New Roman"/>
                <w:color w:val="000000"/>
                <w:sz w:val="16"/>
                <w:szCs w:val="16"/>
              </w:rPr>
              <w:t>2,545 </w:t>
            </w:r>
          </w:p>
        </w:tc>
        <w:tc>
          <w:tcPr>
            <w:tcW w:w="0" w:type="auto"/>
            <w:shd w:val="clear" w:color="auto" w:fill="FFFFFF"/>
            <w:tcMar>
              <w:top w:w="40" w:type="dxa"/>
              <w:left w:w="0" w:type="dxa"/>
              <w:bottom w:w="40" w:type="dxa"/>
              <w:right w:w="20" w:type="dxa"/>
            </w:tcMar>
            <w:vAlign w:val="center"/>
          </w:tcPr>
          <w:p w14:paraId="35D0BAE9" w14:textId="77777777" w:rsidR="00D42204" w:rsidRDefault="00D42204">
            <w:pPr>
              <w:jc w:val="right"/>
              <w:rPr>
                <w:rFonts w:ascii="宋体"/>
              </w:rPr>
            </w:pPr>
          </w:p>
        </w:tc>
      </w:tr>
      <w:tr w:rsidR="00D42204" w14:paraId="35D0BAEF" w14:textId="77777777">
        <w:tc>
          <w:tcPr>
            <w:tcW w:w="0" w:type="auto"/>
            <w:gridSpan w:val="3"/>
            <w:shd w:val="clear" w:color="auto" w:fill="CCEEFF"/>
            <w:tcMar>
              <w:top w:w="40" w:type="dxa"/>
              <w:left w:w="20" w:type="dxa"/>
              <w:bottom w:w="40" w:type="dxa"/>
              <w:right w:w="20" w:type="dxa"/>
            </w:tcMar>
            <w:vAlign w:val="center"/>
          </w:tcPr>
          <w:p w14:paraId="35D0BAEB" w14:textId="77777777" w:rsidR="00D42204" w:rsidRDefault="004E439D">
            <w:pPr>
              <w:textAlignment w:val="center"/>
            </w:pPr>
            <w:r>
              <w:rPr>
                <w:rFonts w:ascii="Times New Roman" w:eastAsia="宋体" w:hAnsi="Times New Roman"/>
                <w:color w:val="000000"/>
                <w:sz w:val="16"/>
                <w:szCs w:val="16"/>
              </w:rPr>
              <w:t>Property and equipment, net</w:t>
            </w:r>
          </w:p>
        </w:tc>
        <w:tc>
          <w:tcPr>
            <w:tcW w:w="0" w:type="auto"/>
            <w:gridSpan w:val="3"/>
            <w:shd w:val="clear" w:color="auto" w:fill="CCEEFF"/>
            <w:tcMar>
              <w:top w:w="0" w:type="dxa"/>
              <w:left w:w="20" w:type="dxa"/>
              <w:bottom w:w="0" w:type="dxa"/>
              <w:right w:w="20" w:type="dxa"/>
            </w:tcMar>
            <w:vAlign w:val="bottom"/>
          </w:tcPr>
          <w:p w14:paraId="35D0BAE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AED" w14:textId="77777777" w:rsidR="00D42204" w:rsidRDefault="004E439D">
            <w:pPr>
              <w:jc w:val="right"/>
              <w:textAlignment w:val="center"/>
            </w:pPr>
            <w:r>
              <w:rPr>
                <w:rFonts w:ascii="Times New Roman" w:eastAsia="宋体" w:hAnsi="Times New Roman"/>
                <w:color w:val="000000"/>
                <w:sz w:val="16"/>
                <w:szCs w:val="16"/>
              </w:rPr>
              <w:t>13,193 </w:t>
            </w:r>
          </w:p>
        </w:tc>
        <w:tc>
          <w:tcPr>
            <w:tcW w:w="0" w:type="auto"/>
            <w:shd w:val="clear" w:color="auto" w:fill="CCEEFF"/>
            <w:tcMar>
              <w:top w:w="40" w:type="dxa"/>
              <w:left w:w="0" w:type="dxa"/>
              <w:bottom w:w="40" w:type="dxa"/>
              <w:right w:w="20" w:type="dxa"/>
            </w:tcMar>
            <w:vAlign w:val="center"/>
          </w:tcPr>
          <w:p w14:paraId="35D0BAEE" w14:textId="77777777" w:rsidR="00D42204" w:rsidRDefault="00D42204">
            <w:pPr>
              <w:jc w:val="right"/>
              <w:rPr>
                <w:rFonts w:ascii="宋体"/>
              </w:rPr>
            </w:pPr>
          </w:p>
        </w:tc>
      </w:tr>
      <w:tr w:rsidR="00D42204" w14:paraId="35D0BAF4" w14:textId="77777777">
        <w:tc>
          <w:tcPr>
            <w:tcW w:w="0" w:type="auto"/>
            <w:gridSpan w:val="3"/>
            <w:shd w:val="clear" w:color="auto" w:fill="FFFFFF"/>
            <w:tcMar>
              <w:top w:w="40" w:type="dxa"/>
              <w:left w:w="20" w:type="dxa"/>
              <w:bottom w:w="40" w:type="dxa"/>
              <w:right w:w="20" w:type="dxa"/>
            </w:tcMar>
            <w:vAlign w:val="center"/>
          </w:tcPr>
          <w:p w14:paraId="35D0BAF0" w14:textId="77777777" w:rsidR="00D42204" w:rsidRDefault="004E439D">
            <w:pPr>
              <w:textAlignment w:val="center"/>
            </w:pPr>
            <w:r>
              <w:rPr>
                <w:rFonts w:ascii="Times New Roman" w:eastAsia="宋体" w:hAnsi="Times New Roman"/>
                <w:color w:val="000000"/>
                <w:sz w:val="16"/>
                <w:szCs w:val="16"/>
              </w:rPr>
              <w:t>Operating lease right-of-use assets</w:t>
            </w:r>
          </w:p>
        </w:tc>
        <w:tc>
          <w:tcPr>
            <w:tcW w:w="0" w:type="auto"/>
            <w:gridSpan w:val="3"/>
            <w:shd w:val="clear" w:color="auto" w:fill="FFFFFF"/>
            <w:tcMar>
              <w:top w:w="0" w:type="dxa"/>
              <w:left w:w="20" w:type="dxa"/>
              <w:bottom w:w="0" w:type="dxa"/>
              <w:right w:w="20" w:type="dxa"/>
            </w:tcMar>
            <w:vAlign w:val="bottom"/>
          </w:tcPr>
          <w:p w14:paraId="35D0BAF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AF2" w14:textId="77777777" w:rsidR="00D42204" w:rsidRDefault="004E439D">
            <w:pPr>
              <w:jc w:val="right"/>
              <w:textAlignment w:val="center"/>
            </w:pPr>
            <w:r>
              <w:rPr>
                <w:rFonts w:ascii="Times New Roman" w:eastAsia="宋体" w:hAnsi="Times New Roman"/>
                <w:color w:val="000000"/>
                <w:sz w:val="16"/>
                <w:szCs w:val="16"/>
              </w:rPr>
              <w:t>4,360 </w:t>
            </w:r>
          </w:p>
        </w:tc>
        <w:tc>
          <w:tcPr>
            <w:tcW w:w="0" w:type="auto"/>
            <w:shd w:val="clear" w:color="auto" w:fill="FFFFFF"/>
            <w:tcMar>
              <w:top w:w="40" w:type="dxa"/>
              <w:left w:w="0" w:type="dxa"/>
              <w:bottom w:w="40" w:type="dxa"/>
              <w:right w:w="20" w:type="dxa"/>
            </w:tcMar>
            <w:vAlign w:val="center"/>
          </w:tcPr>
          <w:p w14:paraId="35D0BAF3" w14:textId="77777777" w:rsidR="00D42204" w:rsidRDefault="00D42204">
            <w:pPr>
              <w:jc w:val="right"/>
              <w:rPr>
                <w:rFonts w:ascii="宋体"/>
              </w:rPr>
            </w:pPr>
          </w:p>
        </w:tc>
      </w:tr>
      <w:tr w:rsidR="00D42204" w14:paraId="35D0BAF9" w14:textId="77777777">
        <w:tc>
          <w:tcPr>
            <w:tcW w:w="0" w:type="auto"/>
            <w:gridSpan w:val="3"/>
            <w:shd w:val="clear" w:color="auto" w:fill="CCEEFF"/>
            <w:tcMar>
              <w:top w:w="40" w:type="dxa"/>
              <w:left w:w="20" w:type="dxa"/>
              <w:bottom w:w="40" w:type="dxa"/>
              <w:right w:w="20" w:type="dxa"/>
            </w:tcMar>
            <w:vAlign w:val="center"/>
          </w:tcPr>
          <w:p w14:paraId="35D0BAF5" w14:textId="77777777" w:rsidR="00D42204" w:rsidRDefault="004E439D">
            <w:pPr>
              <w:textAlignment w:val="center"/>
            </w:pPr>
            <w:r>
              <w:rPr>
                <w:rFonts w:ascii="Times New Roman" w:eastAsia="宋体" w:hAnsi="Times New Roman"/>
                <w:color w:val="000000"/>
                <w:sz w:val="16"/>
                <w:szCs w:val="16"/>
              </w:rPr>
              <w:t>Finance lease right-of-use assets, net</w:t>
            </w:r>
          </w:p>
        </w:tc>
        <w:tc>
          <w:tcPr>
            <w:tcW w:w="0" w:type="auto"/>
            <w:gridSpan w:val="3"/>
            <w:shd w:val="clear" w:color="auto" w:fill="CCEEFF"/>
            <w:tcMar>
              <w:top w:w="0" w:type="dxa"/>
              <w:left w:w="20" w:type="dxa"/>
              <w:bottom w:w="0" w:type="dxa"/>
              <w:right w:w="20" w:type="dxa"/>
            </w:tcMar>
            <w:vAlign w:val="bottom"/>
          </w:tcPr>
          <w:p w14:paraId="35D0BAF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AF7" w14:textId="77777777" w:rsidR="00D42204" w:rsidRDefault="004E439D">
            <w:pPr>
              <w:jc w:val="right"/>
              <w:textAlignment w:val="center"/>
            </w:pPr>
            <w:r>
              <w:rPr>
                <w:rFonts w:ascii="Times New Roman" w:eastAsia="宋体" w:hAnsi="Times New Roman"/>
                <w:color w:val="000000"/>
                <w:sz w:val="16"/>
                <w:szCs w:val="16"/>
              </w:rPr>
              <w:t>1,395 </w:t>
            </w:r>
          </w:p>
        </w:tc>
        <w:tc>
          <w:tcPr>
            <w:tcW w:w="0" w:type="auto"/>
            <w:shd w:val="clear" w:color="auto" w:fill="CCEEFF"/>
            <w:tcMar>
              <w:top w:w="40" w:type="dxa"/>
              <w:left w:w="0" w:type="dxa"/>
              <w:bottom w:w="40" w:type="dxa"/>
              <w:right w:w="20" w:type="dxa"/>
            </w:tcMar>
            <w:vAlign w:val="center"/>
          </w:tcPr>
          <w:p w14:paraId="35D0BAF8" w14:textId="77777777" w:rsidR="00D42204" w:rsidRDefault="00D42204">
            <w:pPr>
              <w:jc w:val="right"/>
              <w:rPr>
                <w:rFonts w:ascii="宋体"/>
              </w:rPr>
            </w:pPr>
          </w:p>
        </w:tc>
      </w:tr>
      <w:tr w:rsidR="00D42204" w14:paraId="35D0BAFE" w14:textId="77777777">
        <w:tc>
          <w:tcPr>
            <w:tcW w:w="0" w:type="auto"/>
            <w:gridSpan w:val="3"/>
            <w:shd w:val="clear" w:color="auto" w:fill="FFFFFF"/>
            <w:tcMar>
              <w:top w:w="40" w:type="dxa"/>
              <w:left w:w="20" w:type="dxa"/>
              <w:bottom w:w="40" w:type="dxa"/>
              <w:right w:w="20" w:type="dxa"/>
            </w:tcMar>
            <w:vAlign w:val="center"/>
          </w:tcPr>
          <w:p w14:paraId="35D0BAFA" w14:textId="77777777" w:rsidR="00D42204" w:rsidRDefault="004E439D">
            <w:pPr>
              <w:textAlignment w:val="center"/>
            </w:pPr>
            <w:r>
              <w:rPr>
                <w:rFonts w:ascii="Times New Roman" w:eastAsia="宋体" w:hAnsi="Times New Roman"/>
                <w:color w:val="000000"/>
                <w:sz w:val="16"/>
                <w:szCs w:val="16"/>
              </w:rPr>
              <w:t>Goodwill</w:t>
            </w:r>
          </w:p>
        </w:tc>
        <w:tc>
          <w:tcPr>
            <w:tcW w:w="0" w:type="auto"/>
            <w:gridSpan w:val="3"/>
            <w:shd w:val="clear" w:color="auto" w:fill="FFFFFF"/>
            <w:tcMar>
              <w:top w:w="0" w:type="dxa"/>
              <w:left w:w="20" w:type="dxa"/>
              <w:bottom w:w="0" w:type="dxa"/>
              <w:right w:w="20" w:type="dxa"/>
            </w:tcMar>
            <w:vAlign w:val="bottom"/>
          </w:tcPr>
          <w:p w14:paraId="35D0BAF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AFC" w14:textId="77777777" w:rsidR="00D42204" w:rsidRDefault="004E439D">
            <w:pPr>
              <w:jc w:val="right"/>
              <w:textAlignment w:val="center"/>
            </w:pPr>
            <w:r>
              <w:rPr>
                <w:rFonts w:ascii="Times New Roman" w:eastAsia="宋体" w:hAnsi="Times New Roman"/>
                <w:color w:val="000000"/>
                <w:sz w:val="16"/>
                <w:szCs w:val="16"/>
              </w:rPr>
              <w:t>2,211 </w:t>
            </w:r>
          </w:p>
        </w:tc>
        <w:tc>
          <w:tcPr>
            <w:tcW w:w="0" w:type="auto"/>
            <w:shd w:val="clear" w:color="auto" w:fill="FFFFFF"/>
            <w:tcMar>
              <w:top w:w="40" w:type="dxa"/>
              <w:left w:w="0" w:type="dxa"/>
              <w:bottom w:w="40" w:type="dxa"/>
              <w:right w:w="20" w:type="dxa"/>
            </w:tcMar>
            <w:vAlign w:val="center"/>
          </w:tcPr>
          <w:p w14:paraId="35D0BAFD" w14:textId="77777777" w:rsidR="00D42204" w:rsidRDefault="00D42204">
            <w:pPr>
              <w:jc w:val="right"/>
              <w:rPr>
                <w:rFonts w:ascii="宋体"/>
              </w:rPr>
            </w:pPr>
          </w:p>
        </w:tc>
      </w:tr>
      <w:tr w:rsidR="00D42204" w14:paraId="35D0BB03" w14:textId="77777777">
        <w:tc>
          <w:tcPr>
            <w:tcW w:w="0" w:type="auto"/>
            <w:gridSpan w:val="3"/>
            <w:shd w:val="clear" w:color="auto" w:fill="CCEEFF"/>
            <w:tcMar>
              <w:top w:w="40" w:type="dxa"/>
              <w:left w:w="20" w:type="dxa"/>
              <w:bottom w:w="40" w:type="dxa"/>
              <w:right w:w="20" w:type="dxa"/>
            </w:tcMar>
            <w:vAlign w:val="center"/>
          </w:tcPr>
          <w:p w14:paraId="35D0BAFF" w14:textId="77777777" w:rsidR="00D42204" w:rsidRDefault="004E439D">
            <w:pPr>
              <w:textAlignment w:val="center"/>
            </w:pPr>
            <w:r>
              <w:rPr>
                <w:rFonts w:ascii="Times New Roman" w:eastAsia="宋体" w:hAnsi="Times New Roman"/>
                <w:color w:val="000000"/>
                <w:sz w:val="16"/>
                <w:szCs w:val="16"/>
              </w:rPr>
              <w:t>Other long-term assets</w:t>
            </w:r>
          </w:p>
        </w:tc>
        <w:tc>
          <w:tcPr>
            <w:tcW w:w="0" w:type="auto"/>
            <w:gridSpan w:val="3"/>
            <w:shd w:val="clear" w:color="auto" w:fill="CCEEFF"/>
            <w:tcMar>
              <w:top w:w="0" w:type="dxa"/>
              <w:left w:w="20" w:type="dxa"/>
              <w:bottom w:w="0" w:type="dxa"/>
              <w:right w:w="20" w:type="dxa"/>
            </w:tcMar>
            <w:vAlign w:val="bottom"/>
          </w:tcPr>
          <w:p w14:paraId="35D0BB0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B01" w14:textId="77777777" w:rsidR="00D42204" w:rsidRDefault="004E439D">
            <w:pPr>
              <w:jc w:val="right"/>
              <w:textAlignment w:val="center"/>
            </w:pPr>
            <w:r>
              <w:rPr>
                <w:rFonts w:ascii="Times New Roman" w:eastAsia="宋体" w:hAnsi="Times New Roman"/>
                <w:color w:val="000000"/>
                <w:sz w:val="16"/>
                <w:szCs w:val="16"/>
              </w:rPr>
              <w:t>1,063 </w:t>
            </w:r>
          </w:p>
        </w:tc>
        <w:tc>
          <w:tcPr>
            <w:tcW w:w="0" w:type="auto"/>
            <w:shd w:val="clear" w:color="auto" w:fill="CCEEFF"/>
            <w:tcMar>
              <w:top w:w="40" w:type="dxa"/>
              <w:left w:w="0" w:type="dxa"/>
              <w:bottom w:w="40" w:type="dxa"/>
              <w:right w:w="20" w:type="dxa"/>
            </w:tcMar>
            <w:vAlign w:val="center"/>
          </w:tcPr>
          <w:p w14:paraId="35D0BB02" w14:textId="77777777" w:rsidR="00D42204" w:rsidRDefault="00D42204">
            <w:pPr>
              <w:jc w:val="right"/>
              <w:rPr>
                <w:rFonts w:ascii="宋体"/>
              </w:rPr>
            </w:pPr>
          </w:p>
        </w:tc>
      </w:tr>
      <w:tr w:rsidR="00D42204" w14:paraId="35D0BB08" w14:textId="77777777">
        <w:tc>
          <w:tcPr>
            <w:tcW w:w="0" w:type="auto"/>
            <w:gridSpan w:val="3"/>
            <w:shd w:val="clear" w:color="auto" w:fill="FFFFFF"/>
            <w:tcMar>
              <w:top w:w="40" w:type="dxa"/>
              <w:left w:w="20" w:type="dxa"/>
              <w:bottom w:w="40" w:type="dxa"/>
              <w:right w:w="20" w:type="dxa"/>
            </w:tcMar>
            <w:vAlign w:val="center"/>
          </w:tcPr>
          <w:p w14:paraId="35D0BB04" w14:textId="77777777" w:rsidR="00D42204" w:rsidRDefault="004E439D">
            <w:pPr>
              <w:textAlignment w:val="center"/>
            </w:pPr>
            <w:r>
              <w:rPr>
                <w:rFonts w:ascii="Times New Roman" w:eastAsia="宋体" w:hAnsi="Times New Roman"/>
                <w:color w:val="000000"/>
                <w:sz w:val="16"/>
                <w:szCs w:val="16"/>
              </w:rPr>
              <w:t>Valuation allowance against assets held for sale</w:t>
            </w:r>
            <w:r>
              <w:rPr>
                <w:rFonts w:ascii="Times New Roman" w:eastAsia="宋体" w:hAnsi="Times New Roman"/>
                <w:color w:val="000000"/>
                <w:sz w:val="10"/>
                <w:szCs w:val="10"/>
              </w:rPr>
              <w:t>(2)</w:t>
            </w:r>
          </w:p>
        </w:tc>
        <w:tc>
          <w:tcPr>
            <w:tcW w:w="0" w:type="auto"/>
            <w:gridSpan w:val="3"/>
            <w:shd w:val="clear" w:color="auto" w:fill="FFFFFF"/>
            <w:tcMar>
              <w:top w:w="0" w:type="dxa"/>
              <w:left w:w="20" w:type="dxa"/>
              <w:bottom w:w="0" w:type="dxa"/>
              <w:right w:w="20" w:type="dxa"/>
            </w:tcMar>
            <w:vAlign w:val="bottom"/>
          </w:tcPr>
          <w:p w14:paraId="35D0BB05"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B06" w14:textId="77777777" w:rsidR="00D42204" w:rsidRDefault="004E439D">
            <w:pPr>
              <w:jc w:val="right"/>
              <w:textAlignment w:val="center"/>
            </w:pPr>
            <w:r>
              <w:rPr>
                <w:rFonts w:ascii="Times New Roman" w:eastAsia="宋体" w:hAnsi="Times New Roman"/>
                <w:color w:val="000000"/>
                <w:sz w:val="16"/>
                <w:szCs w:val="16"/>
              </w:rPr>
              <w:t>(7,420)</w:t>
            </w:r>
          </w:p>
        </w:tc>
        <w:tc>
          <w:tcPr>
            <w:tcW w:w="0" w:type="auto"/>
            <w:shd w:val="clear" w:color="auto" w:fill="FFFFFF"/>
            <w:tcMar>
              <w:top w:w="40" w:type="dxa"/>
              <w:left w:w="0" w:type="dxa"/>
              <w:bottom w:w="40" w:type="dxa"/>
              <w:right w:w="20" w:type="dxa"/>
            </w:tcMar>
            <w:vAlign w:val="center"/>
          </w:tcPr>
          <w:p w14:paraId="35D0BB07" w14:textId="77777777" w:rsidR="00D42204" w:rsidRDefault="00D42204">
            <w:pPr>
              <w:jc w:val="right"/>
              <w:rPr>
                <w:rFonts w:ascii="宋体"/>
              </w:rPr>
            </w:pPr>
          </w:p>
        </w:tc>
      </w:tr>
      <w:tr w:rsidR="00D42204" w14:paraId="35D0BB0E" w14:textId="77777777">
        <w:tc>
          <w:tcPr>
            <w:tcW w:w="0" w:type="auto"/>
            <w:gridSpan w:val="3"/>
            <w:shd w:val="clear" w:color="auto" w:fill="CCEEFF"/>
            <w:tcMar>
              <w:top w:w="40" w:type="dxa"/>
              <w:left w:w="140" w:type="dxa"/>
              <w:bottom w:w="40" w:type="dxa"/>
              <w:right w:w="20" w:type="dxa"/>
            </w:tcMar>
            <w:vAlign w:val="center"/>
          </w:tcPr>
          <w:p w14:paraId="35D0BB09" w14:textId="77777777" w:rsidR="00D42204" w:rsidRDefault="004E439D">
            <w:pPr>
              <w:textAlignment w:val="center"/>
            </w:pPr>
            <w:r>
              <w:rPr>
                <w:rFonts w:ascii="Times New Roman" w:eastAsia="宋体" w:hAnsi="Times New Roman"/>
                <w:b/>
                <w:bCs/>
                <w:color w:val="000000"/>
                <w:sz w:val="16"/>
                <w:szCs w:val="16"/>
              </w:rPr>
              <w:t>Total assets held for sale</w:t>
            </w:r>
          </w:p>
        </w:tc>
        <w:tc>
          <w:tcPr>
            <w:tcW w:w="0" w:type="auto"/>
            <w:gridSpan w:val="3"/>
            <w:shd w:val="clear" w:color="auto" w:fill="CCEEFF"/>
            <w:tcMar>
              <w:top w:w="0" w:type="dxa"/>
              <w:left w:w="20" w:type="dxa"/>
              <w:bottom w:w="0" w:type="dxa"/>
              <w:right w:w="20" w:type="dxa"/>
            </w:tcMar>
            <w:vAlign w:val="bottom"/>
          </w:tcPr>
          <w:p w14:paraId="35D0BB0A"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B0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B0C" w14:textId="77777777" w:rsidR="00D42204" w:rsidRDefault="004E439D">
            <w:pPr>
              <w:jc w:val="right"/>
              <w:textAlignment w:val="center"/>
            </w:pPr>
            <w:r>
              <w:rPr>
                <w:rFonts w:ascii="Times New Roman" w:eastAsia="宋体" w:hAnsi="Times New Roman"/>
                <w:color w:val="000000"/>
                <w:sz w:val="16"/>
                <w:szCs w:val="16"/>
              </w:rPr>
              <w:t>19,195 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B0D" w14:textId="77777777" w:rsidR="00D42204" w:rsidRDefault="00D42204">
            <w:pPr>
              <w:jc w:val="right"/>
              <w:rPr>
                <w:rFonts w:ascii="宋体"/>
              </w:rPr>
            </w:pPr>
          </w:p>
        </w:tc>
      </w:tr>
      <w:tr w:rsidR="00D42204" w14:paraId="35D0BB12" w14:textId="77777777">
        <w:trPr>
          <w:trHeight w:val="240"/>
        </w:trPr>
        <w:tc>
          <w:tcPr>
            <w:tcW w:w="0" w:type="auto"/>
            <w:gridSpan w:val="3"/>
            <w:shd w:val="clear" w:color="auto" w:fill="FFFFFF"/>
            <w:tcMar>
              <w:top w:w="0" w:type="dxa"/>
              <w:left w:w="20" w:type="dxa"/>
              <w:bottom w:w="0" w:type="dxa"/>
              <w:right w:w="20" w:type="dxa"/>
            </w:tcMar>
            <w:vAlign w:val="bottom"/>
          </w:tcPr>
          <w:p w14:paraId="35D0BB0F"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B10" w14:textId="77777777" w:rsidR="00D42204" w:rsidRDefault="00D4220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35D0BB11" w14:textId="77777777" w:rsidR="00D42204" w:rsidRDefault="00D42204">
            <w:pPr>
              <w:rPr>
                <w:rFonts w:ascii="宋体"/>
              </w:rPr>
            </w:pPr>
          </w:p>
        </w:tc>
      </w:tr>
      <w:tr w:rsidR="00D42204" w14:paraId="35D0BB17" w14:textId="77777777">
        <w:tc>
          <w:tcPr>
            <w:tcW w:w="0" w:type="auto"/>
            <w:gridSpan w:val="3"/>
            <w:shd w:val="clear" w:color="auto" w:fill="CCEEFF"/>
            <w:tcMar>
              <w:top w:w="40" w:type="dxa"/>
              <w:left w:w="20" w:type="dxa"/>
              <w:bottom w:w="40" w:type="dxa"/>
              <w:right w:w="20" w:type="dxa"/>
            </w:tcMar>
            <w:vAlign w:val="center"/>
          </w:tcPr>
          <w:p w14:paraId="35D0BB13" w14:textId="77777777" w:rsidR="00D42204" w:rsidRDefault="004E439D">
            <w:pPr>
              <w:textAlignment w:val="center"/>
            </w:pPr>
            <w:r>
              <w:rPr>
                <w:rFonts w:ascii="Times New Roman" w:eastAsia="宋体" w:hAnsi="Times New Roman"/>
                <w:color w:val="000000"/>
                <w:sz w:val="16"/>
                <w:szCs w:val="16"/>
              </w:rPr>
              <w:t>Current liabilities</w:t>
            </w:r>
            <w:r>
              <w:rPr>
                <w:rFonts w:ascii="Times New Roman" w:eastAsia="宋体" w:hAnsi="Times New Roman"/>
                <w:color w:val="000000"/>
                <w:sz w:val="10"/>
                <w:szCs w:val="10"/>
              </w:rPr>
              <w:t>(3)</w:t>
            </w:r>
          </w:p>
        </w:tc>
        <w:tc>
          <w:tcPr>
            <w:tcW w:w="0" w:type="auto"/>
            <w:gridSpan w:val="3"/>
            <w:shd w:val="clear" w:color="auto" w:fill="CCEEFF"/>
            <w:tcMar>
              <w:top w:w="0" w:type="dxa"/>
              <w:left w:w="20" w:type="dxa"/>
              <w:bottom w:w="0" w:type="dxa"/>
              <w:right w:w="20" w:type="dxa"/>
            </w:tcMar>
            <w:vAlign w:val="bottom"/>
          </w:tcPr>
          <w:p w14:paraId="35D0BB1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B15" w14:textId="77777777" w:rsidR="00D42204" w:rsidRDefault="004E439D">
            <w:pPr>
              <w:jc w:val="right"/>
              <w:textAlignment w:val="center"/>
            </w:pPr>
            <w:r>
              <w:rPr>
                <w:rFonts w:ascii="Times New Roman" w:eastAsia="宋体" w:hAnsi="Times New Roman"/>
                <w:color w:val="000000"/>
                <w:sz w:val="16"/>
                <w:szCs w:val="16"/>
              </w:rPr>
              <w:t>6,535 </w:t>
            </w:r>
          </w:p>
        </w:tc>
        <w:tc>
          <w:tcPr>
            <w:tcW w:w="0" w:type="auto"/>
            <w:shd w:val="clear" w:color="auto" w:fill="CCEEFF"/>
            <w:tcMar>
              <w:top w:w="40" w:type="dxa"/>
              <w:left w:w="0" w:type="dxa"/>
              <w:bottom w:w="40" w:type="dxa"/>
              <w:right w:w="20" w:type="dxa"/>
            </w:tcMar>
            <w:vAlign w:val="center"/>
          </w:tcPr>
          <w:p w14:paraId="35D0BB16" w14:textId="77777777" w:rsidR="00D42204" w:rsidRDefault="00D42204">
            <w:pPr>
              <w:jc w:val="right"/>
              <w:rPr>
                <w:rFonts w:ascii="宋体"/>
              </w:rPr>
            </w:pPr>
          </w:p>
        </w:tc>
      </w:tr>
      <w:tr w:rsidR="00D42204" w14:paraId="35D0BB1C" w14:textId="77777777">
        <w:tc>
          <w:tcPr>
            <w:tcW w:w="0" w:type="auto"/>
            <w:gridSpan w:val="3"/>
            <w:shd w:val="clear" w:color="auto" w:fill="FFFFFF"/>
            <w:tcMar>
              <w:top w:w="40" w:type="dxa"/>
              <w:left w:w="20" w:type="dxa"/>
              <w:bottom w:w="40" w:type="dxa"/>
              <w:right w:w="20" w:type="dxa"/>
            </w:tcMar>
            <w:vAlign w:val="center"/>
          </w:tcPr>
          <w:p w14:paraId="35D0BB18" w14:textId="77777777" w:rsidR="00D42204" w:rsidRDefault="004E439D">
            <w:pPr>
              <w:textAlignment w:val="center"/>
            </w:pPr>
            <w:r>
              <w:rPr>
                <w:rFonts w:ascii="Times New Roman" w:eastAsia="宋体" w:hAnsi="Times New Roman"/>
                <w:color w:val="000000"/>
                <w:sz w:val="16"/>
                <w:szCs w:val="16"/>
              </w:rPr>
              <w:t>Operating lease obligations, including amounts due within one year</w:t>
            </w:r>
          </w:p>
        </w:tc>
        <w:tc>
          <w:tcPr>
            <w:tcW w:w="0" w:type="auto"/>
            <w:gridSpan w:val="3"/>
            <w:shd w:val="clear" w:color="auto" w:fill="FFFFFF"/>
            <w:tcMar>
              <w:top w:w="0" w:type="dxa"/>
              <w:left w:w="20" w:type="dxa"/>
              <w:bottom w:w="0" w:type="dxa"/>
              <w:right w:w="20" w:type="dxa"/>
            </w:tcMar>
            <w:vAlign w:val="bottom"/>
          </w:tcPr>
          <w:p w14:paraId="35D0BB1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B1A" w14:textId="77777777" w:rsidR="00D42204" w:rsidRDefault="004E439D">
            <w:pPr>
              <w:jc w:val="right"/>
              <w:textAlignment w:val="center"/>
            </w:pPr>
            <w:r>
              <w:rPr>
                <w:rFonts w:ascii="Times New Roman" w:eastAsia="宋体" w:hAnsi="Times New Roman"/>
                <w:color w:val="000000"/>
                <w:sz w:val="16"/>
                <w:szCs w:val="16"/>
              </w:rPr>
              <w:t>4,245 </w:t>
            </w:r>
          </w:p>
        </w:tc>
        <w:tc>
          <w:tcPr>
            <w:tcW w:w="0" w:type="auto"/>
            <w:shd w:val="clear" w:color="auto" w:fill="FFFFFF"/>
            <w:tcMar>
              <w:top w:w="40" w:type="dxa"/>
              <w:left w:w="0" w:type="dxa"/>
              <w:bottom w:w="40" w:type="dxa"/>
              <w:right w:w="20" w:type="dxa"/>
            </w:tcMar>
            <w:vAlign w:val="center"/>
          </w:tcPr>
          <w:p w14:paraId="35D0BB1B" w14:textId="77777777" w:rsidR="00D42204" w:rsidRDefault="00D42204">
            <w:pPr>
              <w:jc w:val="right"/>
              <w:rPr>
                <w:rFonts w:ascii="宋体"/>
              </w:rPr>
            </w:pPr>
          </w:p>
        </w:tc>
      </w:tr>
      <w:tr w:rsidR="00D42204" w14:paraId="35D0BB21" w14:textId="77777777">
        <w:tc>
          <w:tcPr>
            <w:tcW w:w="0" w:type="auto"/>
            <w:gridSpan w:val="3"/>
            <w:shd w:val="clear" w:color="auto" w:fill="CCEEFF"/>
            <w:tcMar>
              <w:top w:w="40" w:type="dxa"/>
              <w:left w:w="20" w:type="dxa"/>
              <w:bottom w:w="40" w:type="dxa"/>
              <w:right w:w="20" w:type="dxa"/>
            </w:tcMar>
            <w:vAlign w:val="center"/>
          </w:tcPr>
          <w:p w14:paraId="35D0BB1D" w14:textId="77777777" w:rsidR="00D42204" w:rsidRDefault="004E439D">
            <w:pPr>
              <w:textAlignment w:val="center"/>
            </w:pPr>
            <w:r>
              <w:rPr>
                <w:rFonts w:ascii="Times New Roman" w:eastAsia="宋体" w:hAnsi="Times New Roman"/>
                <w:color w:val="000000"/>
                <w:sz w:val="16"/>
                <w:szCs w:val="16"/>
              </w:rPr>
              <w:t>Finance lease obligations, including amounts due within one year</w:t>
            </w:r>
          </w:p>
        </w:tc>
        <w:tc>
          <w:tcPr>
            <w:tcW w:w="0" w:type="auto"/>
            <w:gridSpan w:val="3"/>
            <w:shd w:val="clear" w:color="auto" w:fill="CCEEFF"/>
            <w:tcMar>
              <w:top w:w="0" w:type="dxa"/>
              <w:left w:w="20" w:type="dxa"/>
              <w:bottom w:w="0" w:type="dxa"/>
              <w:right w:w="20" w:type="dxa"/>
            </w:tcMar>
            <w:vAlign w:val="bottom"/>
          </w:tcPr>
          <w:p w14:paraId="35D0BB1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B1F" w14:textId="77777777" w:rsidR="00D42204" w:rsidRDefault="004E439D">
            <w:pPr>
              <w:jc w:val="right"/>
              <w:textAlignment w:val="center"/>
            </w:pPr>
            <w:r>
              <w:rPr>
                <w:rFonts w:ascii="Times New Roman" w:eastAsia="宋体" w:hAnsi="Times New Roman"/>
                <w:color w:val="000000"/>
                <w:sz w:val="16"/>
                <w:szCs w:val="16"/>
              </w:rPr>
              <w:t>1,495 </w:t>
            </w:r>
          </w:p>
        </w:tc>
        <w:tc>
          <w:tcPr>
            <w:tcW w:w="0" w:type="auto"/>
            <w:shd w:val="clear" w:color="auto" w:fill="CCEEFF"/>
            <w:tcMar>
              <w:top w:w="40" w:type="dxa"/>
              <w:left w:w="0" w:type="dxa"/>
              <w:bottom w:w="40" w:type="dxa"/>
              <w:right w:w="20" w:type="dxa"/>
            </w:tcMar>
            <w:vAlign w:val="center"/>
          </w:tcPr>
          <w:p w14:paraId="35D0BB20" w14:textId="77777777" w:rsidR="00D42204" w:rsidRDefault="00D42204">
            <w:pPr>
              <w:jc w:val="right"/>
              <w:rPr>
                <w:rFonts w:ascii="宋体"/>
              </w:rPr>
            </w:pPr>
          </w:p>
        </w:tc>
      </w:tr>
      <w:tr w:rsidR="00D42204" w14:paraId="35D0BB26" w14:textId="77777777">
        <w:tc>
          <w:tcPr>
            <w:tcW w:w="0" w:type="auto"/>
            <w:gridSpan w:val="3"/>
            <w:shd w:val="clear" w:color="auto" w:fill="FFFFFF"/>
            <w:tcMar>
              <w:top w:w="40" w:type="dxa"/>
              <w:left w:w="20" w:type="dxa"/>
              <w:bottom w:w="40" w:type="dxa"/>
              <w:right w:w="20" w:type="dxa"/>
            </w:tcMar>
            <w:vAlign w:val="center"/>
          </w:tcPr>
          <w:p w14:paraId="35D0BB22" w14:textId="77777777" w:rsidR="00D42204" w:rsidRDefault="004E439D">
            <w:pPr>
              <w:textAlignment w:val="center"/>
            </w:pPr>
            <w:r>
              <w:rPr>
                <w:rFonts w:ascii="Times New Roman" w:eastAsia="宋体" w:hAnsi="Times New Roman"/>
                <w:color w:val="000000"/>
                <w:sz w:val="16"/>
                <w:szCs w:val="16"/>
              </w:rPr>
              <w:t>Deferred income taxes and other</w:t>
            </w:r>
          </w:p>
        </w:tc>
        <w:tc>
          <w:tcPr>
            <w:tcW w:w="0" w:type="auto"/>
            <w:gridSpan w:val="3"/>
            <w:shd w:val="clear" w:color="auto" w:fill="FFFFFF"/>
            <w:tcMar>
              <w:top w:w="0" w:type="dxa"/>
              <w:left w:w="20" w:type="dxa"/>
              <w:bottom w:w="0" w:type="dxa"/>
              <w:right w:w="20" w:type="dxa"/>
            </w:tcMar>
            <w:vAlign w:val="bottom"/>
          </w:tcPr>
          <w:p w14:paraId="35D0BB2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B24" w14:textId="77777777" w:rsidR="00D42204" w:rsidRDefault="004E439D">
            <w:pPr>
              <w:jc w:val="right"/>
              <w:textAlignment w:val="center"/>
            </w:pPr>
            <w:r>
              <w:rPr>
                <w:rFonts w:ascii="Times New Roman" w:eastAsia="宋体" w:hAnsi="Times New Roman"/>
                <w:color w:val="000000"/>
                <w:sz w:val="16"/>
                <w:szCs w:val="16"/>
              </w:rPr>
              <w:t>459 </w:t>
            </w:r>
          </w:p>
        </w:tc>
        <w:tc>
          <w:tcPr>
            <w:tcW w:w="0" w:type="auto"/>
            <w:shd w:val="clear" w:color="auto" w:fill="FFFFFF"/>
            <w:tcMar>
              <w:top w:w="40" w:type="dxa"/>
              <w:left w:w="0" w:type="dxa"/>
              <w:bottom w:w="40" w:type="dxa"/>
              <w:right w:w="20" w:type="dxa"/>
            </w:tcMar>
            <w:vAlign w:val="center"/>
          </w:tcPr>
          <w:p w14:paraId="35D0BB25" w14:textId="77777777" w:rsidR="00D42204" w:rsidRDefault="00D42204">
            <w:pPr>
              <w:jc w:val="right"/>
              <w:rPr>
                <w:rFonts w:ascii="宋体"/>
              </w:rPr>
            </w:pPr>
          </w:p>
        </w:tc>
      </w:tr>
      <w:tr w:rsidR="00D42204" w14:paraId="35D0BB2C" w14:textId="77777777">
        <w:tc>
          <w:tcPr>
            <w:tcW w:w="0" w:type="auto"/>
            <w:gridSpan w:val="3"/>
            <w:shd w:val="clear" w:color="auto" w:fill="CCEEFF"/>
            <w:tcMar>
              <w:top w:w="40" w:type="dxa"/>
              <w:left w:w="140" w:type="dxa"/>
              <w:bottom w:w="40" w:type="dxa"/>
              <w:right w:w="20" w:type="dxa"/>
            </w:tcMar>
            <w:vAlign w:val="center"/>
          </w:tcPr>
          <w:p w14:paraId="35D0BB27" w14:textId="77777777" w:rsidR="00D42204" w:rsidRDefault="004E439D">
            <w:pPr>
              <w:textAlignment w:val="center"/>
            </w:pPr>
            <w:r>
              <w:rPr>
                <w:rFonts w:ascii="Times New Roman" w:eastAsia="宋体" w:hAnsi="Times New Roman"/>
                <w:b/>
                <w:bCs/>
                <w:color w:val="000000"/>
                <w:sz w:val="16"/>
                <w:szCs w:val="16"/>
              </w:rPr>
              <w:t>Total liabilities held for sale</w:t>
            </w:r>
          </w:p>
        </w:tc>
        <w:tc>
          <w:tcPr>
            <w:tcW w:w="0" w:type="auto"/>
            <w:gridSpan w:val="3"/>
            <w:shd w:val="clear" w:color="auto" w:fill="CCEEFF"/>
            <w:tcMar>
              <w:top w:w="0" w:type="dxa"/>
              <w:left w:w="20" w:type="dxa"/>
              <w:bottom w:w="0" w:type="dxa"/>
              <w:right w:w="20" w:type="dxa"/>
            </w:tcMar>
            <w:vAlign w:val="bottom"/>
          </w:tcPr>
          <w:p w14:paraId="35D0BB28"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B29"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B2A" w14:textId="77777777" w:rsidR="00D42204" w:rsidRDefault="004E439D">
            <w:pPr>
              <w:jc w:val="right"/>
              <w:textAlignment w:val="center"/>
            </w:pPr>
            <w:r>
              <w:rPr>
                <w:rFonts w:ascii="Times New Roman" w:eastAsia="宋体" w:hAnsi="Times New Roman"/>
                <w:color w:val="000000"/>
                <w:sz w:val="16"/>
                <w:szCs w:val="16"/>
              </w:rPr>
              <w:t>12,734 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B2B" w14:textId="77777777" w:rsidR="00D42204" w:rsidRDefault="00D42204">
            <w:pPr>
              <w:jc w:val="right"/>
              <w:rPr>
                <w:rFonts w:ascii="宋体"/>
              </w:rPr>
            </w:pPr>
          </w:p>
        </w:tc>
      </w:tr>
    </w:tbl>
    <w:p w14:paraId="35D0BB2D" w14:textId="77777777" w:rsidR="00D42204" w:rsidRDefault="004E439D">
      <w:pPr>
        <w:ind w:hanging="270"/>
      </w:pPr>
      <w:r>
        <w:rPr>
          <w:rFonts w:ascii="Times New Roman" w:eastAsia="宋体" w:hAnsi="Times New Roman"/>
          <w:color w:val="000000"/>
          <w:sz w:val="10"/>
          <w:szCs w:val="10"/>
        </w:rPr>
        <w:t>(1)</w:t>
      </w:r>
      <w:r>
        <w:rPr>
          <w:rFonts w:ascii="Times New Roman" w:eastAsia="宋体" w:hAnsi="Times New Roman"/>
          <w:color w:val="000000"/>
          <w:sz w:val="16"/>
          <w:szCs w:val="16"/>
        </w:rPr>
        <w:t xml:space="preserve">Includes </w:t>
      </w:r>
      <w:r>
        <w:rPr>
          <w:rFonts w:ascii="Times New Roman" w:eastAsia="宋体" w:hAnsi="Times New Roman"/>
          <w:color w:val="000000"/>
          <w:sz w:val="16"/>
          <w:szCs w:val="16"/>
        </w:rPr>
        <w:t>inventories, receivables, net and prepaid expenses and other.</w:t>
      </w:r>
    </w:p>
    <w:p w14:paraId="35D0BB2E" w14:textId="77777777" w:rsidR="00D42204" w:rsidRDefault="004E439D">
      <w:pPr>
        <w:ind w:hanging="270"/>
      </w:pPr>
      <w:r>
        <w:rPr>
          <w:rFonts w:ascii="Times New Roman" w:eastAsia="宋体" w:hAnsi="Times New Roman"/>
          <w:color w:val="000000"/>
          <w:sz w:val="10"/>
          <w:szCs w:val="10"/>
        </w:rPr>
        <w:t>(2)</w:t>
      </w:r>
      <w:r>
        <w:rPr>
          <w:rFonts w:ascii="Times New Roman" w:eastAsia="宋体" w:hAnsi="Times New Roman"/>
          <w:color w:val="000000"/>
          <w:sz w:val="16"/>
          <w:szCs w:val="16"/>
        </w:rPr>
        <w:t>Includes the $2.3 billion loss associated with the derecognition of the Asda pension plan and $1.3 billion cumulative foreign currency and related net investment hedge and other impacts inclu</w:t>
      </w:r>
      <w:r>
        <w:rPr>
          <w:rFonts w:ascii="Times New Roman" w:eastAsia="宋体" w:hAnsi="Times New Roman"/>
          <w:color w:val="000000"/>
          <w:sz w:val="16"/>
          <w:szCs w:val="16"/>
        </w:rPr>
        <w:t xml:space="preserve">ded within the disposal groups, which were reclassified from accumulated other comprehensive loss upon closure of each transaction. </w:t>
      </w:r>
    </w:p>
    <w:p w14:paraId="35D0BB2F" w14:textId="77777777" w:rsidR="00D42204" w:rsidRDefault="004E439D">
      <w:pPr>
        <w:ind w:hanging="270"/>
      </w:pPr>
      <w:r>
        <w:rPr>
          <w:rFonts w:ascii="Times New Roman" w:eastAsia="宋体" w:hAnsi="Times New Roman"/>
          <w:color w:val="000000"/>
          <w:sz w:val="10"/>
          <w:szCs w:val="10"/>
        </w:rPr>
        <w:t>(3)</w:t>
      </w:r>
      <w:r>
        <w:rPr>
          <w:rFonts w:ascii="Times New Roman" w:eastAsia="宋体" w:hAnsi="Times New Roman"/>
          <w:color w:val="000000"/>
          <w:sz w:val="16"/>
          <w:szCs w:val="16"/>
        </w:rPr>
        <w:t>Includes accounts payable and accrued liabilities.</w:t>
      </w:r>
    </w:p>
    <w:p w14:paraId="35D0BB30" w14:textId="77777777" w:rsidR="00D42204" w:rsidRDefault="004E439D">
      <w:pPr>
        <w:spacing w:before="100" w:after="100"/>
      </w:pPr>
      <w:r>
        <w:rPr>
          <w:rFonts w:ascii="Times New Roman" w:eastAsia="宋体" w:hAnsi="Times New Roman"/>
          <w:i/>
          <w:iCs/>
          <w:color w:val="000000"/>
          <w:sz w:val="20"/>
          <w:szCs w:val="20"/>
        </w:rPr>
        <w:t>Walmart Argentina</w:t>
      </w:r>
    </w:p>
    <w:p w14:paraId="35D0BB31" w14:textId="77777777" w:rsidR="00D42204" w:rsidRDefault="004E439D">
      <w:pPr>
        <w:spacing w:before="100"/>
      </w:pPr>
      <w:r>
        <w:rPr>
          <w:rFonts w:ascii="Times New Roman" w:eastAsia="宋体" w:hAnsi="Times New Roman"/>
          <w:color w:val="000000"/>
          <w:sz w:val="20"/>
          <w:szCs w:val="20"/>
        </w:rPr>
        <w:t>In November 2020, the Company completed the sale of</w:t>
      </w:r>
      <w:r>
        <w:rPr>
          <w:rFonts w:ascii="Times New Roman" w:eastAsia="宋体" w:hAnsi="Times New Roman"/>
          <w:color w:val="000000"/>
          <w:sz w:val="20"/>
          <w:szCs w:val="20"/>
        </w:rPr>
        <w:t xml:space="preserve"> Walmart Argentina. As a result, the Company recorded a pre-tax loss of $1.0 billion in the third quarter of fiscal 2021 in other gains and losses in its Consolidated Statement of Income primarily due to the impact of cumulative translation losses on the c</w:t>
      </w:r>
      <w:r>
        <w:rPr>
          <w:rFonts w:ascii="Times New Roman" w:eastAsia="宋体" w:hAnsi="Times New Roman"/>
          <w:color w:val="000000"/>
          <w:sz w:val="20"/>
          <w:szCs w:val="20"/>
        </w:rPr>
        <w:t>arrying value of the disposal group.</w:t>
      </w:r>
    </w:p>
    <w:p w14:paraId="35D0BB32" w14:textId="77777777" w:rsidR="00D42204" w:rsidRDefault="004E439D">
      <w:pPr>
        <w:jc w:val="center"/>
      </w:pPr>
      <w:r>
        <w:rPr>
          <w:rFonts w:ascii="Times New Roman" w:eastAsia="宋体" w:hAnsi="Times New Roman"/>
          <w:color w:val="000000"/>
          <w:sz w:val="20"/>
          <w:szCs w:val="20"/>
        </w:rPr>
        <w:t>76</w:t>
      </w:r>
    </w:p>
    <w:p w14:paraId="35D0BB33" w14:textId="77777777" w:rsidR="00D42204" w:rsidRDefault="004E439D">
      <w:r>
        <w:pict w14:anchorId="35D0C3A7">
          <v:rect id="_x0000_i1100" style="width:415.3pt;height:1.5pt" o:hralign="center" o:hrstd="t" o:hr="t" fillcolor="#a0a0a0" stroked="f"/>
        </w:pict>
      </w:r>
    </w:p>
    <w:p w14:paraId="35D0BB34" w14:textId="77777777" w:rsidR="00D42204" w:rsidRDefault="00D42204"/>
    <w:p w14:paraId="35D0BB35" w14:textId="77777777" w:rsidR="00D42204" w:rsidRDefault="004E439D">
      <w:pPr>
        <w:spacing w:before="180"/>
      </w:pPr>
      <w:r>
        <w:rPr>
          <w:rFonts w:ascii="Times New Roman" w:eastAsia="宋体" w:hAnsi="Times New Roman"/>
          <w:b/>
          <w:bCs/>
          <w:color w:val="000000"/>
          <w:sz w:val="20"/>
          <w:szCs w:val="20"/>
        </w:rPr>
        <w:t>Note 13. Segments and Disaggregated Revenue</w:t>
      </w:r>
    </w:p>
    <w:p w14:paraId="35D0BB36" w14:textId="77777777" w:rsidR="00D42204" w:rsidRDefault="004E439D">
      <w:pPr>
        <w:spacing w:before="120"/>
      </w:pPr>
      <w:r>
        <w:rPr>
          <w:rFonts w:ascii="Times New Roman" w:eastAsia="宋体" w:hAnsi="Times New Roman"/>
          <w:i/>
          <w:iCs/>
          <w:color w:val="000000"/>
          <w:sz w:val="20"/>
          <w:szCs w:val="20"/>
        </w:rPr>
        <w:t>Segments</w:t>
      </w:r>
    </w:p>
    <w:p w14:paraId="35D0BB37" w14:textId="77777777" w:rsidR="00D42204" w:rsidRDefault="004E439D">
      <w:pPr>
        <w:spacing w:before="100"/>
      </w:pPr>
      <w:r>
        <w:rPr>
          <w:rFonts w:ascii="Times New Roman" w:eastAsia="宋体" w:hAnsi="Times New Roman"/>
          <w:color w:val="000000"/>
          <w:sz w:val="20"/>
          <w:szCs w:val="20"/>
        </w:rPr>
        <w:t>The Company is engaged in the operation of retail and wholesale stores and clubs, as well as eCommerce websites, located throughout the U.S., Africa, Canada, Central America, Chile, China, India and Mexico. The Company previously operated in Argentina prio</w:t>
      </w:r>
      <w:r>
        <w:rPr>
          <w:rFonts w:ascii="Times New Roman" w:eastAsia="宋体" w:hAnsi="Times New Roman"/>
          <w:color w:val="000000"/>
          <w:sz w:val="20"/>
          <w:szCs w:val="20"/>
        </w:rPr>
        <w:t xml:space="preserve">r to the sale of Walmart Argentina in the fourth quarter of fiscal 2021 and operated in the United Kingdom and Japan prior to the sale of those operations in the first quarter of fiscal 2022. Refer to </w:t>
      </w:r>
      <w:hyperlink r:id="rId157" w:anchor="i1ba69ebb72ec48f9b754a5e96c4cdf3f_190" w:history="1">
        <w:r>
          <w:rPr>
            <w:rStyle w:val="a5"/>
            <w:rFonts w:ascii="Times New Roman" w:eastAsia="宋体" w:hAnsi="Times New Roman"/>
            <w:sz w:val="20"/>
            <w:szCs w:val="20"/>
          </w:rPr>
          <w:t>Note 12</w:t>
        </w:r>
      </w:hyperlink>
      <w:r>
        <w:rPr>
          <w:rFonts w:ascii="Times New Roman" w:eastAsia="宋体" w:hAnsi="Times New Roman"/>
          <w:color w:val="000000"/>
          <w:sz w:val="20"/>
          <w:szCs w:val="20"/>
        </w:rPr>
        <w:t xml:space="preserve"> for discussion of recent divestitures. The Company's operations are conducted in three reportable segments: Walmart U.S., Walmart International and S</w:t>
      </w:r>
      <w:r>
        <w:rPr>
          <w:rFonts w:ascii="Times New Roman" w:eastAsia="宋体" w:hAnsi="Times New Roman"/>
          <w:color w:val="000000"/>
          <w:sz w:val="20"/>
          <w:szCs w:val="20"/>
        </w:rPr>
        <w:t>am's Club. The Company defines its segments as those operations whose results the chief operating decision maker ("CODM") regularly reviews to analyze performance and allocate resources. The Company sells similar individual products and services in each of</w:t>
      </w:r>
      <w:r>
        <w:rPr>
          <w:rFonts w:ascii="Times New Roman" w:eastAsia="宋体" w:hAnsi="Times New Roman"/>
          <w:color w:val="000000"/>
          <w:sz w:val="20"/>
          <w:szCs w:val="20"/>
        </w:rPr>
        <w:t xml:space="preserve"> its segments. It is impracticable to segregate and identify revenues for each of these individual products and services.</w:t>
      </w:r>
    </w:p>
    <w:p w14:paraId="35D0BB38" w14:textId="77777777" w:rsidR="00D42204" w:rsidRDefault="004E439D">
      <w:pPr>
        <w:spacing w:before="100"/>
      </w:pPr>
      <w:r>
        <w:rPr>
          <w:rFonts w:ascii="Times New Roman" w:eastAsia="宋体" w:hAnsi="Times New Roman"/>
          <w:color w:val="000000"/>
          <w:sz w:val="20"/>
          <w:szCs w:val="20"/>
        </w:rPr>
        <w:t xml:space="preserve">The Walmart U.S. segment includes the Company's mass merchant concept in the U.S., as well as eCommerce and omni-channel initiatives. </w:t>
      </w:r>
      <w:r>
        <w:rPr>
          <w:rFonts w:ascii="Times New Roman" w:eastAsia="宋体" w:hAnsi="Times New Roman"/>
          <w:color w:val="000000"/>
          <w:sz w:val="20"/>
          <w:szCs w:val="20"/>
        </w:rPr>
        <w:t>The Walmart International segment consists of the Company's operations outside of the U.S., as well as eCommerce and omni-channel initiatives. The Sam's Club segment includes the warehouse membership clubs in the U.S., as well as eCommerce and omni-channel</w:t>
      </w:r>
      <w:r>
        <w:rPr>
          <w:rFonts w:ascii="Times New Roman" w:eastAsia="宋体" w:hAnsi="Times New Roman"/>
          <w:color w:val="000000"/>
          <w:sz w:val="20"/>
          <w:szCs w:val="20"/>
        </w:rPr>
        <w:t xml:space="preserve"> initiatives. Corporate and support consists of corporate overhead and other items not allocated to any of the Company's segments.</w:t>
      </w:r>
    </w:p>
    <w:p w14:paraId="35D0BB39" w14:textId="77777777" w:rsidR="00D42204" w:rsidRDefault="004E439D">
      <w:pPr>
        <w:spacing w:before="100"/>
      </w:pPr>
      <w:r>
        <w:rPr>
          <w:rFonts w:ascii="Times New Roman" w:eastAsia="宋体" w:hAnsi="Times New Roman"/>
          <w:color w:val="000000"/>
          <w:sz w:val="20"/>
          <w:szCs w:val="20"/>
        </w:rPr>
        <w:t xml:space="preserve">The Company measures the results of its segments using, among other measures, each segment's net sales and operating income, </w:t>
      </w:r>
      <w:r>
        <w:rPr>
          <w:rFonts w:ascii="Times New Roman" w:eastAsia="宋体" w:hAnsi="Times New Roman"/>
          <w:color w:val="000000"/>
          <w:sz w:val="20"/>
          <w:szCs w:val="20"/>
        </w:rPr>
        <w:t>which includes certain corporate overhead allocations. From time to time, the Company revises the measurement of each segment's operating income, including any corporate overhead allocations, as determined by the information regularly reviewed by its CODM.</w:t>
      </w:r>
      <w:r>
        <w:rPr>
          <w:rFonts w:ascii="Times New Roman" w:eastAsia="宋体" w:hAnsi="Times New Roman"/>
          <w:color w:val="000000"/>
          <w:sz w:val="20"/>
          <w:szCs w:val="20"/>
        </w:rPr>
        <w:t xml:space="preserve"> Information for the Company's segments, as well as for Corporate and support, including the reconciliation to income before income taxes, is provided in the following table:</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3425"/>
        <w:gridCol w:w="37"/>
        <w:gridCol w:w="36"/>
        <w:gridCol w:w="36"/>
        <w:gridCol w:w="36"/>
        <w:gridCol w:w="100"/>
        <w:gridCol w:w="642"/>
        <w:gridCol w:w="36"/>
        <w:gridCol w:w="36"/>
        <w:gridCol w:w="36"/>
        <w:gridCol w:w="36"/>
        <w:gridCol w:w="101"/>
        <w:gridCol w:w="849"/>
        <w:gridCol w:w="36"/>
        <w:gridCol w:w="36"/>
        <w:gridCol w:w="36"/>
        <w:gridCol w:w="36"/>
        <w:gridCol w:w="100"/>
        <w:gridCol w:w="584"/>
        <w:gridCol w:w="36"/>
        <w:gridCol w:w="36"/>
        <w:gridCol w:w="36"/>
        <w:gridCol w:w="36"/>
        <w:gridCol w:w="101"/>
        <w:gridCol w:w="672"/>
        <w:gridCol w:w="36"/>
        <w:gridCol w:w="36"/>
        <w:gridCol w:w="36"/>
        <w:gridCol w:w="36"/>
        <w:gridCol w:w="101"/>
        <w:gridCol w:w="841"/>
        <w:gridCol w:w="36"/>
      </w:tblGrid>
      <w:tr w:rsidR="00D42204" w14:paraId="35D0BB5B" w14:textId="77777777">
        <w:trPr>
          <w:jc w:val="center"/>
        </w:trPr>
        <w:tc>
          <w:tcPr>
            <w:tcW w:w="50" w:type="pct"/>
            <w:shd w:val="clear" w:color="auto" w:fill="auto"/>
            <w:vAlign w:val="bottom"/>
          </w:tcPr>
          <w:p w14:paraId="35D0BB3A" w14:textId="77777777" w:rsidR="00D42204" w:rsidRDefault="00D42204">
            <w:pPr>
              <w:rPr>
                <w:rFonts w:ascii="宋体"/>
              </w:rPr>
            </w:pPr>
          </w:p>
        </w:tc>
        <w:tc>
          <w:tcPr>
            <w:tcW w:w="2122" w:type="pct"/>
            <w:shd w:val="clear" w:color="auto" w:fill="auto"/>
            <w:vAlign w:val="bottom"/>
          </w:tcPr>
          <w:p w14:paraId="35D0BB3B" w14:textId="77777777" w:rsidR="00D42204" w:rsidRDefault="00D42204">
            <w:pPr>
              <w:rPr>
                <w:rFonts w:ascii="宋体"/>
              </w:rPr>
            </w:pPr>
          </w:p>
        </w:tc>
        <w:tc>
          <w:tcPr>
            <w:tcW w:w="5" w:type="pct"/>
            <w:shd w:val="clear" w:color="auto" w:fill="auto"/>
            <w:vAlign w:val="bottom"/>
          </w:tcPr>
          <w:p w14:paraId="35D0BB3C" w14:textId="77777777" w:rsidR="00D42204" w:rsidRDefault="00D42204">
            <w:pPr>
              <w:rPr>
                <w:rFonts w:ascii="宋体"/>
              </w:rPr>
            </w:pPr>
          </w:p>
        </w:tc>
        <w:tc>
          <w:tcPr>
            <w:tcW w:w="5" w:type="pct"/>
            <w:shd w:val="clear" w:color="auto" w:fill="auto"/>
            <w:vAlign w:val="bottom"/>
          </w:tcPr>
          <w:p w14:paraId="35D0BB3D" w14:textId="77777777" w:rsidR="00D42204" w:rsidRDefault="00D42204">
            <w:pPr>
              <w:rPr>
                <w:rFonts w:ascii="宋体"/>
              </w:rPr>
            </w:pPr>
          </w:p>
        </w:tc>
        <w:tc>
          <w:tcPr>
            <w:tcW w:w="26" w:type="pct"/>
            <w:shd w:val="clear" w:color="auto" w:fill="auto"/>
            <w:vAlign w:val="bottom"/>
          </w:tcPr>
          <w:p w14:paraId="35D0BB3E" w14:textId="77777777" w:rsidR="00D42204" w:rsidRDefault="00D42204">
            <w:pPr>
              <w:rPr>
                <w:rFonts w:ascii="宋体"/>
              </w:rPr>
            </w:pPr>
          </w:p>
        </w:tc>
        <w:tc>
          <w:tcPr>
            <w:tcW w:w="5" w:type="pct"/>
            <w:shd w:val="clear" w:color="auto" w:fill="auto"/>
            <w:vAlign w:val="bottom"/>
          </w:tcPr>
          <w:p w14:paraId="35D0BB3F" w14:textId="77777777" w:rsidR="00D42204" w:rsidRDefault="00D42204">
            <w:pPr>
              <w:rPr>
                <w:rFonts w:ascii="宋体"/>
              </w:rPr>
            </w:pPr>
          </w:p>
        </w:tc>
        <w:tc>
          <w:tcPr>
            <w:tcW w:w="50" w:type="pct"/>
            <w:shd w:val="clear" w:color="auto" w:fill="auto"/>
            <w:vAlign w:val="bottom"/>
          </w:tcPr>
          <w:p w14:paraId="35D0BB40" w14:textId="77777777" w:rsidR="00D42204" w:rsidRDefault="00D42204">
            <w:pPr>
              <w:rPr>
                <w:rFonts w:ascii="宋体"/>
              </w:rPr>
            </w:pPr>
          </w:p>
        </w:tc>
        <w:tc>
          <w:tcPr>
            <w:tcW w:w="472" w:type="pct"/>
            <w:shd w:val="clear" w:color="auto" w:fill="auto"/>
            <w:vAlign w:val="bottom"/>
          </w:tcPr>
          <w:p w14:paraId="35D0BB41" w14:textId="77777777" w:rsidR="00D42204" w:rsidRDefault="00D42204">
            <w:pPr>
              <w:rPr>
                <w:rFonts w:ascii="宋体"/>
              </w:rPr>
            </w:pPr>
          </w:p>
        </w:tc>
        <w:tc>
          <w:tcPr>
            <w:tcW w:w="5" w:type="pct"/>
            <w:shd w:val="clear" w:color="auto" w:fill="auto"/>
            <w:vAlign w:val="bottom"/>
          </w:tcPr>
          <w:p w14:paraId="35D0BB42" w14:textId="77777777" w:rsidR="00D42204" w:rsidRDefault="00D42204">
            <w:pPr>
              <w:rPr>
                <w:rFonts w:ascii="宋体"/>
              </w:rPr>
            </w:pPr>
          </w:p>
        </w:tc>
        <w:tc>
          <w:tcPr>
            <w:tcW w:w="5" w:type="pct"/>
            <w:shd w:val="clear" w:color="auto" w:fill="auto"/>
            <w:vAlign w:val="bottom"/>
          </w:tcPr>
          <w:p w14:paraId="35D0BB43" w14:textId="77777777" w:rsidR="00D42204" w:rsidRDefault="00D42204">
            <w:pPr>
              <w:rPr>
                <w:rFonts w:ascii="宋体"/>
              </w:rPr>
            </w:pPr>
          </w:p>
        </w:tc>
        <w:tc>
          <w:tcPr>
            <w:tcW w:w="26" w:type="pct"/>
            <w:shd w:val="clear" w:color="auto" w:fill="auto"/>
            <w:vAlign w:val="bottom"/>
          </w:tcPr>
          <w:p w14:paraId="35D0BB44" w14:textId="77777777" w:rsidR="00D42204" w:rsidRDefault="00D42204">
            <w:pPr>
              <w:rPr>
                <w:rFonts w:ascii="宋体"/>
              </w:rPr>
            </w:pPr>
          </w:p>
        </w:tc>
        <w:tc>
          <w:tcPr>
            <w:tcW w:w="5" w:type="pct"/>
            <w:shd w:val="clear" w:color="auto" w:fill="auto"/>
            <w:vAlign w:val="bottom"/>
          </w:tcPr>
          <w:p w14:paraId="35D0BB45" w14:textId="77777777" w:rsidR="00D42204" w:rsidRDefault="00D42204">
            <w:pPr>
              <w:rPr>
                <w:rFonts w:ascii="宋体"/>
              </w:rPr>
            </w:pPr>
          </w:p>
        </w:tc>
        <w:tc>
          <w:tcPr>
            <w:tcW w:w="50" w:type="pct"/>
            <w:shd w:val="clear" w:color="auto" w:fill="auto"/>
            <w:vAlign w:val="bottom"/>
          </w:tcPr>
          <w:p w14:paraId="35D0BB46" w14:textId="77777777" w:rsidR="00D42204" w:rsidRDefault="00D42204">
            <w:pPr>
              <w:rPr>
                <w:rFonts w:ascii="宋体"/>
              </w:rPr>
            </w:pPr>
          </w:p>
        </w:tc>
        <w:tc>
          <w:tcPr>
            <w:tcW w:w="472" w:type="pct"/>
            <w:shd w:val="clear" w:color="auto" w:fill="auto"/>
            <w:vAlign w:val="bottom"/>
          </w:tcPr>
          <w:p w14:paraId="35D0BB47" w14:textId="77777777" w:rsidR="00D42204" w:rsidRDefault="00D42204">
            <w:pPr>
              <w:rPr>
                <w:rFonts w:ascii="宋体"/>
              </w:rPr>
            </w:pPr>
          </w:p>
        </w:tc>
        <w:tc>
          <w:tcPr>
            <w:tcW w:w="5" w:type="pct"/>
            <w:shd w:val="clear" w:color="auto" w:fill="auto"/>
            <w:vAlign w:val="bottom"/>
          </w:tcPr>
          <w:p w14:paraId="35D0BB48" w14:textId="77777777" w:rsidR="00D42204" w:rsidRDefault="00D42204">
            <w:pPr>
              <w:rPr>
                <w:rFonts w:ascii="宋体"/>
              </w:rPr>
            </w:pPr>
          </w:p>
        </w:tc>
        <w:tc>
          <w:tcPr>
            <w:tcW w:w="5" w:type="pct"/>
            <w:shd w:val="clear" w:color="auto" w:fill="auto"/>
            <w:vAlign w:val="bottom"/>
          </w:tcPr>
          <w:p w14:paraId="35D0BB49" w14:textId="77777777" w:rsidR="00D42204" w:rsidRDefault="00D42204">
            <w:pPr>
              <w:rPr>
                <w:rFonts w:ascii="宋体"/>
              </w:rPr>
            </w:pPr>
          </w:p>
        </w:tc>
        <w:tc>
          <w:tcPr>
            <w:tcW w:w="26" w:type="pct"/>
            <w:shd w:val="clear" w:color="auto" w:fill="auto"/>
            <w:vAlign w:val="bottom"/>
          </w:tcPr>
          <w:p w14:paraId="35D0BB4A" w14:textId="77777777" w:rsidR="00D42204" w:rsidRDefault="00D42204">
            <w:pPr>
              <w:rPr>
                <w:rFonts w:ascii="宋体"/>
              </w:rPr>
            </w:pPr>
          </w:p>
        </w:tc>
        <w:tc>
          <w:tcPr>
            <w:tcW w:w="5" w:type="pct"/>
            <w:shd w:val="clear" w:color="auto" w:fill="auto"/>
            <w:vAlign w:val="bottom"/>
          </w:tcPr>
          <w:p w14:paraId="35D0BB4B" w14:textId="77777777" w:rsidR="00D42204" w:rsidRDefault="00D42204">
            <w:pPr>
              <w:rPr>
                <w:rFonts w:ascii="宋体"/>
              </w:rPr>
            </w:pPr>
          </w:p>
        </w:tc>
        <w:tc>
          <w:tcPr>
            <w:tcW w:w="50" w:type="pct"/>
            <w:shd w:val="clear" w:color="auto" w:fill="auto"/>
            <w:vAlign w:val="bottom"/>
          </w:tcPr>
          <w:p w14:paraId="35D0BB4C" w14:textId="77777777" w:rsidR="00D42204" w:rsidRDefault="00D42204">
            <w:pPr>
              <w:rPr>
                <w:rFonts w:ascii="宋体"/>
              </w:rPr>
            </w:pPr>
          </w:p>
        </w:tc>
        <w:tc>
          <w:tcPr>
            <w:tcW w:w="472" w:type="pct"/>
            <w:shd w:val="clear" w:color="auto" w:fill="auto"/>
            <w:vAlign w:val="bottom"/>
          </w:tcPr>
          <w:p w14:paraId="35D0BB4D" w14:textId="77777777" w:rsidR="00D42204" w:rsidRDefault="00D42204">
            <w:pPr>
              <w:rPr>
                <w:rFonts w:ascii="宋体"/>
              </w:rPr>
            </w:pPr>
          </w:p>
        </w:tc>
        <w:tc>
          <w:tcPr>
            <w:tcW w:w="5" w:type="pct"/>
            <w:shd w:val="clear" w:color="auto" w:fill="auto"/>
            <w:vAlign w:val="bottom"/>
          </w:tcPr>
          <w:p w14:paraId="35D0BB4E" w14:textId="77777777" w:rsidR="00D42204" w:rsidRDefault="00D42204">
            <w:pPr>
              <w:rPr>
                <w:rFonts w:ascii="宋体"/>
              </w:rPr>
            </w:pPr>
          </w:p>
        </w:tc>
        <w:tc>
          <w:tcPr>
            <w:tcW w:w="5" w:type="pct"/>
            <w:shd w:val="clear" w:color="auto" w:fill="auto"/>
            <w:vAlign w:val="bottom"/>
          </w:tcPr>
          <w:p w14:paraId="35D0BB4F" w14:textId="77777777" w:rsidR="00D42204" w:rsidRDefault="00D42204">
            <w:pPr>
              <w:rPr>
                <w:rFonts w:ascii="宋体"/>
              </w:rPr>
            </w:pPr>
          </w:p>
        </w:tc>
        <w:tc>
          <w:tcPr>
            <w:tcW w:w="26" w:type="pct"/>
            <w:shd w:val="clear" w:color="auto" w:fill="auto"/>
            <w:vAlign w:val="bottom"/>
          </w:tcPr>
          <w:p w14:paraId="35D0BB50" w14:textId="77777777" w:rsidR="00D42204" w:rsidRDefault="00D42204">
            <w:pPr>
              <w:rPr>
                <w:rFonts w:ascii="宋体"/>
              </w:rPr>
            </w:pPr>
          </w:p>
        </w:tc>
        <w:tc>
          <w:tcPr>
            <w:tcW w:w="5" w:type="pct"/>
            <w:shd w:val="clear" w:color="auto" w:fill="auto"/>
            <w:vAlign w:val="bottom"/>
          </w:tcPr>
          <w:p w14:paraId="35D0BB51" w14:textId="77777777" w:rsidR="00D42204" w:rsidRDefault="00D42204">
            <w:pPr>
              <w:rPr>
                <w:rFonts w:ascii="宋体"/>
              </w:rPr>
            </w:pPr>
          </w:p>
        </w:tc>
        <w:tc>
          <w:tcPr>
            <w:tcW w:w="50" w:type="pct"/>
            <w:shd w:val="clear" w:color="auto" w:fill="auto"/>
            <w:vAlign w:val="bottom"/>
          </w:tcPr>
          <w:p w14:paraId="35D0BB52" w14:textId="77777777" w:rsidR="00D42204" w:rsidRDefault="00D42204">
            <w:pPr>
              <w:rPr>
                <w:rFonts w:ascii="宋体"/>
              </w:rPr>
            </w:pPr>
          </w:p>
        </w:tc>
        <w:tc>
          <w:tcPr>
            <w:tcW w:w="472" w:type="pct"/>
            <w:shd w:val="clear" w:color="auto" w:fill="auto"/>
            <w:vAlign w:val="bottom"/>
          </w:tcPr>
          <w:p w14:paraId="35D0BB53" w14:textId="77777777" w:rsidR="00D42204" w:rsidRDefault="00D42204">
            <w:pPr>
              <w:rPr>
                <w:rFonts w:ascii="宋体"/>
              </w:rPr>
            </w:pPr>
          </w:p>
        </w:tc>
        <w:tc>
          <w:tcPr>
            <w:tcW w:w="5" w:type="pct"/>
            <w:shd w:val="clear" w:color="auto" w:fill="auto"/>
            <w:vAlign w:val="bottom"/>
          </w:tcPr>
          <w:p w14:paraId="35D0BB54" w14:textId="77777777" w:rsidR="00D42204" w:rsidRDefault="00D42204">
            <w:pPr>
              <w:rPr>
                <w:rFonts w:ascii="宋体"/>
              </w:rPr>
            </w:pPr>
          </w:p>
        </w:tc>
        <w:tc>
          <w:tcPr>
            <w:tcW w:w="5" w:type="pct"/>
            <w:shd w:val="clear" w:color="auto" w:fill="auto"/>
            <w:vAlign w:val="bottom"/>
          </w:tcPr>
          <w:p w14:paraId="35D0BB55" w14:textId="77777777" w:rsidR="00D42204" w:rsidRDefault="00D42204">
            <w:pPr>
              <w:rPr>
                <w:rFonts w:ascii="宋体"/>
              </w:rPr>
            </w:pPr>
          </w:p>
        </w:tc>
        <w:tc>
          <w:tcPr>
            <w:tcW w:w="26" w:type="pct"/>
            <w:shd w:val="clear" w:color="auto" w:fill="auto"/>
            <w:vAlign w:val="bottom"/>
          </w:tcPr>
          <w:p w14:paraId="35D0BB56" w14:textId="77777777" w:rsidR="00D42204" w:rsidRDefault="00D42204">
            <w:pPr>
              <w:rPr>
                <w:rFonts w:ascii="宋体"/>
              </w:rPr>
            </w:pPr>
          </w:p>
        </w:tc>
        <w:tc>
          <w:tcPr>
            <w:tcW w:w="5" w:type="pct"/>
            <w:shd w:val="clear" w:color="auto" w:fill="auto"/>
            <w:vAlign w:val="bottom"/>
          </w:tcPr>
          <w:p w14:paraId="35D0BB57" w14:textId="77777777" w:rsidR="00D42204" w:rsidRDefault="00D42204">
            <w:pPr>
              <w:rPr>
                <w:rFonts w:ascii="宋体"/>
              </w:rPr>
            </w:pPr>
          </w:p>
        </w:tc>
        <w:tc>
          <w:tcPr>
            <w:tcW w:w="50" w:type="pct"/>
            <w:shd w:val="clear" w:color="auto" w:fill="auto"/>
            <w:vAlign w:val="bottom"/>
          </w:tcPr>
          <w:p w14:paraId="35D0BB58" w14:textId="77777777" w:rsidR="00D42204" w:rsidRDefault="00D42204">
            <w:pPr>
              <w:rPr>
                <w:rFonts w:ascii="宋体"/>
              </w:rPr>
            </w:pPr>
          </w:p>
        </w:tc>
        <w:tc>
          <w:tcPr>
            <w:tcW w:w="472" w:type="pct"/>
            <w:shd w:val="clear" w:color="auto" w:fill="auto"/>
            <w:vAlign w:val="bottom"/>
          </w:tcPr>
          <w:p w14:paraId="35D0BB59" w14:textId="77777777" w:rsidR="00D42204" w:rsidRDefault="00D42204">
            <w:pPr>
              <w:rPr>
                <w:rFonts w:ascii="宋体"/>
              </w:rPr>
            </w:pPr>
          </w:p>
        </w:tc>
        <w:tc>
          <w:tcPr>
            <w:tcW w:w="5" w:type="pct"/>
            <w:shd w:val="clear" w:color="auto" w:fill="auto"/>
            <w:vAlign w:val="bottom"/>
          </w:tcPr>
          <w:p w14:paraId="35D0BB5A" w14:textId="77777777" w:rsidR="00D42204" w:rsidRDefault="00D42204">
            <w:pPr>
              <w:rPr>
                <w:rFonts w:ascii="宋体"/>
              </w:rPr>
            </w:pPr>
          </w:p>
        </w:tc>
      </w:tr>
      <w:tr w:rsidR="00D42204" w14:paraId="35D0BB67" w14:textId="77777777">
        <w:trPr>
          <w:jc w:val="center"/>
        </w:trPr>
        <w:tc>
          <w:tcPr>
            <w:tcW w:w="0" w:type="auto"/>
            <w:gridSpan w:val="3"/>
            <w:shd w:val="clear" w:color="auto" w:fill="auto"/>
            <w:tcMar>
              <w:top w:w="40" w:type="dxa"/>
              <w:left w:w="20" w:type="dxa"/>
              <w:bottom w:w="40" w:type="dxa"/>
              <w:right w:w="20" w:type="dxa"/>
            </w:tcMar>
            <w:vAlign w:val="bottom"/>
          </w:tcPr>
          <w:p w14:paraId="35D0BB5C" w14:textId="77777777" w:rsidR="00D42204" w:rsidRDefault="004E439D">
            <w:pPr>
              <w:spacing w:before="180"/>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B5D"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B5E" w14:textId="77777777" w:rsidR="00D42204" w:rsidRDefault="004E439D">
            <w:pPr>
              <w:jc w:val="center"/>
              <w:textAlignment w:val="bottom"/>
            </w:pPr>
            <w:r>
              <w:rPr>
                <w:rFonts w:ascii="Times New Roman" w:eastAsia="宋体" w:hAnsi="Times New Roman"/>
                <w:b/>
                <w:bCs/>
                <w:color w:val="000000"/>
                <w:sz w:val="16"/>
                <w:szCs w:val="16"/>
              </w:rPr>
              <w:t>Walmart U.S.</w:t>
            </w:r>
          </w:p>
        </w:tc>
        <w:tc>
          <w:tcPr>
            <w:tcW w:w="0" w:type="auto"/>
            <w:gridSpan w:val="3"/>
            <w:shd w:val="clear" w:color="auto" w:fill="auto"/>
            <w:tcMar>
              <w:top w:w="0" w:type="dxa"/>
              <w:left w:w="20" w:type="dxa"/>
              <w:bottom w:w="0" w:type="dxa"/>
              <w:right w:w="20" w:type="dxa"/>
            </w:tcMar>
            <w:vAlign w:val="bottom"/>
          </w:tcPr>
          <w:p w14:paraId="35D0BB5F"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B60" w14:textId="77777777" w:rsidR="00D42204" w:rsidRDefault="004E439D">
            <w:pPr>
              <w:jc w:val="center"/>
              <w:textAlignment w:val="bottom"/>
            </w:pPr>
            <w:r>
              <w:rPr>
                <w:rFonts w:ascii="Times New Roman" w:eastAsia="宋体" w:hAnsi="Times New Roman"/>
                <w:b/>
                <w:bCs/>
                <w:color w:val="000000"/>
                <w:sz w:val="16"/>
                <w:szCs w:val="16"/>
              </w:rPr>
              <w:t>Walmart International</w:t>
            </w:r>
          </w:p>
        </w:tc>
        <w:tc>
          <w:tcPr>
            <w:tcW w:w="0" w:type="auto"/>
            <w:gridSpan w:val="3"/>
            <w:shd w:val="clear" w:color="auto" w:fill="auto"/>
            <w:tcMar>
              <w:top w:w="0" w:type="dxa"/>
              <w:left w:w="20" w:type="dxa"/>
              <w:bottom w:w="0" w:type="dxa"/>
              <w:right w:w="20" w:type="dxa"/>
            </w:tcMar>
            <w:vAlign w:val="bottom"/>
          </w:tcPr>
          <w:p w14:paraId="35D0BB6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B62" w14:textId="77777777" w:rsidR="00D42204" w:rsidRDefault="004E439D">
            <w:pPr>
              <w:jc w:val="center"/>
              <w:textAlignment w:val="bottom"/>
            </w:pPr>
            <w:r>
              <w:rPr>
                <w:rFonts w:ascii="Times New Roman" w:eastAsia="宋体" w:hAnsi="Times New Roman"/>
                <w:b/>
                <w:bCs/>
                <w:color w:val="000000"/>
                <w:sz w:val="16"/>
                <w:szCs w:val="16"/>
              </w:rPr>
              <w:t>Sam's Club</w:t>
            </w:r>
          </w:p>
        </w:tc>
        <w:tc>
          <w:tcPr>
            <w:tcW w:w="0" w:type="auto"/>
            <w:gridSpan w:val="3"/>
            <w:shd w:val="clear" w:color="auto" w:fill="auto"/>
            <w:tcMar>
              <w:top w:w="0" w:type="dxa"/>
              <w:left w:w="20" w:type="dxa"/>
              <w:bottom w:w="0" w:type="dxa"/>
              <w:right w:w="20" w:type="dxa"/>
            </w:tcMar>
            <w:vAlign w:val="bottom"/>
          </w:tcPr>
          <w:p w14:paraId="35D0BB63"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B64" w14:textId="77777777" w:rsidR="00D42204" w:rsidRDefault="004E439D">
            <w:pPr>
              <w:jc w:val="center"/>
              <w:textAlignment w:val="bottom"/>
            </w:pPr>
            <w:r>
              <w:rPr>
                <w:rFonts w:ascii="Times New Roman" w:eastAsia="宋体" w:hAnsi="Times New Roman"/>
                <w:b/>
                <w:bCs/>
                <w:color w:val="000000"/>
                <w:sz w:val="16"/>
                <w:szCs w:val="16"/>
              </w:rPr>
              <w:t>Corporate and support</w:t>
            </w:r>
          </w:p>
        </w:tc>
        <w:tc>
          <w:tcPr>
            <w:tcW w:w="0" w:type="auto"/>
            <w:gridSpan w:val="3"/>
            <w:shd w:val="clear" w:color="auto" w:fill="auto"/>
            <w:tcMar>
              <w:top w:w="0" w:type="dxa"/>
              <w:left w:w="20" w:type="dxa"/>
              <w:bottom w:w="0" w:type="dxa"/>
              <w:right w:w="20" w:type="dxa"/>
            </w:tcMar>
            <w:vAlign w:val="bottom"/>
          </w:tcPr>
          <w:p w14:paraId="35D0BB65"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BB66" w14:textId="77777777" w:rsidR="00D42204" w:rsidRDefault="004E439D">
            <w:pPr>
              <w:jc w:val="center"/>
              <w:textAlignment w:val="bottom"/>
            </w:pPr>
            <w:r>
              <w:rPr>
                <w:rFonts w:ascii="Times New Roman" w:eastAsia="宋体" w:hAnsi="Times New Roman"/>
                <w:b/>
                <w:bCs/>
                <w:color w:val="000000"/>
                <w:sz w:val="16"/>
                <w:szCs w:val="16"/>
              </w:rPr>
              <w:t>Consolidated</w:t>
            </w:r>
          </w:p>
        </w:tc>
      </w:tr>
      <w:tr w:rsidR="00D42204" w14:paraId="35D0BB73" w14:textId="77777777">
        <w:trPr>
          <w:jc w:val="center"/>
        </w:trPr>
        <w:tc>
          <w:tcPr>
            <w:tcW w:w="0" w:type="auto"/>
            <w:gridSpan w:val="3"/>
            <w:shd w:val="clear" w:color="auto" w:fill="CCEEFF"/>
            <w:tcMar>
              <w:top w:w="40" w:type="dxa"/>
              <w:left w:w="20" w:type="dxa"/>
              <w:bottom w:w="40" w:type="dxa"/>
              <w:right w:w="20" w:type="dxa"/>
            </w:tcMar>
            <w:vAlign w:val="center"/>
          </w:tcPr>
          <w:p w14:paraId="35D0BB68" w14:textId="77777777" w:rsidR="00D42204" w:rsidRDefault="004E439D">
            <w:pPr>
              <w:textAlignment w:val="center"/>
            </w:pPr>
            <w:r>
              <w:rPr>
                <w:rFonts w:ascii="Times New Roman" w:eastAsia="宋体" w:hAnsi="Times New Roman"/>
                <w:b/>
                <w:bCs/>
                <w:color w:val="000000"/>
                <w:sz w:val="16"/>
                <w:szCs w:val="16"/>
              </w:rPr>
              <w:t xml:space="preserve">Fiscal Year Ended January 31, </w:t>
            </w:r>
            <w:r>
              <w:rPr>
                <w:rFonts w:ascii="Times New Roman" w:eastAsia="宋体" w:hAnsi="Times New Roman"/>
                <w:b/>
                <w:bCs/>
                <w:color w:val="000000"/>
                <w:sz w:val="16"/>
                <w:szCs w:val="16"/>
              </w:rPr>
              <w:t>2022</w:t>
            </w:r>
          </w:p>
        </w:tc>
        <w:tc>
          <w:tcPr>
            <w:tcW w:w="0" w:type="auto"/>
            <w:gridSpan w:val="3"/>
            <w:shd w:val="clear" w:color="auto" w:fill="CCEEFF"/>
            <w:tcMar>
              <w:top w:w="0" w:type="dxa"/>
              <w:left w:w="20" w:type="dxa"/>
              <w:bottom w:w="0" w:type="dxa"/>
              <w:right w:w="20" w:type="dxa"/>
            </w:tcMar>
            <w:vAlign w:val="bottom"/>
          </w:tcPr>
          <w:p w14:paraId="35D0BB69"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B6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6B"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B6C"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6D"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B6E"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6F"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B70"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71"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B72" w14:textId="77777777" w:rsidR="00D42204" w:rsidRDefault="00D42204">
            <w:pPr>
              <w:rPr>
                <w:rFonts w:ascii="宋体"/>
              </w:rPr>
            </w:pPr>
          </w:p>
        </w:tc>
      </w:tr>
      <w:tr w:rsidR="00D42204" w14:paraId="35D0BB89" w14:textId="77777777">
        <w:trPr>
          <w:jc w:val="center"/>
        </w:trPr>
        <w:tc>
          <w:tcPr>
            <w:tcW w:w="0" w:type="auto"/>
            <w:gridSpan w:val="3"/>
            <w:shd w:val="clear" w:color="auto" w:fill="FFFFFF"/>
            <w:tcMar>
              <w:top w:w="40" w:type="dxa"/>
              <w:left w:w="20" w:type="dxa"/>
              <w:bottom w:w="40" w:type="dxa"/>
              <w:right w:w="20" w:type="dxa"/>
            </w:tcMar>
            <w:vAlign w:val="center"/>
          </w:tcPr>
          <w:p w14:paraId="35D0BB74" w14:textId="77777777" w:rsidR="00D42204" w:rsidRDefault="004E439D">
            <w:pPr>
              <w:textAlignment w:val="center"/>
            </w:pPr>
            <w:r>
              <w:rPr>
                <w:rFonts w:ascii="Times New Roman" w:eastAsia="宋体" w:hAnsi="Times New Roman"/>
                <w:color w:val="000000"/>
                <w:sz w:val="16"/>
                <w:szCs w:val="16"/>
              </w:rPr>
              <w:t>Net sales</w:t>
            </w:r>
          </w:p>
        </w:tc>
        <w:tc>
          <w:tcPr>
            <w:tcW w:w="0" w:type="auto"/>
            <w:gridSpan w:val="3"/>
            <w:shd w:val="clear" w:color="auto" w:fill="FFFFFF"/>
            <w:tcMar>
              <w:top w:w="0" w:type="dxa"/>
              <w:left w:w="20" w:type="dxa"/>
              <w:bottom w:w="0" w:type="dxa"/>
              <w:right w:w="20" w:type="dxa"/>
            </w:tcMar>
            <w:vAlign w:val="bottom"/>
          </w:tcPr>
          <w:p w14:paraId="35D0BB75"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B76"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B77" w14:textId="77777777" w:rsidR="00D42204" w:rsidRDefault="004E439D">
            <w:pPr>
              <w:jc w:val="right"/>
              <w:textAlignment w:val="center"/>
            </w:pPr>
            <w:r>
              <w:rPr>
                <w:rFonts w:ascii="Times New Roman" w:eastAsia="宋体" w:hAnsi="Times New Roman"/>
                <w:color w:val="000000"/>
                <w:sz w:val="16"/>
                <w:szCs w:val="16"/>
              </w:rPr>
              <w:t>393,247 </w:t>
            </w:r>
          </w:p>
        </w:tc>
        <w:tc>
          <w:tcPr>
            <w:tcW w:w="0" w:type="auto"/>
            <w:shd w:val="clear" w:color="auto" w:fill="FFFFFF"/>
            <w:tcMar>
              <w:top w:w="40" w:type="dxa"/>
              <w:left w:w="0" w:type="dxa"/>
              <w:bottom w:w="40" w:type="dxa"/>
              <w:right w:w="20" w:type="dxa"/>
            </w:tcMar>
            <w:vAlign w:val="center"/>
          </w:tcPr>
          <w:p w14:paraId="35D0BB7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B79"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B7A"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B7B" w14:textId="77777777" w:rsidR="00D42204" w:rsidRDefault="004E439D">
            <w:pPr>
              <w:jc w:val="right"/>
              <w:textAlignment w:val="center"/>
            </w:pPr>
            <w:r>
              <w:rPr>
                <w:rFonts w:ascii="Times New Roman" w:eastAsia="宋体" w:hAnsi="Times New Roman"/>
                <w:color w:val="000000"/>
                <w:sz w:val="16"/>
                <w:szCs w:val="16"/>
              </w:rPr>
              <w:t>100,959 </w:t>
            </w:r>
          </w:p>
        </w:tc>
        <w:tc>
          <w:tcPr>
            <w:tcW w:w="0" w:type="auto"/>
            <w:shd w:val="clear" w:color="auto" w:fill="FFFFFF"/>
            <w:tcMar>
              <w:top w:w="40" w:type="dxa"/>
              <w:left w:w="0" w:type="dxa"/>
              <w:bottom w:w="40" w:type="dxa"/>
              <w:right w:w="20" w:type="dxa"/>
            </w:tcMar>
            <w:vAlign w:val="center"/>
          </w:tcPr>
          <w:p w14:paraId="35D0BB7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B7D"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B7E"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B7F" w14:textId="77777777" w:rsidR="00D42204" w:rsidRDefault="004E439D">
            <w:pPr>
              <w:jc w:val="right"/>
              <w:textAlignment w:val="center"/>
            </w:pPr>
            <w:r>
              <w:rPr>
                <w:rFonts w:ascii="Times New Roman" w:eastAsia="宋体" w:hAnsi="Times New Roman"/>
                <w:color w:val="000000"/>
                <w:sz w:val="16"/>
                <w:szCs w:val="16"/>
              </w:rPr>
              <w:t>73,556 </w:t>
            </w:r>
          </w:p>
        </w:tc>
        <w:tc>
          <w:tcPr>
            <w:tcW w:w="0" w:type="auto"/>
            <w:shd w:val="clear" w:color="auto" w:fill="FFFFFF"/>
            <w:tcMar>
              <w:top w:w="40" w:type="dxa"/>
              <w:left w:w="0" w:type="dxa"/>
              <w:bottom w:w="40" w:type="dxa"/>
              <w:right w:w="20" w:type="dxa"/>
            </w:tcMar>
            <w:vAlign w:val="center"/>
          </w:tcPr>
          <w:p w14:paraId="35D0BB8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B81"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B82"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B83"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BB8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B85"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B86"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B87" w14:textId="77777777" w:rsidR="00D42204" w:rsidRDefault="004E439D">
            <w:pPr>
              <w:jc w:val="right"/>
              <w:textAlignment w:val="center"/>
            </w:pPr>
            <w:r>
              <w:rPr>
                <w:rFonts w:ascii="Times New Roman" w:eastAsia="宋体" w:hAnsi="Times New Roman"/>
                <w:color w:val="000000"/>
                <w:sz w:val="16"/>
                <w:szCs w:val="16"/>
              </w:rPr>
              <w:t>567,762 </w:t>
            </w:r>
          </w:p>
        </w:tc>
        <w:tc>
          <w:tcPr>
            <w:tcW w:w="0" w:type="auto"/>
            <w:shd w:val="clear" w:color="auto" w:fill="FFFFFF"/>
            <w:tcMar>
              <w:top w:w="40" w:type="dxa"/>
              <w:left w:w="0" w:type="dxa"/>
              <w:bottom w:w="40" w:type="dxa"/>
              <w:right w:w="20" w:type="dxa"/>
            </w:tcMar>
            <w:vAlign w:val="center"/>
          </w:tcPr>
          <w:p w14:paraId="35D0BB88" w14:textId="77777777" w:rsidR="00D42204" w:rsidRDefault="00D42204">
            <w:pPr>
              <w:jc w:val="right"/>
              <w:rPr>
                <w:rFonts w:ascii="宋体"/>
              </w:rPr>
            </w:pPr>
          </w:p>
        </w:tc>
      </w:tr>
      <w:tr w:rsidR="00D42204" w14:paraId="35D0BB9A" w14:textId="77777777">
        <w:trPr>
          <w:jc w:val="center"/>
        </w:trPr>
        <w:tc>
          <w:tcPr>
            <w:tcW w:w="0" w:type="auto"/>
            <w:gridSpan w:val="3"/>
            <w:shd w:val="clear" w:color="auto" w:fill="CCEEFF"/>
            <w:tcMar>
              <w:top w:w="40" w:type="dxa"/>
              <w:left w:w="20" w:type="dxa"/>
              <w:bottom w:w="40" w:type="dxa"/>
              <w:right w:w="20" w:type="dxa"/>
            </w:tcMar>
            <w:vAlign w:val="center"/>
          </w:tcPr>
          <w:p w14:paraId="35D0BB8A" w14:textId="77777777" w:rsidR="00D42204" w:rsidRDefault="004E439D">
            <w:pPr>
              <w:textAlignment w:val="center"/>
            </w:pPr>
            <w:r>
              <w:rPr>
                <w:rFonts w:ascii="Times New Roman" w:eastAsia="宋体" w:hAnsi="Times New Roman"/>
                <w:color w:val="000000"/>
                <w:sz w:val="16"/>
                <w:szCs w:val="16"/>
              </w:rPr>
              <w:t>Operating income (loss)</w:t>
            </w:r>
          </w:p>
        </w:tc>
        <w:tc>
          <w:tcPr>
            <w:tcW w:w="0" w:type="auto"/>
            <w:gridSpan w:val="3"/>
            <w:shd w:val="clear" w:color="auto" w:fill="CCEEFF"/>
            <w:tcMar>
              <w:top w:w="0" w:type="dxa"/>
              <w:left w:w="20" w:type="dxa"/>
              <w:bottom w:w="0" w:type="dxa"/>
              <w:right w:w="20" w:type="dxa"/>
            </w:tcMar>
            <w:vAlign w:val="bottom"/>
          </w:tcPr>
          <w:p w14:paraId="35D0BB8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B8C" w14:textId="77777777" w:rsidR="00D42204" w:rsidRDefault="004E439D">
            <w:pPr>
              <w:jc w:val="right"/>
              <w:textAlignment w:val="center"/>
            </w:pPr>
            <w:r>
              <w:rPr>
                <w:rFonts w:ascii="Times New Roman" w:eastAsia="宋体" w:hAnsi="Times New Roman"/>
                <w:color w:val="000000"/>
                <w:sz w:val="16"/>
                <w:szCs w:val="16"/>
              </w:rPr>
              <w:t>21,587 </w:t>
            </w:r>
          </w:p>
        </w:tc>
        <w:tc>
          <w:tcPr>
            <w:tcW w:w="0" w:type="auto"/>
            <w:shd w:val="clear" w:color="auto" w:fill="CCEEFF"/>
            <w:tcMar>
              <w:top w:w="40" w:type="dxa"/>
              <w:left w:w="0" w:type="dxa"/>
              <w:bottom w:w="40" w:type="dxa"/>
              <w:right w:w="20" w:type="dxa"/>
            </w:tcMar>
            <w:vAlign w:val="center"/>
          </w:tcPr>
          <w:p w14:paraId="35D0BB8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B8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B8F" w14:textId="77777777" w:rsidR="00D42204" w:rsidRDefault="004E439D">
            <w:pPr>
              <w:jc w:val="right"/>
              <w:textAlignment w:val="center"/>
            </w:pPr>
            <w:r>
              <w:rPr>
                <w:rFonts w:ascii="Times New Roman" w:eastAsia="宋体" w:hAnsi="Times New Roman"/>
                <w:color w:val="000000"/>
                <w:sz w:val="16"/>
                <w:szCs w:val="16"/>
              </w:rPr>
              <w:t>3,758 </w:t>
            </w:r>
          </w:p>
        </w:tc>
        <w:tc>
          <w:tcPr>
            <w:tcW w:w="0" w:type="auto"/>
            <w:shd w:val="clear" w:color="auto" w:fill="CCEEFF"/>
            <w:tcMar>
              <w:top w:w="40" w:type="dxa"/>
              <w:left w:w="0" w:type="dxa"/>
              <w:bottom w:w="40" w:type="dxa"/>
              <w:right w:w="20" w:type="dxa"/>
            </w:tcMar>
            <w:vAlign w:val="center"/>
          </w:tcPr>
          <w:p w14:paraId="35D0BB9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B9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B92" w14:textId="77777777" w:rsidR="00D42204" w:rsidRDefault="004E439D">
            <w:pPr>
              <w:jc w:val="right"/>
              <w:textAlignment w:val="center"/>
            </w:pPr>
            <w:r>
              <w:rPr>
                <w:rFonts w:ascii="Times New Roman" w:eastAsia="宋体" w:hAnsi="Times New Roman"/>
                <w:color w:val="000000"/>
                <w:sz w:val="16"/>
                <w:szCs w:val="16"/>
              </w:rPr>
              <w:t>2,259 </w:t>
            </w:r>
          </w:p>
        </w:tc>
        <w:tc>
          <w:tcPr>
            <w:tcW w:w="0" w:type="auto"/>
            <w:shd w:val="clear" w:color="auto" w:fill="CCEEFF"/>
            <w:tcMar>
              <w:top w:w="40" w:type="dxa"/>
              <w:left w:w="0" w:type="dxa"/>
              <w:bottom w:w="40" w:type="dxa"/>
              <w:right w:w="20" w:type="dxa"/>
            </w:tcMar>
            <w:vAlign w:val="center"/>
          </w:tcPr>
          <w:p w14:paraId="35D0BB9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B9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B95" w14:textId="77777777" w:rsidR="00D42204" w:rsidRDefault="004E439D">
            <w:pPr>
              <w:jc w:val="right"/>
              <w:textAlignment w:val="center"/>
            </w:pPr>
            <w:r>
              <w:rPr>
                <w:rFonts w:ascii="Times New Roman" w:eastAsia="宋体" w:hAnsi="Times New Roman"/>
                <w:color w:val="000000"/>
                <w:sz w:val="16"/>
                <w:szCs w:val="16"/>
              </w:rPr>
              <w:t>(1,662)</w:t>
            </w:r>
          </w:p>
        </w:tc>
        <w:tc>
          <w:tcPr>
            <w:tcW w:w="0" w:type="auto"/>
            <w:shd w:val="clear" w:color="auto" w:fill="CCEEFF"/>
            <w:tcMar>
              <w:top w:w="40" w:type="dxa"/>
              <w:left w:w="0" w:type="dxa"/>
              <w:bottom w:w="40" w:type="dxa"/>
              <w:right w:w="20" w:type="dxa"/>
            </w:tcMar>
            <w:vAlign w:val="center"/>
          </w:tcPr>
          <w:p w14:paraId="35D0BB9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B9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B98" w14:textId="77777777" w:rsidR="00D42204" w:rsidRDefault="004E439D">
            <w:pPr>
              <w:jc w:val="right"/>
              <w:textAlignment w:val="center"/>
            </w:pPr>
            <w:r>
              <w:rPr>
                <w:rFonts w:ascii="Times New Roman" w:eastAsia="宋体" w:hAnsi="Times New Roman"/>
                <w:color w:val="000000"/>
                <w:sz w:val="16"/>
                <w:szCs w:val="16"/>
              </w:rPr>
              <w:t>25,942 </w:t>
            </w:r>
          </w:p>
        </w:tc>
        <w:tc>
          <w:tcPr>
            <w:tcW w:w="0" w:type="auto"/>
            <w:shd w:val="clear" w:color="auto" w:fill="CCEEFF"/>
            <w:tcMar>
              <w:top w:w="40" w:type="dxa"/>
              <w:left w:w="0" w:type="dxa"/>
              <w:bottom w:w="40" w:type="dxa"/>
              <w:right w:w="20" w:type="dxa"/>
            </w:tcMar>
            <w:vAlign w:val="center"/>
          </w:tcPr>
          <w:p w14:paraId="35D0BB99" w14:textId="77777777" w:rsidR="00D42204" w:rsidRDefault="00D42204">
            <w:pPr>
              <w:jc w:val="right"/>
              <w:rPr>
                <w:rFonts w:ascii="宋体"/>
              </w:rPr>
            </w:pPr>
          </w:p>
        </w:tc>
      </w:tr>
      <w:tr w:rsidR="00D42204" w14:paraId="35D0BBA7" w14:textId="77777777">
        <w:trPr>
          <w:jc w:val="center"/>
        </w:trPr>
        <w:tc>
          <w:tcPr>
            <w:tcW w:w="0" w:type="auto"/>
            <w:gridSpan w:val="3"/>
            <w:shd w:val="clear" w:color="auto" w:fill="FFFFFF"/>
            <w:tcMar>
              <w:top w:w="40" w:type="dxa"/>
              <w:left w:w="20" w:type="dxa"/>
              <w:bottom w:w="40" w:type="dxa"/>
              <w:right w:w="20" w:type="dxa"/>
            </w:tcMar>
            <w:vAlign w:val="center"/>
          </w:tcPr>
          <w:p w14:paraId="35D0BB9B" w14:textId="77777777" w:rsidR="00D42204" w:rsidRDefault="004E439D">
            <w:pPr>
              <w:textAlignment w:val="center"/>
            </w:pPr>
            <w:r>
              <w:rPr>
                <w:rFonts w:ascii="Times New Roman" w:eastAsia="宋体" w:hAnsi="Times New Roman"/>
                <w:color w:val="000000"/>
                <w:sz w:val="16"/>
                <w:szCs w:val="16"/>
              </w:rPr>
              <w:t>Interest, net</w:t>
            </w:r>
          </w:p>
        </w:tc>
        <w:tc>
          <w:tcPr>
            <w:tcW w:w="0" w:type="auto"/>
            <w:gridSpan w:val="3"/>
            <w:shd w:val="clear" w:color="auto" w:fill="FFFFFF"/>
            <w:tcMar>
              <w:top w:w="0" w:type="dxa"/>
              <w:left w:w="20" w:type="dxa"/>
              <w:bottom w:w="0" w:type="dxa"/>
              <w:right w:w="20" w:type="dxa"/>
            </w:tcMar>
            <w:vAlign w:val="bottom"/>
          </w:tcPr>
          <w:p w14:paraId="35D0BB9C"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B9D"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B9E"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B9F"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BA0"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BA1"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BA2"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BA3"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BA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BA5" w14:textId="77777777" w:rsidR="00D42204" w:rsidRDefault="004E439D">
            <w:pPr>
              <w:jc w:val="right"/>
              <w:textAlignment w:val="center"/>
            </w:pPr>
            <w:r>
              <w:rPr>
                <w:rFonts w:ascii="Times New Roman" w:eastAsia="宋体" w:hAnsi="Times New Roman"/>
                <w:color w:val="000000"/>
                <w:sz w:val="16"/>
                <w:szCs w:val="16"/>
              </w:rPr>
              <w:t>(1,836)</w:t>
            </w:r>
          </w:p>
        </w:tc>
        <w:tc>
          <w:tcPr>
            <w:tcW w:w="0" w:type="auto"/>
            <w:shd w:val="clear" w:color="auto" w:fill="FFFFFF"/>
            <w:tcMar>
              <w:top w:w="40" w:type="dxa"/>
              <w:left w:w="0" w:type="dxa"/>
              <w:bottom w:w="40" w:type="dxa"/>
              <w:right w:w="20" w:type="dxa"/>
            </w:tcMar>
            <w:vAlign w:val="center"/>
          </w:tcPr>
          <w:p w14:paraId="35D0BBA6" w14:textId="77777777" w:rsidR="00D42204" w:rsidRDefault="00D42204">
            <w:pPr>
              <w:jc w:val="right"/>
              <w:rPr>
                <w:rFonts w:ascii="宋体"/>
              </w:rPr>
            </w:pPr>
          </w:p>
        </w:tc>
      </w:tr>
      <w:tr w:rsidR="00D42204" w14:paraId="35D0BBB4" w14:textId="77777777">
        <w:trPr>
          <w:jc w:val="center"/>
        </w:trPr>
        <w:tc>
          <w:tcPr>
            <w:tcW w:w="0" w:type="auto"/>
            <w:gridSpan w:val="3"/>
            <w:shd w:val="clear" w:color="auto" w:fill="CCEEFF"/>
            <w:tcMar>
              <w:top w:w="40" w:type="dxa"/>
              <w:left w:w="20" w:type="dxa"/>
              <w:bottom w:w="40" w:type="dxa"/>
              <w:right w:w="20" w:type="dxa"/>
            </w:tcMar>
            <w:vAlign w:val="center"/>
          </w:tcPr>
          <w:p w14:paraId="35D0BBA8" w14:textId="77777777" w:rsidR="00D42204" w:rsidRDefault="004E439D">
            <w:pPr>
              <w:textAlignment w:val="center"/>
            </w:pPr>
            <w:r>
              <w:rPr>
                <w:rFonts w:ascii="Times New Roman" w:eastAsia="宋体" w:hAnsi="Times New Roman"/>
                <w:color w:val="000000"/>
                <w:sz w:val="16"/>
                <w:szCs w:val="16"/>
              </w:rPr>
              <w:t>Loss on extinguishment of debt</w:t>
            </w:r>
          </w:p>
        </w:tc>
        <w:tc>
          <w:tcPr>
            <w:tcW w:w="0" w:type="auto"/>
            <w:gridSpan w:val="3"/>
            <w:shd w:val="clear" w:color="auto" w:fill="CCEEFF"/>
            <w:tcMar>
              <w:top w:w="0" w:type="dxa"/>
              <w:left w:w="20" w:type="dxa"/>
              <w:bottom w:w="0" w:type="dxa"/>
              <w:right w:w="20" w:type="dxa"/>
            </w:tcMar>
            <w:vAlign w:val="bottom"/>
          </w:tcPr>
          <w:p w14:paraId="35D0BBA9"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A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AB"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AC"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AD"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AE"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AF"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B0"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B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BB2" w14:textId="77777777" w:rsidR="00D42204" w:rsidRDefault="004E439D">
            <w:pPr>
              <w:jc w:val="right"/>
              <w:textAlignment w:val="center"/>
            </w:pPr>
            <w:r>
              <w:rPr>
                <w:rFonts w:ascii="Times New Roman" w:eastAsia="宋体" w:hAnsi="Times New Roman"/>
                <w:color w:val="000000"/>
                <w:sz w:val="16"/>
                <w:szCs w:val="16"/>
              </w:rPr>
              <w:t>(2,410)</w:t>
            </w:r>
          </w:p>
        </w:tc>
        <w:tc>
          <w:tcPr>
            <w:tcW w:w="0" w:type="auto"/>
            <w:shd w:val="clear" w:color="auto" w:fill="CCEEFF"/>
            <w:tcMar>
              <w:top w:w="40" w:type="dxa"/>
              <w:left w:w="0" w:type="dxa"/>
              <w:bottom w:w="40" w:type="dxa"/>
              <w:right w:w="20" w:type="dxa"/>
            </w:tcMar>
            <w:vAlign w:val="center"/>
          </w:tcPr>
          <w:p w14:paraId="35D0BBB3" w14:textId="77777777" w:rsidR="00D42204" w:rsidRDefault="00D42204">
            <w:pPr>
              <w:jc w:val="right"/>
              <w:rPr>
                <w:rFonts w:ascii="宋体"/>
              </w:rPr>
            </w:pPr>
          </w:p>
        </w:tc>
      </w:tr>
      <w:tr w:rsidR="00D42204" w14:paraId="35D0BBC1" w14:textId="77777777">
        <w:trPr>
          <w:jc w:val="center"/>
        </w:trPr>
        <w:tc>
          <w:tcPr>
            <w:tcW w:w="0" w:type="auto"/>
            <w:gridSpan w:val="3"/>
            <w:shd w:val="clear" w:color="auto" w:fill="FFFFFF"/>
            <w:tcMar>
              <w:top w:w="40" w:type="dxa"/>
              <w:left w:w="20" w:type="dxa"/>
              <w:bottom w:w="40" w:type="dxa"/>
              <w:right w:w="20" w:type="dxa"/>
            </w:tcMar>
            <w:vAlign w:val="center"/>
          </w:tcPr>
          <w:p w14:paraId="35D0BBB5" w14:textId="77777777" w:rsidR="00D42204" w:rsidRDefault="004E439D">
            <w:pPr>
              <w:textAlignment w:val="center"/>
            </w:pPr>
            <w:r>
              <w:rPr>
                <w:rFonts w:ascii="Times New Roman" w:eastAsia="宋体" w:hAnsi="Times New Roman"/>
                <w:color w:val="000000"/>
                <w:sz w:val="16"/>
                <w:szCs w:val="16"/>
              </w:rPr>
              <w:t>Other gains and (losses)</w:t>
            </w:r>
          </w:p>
        </w:tc>
        <w:tc>
          <w:tcPr>
            <w:tcW w:w="0" w:type="auto"/>
            <w:gridSpan w:val="3"/>
            <w:shd w:val="clear" w:color="auto" w:fill="FFFFFF"/>
            <w:tcMar>
              <w:top w:w="0" w:type="dxa"/>
              <w:left w:w="20" w:type="dxa"/>
              <w:bottom w:w="0" w:type="dxa"/>
              <w:right w:w="20" w:type="dxa"/>
            </w:tcMar>
            <w:vAlign w:val="bottom"/>
          </w:tcPr>
          <w:p w14:paraId="35D0BBB6"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BB7"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BB8"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BB9"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BBA"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BBB"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BBC"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BBD"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BB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BBF" w14:textId="77777777" w:rsidR="00D42204" w:rsidRDefault="004E439D">
            <w:pPr>
              <w:jc w:val="right"/>
              <w:textAlignment w:val="center"/>
            </w:pPr>
            <w:r>
              <w:rPr>
                <w:rFonts w:ascii="Times New Roman" w:eastAsia="宋体" w:hAnsi="Times New Roman"/>
                <w:color w:val="000000"/>
                <w:sz w:val="16"/>
                <w:szCs w:val="16"/>
              </w:rPr>
              <w:t>(3,000)</w:t>
            </w:r>
          </w:p>
        </w:tc>
        <w:tc>
          <w:tcPr>
            <w:tcW w:w="0" w:type="auto"/>
            <w:shd w:val="clear" w:color="auto" w:fill="FFFFFF"/>
            <w:tcMar>
              <w:top w:w="40" w:type="dxa"/>
              <w:left w:w="0" w:type="dxa"/>
              <w:bottom w:w="40" w:type="dxa"/>
              <w:right w:w="20" w:type="dxa"/>
            </w:tcMar>
            <w:vAlign w:val="center"/>
          </w:tcPr>
          <w:p w14:paraId="35D0BBC0" w14:textId="77777777" w:rsidR="00D42204" w:rsidRDefault="00D42204">
            <w:pPr>
              <w:jc w:val="right"/>
              <w:rPr>
                <w:rFonts w:ascii="宋体"/>
              </w:rPr>
            </w:pPr>
          </w:p>
        </w:tc>
      </w:tr>
      <w:tr w:rsidR="00D42204" w14:paraId="35D0BBCF" w14:textId="77777777">
        <w:trPr>
          <w:jc w:val="center"/>
        </w:trPr>
        <w:tc>
          <w:tcPr>
            <w:tcW w:w="0" w:type="auto"/>
            <w:gridSpan w:val="3"/>
            <w:shd w:val="clear" w:color="auto" w:fill="CCEEFF"/>
            <w:tcMar>
              <w:top w:w="40" w:type="dxa"/>
              <w:left w:w="20" w:type="dxa"/>
              <w:bottom w:w="40" w:type="dxa"/>
              <w:right w:w="20" w:type="dxa"/>
            </w:tcMar>
            <w:vAlign w:val="center"/>
          </w:tcPr>
          <w:p w14:paraId="35D0BBC2" w14:textId="77777777" w:rsidR="00D42204" w:rsidRDefault="004E439D">
            <w:pPr>
              <w:textAlignment w:val="center"/>
            </w:pPr>
            <w:r>
              <w:rPr>
                <w:rFonts w:ascii="Times New Roman" w:eastAsia="宋体" w:hAnsi="Times New Roman"/>
                <w:color w:val="000000"/>
                <w:sz w:val="16"/>
                <w:szCs w:val="16"/>
              </w:rPr>
              <w:t>Income before income taxes</w:t>
            </w:r>
          </w:p>
        </w:tc>
        <w:tc>
          <w:tcPr>
            <w:tcW w:w="0" w:type="auto"/>
            <w:gridSpan w:val="3"/>
            <w:shd w:val="clear" w:color="auto" w:fill="CCEEFF"/>
            <w:tcMar>
              <w:top w:w="0" w:type="dxa"/>
              <w:left w:w="20" w:type="dxa"/>
              <w:bottom w:w="0" w:type="dxa"/>
              <w:right w:w="20" w:type="dxa"/>
            </w:tcMar>
            <w:vAlign w:val="bottom"/>
          </w:tcPr>
          <w:p w14:paraId="35D0BBC3"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C4"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C5"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C6"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C7"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C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C9"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C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BCB"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BCC"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BCD" w14:textId="77777777" w:rsidR="00D42204" w:rsidRDefault="004E439D">
            <w:pPr>
              <w:jc w:val="right"/>
              <w:textAlignment w:val="center"/>
            </w:pPr>
            <w:r>
              <w:rPr>
                <w:rFonts w:ascii="Times New Roman" w:eastAsia="宋体" w:hAnsi="Times New Roman"/>
                <w:color w:val="000000"/>
                <w:sz w:val="16"/>
                <w:szCs w:val="16"/>
              </w:rPr>
              <w:t>18,696 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BCE" w14:textId="77777777" w:rsidR="00D42204" w:rsidRDefault="00D42204">
            <w:pPr>
              <w:jc w:val="right"/>
              <w:rPr>
                <w:rFonts w:ascii="宋体"/>
              </w:rPr>
            </w:pPr>
          </w:p>
        </w:tc>
      </w:tr>
      <w:tr w:rsidR="00D42204" w14:paraId="35D0BBE5" w14:textId="77777777">
        <w:trPr>
          <w:jc w:val="center"/>
        </w:trPr>
        <w:tc>
          <w:tcPr>
            <w:tcW w:w="0" w:type="auto"/>
            <w:gridSpan w:val="3"/>
            <w:shd w:val="clear" w:color="auto" w:fill="FFFFFF"/>
            <w:tcMar>
              <w:top w:w="40" w:type="dxa"/>
              <w:left w:w="20" w:type="dxa"/>
              <w:bottom w:w="40" w:type="dxa"/>
              <w:right w:w="20" w:type="dxa"/>
            </w:tcMar>
            <w:vAlign w:val="center"/>
          </w:tcPr>
          <w:p w14:paraId="35D0BBD0" w14:textId="77777777" w:rsidR="00D42204" w:rsidRDefault="004E439D">
            <w:pPr>
              <w:textAlignment w:val="center"/>
            </w:pPr>
            <w:r>
              <w:rPr>
                <w:rFonts w:ascii="Times New Roman" w:eastAsia="宋体" w:hAnsi="Times New Roman"/>
                <w:color w:val="000000"/>
                <w:sz w:val="16"/>
                <w:szCs w:val="16"/>
              </w:rPr>
              <w:t>Total assets</w:t>
            </w:r>
          </w:p>
        </w:tc>
        <w:tc>
          <w:tcPr>
            <w:tcW w:w="0" w:type="auto"/>
            <w:gridSpan w:val="3"/>
            <w:shd w:val="clear" w:color="auto" w:fill="FFFFFF"/>
            <w:tcMar>
              <w:top w:w="0" w:type="dxa"/>
              <w:left w:w="20" w:type="dxa"/>
              <w:bottom w:w="0" w:type="dxa"/>
              <w:right w:w="20" w:type="dxa"/>
            </w:tcMar>
            <w:vAlign w:val="bottom"/>
          </w:tcPr>
          <w:p w14:paraId="35D0BBD1"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BD2"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BD3" w14:textId="77777777" w:rsidR="00D42204" w:rsidRDefault="004E439D">
            <w:pPr>
              <w:jc w:val="right"/>
              <w:textAlignment w:val="center"/>
            </w:pPr>
            <w:r>
              <w:rPr>
                <w:rFonts w:ascii="Times New Roman" w:eastAsia="宋体" w:hAnsi="Times New Roman"/>
                <w:color w:val="000000"/>
                <w:sz w:val="16"/>
                <w:szCs w:val="16"/>
              </w:rPr>
              <w:t>125,044 </w:t>
            </w:r>
          </w:p>
        </w:tc>
        <w:tc>
          <w:tcPr>
            <w:tcW w:w="0" w:type="auto"/>
            <w:shd w:val="clear" w:color="auto" w:fill="FFFFFF"/>
            <w:tcMar>
              <w:top w:w="40" w:type="dxa"/>
              <w:left w:w="0" w:type="dxa"/>
              <w:bottom w:w="40" w:type="dxa"/>
              <w:right w:w="20" w:type="dxa"/>
            </w:tcMar>
            <w:vAlign w:val="center"/>
          </w:tcPr>
          <w:p w14:paraId="35D0BBD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BD5"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BD6"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BD7" w14:textId="77777777" w:rsidR="00D42204" w:rsidRDefault="004E439D">
            <w:pPr>
              <w:jc w:val="right"/>
              <w:textAlignment w:val="center"/>
            </w:pPr>
            <w:r>
              <w:rPr>
                <w:rFonts w:ascii="Times New Roman" w:eastAsia="宋体" w:hAnsi="Times New Roman"/>
                <w:color w:val="000000"/>
                <w:sz w:val="16"/>
                <w:szCs w:val="16"/>
              </w:rPr>
              <w:t>91,403 </w:t>
            </w:r>
          </w:p>
        </w:tc>
        <w:tc>
          <w:tcPr>
            <w:tcW w:w="0" w:type="auto"/>
            <w:shd w:val="clear" w:color="auto" w:fill="FFFFFF"/>
            <w:tcMar>
              <w:top w:w="40" w:type="dxa"/>
              <w:left w:w="0" w:type="dxa"/>
              <w:bottom w:w="40" w:type="dxa"/>
              <w:right w:w="20" w:type="dxa"/>
            </w:tcMar>
            <w:vAlign w:val="center"/>
          </w:tcPr>
          <w:p w14:paraId="35D0BBD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BD9"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BDA"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BDB" w14:textId="77777777" w:rsidR="00D42204" w:rsidRDefault="004E439D">
            <w:pPr>
              <w:jc w:val="right"/>
              <w:textAlignment w:val="center"/>
            </w:pPr>
            <w:r>
              <w:rPr>
                <w:rFonts w:ascii="Times New Roman" w:eastAsia="宋体" w:hAnsi="Times New Roman"/>
                <w:color w:val="000000"/>
                <w:sz w:val="16"/>
                <w:szCs w:val="16"/>
              </w:rPr>
              <w:t>14,678 </w:t>
            </w:r>
          </w:p>
        </w:tc>
        <w:tc>
          <w:tcPr>
            <w:tcW w:w="0" w:type="auto"/>
            <w:shd w:val="clear" w:color="auto" w:fill="FFFFFF"/>
            <w:tcMar>
              <w:top w:w="40" w:type="dxa"/>
              <w:left w:w="0" w:type="dxa"/>
              <w:bottom w:w="40" w:type="dxa"/>
              <w:right w:w="20" w:type="dxa"/>
            </w:tcMar>
            <w:vAlign w:val="center"/>
          </w:tcPr>
          <w:p w14:paraId="35D0BBD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BDD"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BDE"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BDF" w14:textId="77777777" w:rsidR="00D42204" w:rsidRDefault="004E439D">
            <w:pPr>
              <w:jc w:val="right"/>
              <w:textAlignment w:val="center"/>
            </w:pPr>
            <w:r>
              <w:rPr>
                <w:rFonts w:ascii="Times New Roman" w:eastAsia="宋体" w:hAnsi="Times New Roman"/>
                <w:color w:val="000000"/>
                <w:sz w:val="16"/>
                <w:szCs w:val="16"/>
              </w:rPr>
              <w:t>13,735 </w:t>
            </w:r>
          </w:p>
        </w:tc>
        <w:tc>
          <w:tcPr>
            <w:tcW w:w="0" w:type="auto"/>
            <w:shd w:val="clear" w:color="auto" w:fill="FFFFFF"/>
            <w:tcMar>
              <w:top w:w="40" w:type="dxa"/>
              <w:left w:w="0" w:type="dxa"/>
              <w:bottom w:w="40" w:type="dxa"/>
              <w:right w:w="20" w:type="dxa"/>
            </w:tcMar>
            <w:vAlign w:val="center"/>
          </w:tcPr>
          <w:p w14:paraId="35D0BBE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BE1" w14:textId="77777777" w:rsidR="00D42204" w:rsidRDefault="00D4220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35D0BBE2"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35D0BBE3" w14:textId="77777777" w:rsidR="00D42204" w:rsidRDefault="004E439D">
            <w:pPr>
              <w:jc w:val="right"/>
              <w:textAlignment w:val="center"/>
            </w:pPr>
            <w:r>
              <w:rPr>
                <w:rFonts w:ascii="Times New Roman" w:eastAsia="宋体" w:hAnsi="Times New Roman"/>
                <w:color w:val="000000"/>
                <w:sz w:val="16"/>
                <w:szCs w:val="16"/>
              </w:rPr>
              <w:t>244,860 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BBE4" w14:textId="77777777" w:rsidR="00D42204" w:rsidRDefault="00D42204">
            <w:pPr>
              <w:jc w:val="right"/>
              <w:rPr>
                <w:rFonts w:ascii="宋体"/>
              </w:rPr>
            </w:pPr>
          </w:p>
        </w:tc>
      </w:tr>
      <w:tr w:rsidR="00D42204" w14:paraId="35D0BBF6" w14:textId="77777777">
        <w:trPr>
          <w:jc w:val="center"/>
        </w:trPr>
        <w:tc>
          <w:tcPr>
            <w:tcW w:w="0" w:type="auto"/>
            <w:gridSpan w:val="3"/>
            <w:shd w:val="clear" w:color="auto" w:fill="CCEEFF"/>
            <w:tcMar>
              <w:top w:w="40" w:type="dxa"/>
              <w:left w:w="20" w:type="dxa"/>
              <w:bottom w:w="40" w:type="dxa"/>
              <w:right w:w="20" w:type="dxa"/>
            </w:tcMar>
            <w:vAlign w:val="center"/>
          </w:tcPr>
          <w:p w14:paraId="35D0BBE6" w14:textId="77777777" w:rsidR="00D42204" w:rsidRDefault="004E439D">
            <w:pPr>
              <w:textAlignment w:val="center"/>
            </w:pPr>
            <w:r>
              <w:rPr>
                <w:rFonts w:ascii="Times New Roman" w:eastAsia="宋体" w:hAnsi="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bottom"/>
          </w:tcPr>
          <w:p w14:paraId="35D0BBE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BE8" w14:textId="77777777" w:rsidR="00D42204" w:rsidRDefault="004E439D">
            <w:pPr>
              <w:jc w:val="right"/>
              <w:textAlignment w:val="center"/>
            </w:pPr>
            <w:r>
              <w:rPr>
                <w:rFonts w:ascii="Times New Roman" w:eastAsia="宋体" w:hAnsi="Times New Roman"/>
                <w:color w:val="000000"/>
                <w:sz w:val="16"/>
                <w:szCs w:val="16"/>
              </w:rPr>
              <w:t>6,773 </w:t>
            </w:r>
          </w:p>
        </w:tc>
        <w:tc>
          <w:tcPr>
            <w:tcW w:w="0" w:type="auto"/>
            <w:shd w:val="clear" w:color="auto" w:fill="CCEEFF"/>
            <w:tcMar>
              <w:top w:w="40" w:type="dxa"/>
              <w:left w:w="0" w:type="dxa"/>
              <w:bottom w:w="40" w:type="dxa"/>
              <w:right w:w="20" w:type="dxa"/>
            </w:tcMar>
            <w:vAlign w:val="center"/>
          </w:tcPr>
          <w:p w14:paraId="35D0BBE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BE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BEB" w14:textId="77777777" w:rsidR="00D42204" w:rsidRDefault="004E439D">
            <w:pPr>
              <w:jc w:val="right"/>
              <w:textAlignment w:val="center"/>
            </w:pPr>
            <w:r>
              <w:rPr>
                <w:rFonts w:ascii="Times New Roman" w:eastAsia="宋体" w:hAnsi="Times New Roman"/>
                <w:color w:val="000000"/>
                <w:sz w:val="16"/>
                <w:szCs w:val="16"/>
              </w:rPr>
              <w:t>1,963 </w:t>
            </w:r>
          </w:p>
        </w:tc>
        <w:tc>
          <w:tcPr>
            <w:tcW w:w="0" w:type="auto"/>
            <w:shd w:val="clear" w:color="auto" w:fill="CCEEFF"/>
            <w:tcMar>
              <w:top w:w="40" w:type="dxa"/>
              <w:left w:w="0" w:type="dxa"/>
              <w:bottom w:w="40" w:type="dxa"/>
              <w:right w:w="20" w:type="dxa"/>
            </w:tcMar>
            <w:vAlign w:val="center"/>
          </w:tcPr>
          <w:p w14:paraId="35D0BBE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BE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BEE" w14:textId="77777777" w:rsidR="00D42204" w:rsidRDefault="004E439D">
            <w:pPr>
              <w:jc w:val="right"/>
              <w:textAlignment w:val="center"/>
            </w:pPr>
            <w:r>
              <w:rPr>
                <w:rFonts w:ascii="Times New Roman" w:eastAsia="宋体" w:hAnsi="Times New Roman"/>
                <w:color w:val="000000"/>
                <w:sz w:val="16"/>
                <w:szCs w:val="16"/>
              </w:rPr>
              <w:t>601 </w:t>
            </w:r>
          </w:p>
        </w:tc>
        <w:tc>
          <w:tcPr>
            <w:tcW w:w="0" w:type="auto"/>
            <w:shd w:val="clear" w:color="auto" w:fill="CCEEFF"/>
            <w:tcMar>
              <w:top w:w="40" w:type="dxa"/>
              <w:left w:w="0" w:type="dxa"/>
              <w:bottom w:w="40" w:type="dxa"/>
              <w:right w:w="20" w:type="dxa"/>
            </w:tcMar>
            <w:vAlign w:val="center"/>
          </w:tcPr>
          <w:p w14:paraId="35D0BBE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BF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BF1" w14:textId="77777777" w:rsidR="00D42204" w:rsidRDefault="004E439D">
            <w:pPr>
              <w:jc w:val="right"/>
              <w:textAlignment w:val="center"/>
            </w:pPr>
            <w:r>
              <w:rPr>
                <w:rFonts w:ascii="Times New Roman" w:eastAsia="宋体" w:hAnsi="Times New Roman"/>
                <w:color w:val="000000"/>
                <w:sz w:val="16"/>
                <w:szCs w:val="16"/>
              </w:rPr>
              <w:t>1,321 </w:t>
            </w:r>
          </w:p>
        </w:tc>
        <w:tc>
          <w:tcPr>
            <w:tcW w:w="0" w:type="auto"/>
            <w:shd w:val="clear" w:color="auto" w:fill="CCEEFF"/>
            <w:tcMar>
              <w:top w:w="40" w:type="dxa"/>
              <w:left w:w="0" w:type="dxa"/>
              <w:bottom w:w="40" w:type="dxa"/>
              <w:right w:w="20" w:type="dxa"/>
            </w:tcMar>
            <w:vAlign w:val="center"/>
          </w:tcPr>
          <w:p w14:paraId="35D0BBF2"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BF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BF4" w14:textId="77777777" w:rsidR="00D42204" w:rsidRDefault="004E439D">
            <w:pPr>
              <w:jc w:val="right"/>
              <w:textAlignment w:val="center"/>
            </w:pPr>
            <w:r>
              <w:rPr>
                <w:rFonts w:ascii="Times New Roman" w:eastAsia="宋体" w:hAnsi="Times New Roman"/>
                <w:color w:val="000000"/>
                <w:sz w:val="16"/>
                <w:szCs w:val="16"/>
              </w:rPr>
              <w:t>10,658 </w:t>
            </w:r>
          </w:p>
        </w:tc>
        <w:tc>
          <w:tcPr>
            <w:tcW w:w="0" w:type="auto"/>
            <w:shd w:val="clear" w:color="auto" w:fill="CCEEFF"/>
            <w:tcMar>
              <w:top w:w="40" w:type="dxa"/>
              <w:left w:w="0" w:type="dxa"/>
              <w:bottom w:w="40" w:type="dxa"/>
              <w:right w:w="20" w:type="dxa"/>
            </w:tcMar>
            <w:vAlign w:val="center"/>
          </w:tcPr>
          <w:p w14:paraId="35D0BBF5" w14:textId="77777777" w:rsidR="00D42204" w:rsidRDefault="00D42204">
            <w:pPr>
              <w:jc w:val="right"/>
              <w:rPr>
                <w:rFonts w:ascii="宋体"/>
              </w:rPr>
            </w:pPr>
          </w:p>
        </w:tc>
      </w:tr>
      <w:tr w:rsidR="00D42204" w14:paraId="35D0BC07" w14:textId="77777777">
        <w:trPr>
          <w:jc w:val="center"/>
        </w:trPr>
        <w:tc>
          <w:tcPr>
            <w:tcW w:w="0" w:type="auto"/>
            <w:gridSpan w:val="3"/>
            <w:shd w:val="clear" w:color="auto" w:fill="FFFFFF"/>
            <w:tcMar>
              <w:top w:w="40" w:type="dxa"/>
              <w:left w:w="20" w:type="dxa"/>
              <w:bottom w:w="40" w:type="dxa"/>
              <w:right w:w="20" w:type="dxa"/>
            </w:tcMar>
            <w:vAlign w:val="center"/>
          </w:tcPr>
          <w:p w14:paraId="35D0BBF7" w14:textId="77777777" w:rsidR="00D42204" w:rsidRDefault="004E439D">
            <w:pPr>
              <w:textAlignment w:val="center"/>
            </w:pPr>
            <w:r>
              <w:rPr>
                <w:rFonts w:ascii="Times New Roman" w:eastAsia="宋体" w:hAnsi="Times New Roman"/>
                <w:color w:val="000000"/>
                <w:sz w:val="16"/>
                <w:szCs w:val="16"/>
              </w:rPr>
              <w:t>Capital expenditures</w:t>
            </w:r>
          </w:p>
        </w:tc>
        <w:tc>
          <w:tcPr>
            <w:tcW w:w="0" w:type="auto"/>
            <w:gridSpan w:val="3"/>
            <w:shd w:val="clear" w:color="auto" w:fill="FFFFFF"/>
            <w:tcMar>
              <w:top w:w="0" w:type="dxa"/>
              <w:left w:w="20" w:type="dxa"/>
              <w:bottom w:w="0" w:type="dxa"/>
              <w:right w:w="20" w:type="dxa"/>
            </w:tcMar>
            <w:vAlign w:val="bottom"/>
          </w:tcPr>
          <w:p w14:paraId="35D0BBF8"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BF9" w14:textId="77777777" w:rsidR="00D42204" w:rsidRDefault="004E439D">
            <w:pPr>
              <w:jc w:val="right"/>
              <w:textAlignment w:val="center"/>
            </w:pPr>
            <w:r>
              <w:rPr>
                <w:rFonts w:ascii="Times New Roman" w:eastAsia="宋体" w:hAnsi="Times New Roman"/>
                <w:color w:val="000000"/>
                <w:sz w:val="16"/>
                <w:szCs w:val="16"/>
              </w:rPr>
              <w:t>8,475 </w:t>
            </w:r>
          </w:p>
        </w:tc>
        <w:tc>
          <w:tcPr>
            <w:tcW w:w="0" w:type="auto"/>
            <w:shd w:val="clear" w:color="auto" w:fill="FFFFFF"/>
            <w:tcMar>
              <w:top w:w="40" w:type="dxa"/>
              <w:left w:w="0" w:type="dxa"/>
              <w:bottom w:w="40" w:type="dxa"/>
              <w:right w:w="20" w:type="dxa"/>
            </w:tcMar>
            <w:vAlign w:val="center"/>
          </w:tcPr>
          <w:p w14:paraId="35D0BBF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BFB"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BFC" w14:textId="77777777" w:rsidR="00D42204" w:rsidRDefault="004E439D">
            <w:pPr>
              <w:jc w:val="right"/>
              <w:textAlignment w:val="center"/>
            </w:pPr>
            <w:r>
              <w:rPr>
                <w:rFonts w:ascii="Times New Roman" w:eastAsia="宋体" w:hAnsi="Times New Roman"/>
                <w:color w:val="000000"/>
                <w:sz w:val="16"/>
                <w:szCs w:val="16"/>
              </w:rPr>
              <w:t>2,497 </w:t>
            </w:r>
          </w:p>
        </w:tc>
        <w:tc>
          <w:tcPr>
            <w:tcW w:w="0" w:type="auto"/>
            <w:shd w:val="clear" w:color="auto" w:fill="FFFFFF"/>
            <w:tcMar>
              <w:top w:w="40" w:type="dxa"/>
              <w:left w:w="0" w:type="dxa"/>
              <w:bottom w:w="40" w:type="dxa"/>
              <w:right w:w="20" w:type="dxa"/>
            </w:tcMar>
            <w:vAlign w:val="center"/>
          </w:tcPr>
          <w:p w14:paraId="35D0BBFD"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BFE"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BFF" w14:textId="77777777" w:rsidR="00D42204" w:rsidRDefault="004E439D">
            <w:pPr>
              <w:jc w:val="right"/>
              <w:textAlignment w:val="center"/>
            </w:pPr>
            <w:r>
              <w:rPr>
                <w:rFonts w:ascii="Times New Roman" w:eastAsia="宋体" w:hAnsi="Times New Roman"/>
                <w:color w:val="000000"/>
                <w:sz w:val="16"/>
                <w:szCs w:val="16"/>
              </w:rPr>
              <w:t>622 </w:t>
            </w:r>
          </w:p>
        </w:tc>
        <w:tc>
          <w:tcPr>
            <w:tcW w:w="0" w:type="auto"/>
            <w:shd w:val="clear" w:color="auto" w:fill="FFFFFF"/>
            <w:tcMar>
              <w:top w:w="40" w:type="dxa"/>
              <w:left w:w="0" w:type="dxa"/>
              <w:bottom w:w="40" w:type="dxa"/>
              <w:right w:w="20" w:type="dxa"/>
            </w:tcMar>
            <w:vAlign w:val="center"/>
          </w:tcPr>
          <w:p w14:paraId="35D0BC0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C0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C02" w14:textId="77777777" w:rsidR="00D42204" w:rsidRDefault="004E439D">
            <w:pPr>
              <w:jc w:val="right"/>
              <w:textAlignment w:val="center"/>
            </w:pPr>
            <w:r>
              <w:rPr>
                <w:rFonts w:ascii="Times New Roman" w:eastAsia="宋体" w:hAnsi="Times New Roman"/>
                <w:color w:val="000000"/>
                <w:sz w:val="16"/>
                <w:szCs w:val="16"/>
              </w:rPr>
              <w:t>1,512 </w:t>
            </w:r>
          </w:p>
        </w:tc>
        <w:tc>
          <w:tcPr>
            <w:tcW w:w="0" w:type="auto"/>
            <w:shd w:val="clear" w:color="auto" w:fill="FFFFFF"/>
            <w:tcMar>
              <w:top w:w="40" w:type="dxa"/>
              <w:left w:w="0" w:type="dxa"/>
              <w:bottom w:w="40" w:type="dxa"/>
              <w:right w:w="20" w:type="dxa"/>
            </w:tcMar>
            <w:vAlign w:val="center"/>
          </w:tcPr>
          <w:p w14:paraId="35D0BC0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C0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C05" w14:textId="77777777" w:rsidR="00D42204" w:rsidRDefault="004E439D">
            <w:pPr>
              <w:jc w:val="right"/>
              <w:textAlignment w:val="center"/>
            </w:pPr>
            <w:r>
              <w:rPr>
                <w:rFonts w:ascii="Times New Roman" w:eastAsia="宋体" w:hAnsi="Times New Roman"/>
                <w:color w:val="000000"/>
                <w:sz w:val="16"/>
                <w:szCs w:val="16"/>
              </w:rPr>
              <w:t>13,106 </w:t>
            </w:r>
          </w:p>
        </w:tc>
        <w:tc>
          <w:tcPr>
            <w:tcW w:w="0" w:type="auto"/>
            <w:shd w:val="clear" w:color="auto" w:fill="FFFFFF"/>
            <w:tcMar>
              <w:top w:w="40" w:type="dxa"/>
              <w:left w:w="0" w:type="dxa"/>
              <w:bottom w:w="40" w:type="dxa"/>
              <w:right w:w="20" w:type="dxa"/>
            </w:tcMar>
            <w:vAlign w:val="center"/>
          </w:tcPr>
          <w:p w14:paraId="35D0BC06" w14:textId="77777777" w:rsidR="00D42204" w:rsidRDefault="00D42204">
            <w:pPr>
              <w:jc w:val="right"/>
              <w:rPr>
                <w:rFonts w:ascii="宋体"/>
              </w:rPr>
            </w:pPr>
          </w:p>
        </w:tc>
      </w:tr>
      <w:tr w:rsidR="00D42204" w14:paraId="35D0BC13" w14:textId="77777777">
        <w:trPr>
          <w:trHeight w:val="220"/>
          <w:jc w:val="center"/>
        </w:trPr>
        <w:tc>
          <w:tcPr>
            <w:tcW w:w="0" w:type="auto"/>
            <w:gridSpan w:val="3"/>
            <w:shd w:val="clear" w:color="auto" w:fill="CCEEFF"/>
            <w:tcMar>
              <w:top w:w="0" w:type="dxa"/>
              <w:left w:w="20" w:type="dxa"/>
              <w:bottom w:w="0" w:type="dxa"/>
              <w:right w:w="20" w:type="dxa"/>
            </w:tcMar>
            <w:vAlign w:val="bottom"/>
          </w:tcPr>
          <w:p w14:paraId="35D0BC0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09"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0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0B"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0C"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0D"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0E"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0F"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10"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11"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12" w14:textId="77777777" w:rsidR="00D42204" w:rsidRDefault="00D42204">
            <w:pPr>
              <w:rPr>
                <w:rFonts w:ascii="宋体"/>
              </w:rPr>
            </w:pPr>
          </w:p>
        </w:tc>
      </w:tr>
      <w:tr w:rsidR="00D42204" w14:paraId="35D0BC1F" w14:textId="77777777">
        <w:trPr>
          <w:jc w:val="center"/>
        </w:trPr>
        <w:tc>
          <w:tcPr>
            <w:tcW w:w="0" w:type="auto"/>
            <w:gridSpan w:val="3"/>
            <w:shd w:val="clear" w:color="auto" w:fill="FFFFFF"/>
            <w:tcMar>
              <w:top w:w="40" w:type="dxa"/>
              <w:left w:w="20" w:type="dxa"/>
              <w:bottom w:w="40" w:type="dxa"/>
              <w:right w:w="20" w:type="dxa"/>
            </w:tcMar>
            <w:vAlign w:val="center"/>
          </w:tcPr>
          <w:p w14:paraId="35D0BC14" w14:textId="77777777" w:rsidR="00D42204" w:rsidRDefault="004E439D">
            <w:pPr>
              <w:textAlignment w:val="center"/>
            </w:pPr>
            <w:r>
              <w:rPr>
                <w:rFonts w:ascii="Times New Roman" w:eastAsia="宋体" w:hAnsi="Times New Roman"/>
                <w:b/>
                <w:bCs/>
                <w:color w:val="000000"/>
                <w:sz w:val="16"/>
                <w:szCs w:val="16"/>
              </w:rPr>
              <w:t>Fiscal Year Ended January 31, 2021</w:t>
            </w:r>
          </w:p>
        </w:tc>
        <w:tc>
          <w:tcPr>
            <w:tcW w:w="0" w:type="auto"/>
            <w:gridSpan w:val="3"/>
            <w:shd w:val="clear" w:color="auto" w:fill="FFFFFF"/>
            <w:tcMar>
              <w:top w:w="0" w:type="dxa"/>
              <w:left w:w="20" w:type="dxa"/>
              <w:bottom w:w="0" w:type="dxa"/>
              <w:right w:w="20" w:type="dxa"/>
            </w:tcMar>
            <w:vAlign w:val="bottom"/>
          </w:tcPr>
          <w:p w14:paraId="35D0BC15"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16"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17"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18"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19"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1A"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1B"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1C"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1D"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1E" w14:textId="77777777" w:rsidR="00D42204" w:rsidRDefault="00D42204">
            <w:pPr>
              <w:rPr>
                <w:rFonts w:ascii="宋体"/>
              </w:rPr>
            </w:pPr>
          </w:p>
        </w:tc>
      </w:tr>
      <w:tr w:rsidR="00D42204" w14:paraId="35D0BC35" w14:textId="77777777">
        <w:trPr>
          <w:jc w:val="center"/>
        </w:trPr>
        <w:tc>
          <w:tcPr>
            <w:tcW w:w="0" w:type="auto"/>
            <w:gridSpan w:val="3"/>
            <w:shd w:val="clear" w:color="auto" w:fill="CCEEFF"/>
            <w:tcMar>
              <w:top w:w="40" w:type="dxa"/>
              <w:left w:w="20" w:type="dxa"/>
              <w:bottom w:w="40" w:type="dxa"/>
              <w:right w:w="20" w:type="dxa"/>
            </w:tcMar>
            <w:vAlign w:val="center"/>
          </w:tcPr>
          <w:p w14:paraId="35D0BC20" w14:textId="77777777" w:rsidR="00D42204" w:rsidRDefault="004E439D">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35D0BC21"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BC22"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BC23" w14:textId="77777777" w:rsidR="00D42204" w:rsidRDefault="004E439D">
            <w:pPr>
              <w:jc w:val="right"/>
              <w:textAlignment w:val="center"/>
            </w:pPr>
            <w:r>
              <w:rPr>
                <w:rFonts w:ascii="Times New Roman" w:eastAsia="宋体" w:hAnsi="Times New Roman"/>
                <w:color w:val="000000"/>
                <w:sz w:val="16"/>
                <w:szCs w:val="16"/>
              </w:rPr>
              <w:t>369,963 </w:t>
            </w:r>
          </w:p>
        </w:tc>
        <w:tc>
          <w:tcPr>
            <w:tcW w:w="0" w:type="auto"/>
            <w:shd w:val="clear" w:color="auto" w:fill="CCEEFF"/>
            <w:tcMar>
              <w:top w:w="40" w:type="dxa"/>
              <w:left w:w="0" w:type="dxa"/>
              <w:bottom w:w="40" w:type="dxa"/>
              <w:right w:w="20" w:type="dxa"/>
            </w:tcMar>
            <w:vAlign w:val="center"/>
          </w:tcPr>
          <w:p w14:paraId="35D0BC2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C25"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BC26"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BC27" w14:textId="77777777" w:rsidR="00D42204" w:rsidRDefault="004E439D">
            <w:pPr>
              <w:jc w:val="right"/>
              <w:textAlignment w:val="center"/>
            </w:pPr>
            <w:r>
              <w:rPr>
                <w:rFonts w:ascii="Times New Roman" w:eastAsia="宋体" w:hAnsi="Times New Roman"/>
                <w:color w:val="000000"/>
                <w:sz w:val="16"/>
                <w:szCs w:val="16"/>
              </w:rPr>
              <w:t>121,360 </w:t>
            </w:r>
          </w:p>
        </w:tc>
        <w:tc>
          <w:tcPr>
            <w:tcW w:w="0" w:type="auto"/>
            <w:shd w:val="clear" w:color="auto" w:fill="CCEEFF"/>
            <w:tcMar>
              <w:top w:w="40" w:type="dxa"/>
              <w:left w:w="0" w:type="dxa"/>
              <w:bottom w:w="40" w:type="dxa"/>
              <w:right w:w="20" w:type="dxa"/>
            </w:tcMar>
            <w:vAlign w:val="center"/>
          </w:tcPr>
          <w:p w14:paraId="35D0BC2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C29"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BC2A"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BC2B" w14:textId="77777777" w:rsidR="00D42204" w:rsidRDefault="004E439D">
            <w:pPr>
              <w:jc w:val="right"/>
              <w:textAlignment w:val="center"/>
            </w:pPr>
            <w:r>
              <w:rPr>
                <w:rFonts w:ascii="Times New Roman" w:eastAsia="宋体" w:hAnsi="Times New Roman"/>
                <w:color w:val="000000"/>
                <w:sz w:val="16"/>
                <w:szCs w:val="16"/>
              </w:rPr>
              <w:t>63,910 </w:t>
            </w:r>
          </w:p>
        </w:tc>
        <w:tc>
          <w:tcPr>
            <w:tcW w:w="0" w:type="auto"/>
            <w:shd w:val="clear" w:color="auto" w:fill="CCEEFF"/>
            <w:tcMar>
              <w:top w:w="40" w:type="dxa"/>
              <w:left w:w="0" w:type="dxa"/>
              <w:bottom w:w="40" w:type="dxa"/>
              <w:right w:w="20" w:type="dxa"/>
            </w:tcMar>
            <w:vAlign w:val="center"/>
          </w:tcPr>
          <w:p w14:paraId="35D0BC2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C2D"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BC2E"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BC2F"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BC3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C31"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BC32"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BC33" w14:textId="77777777" w:rsidR="00D42204" w:rsidRDefault="004E439D">
            <w:pPr>
              <w:jc w:val="right"/>
              <w:textAlignment w:val="center"/>
            </w:pPr>
            <w:r>
              <w:rPr>
                <w:rFonts w:ascii="Times New Roman" w:eastAsia="宋体" w:hAnsi="Times New Roman"/>
                <w:color w:val="000000"/>
                <w:sz w:val="16"/>
                <w:szCs w:val="16"/>
              </w:rPr>
              <w:t>555,233 </w:t>
            </w:r>
          </w:p>
        </w:tc>
        <w:tc>
          <w:tcPr>
            <w:tcW w:w="0" w:type="auto"/>
            <w:shd w:val="clear" w:color="auto" w:fill="CCEEFF"/>
            <w:tcMar>
              <w:top w:w="40" w:type="dxa"/>
              <w:left w:w="0" w:type="dxa"/>
              <w:bottom w:w="40" w:type="dxa"/>
              <w:right w:w="20" w:type="dxa"/>
            </w:tcMar>
            <w:vAlign w:val="center"/>
          </w:tcPr>
          <w:p w14:paraId="35D0BC34" w14:textId="77777777" w:rsidR="00D42204" w:rsidRDefault="00D42204">
            <w:pPr>
              <w:jc w:val="right"/>
              <w:rPr>
                <w:rFonts w:ascii="宋体"/>
              </w:rPr>
            </w:pPr>
          </w:p>
        </w:tc>
      </w:tr>
      <w:tr w:rsidR="00D42204" w14:paraId="35D0BC46" w14:textId="77777777">
        <w:trPr>
          <w:jc w:val="center"/>
        </w:trPr>
        <w:tc>
          <w:tcPr>
            <w:tcW w:w="0" w:type="auto"/>
            <w:gridSpan w:val="3"/>
            <w:shd w:val="clear" w:color="auto" w:fill="FFFFFF"/>
            <w:tcMar>
              <w:top w:w="40" w:type="dxa"/>
              <w:left w:w="20" w:type="dxa"/>
              <w:bottom w:w="40" w:type="dxa"/>
              <w:right w:w="20" w:type="dxa"/>
            </w:tcMar>
            <w:vAlign w:val="center"/>
          </w:tcPr>
          <w:p w14:paraId="35D0BC36" w14:textId="77777777" w:rsidR="00D42204" w:rsidRDefault="004E439D">
            <w:pPr>
              <w:textAlignment w:val="center"/>
            </w:pPr>
            <w:r>
              <w:rPr>
                <w:rFonts w:ascii="Times New Roman" w:eastAsia="宋体" w:hAnsi="Times New Roman"/>
                <w:color w:val="000000"/>
                <w:sz w:val="16"/>
                <w:szCs w:val="16"/>
              </w:rPr>
              <w:t>Operating income (loss)</w:t>
            </w:r>
          </w:p>
        </w:tc>
        <w:tc>
          <w:tcPr>
            <w:tcW w:w="0" w:type="auto"/>
            <w:gridSpan w:val="3"/>
            <w:shd w:val="clear" w:color="auto" w:fill="FFFFFF"/>
            <w:tcMar>
              <w:top w:w="0" w:type="dxa"/>
              <w:left w:w="20" w:type="dxa"/>
              <w:bottom w:w="0" w:type="dxa"/>
              <w:right w:w="20" w:type="dxa"/>
            </w:tcMar>
            <w:vAlign w:val="bottom"/>
          </w:tcPr>
          <w:p w14:paraId="35D0BC3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C38" w14:textId="77777777" w:rsidR="00D42204" w:rsidRDefault="004E439D">
            <w:pPr>
              <w:jc w:val="right"/>
              <w:textAlignment w:val="center"/>
            </w:pPr>
            <w:r>
              <w:rPr>
                <w:rFonts w:ascii="Times New Roman" w:eastAsia="宋体" w:hAnsi="Times New Roman"/>
                <w:color w:val="000000"/>
                <w:sz w:val="16"/>
                <w:szCs w:val="16"/>
              </w:rPr>
              <w:t>19,116</w:t>
            </w: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BC3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C3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C3B" w14:textId="77777777" w:rsidR="00D42204" w:rsidRDefault="004E439D">
            <w:pPr>
              <w:jc w:val="right"/>
              <w:textAlignment w:val="center"/>
            </w:pPr>
            <w:r>
              <w:rPr>
                <w:rFonts w:ascii="Times New Roman" w:eastAsia="宋体" w:hAnsi="Times New Roman"/>
                <w:color w:val="000000"/>
                <w:sz w:val="16"/>
                <w:szCs w:val="16"/>
              </w:rPr>
              <w:t>3,660 </w:t>
            </w:r>
          </w:p>
        </w:tc>
        <w:tc>
          <w:tcPr>
            <w:tcW w:w="0" w:type="auto"/>
            <w:shd w:val="clear" w:color="auto" w:fill="FFFFFF"/>
            <w:tcMar>
              <w:top w:w="40" w:type="dxa"/>
              <w:left w:w="0" w:type="dxa"/>
              <w:bottom w:w="40" w:type="dxa"/>
              <w:right w:w="20" w:type="dxa"/>
            </w:tcMar>
            <w:vAlign w:val="center"/>
          </w:tcPr>
          <w:p w14:paraId="35D0BC3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C3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C3E" w14:textId="77777777" w:rsidR="00D42204" w:rsidRDefault="004E439D">
            <w:pPr>
              <w:jc w:val="right"/>
              <w:textAlignment w:val="center"/>
            </w:pPr>
            <w:r>
              <w:rPr>
                <w:rFonts w:ascii="Times New Roman" w:eastAsia="宋体" w:hAnsi="Times New Roman"/>
                <w:color w:val="000000"/>
                <w:sz w:val="16"/>
                <w:szCs w:val="16"/>
              </w:rPr>
              <w:t>1,906 </w:t>
            </w:r>
          </w:p>
        </w:tc>
        <w:tc>
          <w:tcPr>
            <w:tcW w:w="0" w:type="auto"/>
            <w:shd w:val="clear" w:color="auto" w:fill="FFFFFF"/>
            <w:tcMar>
              <w:top w:w="40" w:type="dxa"/>
              <w:left w:w="0" w:type="dxa"/>
              <w:bottom w:w="40" w:type="dxa"/>
              <w:right w:w="20" w:type="dxa"/>
            </w:tcMar>
            <w:vAlign w:val="center"/>
          </w:tcPr>
          <w:p w14:paraId="35D0BC3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C4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C41" w14:textId="77777777" w:rsidR="00D42204" w:rsidRDefault="004E439D">
            <w:pPr>
              <w:jc w:val="right"/>
              <w:textAlignment w:val="center"/>
            </w:pPr>
            <w:r>
              <w:rPr>
                <w:rFonts w:ascii="Times New Roman" w:eastAsia="宋体" w:hAnsi="Times New Roman"/>
                <w:color w:val="000000"/>
                <w:sz w:val="16"/>
                <w:szCs w:val="16"/>
              </w:rPr>
              <w:t>(2,134)</w:t>
            </w:r>
          </w:p>
        </w:tc>
        <w:tc>
          <w:tcPr>
            <w:tcW w:w="0" w:type="auto"/>
            <w:shd w:val="clear" w:color="auto" w:fill="FFFFFF"/>
            <w:tcMar>
              <w:top w:w="40" w:type="dxa"/>
              <w:left w:w="0" w:type="dxa"/>
              <w:bottom w:w="40" w:type="dxa"/>
              <w:right w:w="20" w:type="dxa"/>
            </w:tcMar>
            <w:vAlign w:val="center"/>
          </w:tcPr>
          <w:p w14:paraId="35D0BC4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C4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C44" w14:textId="77777777" w:rsidR="00D42204" w:rsidRDefault="004E439D">
            <w:pPr>
              <w:jc w:val="right"/>
              <w:textAlignment w:val="center"/>
            </w:pPr>
            <w:r>
              <w:rPr>
                <w:rFonts w:ascii="Times New Roman" w:eastAsia="宋体" w:hAnsi="Times New Roman"/>
                <w:color w:val="000000"/>
                <w:sz w:val="16"/>
                <w:szCs w:val="16"/>
              </w:rPr>
              <w:t>22,548 </w:t>
            </w:r>
          </w:p>
        </w:tc>
        <w:tc>
          <w:tcPr>
            <w:tcW w:w="0" w:type="auto"/>
            <w:shd w:val="clear" w:color="auto" w:fill="FFFFFF"/>
            <w:tcMar>
              <w:top w:w="40" w:type="dxa"/>
              <w:left w:w="0" w:type="dxa"/>
              <w:bottom w:w="40" w:type="dxa"/>
              <w:right w:w="20" w:type="dxa"/>
            </w:tcMar>
            <w:vAlign w:val="center"/>
          </w:tcPr>
          <w:p w14:paraId="35D0BC45" w14:textId="77777777" w:rsidR="00D42204" w:rsidRDefault="00D42204">
            <w:pPr>
              <w:jc w:val="right"/>
              <w:rPr>
                <w:rFonts w:ascii="宋体"/>
              </w:rPr>
            </w:pPr>
          </w:p>
        </w:tc>
      </w:tr>
      <w:tr w:rsidR="00D42204" w14:paraId="35D0BC53" w14:textId="77777777">
        <w:trPr>
          <w:jc w:val="center"/>
        </w:trPr>
        <w:tc>
          <w:tcPr>
            <w:tcW w:w="0" w:type="auto"/>
            <w:gridSpan w:val="3"/>
            <w:shd w:val="clear" w:color="auto" w:fill="CCEEFF"/>
            <w:tcMar>
              <w:top w:w="40" w:type="dxa"/>
              <w:left w:w="20" w:type="dxa"/>
              <w:bottom w:w="40" w:type="dxa"/>
              <w:right w:w="20" w:type="dxa"/>
            </w:tcMar>
            <w:vAlign w:val="center"/>
          </w:tcPr>
          <w:p w14:paraId="35D0BC47" w14:textId="77777777" w:rsidR="00D42204" w:rsidRDefault="004E439D">
            <w:pPr>
              <w:textAlignment w:val="center"/>
            </w:pPr>
            <w:r>
              <w:rPr>
                <w:rFonts w:ascii="Times New Roman" w:eastAsia="宋体" w:hAnsi="Times New Roman"/>
                <w:color w:val="000000"/>
                <w:sz w:val="16"/>
                <w:szCs w:val="16"/>
              </w:rPr>
              <w:t>Interest, net</w:t>
            </w:r>
          </w:p>
        </w:tc>
        <w:tc>
          <w:tcPr>
            <w:tcW w:w="0" w:type="auto"/>
            <w:gridSpan w:val="3"/>
            <w:shd w:val="clear" w:color="auto" w:fill="CCEEFF"/>
            <w:tcMar>
              <w:top w:w="0" w:type="dxa"/>
              <w:left w:w="20" w:type="dxa"/>
              <w:bottom w:w="0" w:type="dxa"/>
              <w:right w:w="20" w:type="dxa"/>
            </w:tcMar>
            <w:vAlign w:val="bottom"/>
          </w:tcPr>
          <w:p w14:paraId="35D0BC4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49"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4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4B"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4C"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4D"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4E"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4F"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50"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C51" w14:textId="77777777" w:rsidR="00D42204" w:rsidRDefault="004E439D">
            <w:pPr>
              <w:jc w:val="right"/>
              <w:textAlignment w:val="center"/>
            </w:pPr>
            <w:r>
              <w:rPr>
                <w:rFonts w:ascii="Times New Roman" w:eastAsia="宋体" w:hAnsi="Times New Roman"/>
                <w:color w:val="000000"/>
                <w:sz w:val="16"/>
                <w:szCs w:val="16"/>
              </w:rPr>
              <w:t>(2,194)</w:t>
            </w:r>
          </w:p>
        </w:tc>
        <w:tc>
          <w:tcPr>
            <w:tcW w:w="0" w:type="auto"/>
            <w:shd w:val="clear" w:color="auto" w:fill="CCEEFF"/>
            <w:tcMar>
              <w:top w:w="40" w:type="dxa"/>
              <w:left w:w="0" w:type="dxa"/>
              <w:bottom w:w="40" w:type="dxa"/>
              <w:right w:w="20" w:type="dxa"/>
            </w:tcMar>
            <w:vAlign w:val="center"/>
          </w:tcPr>
          <w:p w14:paraId="35D0BC52" w14:textId="77777777" w:rsidR="00D42204" w:rsidRDefault="00D42204">
            <w:pPr>
              <w:jc w:val="right"/>
              <w:rPr>
                <w:rFonts w:ascii="宋体"/>
              </w:rPr>
            </w:pPr>
          </w:p>
        </w:tc>
      </w:tr>
      <w:tr w:rsidR="00D42204" w14:paraId="35D0BC60" w14:textId="77777777">
        <w:trPr>
          <w:jc w:val="center"/>
        </w:trPr>
        <w:tc>
          <w:tcPr>
            <w:tcW w:w="0" w:type="auto"/>
            <w:gridSpan w:val="3"/>
            <w:shd w:val="clear" w:color="auto" w:fill="FFFFFF"/>
            <w:tcMar>
              <w:top w:w="40" w:type="dxa"/>
              <w:left w:w="20" w:type="dxa"/>
              <w:bottom w:w="40" w:type="dxa"/>
              <w:right w:w="20" w:type="dxa"/>
            </w:tcMar>
            <w:vAlign w:val="center"/>
          </w:tcPr>
          <w:p w14:paraId="35D0BC54" w14:textId="77777777" w:rsidR="00D42204" w:rsidRDefault="004E439D">
            <w:pPr>
              <w:textAlignment w:val="center"/>
            </w:pPr>
            <w:r>
              <w:rPr>
                <w:rFonts w:ascii="Times New Roman" w:eastAsia="宋体" w:hAnsi="Times New Roman"/>
                <w:color w:val="000000"/>
                <w:sz w:val="16"/>
                <w:szCs w:val="16"/>
              </w:rPr>
              <w:t>Other gains and (losses)</w:t>
            </w:r>
          </w:p>
        </w:tc>
        <w:tc>
          <w:tcPr>
            <w:tcW w:w="0" w:type="auto"/>
            <w:gridSpan w:val="3"/>
            <w:shd w:val="clear" w:color="auto" w:fill="FFFFFF"/>
            <w:tcMar>
              <w:top w:w="0" w:type="dxa"/>
              <w:left w:w="20" w:type="dxa"/>
              <w:bottom w:w="0" w:type="dxa"/>
              <w:right w:w="20" w:type="dxa"/>
            </w:tcMar>
            <w:vAlign w:val="bottom"/>
          </w:tcPr>
          <w:p w14:paraId="35D0BC55"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56"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57"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58"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59"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5A"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5B"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5C"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5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C5E" w14:textId="77777777" w:rsidR="00D42204" w:rsidRDefault="004E439D">
            <w:pPr>
              <w:jc w:val="right"/>
              <w:textAlignment w:val="center"/>
            </w:pPr>
            <w:r>
              <w:rPr>
                <w:rFonts w:ascii="Times New Roman" w:eastAsia="宋体" w:hAnsi="Times New Roman"/>
                <w:color w:val="000000"/>
                <w:sz w:val="16"/>
                <w:szCs w:val="16"/>
              </w:rPr>
              <w:t>210 </w:t>
            </w:r>
          </w:p>
        </w:tc>
        <w:tc>
          <w:tcPr>
            <w:tcW w:w="0" w:type="auto"/>
            <w:shd w:val="clear" w:color="auto" w:fill="FFFFFF"/>
            <w:tcMar>
              <w:top w:w="40" w:type="dxa"/>
              <w:left w:w="0" w:type="dxa"/>
              <w:bottom w:w="40" w:type="dxa"/>
              <w:right w:w="20" w:type="dxa"/>
            </w:tcMar>
            <w:vAlign w:val="center"/>
          </w:tcPr>
          <w:p w14:paraId="35D0BC5F" w14:textId="77777777" w:rsidR="00D42204" w:rsidRDefault="00D42204">
            <w:pPr>
              <w:jc w:val="right"/>
              <w:rPr>
                <w:rFonts w:ascii="宋体"/>
              </w:rPr>
            </w:pPr>
          </w:p>
        </w:tc>
      </w:tr>
      <w:tr w:rsidR="00D42204" w14:paraId="35D0BC6E" w14:textId="77777777">
        <w:trPr>
          <w:jc w:val="center"/>
        </w:trPr>
        <w:tc>
          <w:tcPr>
            <w:tcW w:w="0" w:type="auto"/>
            <w:gridSpan w:val="3"/>
            <w:shd w:val="clear" w:color="auto" w:fill="CCEEFF"/>
            <w:tcMar>
              <w:top w:w="40" w:type="dxa"/>
              <w:left w:w="20" w:type="dxa"/>
              <w:bottom w:w="40" w:type="dxa"/>
              <w:right w:w="20" w:type="dxa"/>
            </w:tcMar>
            <w:vAlign w:val="center"/>
          </w:tcPr>
          <w:p w14:paraId="35D0BC61" w14:textId="77777777" w:rsidR="00D42204" w:rsidRDefault="004E439D">
            <w:pPr>
              <w:textAlignment w:val="center"/>
            </w:pPr>
            <w:r>
              <w:rPr>
                <w:rFonts w:ascii="Times New Roman" w:eastAsia="宋体" w:hAnsi="Times New Roman"/>
                <w:color w:val="000000"/>
                <w:sz w:val="16"/>
                <w:szCs w:val="16"/>
              </w:rPr>
              <w:t>Income before income taxes</w:t>
            </w:r>
          </w:p>
        </w:tc>
        <w:tc>
          <w:tcPr>
            <w:tcW w:w="0" w:type="auto"/>
            <w:gridSpan w:val="3"/>
            <w:shd w:val="clear" w:color="auto" w:fill="CCEEFF"/>
            <w:tcMar>
              <w:top w:w="0" w:type="dxa"/>
              <w:left w:w="20" w:type="dxa"/>
              <w:bottom w:w="0" w:type="dxa"/>
              <w:right w:w="20" w:type="dxa"/>
            </w:tcMar>
            <w:vAlign w:val="bottom"/>
          </w:tcPr>
          <w:p w14:paraId="35D0BC6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63"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64"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65"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66"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67"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6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69"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6A"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C6B"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C6C" w14:textId="77777777" w:rsidR="00D42204" w:rsidRDefault="004E439D">
            <w:pPr>
              <w:jc w:val="right"/>
              <w:textAlignment w:val="center"/>
            </w:pPr>
            <w:r>
              <w:rPr>
                <w:rFonts w:ascii="Times New Roman" w:eastAsia="宋体" w:hAnsi="Times New Roman"/>
                <w:color w:val="000000"/>
                <w:sz w:val="16"/>
                <w:szCs w:val="16"/>
              </w:rPr>
              <w:t>20,564 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C6D" w14:textId="77777777" w:rsidR="00D42204" w:rsidRDefault="00D42204">
            <w:pPr>
              <w:jc w:val="right"/>
              <w:rPr>
                <w:rFonts w:ascii="宋体"/>
              </w:rPr>
            </w:pPr>
          </w:p>
        </w:tc>
      </w:tr>
      <w:tr w:rsidR="00D42204" w14:paraId="35D0BC84" w14:textId="77777777">
        <w:trPr>
          <w:jc w:val="center"/>
        </w:trPr>
        <w:tc>
          <w:tcPr>
            <w:tcW w:w="0" w:type="auto"/>
            <w:gridSpan w:val="3"/>
            <w:shd w:val="clear" w:color="auto" w:fill="FFFFFF"/>
            <w:tcMar>
              <w:top w:w="40" w:type="dxa"/>
              <w:left w:w="20" w:type="dxa"/>
              <w:bottom w:w="40" w:type="dxa"/>
              <w:right w:w="20" w:type="dxa"/>
            </w:tcMar>
            <w:vAlign w:val="center"/>
          </w:tcPr>
          <w:p w14:paraId="35D0BC6F" w14:textId="77777777" w:rsidR="00D42204" w:rsidRDefault="004E439D">
            <w:pPr>
              <w:textAlignment w:val="center"/>
            </w:pPr>
            <w:r>
              <w:rPr>
                <w:rFonts w:ascii="Times New Roman" w:eastAsia="宋体" w:hAnsi="Times New Roman"/>
                <w:color w:val="000000"/>
                <w:sz w:val="16"/>
                <w:szCs w:val="16"/>
              </w:rPr>
              <w:t>Total assets</w:t>
            </w:r>
          </w:p>
        </w:tc>
        <w:tc>
          <w:tcPr>
            <w:tcW w:w="0" w:type="auto"/>
            <w:gridSpan w:val="3"/>
            <w:shd w:val="clear" w:color="auto" w:fill="FFFFFF"/>
            <w:tcMar>
              <w:top w:w="0" w:type="dxa"/>
              <w:left w:w="20" w:type="dxa"/>
              <w:bottom w:w="0" w:type="dxa"/>
              <w:right w:w="20" w:type="dxa"/>
            </w:tcMar>
            <w:vAlign w:val="bottom"/>
          </w:tcPr>
          <w:p w14:paraId="35D0BC70"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C71"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C72" w14:textId="77777777" w:rsidR="00D42204" w:rsidRDefault="004E439D">
            <w:pPr>
              <w:jc w:val="right"/>
              <w:textAlignment w:val="center"/>
            </w:pPr>
            <w:r>
              <w:rPr>
                <w:rFonts w:ascii="Times New Roman" w:eastAsia="宋体" w:hAnsi="Times New Roman"/>
                <w:color w:val="000000"/>
                <w:sz w:val="16"/>
                <w:szCs w:val="16"/>
              </w:rPr>
              <w:t>113,490 </w:t>
            </w:r>
          </w:p>
        </w:tc>
        <w:tc>
          <w:tcPr>
            <w:tcW w:w="0" w:type="auto"/>
            <w:shd w:val="clear" w:color="auto" w:fill="FFFFFF"/>
            <w:tcMar>
              <w:top w:w="40" w:type="dxa"/>
              <w:left w:w="0" w:type="dxa"/>
              <w:bottom w:w="40" w:type="dxa"/>
              <w:right w:w="20" w:type="dxa"/>
            </w:tcMar>
            <w:vAlign w:val="center"/>
          </w:tcPr>
          <w:p w14:paraId="35D0BC7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C74"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C75"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C76" w14:textId="77777777" w:rsidR="00D42204" w:rsidRDefault="004E439D">
            <w:pPr>
              <w:jc w:val="right"/>
              <w:textAlignment w:val="center"/>
            </w:pPr>
            <w:r>
              <w:rPr>
                <w:rFonts w:ascii="Times New Roman" w:eastAsia="宋体" w:hAnsi="Times New Roman"/>
                <w:color w:val="000000"/>
                <w:sz w:val="16"/>
                <w:szCs w:val="16"/>
              </w:rPr>
              <w:t>109,445 </w:t>
            </w:r>
          </w:p>
        </w:tc>
        <w:tc>
          <w:tcPr>
            <w:tcW w:w="0" w:type="auto"/>
            <w:shd w:val="clear" w:color="auto" w:fill="FFFFFF"/>
            <w:tcMar>
              <w:top w:w="40" w:type="dxa"/>
              <w:left w:w="0" w:type="dxa"/>
              <w:bottom w:w="40" w:type="dxa"/>
              <w:right w:w="20" w:type="dxa"/>
            </w:tcMar>
            <w:vAlign w:val="center"/>
          </w:tcPr>
          <w:p w14:paraId="35D0BC77"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C78"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C79"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C7A" w14:textId="77777777" w:rsidR="00D42204" w:rsidRDefault="004E439D">
            <w:pPr>
              <w:jc w:val="right"/>
              <w:textAlignment w:val="center"/>
            </w:pPr>
            <w:r>
              <w:rPr>
                <w:rFonts w:ascii="Times New Roman" w:eastAsia="宋体" w:hAnsi="Times New Roman"/>
                <w:color w:val="000000"/>
                <w:sz w:val="16"/>
                <w:szCs w:val="16"/>
              </w:rPr>
              <w:t>13,415 </w:t>
            </w:r>
          </w:p>
        </w:tc>
        <w:tc>
          <w:tcPr>
            <w:tcW w:w="0" w:type="auto"/>
            <w:shd w:val="clear" w:color="auto" w:fill="FFFFFF"/>
            <w:tcMar>
              <w:top w:w="40" w:type="dxa"/>
              <w:left w:w="0" w:type="dxa"/>
              <w:bottom w:w="40" w:type="dxa"/>
              <w:right w:w="20" w:type="dxa"/>
            </w:tcMar>
            <w:vAlign w:val="center"/>
          </w:tcPr>
          <w:p w14:paraId="35D0BC7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C7C"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C7D"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C7E" w14:textId="77777777" w:rsidR="00D42204" w:rsidRDefault="004E439D">
            <w:pPr>
              <w:jc w:val="right"/>
              <w:textAlignment w:val="center"/>
            </w:pPr>
            <w:r>
              <w:rPr>
                <w:rFonts w:ascii="Times New Roman" w:eastAsia="宋体" w:hAnsi="Times New Roman"/>
                <w:color w:val="000000"/>
                <w:sz w:val="16"/>
                <w:szCs w:val="16"/>
              </w:rPr>
              <w:t>16,146 </w:t>
            </w:r>
          </w:p>
        </w:tc>
        <w:tc>
          <w:tcPr>
            <w:tcW w:w="0" w:type="auto"/>
            <w:shd w:val="clear" w:color="auto" w:fill="FFFFFF"/>
            <w:tcMar>
              <w:top w:w="40" w:type="dxa"/>
              <w:left w:w="0" w:type="dxa"/>
              <w:bottom w:w="40" w:type="dxa"/>
              <w:right w:w="20" w:type="dxa"/>
            </w:tcMar>
            <w:vAlign w:val="center"/>
          </w:tcPr>
          <w:p w14:paraId="35D0BC7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C80" w14:textId="77777777" w:rsidR="00D42204" w:rsidRDefault="00D4220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35D0BC81"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35D0BC82" w14:textId="77777777" w:rsidR="00D42204" w:rsidRDefault="004E439D">
            <w:pPr>
              <w:jc w:val="right"/>
              <w:textAlignment w:val="center"/>
            </w:pPr>
            <w:r>
              <w:rPr>
                <w:rFonts w:ascii="Times New Roman" w:eastAsia="宋体" w:hAnsi="Times New Roman"/>
                <w:color w:val="000000"/>
                <w:sz w:val="16"/>
                <w:szCs w:val="16"/>
              </w:rPr>
              <w:t>252,496 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BC83" w14:textId="77777777" w:rsidR="00D42204" w:rsidRDefault="00D42204">
            <w:pPr>
              <w:jc w:val="right"/>
              <w:rPr>
                <w:rFonts w:ascii="宋体"/>
              </w:rPr>
            </w:pPr>
          </w:p>
        </w:tc>
      </w:tr>
      <w:tr w:rsidR="00D42204" w14:paraId="35D0BC95" w14:textId="77777777">
        <w:trPr>
          <w:jc w:val="center"/>
        </w:trPr>
        <w:tc>
          <w:tcPr>
            <w:tcW w:w="0" w:type="auto"/>
            <w:gridSpan w:val="3"/>
            <w:shd w:val="clear" w:color="auto" w:fill="CCEEFF"/>
            <w:tcMar>
              <w:top w:w="40" w:type="dxa"/>
              <w:left w:w="20" w:type="dxa"/>
              <w:bottom w:w="40" w:type="dxa"/>
              <w:right w:w="20" w:type="dxa"/>
            </w:tcMar>
            <w:vAlign w:val="center"/>
          </w:tcPr>
          <w:p w14:paraId="35D0BC85" w14:textId="77777777" w:rsidR="00D42204" w:rsidRDefault="004E439D">
            <w:pPr>
              <w:textAlignment w:val="center"/>
            </w:pPr>
            <w:r>
              <w:rPr>
                <w:rFonts w:ascii="Times New Roman" w:eastAsia="宋体" w:hAnsi="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bottom"/>
          </w:tcPr>
          <w:p w14:paraId="35D0BC8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C87" w14:textId="77777777" w:rsidR="00D42204" w:rsidRDefault="004E439D">
            <w:pPr>
              <w:jc w:val="right"/>
              <w:textAlignment w:val="center"/>
            </w:pPr>
            <w:r>
              <w:rPr>
                <w:rFonts w:ascii="Times New Roman" w:eastAsia="宋体" w:hAnsi="Times New Roman"/>
                <w:color w:val="000000"/>
                <w:sz w:val="16"/>
                <w:szCs w:val="16"/>
              </w:rPr>
              <w:t>6,561 </w:t>
            </w:r>
          </w:p>
        </w:tc>
        <w:tc>
          <w:tcPr>
            <w:tcW w:w="0" w:type="auto"/>
            <w:shd w:val="clear" w:color="auto" w:fill="CCEEFF"/>
            <w:tcMar>
              <w:top w:w="40" w:type="dxa"/>
              <w:left w:w="0" w:type="dxa"/>
              <w:bottom w:w="40" w:type="dxa"/>
              <w:right w:w="20" w:type="dxa"/>
            </w:tcMar>
            <w:vAlign w:val="center"/>
          </w:tcPr>
          <w:p w14:paraId="35D0BC8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C8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C8A" w14:textId="77777777" w:rsidR="00D42204" w:rsidRDefault="004E439D">
            <w:pPr>
              <w:jc w:val="right"/>
              <w:textAlignment w:val="center"/>
            </w:pPr>
            <w:r>
              <w:rPr>
                <w:rFonts w:ascii="Times New Roman" w:eastAsia="宋体" w:hAnsi="Times New Roman"/>
                <w:color w:val="000000"/>
                <w:sz w:val="16"/>
                <w:szCs w:val="16"/>
              </w:rPr>
              <w:t>2,633 </w:t>
            </w:r>
          </w:p>
        </w:tc>
        <w:tc>
          <w:tcPr>
            <w:tcW w:w="0" w:type="auto"/>
            <w:shd w:val="clear" w:color="auto" w:fill="CCEEFF"/>
            <w:tcMar>
              <w:top w:w="40" w:type="dxa"/>
              <w:left w:w="0" w:type="dxa"/>
              <w:bottom w:w="40" w:type="dxa"/>
              <w:right w:w="20" w:type="dxa"/>
            </w:tcMar>
            <w:vAlign w:val="center"/>
          </w:tcPr>
          <w:p w14:paraId="35D0BC8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C8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C8D" w14:textId="77777777" w:rsidR="00D42204" w:rsidRDefault="004E439D">
            <w:pPr>
              <w:jc w:val="right"/>
              <w:textAlignment w:val="center"/>
            </w:pPr>
            <w:r>
              <w:rPr>
                <w:rFonts w:ascii="Times New Roman" w:eastAsia="宋体" w:hAnsi="Times New Roman"/>
                <w:color w:val="000000"/>
                <w:sz w:val="16"/>
                <w:szCs w:val="16"/>
              </w:rPr>
              <w:t>599 </w:t>
            </w:r>
          </w:p>
        </w:tc>
        <w:tc>
          <w:tcPr>
            <w:tcW w:w="0" w:type="auto"/>
            <w:shd w:val="clear" w:color="auto" w:fill="CCEEFF"/>
            <w:tcMar>
              <w:top w:w="40" w:type="dxa"/>
              <w:left w:w="0" w:type="dxa"/>
              <w:bottom w:w="40" w:type="dxa"/>
              <w:right w:w="20" w:type="dxa"/>
            </w:tcMar>
            <w:vAlign w:val="center"/>
          </w:tcPr>
          <w:p w14:paraId="35D0BC8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C8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C90" w14:textId="77777777" w:rsidR="00D42204" w:rsidRDefault="004E439D">
            <w:pPr>
              <w:jc w:val="right"/>
              <w:textAlignment w:val="center"/>
            </w:pPr>
            <w:r>
              <w:rPr>
                <w:rFonts w:ascii="Times New Roman" w:eastAsia="宋体" w:hAnsi="Times New Roman"/>
                <w:color w:val="000000"/>
                <w:sz w:val="16"/>
                <w:szCs w:val="16"/>
              </w:rPr>
              <w:t>1,359 </w:t>
            </w:r>
          </w:p>
        </w:tc>
        <w:tc>
          <w:tcPr>
            <w:tcW w:w="0" w:type="auto"/>
            <w:shd w:val="clear" w:color="auto" w:fill="CCEEFF"/>
            <w:tcMar>
              <w:top w:w="40" w:type="dxa"/>
              <w:left w:w="0" w:type="dxa"/>
              <w:bottom w:w="40" w:type="dxa"/>
              <w:right w:w="20" w:type="dxa"/>
            </w:tcMar>
            <w:vAlign w:val="center"/>
          </w:tcPr>
          <w:p w14:paraId="35D0BC9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C9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C93" w14:textId="77777777" w:rsidR="00D42204" w:rsidRDefault="004E439D">
            <w:pPr>
              <w:jc w:val="right"/>
              <w:textAlignment w:val="center"/>
            </w:pPr>
            <w:r>
              <w:rPr>
                <w:rFonts w:ascii="Times New Roman" w:eastAsia="宋体" w:hAnsi="Times New Roman"/>
                <w:color w:val="000000"/>
                <w:sz w:val="16"/>
                <w:szCs w:val="16"/>
              </w:rPr>
              <w:t>11,152 </w:t>
            </w:r>
          </w:p>
        </w:tc>
        <w:tc>
          <w:tcPr>
            <w:tcW w:w="0" w:type="auto"/>
            <w:shd w:val="clear" w:color="auto" w:fill="CCEEFF"/>
            <w:tcMar>
              <w:top w:w="40" w:type="dxa"/>
              <w:left w:w="0" w:type="dxa"/>
              <w:bottom w:w="40" w:type="dxa"/>
              <w:right w:w="20" w:type="dxa"/>
            </w:tcMar>
            <w:vAlign w:val="center"/>
          </w:tcPr>
          <w:p w14:paraId="35D0BC94" w14:textId="77777777" w:rsidR="00D42204" w:rsidRDefault="00D42204">
            <w:pPr>
              <w:jc w:val="right"/>
              <w:rPr>
                <w:rFonts w:ascii="宋体"/>
              </w:rPr>
            </w:pPr>
          </w:p>
        </w:tc>
      </w:tr>
      <w:tr w:rsidR="00D42204" w14:paraId="35D0BCA6" w14:textId="77777777">
        <w:trPr>
          <w:jc w:val="center"/>
        </w:trPr>
        <w:tc>
          <w:tcPr>
            <w:tcW w:w="0" w:type="auto"/>
            <w:gridSpan w:val="3"/>
            <w:shd w:val="clear" w:color="auto" w:fill="FFFFFF"/>
            <w:tcMar>
              <w:top w:w="40" w:type="dxa"/>
              <w:left w:w="20" w:type="dxa"/>
              <w:bottom w:w="40" w:type="dxa"/>
              <w:right w:w="20" w:type="dxa"/>
            </w:tcMar>
            <w:vAlign w:val="center"/>
          </w:tcPr>
          <w:p w14:paraId="35D0BC96" w14:textId="77777777" w:rsidR="00D42204" w:rsidRDefault="004E439D">
            <w:pPr>
              <w:textAlignment w:val="center"/>
            </w:pPr>
            <w:r>
              <w:rPr>
                <w:rFonts w:ascii="Times New Roman" w:eastAsia="宋体" w:hAnsi="Times New Roman"/>
                <w:color w:val="000000"/>
                <w:sz w:val="16"/>
                <w:szCs w:val="16"/>
              </w:rPr>
              <w:t>Capital expenditures</w:t>
            </w:r>
          </w:p>
        </w:tc>
        <w:tc>
          <w:tcPr>
            <w:tcW w:w="0" w:type="auto"/>
            <w:gridSpan w:val="3"/>
            <w:shd w:val="clear" w:color="auto" w:fill="FFFFFF"/>
            <w:tcMar>
              <w:top w:w="0" w:type="dxa"/>
              <w:left w:w="20" w:type="dxa"/>
              <w:bottom w:w="0" w:type="dxa"/>
              <w:right w:w="20" w:type="dxa"/>
            </w:tcMar>
            <w:vAlign w:val="bottom"/>
          </w:tcPr>
          <w:p w14:paraId="35D0BC9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C98" w14:textId="77777777" w:rsidR="00D42204" w:rsidRDefault="004E439D">
            <w:pPr>
              <w:jc w:val="right"/>
              <w:textAlignment w:val="center"/>
            </w:pPr>
            <w:r>
              <w:rPr>
                <w:rFonts w:ascii="Times New Roman" w:eastAsia="宋体" w:hAnsi="Times New Roman"/>
                <w:color w:val="000000"/>
                <w:sz w:val="16"/>
                <w:szCs w:val="16"/>
              </w:rPr>
              <w:t>6,131 </w:t>
            </w:r>
          </w:p>
        </w:tc>
        <w:tc>
          <w:tcPr>
            <w:tcW w:w="0" w:type="auto"/>
            <w:shd w:val="clear" w:color="auto" w:fill="FFFFFF"/>
            <w:tcMar>
              <w:top w:w="40" w:type="dxa"/>
              <w:left w:w="0" w:type="dxa"/>
              <w:bottom w:w="40" w:type="dxa"/>
              <w:right w:w="20" w:type="dxa"/>
            </w:tcMar>
            <w:vAlign w:val="center"/>
          </w:tcPr>
          <w:p w14:paraId="35D0BC9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C9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C9B" w14:textId="77777777" w:rsidR="00D42204" w:rsidRDefault="004E439D">
            <w:pPr>
              <w:jc w:val="right"/>
              <w:textAlignment w:val="center"/>
            </w:pPr>
            <w:r>
              <w:rPr>
                <w:rFonts w:ascii="Times New Roman" w:eastAsia="宋体" w:hAnsi="Times New Roman"/>
                <w:color w:val="000000"/>
                <w:sz w:val="16"/>
                <w:szCs w:val="16"/>
              </w:rPr>
              <w:t>2,436 </w:t>
            </w:r>
          </w:p>
        </w:tc>
        <w:tc>
          <w:tcPr>
            <w:tcW w:w="0" w:type="auto"/>
            <w:shd w:val="clear" w:color="auto" w:fill="FFFFFF"/>
            <w:tcMar>
              <w:top w:w="40" w:type="dxa"/>
              <w:left w:w="0" w:type="dxa"/>
              <w:bottom w:w="40" w:type="dxa"/>
              <w:right w:w="20" w:type="dxa"/>
            </w:tcMar>
            <w:vAlign w:val="center"/>
          </w:tcPr>
          <w:p w14:paraId="35D0BC9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C9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C9E" w14:textId="77777777" w:rsidR="00D42204" w:rsidRDefault="004E439D">
            <w:pPr>
              <w:jc w:val="right"/>
              <w:textAlignment w:val="center"/>
            </w:pPr>
            <w:r>
              <w:rPr>
                <w:rFonts w:ascii="Times New Roman" w:eastAsia="宋体" w:hAnsi="Times New Roman"/>
                <w:color w:val="000000"/>
                <w:sz w:val="16"/>
                <w:szCs w:val="16"/>
              </w:rPr>
              <w:t>488 </w:t>
            </w:r>
          </w:p>
        </w:tc>
        <w:tc>
          <w:tcPr>
            <w:tcW w:w="0" w:type="auto"/>
            <w:shd w:val="clear" w:color="auto" w:fill="FFFFFF"/>
            <w:tcMar>
              <w:top w:w="40" w:type="dxa"/>
              <w:left w:w="0" w:type="dxa"/>
              <w:bottom w:w="40" w:type="dxa"/>
              <w:right w:w="20" w:type="dxa"/>
            </w:tcMar>
            <w:vAlign w:val="center"/>
          </w:tcPr>
          <w:p w14:paraId="35D0BC9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CA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CA1" w14:textId="77777777" w:rsidR="00D42204" w:rsidRDefault="004E439D">
            <w:pPr>
              <w:jc w:val="right"/>
              <w:textAlignment w:val="center"/>
            </w:pPr>
            <w:r>
              <w:rPr>
                <w:rFonts w:ascii="Times New Roman" w:eastAsia="宋体" w:hAnsi="Times New Roman"/>
                <w:color w:val="000000"/>
                <w:sz w:val="16"/>
                <w:szCs w:val="16"/>
              </w:rPr>
              <w:t>1,209 </w:t>
            </w:r>
          </w:p>
        </w:tc>
        <w:tc>
          <w:tcPr>
            <w:tcW w:w="0" w:type="auto"/>
            <w:shd w:val="clear" w:color="auto" w:fill="FFFFFF"/>
            <w:tcMar>
              <w:top w:w="40" w:type="dxa"/>
              <w:left w:w="0" w:type="dxa"/>
              <w:bottom w:w="40" w:type="dxa"/>
              <w:right w:w="20" w:type="dxa"/>
            </w:tcMar>
            <w:vAlign w:val="center"/>
          </w:tcPr>
          <w:p w14:paraId="35D0BCA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CA3"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CA4" w14:textId="77777777" w:rsidR="00D42204" w:rsidRDefault="004E439D">
            <w:pPr>
              <w:jc w:val="right"/>
              <w:textAlignment w:val="center"/>
            </w:pPr>
            <w:r>
              <w:rPr>
                <w:rFonts w:ascii="Times New Roman" w:eastAsia="宋体" w:hAnsi="Times New Roman"/>
                <w:color w:val="000000"/>
                <w:sz w:val="16"/>
                <w:szCs w:val="16"/>
              </w:rPr>
              <w:t>10,264 </w:t>
            </w:r>
          </w:p>
        </w:tc>
        <w:tc>
          <w:tcPr>
            <w:tcW w:w="0" w:type="auto"/>
            <w:shd w:val="clear" w:color="auto" w:fill="FFFFFF"/>
            <w:tcMar>
              <w:top w:w="40" w:type="dxa"/>
              <w:left w:w="0" w:type="dxa"/>
              <w:bottom w:w="40" w:type="dxa"/>
              <w:right w:w="20" w:type="dxa"/>
            </w:tcMar>
            <w:vAlign w:val="center"/>
          </w:tcPr>
          <w:p w14:paraId="35D0BCA5" w14:textId="77777777" w:rsidR="00D42204" w:rsidRDefault="00D42204">
            <w:pPr>
              <w:jc w:val="right"/>
              <w:rPr>
                <w:rFonts w:ascii="宋体"/>
              </w:rPr>
            </w:pPr>
          </w:p>
        </w:tc>
      </w:tr>
      <w:tr w:rsidR="00D42204" w14:paraId="35D0BCB2" w14:textId="77777777">
        <w:trPr>
          <w:trHeight w:val="220"/>
          <w:jc w:val="center"/>
        </w:trPr>
        <w:tc>
          <w:tcPr>
            <w:tcW w:w="0" w:type="auto"/>
            <w:gridSpan w:val="3"/>
            <w:shd w:val="clear" w:color="auto" w:fill="CCEEFF"/>
            <w:tcMar>
              <w:top w:w="0" w:type="dxa"/>
              <w:left w:w="20" w:type="dxa"/>
              <w:bottom w:w="0" w:type="dxa"/>
              <w:right w:w="20" w:type="dxa"/>
            </w:tcMar>
            <w:vAlign w:val="bottom"/>
          </w:tcPr>
          <w:p w14:paraId="35D0BCA7"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A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A9"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A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AB"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AC"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AD"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AE"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AF"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B0"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B1" w14:textId="77777777" w:rsidR="00D42204" w:rsidRDefault="00D42204">
            <w:pPr>
              <w:rPr>
                <w:rFonts w:ascii="宋体"/>
              </w:rPr>
            </w:pPr>
          </w:p>
        </w:tc>
      </w:tr>
      <w:tr w:rsidR="00D42204" w14:paraId="35D0BCBE" w14:textId="77777777">
        <w:trPr>
          <w:jc w:val="center"/>
        </w:trPr>
        <w:tc>
          <w:tcPr>
            <w:tcW w:w="0" w:type="auto"/>
            <w:gridSpan w:val="3"/>
            <w:shd w:val="clear" w:color="auto" w:fill="FFFFFF"/>
            <w:tcMar>
              <w:top w:w="40" w:type="dxa"/>
              <w:left w:w="20" w:type="dxa"/>
              <w:bottom w:w="40" w:type="dxa"/>
              <w:right w:w="20" w:type="dxa"/>
            </w:tcMar>
            <w:vAlign w:val="center"/>
          </w:tcPr>
          <w:p w14:paraId="35D0BCB3" w14:textId="77777777" w:rsidR="00D42204" w:rsidRDefault="004E439D">
            <w:pPr>
              <w:textAlignment w:val="center"/>
            </w:pPr>
            <w:r>
              <w:rPr>
                <w:rFonts w:ascii="Times New Roman" w:eastAsia="宋体" w:hAnsi="Times New Roman"/>
                <w:b/>
                <w:bCs/>
                <w:color w:val="000000"/>
                <w:sz w:val="16"/>
                <w:szCs w:val="16"/>
              </w:rPr>
              <w:t>Fiscal Year Ended January 31, 2020</w:t>
            </w:r>
          </w:p>
        </w:tc>
        <w:tc>
          <w:tcPr>
            <w:tcW w:w="0" w:type="auto"/>
            <w:gridSpan w:val="3"/>
            <w:shd w:val="clear" w:color="auto" w:fill="FFFFFF"/>
            <w:tcMar>
              <w:top w:w="0" w:type="dxa"/>
              <w:left w:w="20" w:type="dxa"/>
              <w:bottom w:w="0" w:type="dxa"/>
              <w:right w:w="20" w:type="dxa"/>
            </w:tcMar>
            <w:vAlign w:val="bottom"/>
          </w:tcPr>
          <w:p w14:paraId="35D0BCB4"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B5"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B6"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B7"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B8"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B9"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BA"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BB"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BC"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BD" w14:textId="77777777" w:rsidR="00D42204" w:rsidRDefault="00D42204">
            <w:pPr>
              <w:rPr>
                <w:rFonts w:ascii="宋体"/>
              </w:rPr>
            </w:pPr>
          </w:p>
        </w:tc>
      </w:tr>
      <w:tr w:rsidR="00D42204" w14:paraId="35D0BCD4" w14:textId="77777777">
        <w:trPr>
          <w:jc w:val="center"/>
        </w:trPr>
        <w:tc>
          <w:tcPr>
            <w:tcW w:w="0" w:type="auto"/>
            <w:gridSpan w:val="3"/>
            <w:shd w:val="clear" w:color="auto" w:fill="CCEEFF"/>
            <w:tcMar>
              <w:top w:w="40" w:type="dxa"/>
              <w:left w:w="20" w:type="dxa"/>
              <w:bottom w:w="40" w:type="dxa"/>
              <w:right w:w="20" w:type="dxa"/>
            </w:tcMar>
            <w:vAlign w:val="center"/>
          </w:tcPr>
          <w:p w14:paraId="35D0BCBF" w14:textId="77777777" w:rsidR="00D42204" w:rsidRDefault="004E439D">
            <w:pPr>
              <w:textAlignment w:val="center"/>
            </w:pPr>
            <w:r>
              <w:rPr>
                <w:rFonts w:ascii="Times New Roman" w:eastAsia="宋体" w:hAnsi="Times New Roman"/>
                <w:color w:val="000000"/>
                <w:sz w:val="16"/>
                <w:szCs w:val="16"/>
              </w:rPr>
              <w:t>Net sales</w:t>
            </w:r>
          </w:p>
        </w:tc>
        <w:tc>
          <w:tcPr>
            <w:tcW w:w="0" w:type="auto"/>
            <w:gridSpan w:val="3"/>
            <w:shd w:val="clear" w:color="auto" w:fill="CCEEFF"/>
            <w:tcMar>
              <w:top w:w="0" w:type="dxa"/>
              <w:left w:w="20" w:type="dxa"/>
              <w:bottom w:w="0" w:type="dxa"/>
              <w:right w:w="20" w:type="dxa"/>
            </w:tcMar>
            <w:vAlign w:val="bottom"/>
          </w:tcPr>
          <w:p w14:paraId="35D0BCC0"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BCC1"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BCC2" w14:textId="77777777" w:rsidR="00D42204" w:rsidRDefault="004E439D">
            <w:pPr>
              <w:jc w:val="right"/>
              <w:textAlignment w:val="center"/>
            </w:pPr>
            <w:r>
              <w:rPr>
                <w:rFonts w:ascii="Times New Roman" w:eastAsia="宋体" w:hAnsi="Times New Roman"/>
                <w:color w:val="000000"/>
                <w:sz w:val="16"/>
                <w:szCs w:val="16"/>
              </w:rPr>
              <w:t>341,004 </w:t>
            </w:r>
          </w:p>
        </w:tc>
        <w:tc>
          <w:tcPr>
            <w:tcW w:w="0" w:type="auto"/>
            <w:shd w:val="clear" w:color="auto" w:fill="CCEEFF"/>
            <w:tcMar>
              <w:top w:w="40" w:type="dxa"/>
              <w:left w:w="0" w:type="dxa"/>
              <w:bottom w:w="40" w:type="dxa"/>
              <w:right w:w="20" w:type="dxa"/>
            </w:tcMar>
            <w:vAlign w:val="center"/>
          </w:tcPr>
          <w:p w14:paraId="35D0BCC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CC4"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BCC5"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BCC6" w14:textId="77777777" w:rsidR="00D42204" w:rsidRDefault="004E439D">
            <w:pPr>
              <w:jc w:val="right"/>
              <w:textAlignment w:val="center"/>
            </w:pPr>
            <w:r>
              <w:rPr>
                <w:rFonts w:ascii="Times New Roman" w:eastAsia="宋体" w:hAnsi="Times New Roman"/>
                <w:color w:val="000000"/>
                <w:sz w:val="16"/>
                <w:szCs w:val="16"/>
              </w:rPr>
              <w:t>120,130 </w:t>
            </w:r>
          </w:p>
        </w:tc>
        <w:tc>
          <w:tcPr>
            <w:tcW w:w="0" w:type="auto"/>
            <w:shd w:val="clear" w:color="auto" w:fill="CCEEFF"/>
            <w:tcMar>
              <w:top w:w="40" w:type="dxa"/>
              <w:left w:w="0" w:type="dxa"/>
              <w:bottom w:w="40" w:type="dxa"/>
              <w:right w:w="20" w:type="dxa"/>
            </w:tcMar>
            <w:vAlign w:val="center"/>
          </w:tcPr>
          <w:p w14:paraId="35D0BCC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CC8"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BCC9"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BCCA" w14:textId="77777777" w:rsidR="00D42204" w:rsidRDefault="004E439D">
            <w:pPr>
              <w:jc w:val="right"/>
              <w:textAlignment w:val="center"/>
            </w:pPr>
            <w:r>
              <w:rPr>
                <w:rFonts w:ascii="Times New Roman" w:eastAsia="宋体" w:hAnsi="Times New Roman"/>
                <w:color w:val="000000"/>
                <w:sz w:val="16"/>
                <w:szCs w:val="16"/>
              </w:rPr>
              <w:t>58,792 </w:t>
            </w:r>
          </w:p>
        </w:tc>
        <w:tc>
          <w:tcPr>
            <w:tcW w:w="0" w:type="auto"/>
            <w:shd w:val="clear" w:color="auto" w:fill="CCEEFF"/>
            <w:tcMar>
              <w:top w:w="40" w:type="dxa"/>
              <w:left w:w="0" w:type="dxa"/>
              <w:bottom w:w="40" w:type="dxa"/>
              <w:right w:w="20" w:type="dxa"/>
            </w:tcMar>
            <w:vAlign w:val="center"/>
          </w:tcPr>
          <w:p w14:paraId="35D0BCC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CCC"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BCCD"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BCCE" w14:textId="77777777" w:rsidR="00D42204" w:rsidRDefault="004E439D">
            <w:pPr>
              <w:jc w:val="right"/>
              <w:textAlignment w:val="center"/>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center"/>
          </w:tcPr>
          <w:p w14:paraId="35D0BCC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CD0"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BCD1"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BCD2" w14:textId="77777777" w:rsidR="00D42204" w:rsidRDefault="004E439D">
            <w:pPr>
              <w:jc w:val="right"/>
              <w:textAlignment w:val="center"/>
            </w:pPr>
            <w:r>
              <w:rPr>
                <w:rFonts w:ascii="Times New Roman" w:eastAsia="宋体" w:hAnsi="Times New Roman"/>
                <w:color w:val="000000"/>
                <w:sz w:val="16"/>
                <w:szCs w:val="16"/>
              </w:rPr>
              <w:t>519,926 </w:t>
            </w:r>
          </w:p>
        </w:tc>
        <w:tc>
          <w:tcPr>
            <w:tcW w:w="0" w:type="auto"/>
            <w:shd w:val="clear" w:color="auto" w:fill="CCEEFF"/>
            <w:tcMar>
              <w:top w:w="40" w:type="dxa"/>
              <w:left w:w="0" w:type="dxa"/>
              <w:bottom w:w="40" w:type="dxa"/>
              <w:right w:w="20" w:type="dxa"/>
            </w:tcMar>
            <w:vAlign w:val="center"/>
          </w:tcPr>
          <w:p w14:paraId="35D0BCD3" w14:textId="77777777" w:rsidR="00D42204" w:rsidRDefault="00D42204">
            <w:pPr>
              <w:jc w:val="right"/>
              <w:rPr>
                <w:rFonts w:ascii="宋体"/>
              </w:rPr>
            </w:pPr>
          </w:p>
        </w:tc>
      </w:tr>
      <w:tr w:rsidR="00D42204" w14:paraId="35D0BCE5" w14:textId="77777777">
        <w:trPr>
          <w:jc w:val="center"/>
        </w:trPr>
        <w:tc>
          <w:tcPr>
            <w:tcW w:w="0" w:type="auto"/>
            <w:gridSpan w:val="3"/>
            <w:shd w:val="clear" w:color="auto" w:fill="FFFFFF"/>
            <w:tcMar>
              <w:top w:w="40" w:type="dxa"/>
              <w:left w:w="20" w:type="dxa"/>
              <w:bottom w:w="40" w:type="dxa"/>
              <w:right w:w="20" w:type="dxa"/>
            </w:tcMar>
            <w:vAlign w:val="center"/>
          </w:tcPr>
          <w:p w14:paraId="35D0BCD5" w14:textId="77777777" w:rsidR="00D42204" w:rsidRDefault="004E439D">
            <w:pPr>
              <w:textAlignment w:val="center"/>
            </w:pPr>
            <w:r>
              <w:rPr>
                <w:rFonts w:ascii="Times New Roman" w:eastAsia="宋体" w:hAnsi="Times New Roman"/>
                <w:color w:val="000000"/>
                <w:sz w:val="16"/>
                <w:szCs w:val="16"/>
              </w:rPr>
              <w:t>Operating income (loss)</w:t>
            </w:r>
          </w:p>
        </w:tc>
        <w:tc>
          <w:tcPr>
            <w:tcW w:w="0" w:type="auto"/>
            <w:gridSpan w:val="3"/>
            <w:shd w:val="clear" w:color="auto" w:fill="FFFFFF"/>
            <w:tcMar>
              <w:top w:w="0" w:type="dxa"/>
              <w:left w:w="20" w:type="dxa"/>
              <w:bottom w:w="0" w:type="dxa"/>
              <w:right w:w="20" w:type="dxa"/>
            </w:tcMar>
            <w:vAlign w:val="bottom"/>
          </w:tcPr>
          <w:p w14:paraId="35D0BCD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CD7" w14:textId="77777777" w:rsidR="00D42204" w:rsidRDefault="004E439D">
            <w:pPr>
              <w:jc w:val="right"/>
              <w:textAlignment w:val="center"/>
            </w:pPr>
            <w:r>
              <w:rPr>
                <w:rFonts w:ascii="Times New Roman" w:eastAsia="宋体" w:hAnsi="Times New Roman"/>
                <w:color w:val="000000"/>
                <w:sz w:val="16"/>
                <w:szCs w:val="16"/>
              </w:rPr>
              <w:t>17,380</w:t>
            </w: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center"/>
          </w:tcPr>
          <w:p w14:paraId="35D0BCD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CD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CDA" w14:textId="77777777" w:rsidR="00D42204" w:rsidRDefault="004E439D">
            <w:pPr>
              <w:jc w:val="right"/>
              <w:textAlignment w:val="center"/>
            </w:pPr>
            <w:r>
              <w:rPr>
                <w:rFonts w:ascii="Times New Roman" w:eastAsia="宋体" w:hAnsi="Times New Roman"/>
                <w:color w:val="000000"/>
                <w:sz w:val="16"/>
                <w:szCs w:val="16"/>
              </w:rPr>
              <w:t>3,370 </w:t>
            </w:r>
          </w:p>
        </w:tc>
        <w:tc>
          <w:tcPr>
            <w:tcW w:w="0" w:type="auto"/>
            <w:shd w:val="clear" w:color="auto" w:fill="FFFFFF"/>
            <w:tcMar>
              <w:top w:w="40" w:type="dxa"/>
              <w:left w:w="0" w:type="dxa"/>
              <w:bottom w:w="40" w:type="dxa"/>
              <w:right w:w="20" w:type="dxa"/>
            </w:tcMar>
            <w:vAlign w:val="center"/>
          </w:tcPr>
          <w:p w14:paraId="35D0BCD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CD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CDD" w14:textId="77777777" w:rsidR="00D42204" w:rsidRDefault="004E439D">
            <w:pPr>
              <w:jc w:val="right"/>
              <w:textAlignment w:val="center"/>
            </w:pPr>
            <w:r>
              <w:rPr>
                <w:rFonts w:ascii="Times New Roman" w:eastAsia="宋体" w:hAnsi="Times New Roman"/>
                <w:color w:val="000000"/>
                <w:sz w:val="16"/>
                <w:szCs w:val="16"/>
              </w:rPr>
              <w:t>1,642 </w:t>
            </w:r>
          </w:p>
        </w:tc>
        <w:tc>
          <w:tcPr>
            <w:tcW w:w="0" w:type="auto"/>
            <w:shd w:val="clear" w:color="auto" w:fill="FFFFFF"/>
            <w:tcMar>
              <w:top w:w="40" w:type="dxa"/>
              <w:left w:w="0" w:type="dxa"/>
              <w:bottom w:w="40" w:type="dxa"/>
              <w:right w:w="20" w:type="dxa"/>
            </w:tcMar>
            <w:vAlign w:val="center"/>
          </w:tcPr>
          <w:p w14:paraId="35D0BCD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CD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CE0" w14:textId="77777777" w:rsidR="00D42204" w:rsidRDefault="004E439D">
            <w:pPr>
              <w:jc w:val="right"/>
              <w:textAlignment w:val="center"/>
            </w:pPr>
            <w:r>
              <w:rPr>
                <w:rFonts w:ascii="Times New Roman" w:eastAsia="宋体" w:hAnsi="Times New Roman"/>
                <w:color w:val="000000"/>
                <w:sz w:val="16"/>
                <w:szCs w:val="16"/>
              </w:rPr>
              <w:t>(1,824)</w:t>
            </w:r>
          </w:p>
        </w:tc>
        <w:tc>
          <w:tcPr>
            <w:tcW w:w="0" w:type="auto"/>
            <w:shd w:val="clear" w:color="auto" w:fill="FFFFFF"/>
            <w:tcMar>
              <w:top w:w="40" w:type="dxa"/>
              <w:left w:w="0" w:type="dxa"/>
              <w:bottom w:w="40" w:type="dxa"/>
              <w:right w:w="20" w:type="dxa"/>
            </w:tcMar>
            <w:vAlign w:val="center"/>
          </w:tcPr>
          <w:p w14:paraId="35D0BCE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CE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CE3" w14:textId="77777777" w:rsidR="00D42204" w:rsidRDefault="004E439D">
            <w:pPr>
              <w:jc w:val="right"/>
              <w:textAlignment w:val="center"/>
            </w:pPr>
            <w:r>
              <w:rPr>
                <w:rFonts w:ascii="Times New Roman" w:eastAsia="宋体" w:hAnsi="Times New Roman"/>
                <w:color w:val="000000"/>
                <w:sz w:val="16"/>
                <w:szCs w:val="16"/>
              </w:rPr>
              <w:t>20,568 </w:t>
            </w:r>
          </w:p>
        </w:tc>
        <w:tc>
          <w:tcPr>
            <w:tcW w:w="0" w:type="auto"/>
            <w:shd w:val="clear" w:color="auto" w:fill="FFFFFF"/>
            <w:tcMar>
              <w:top w:w="40" w:type="dxa"/>
              <w:left w:w="0" w:type="dxa"/>
              <w:bottom w:w="40" w:type="dxa"/>
              <w:right w:w="20" w:type="dxa"/>
            </w:tcMar>
            <w:vAlign w:val="center"/>
          </w:tcPr>
          <w:p w14:paraId="35D0BCE4" w14:textId="77777777" w:rsidR="00D42204" w:rsidRDefault="00D42204">
            <w:pPr>
              <w:jc w:val="right"/>
              <w:rPr>
                <w:rFonts w:ascii="宋体"/>
              </w:rPr>
            </w:pPr>
          </w:p>
        </w:tc>
      </w:tr>
      <w:tr w:rsidR="00D42204" w14:paraId="35D0BCF2" w14:textId="77777777">
        <w:trPr>
          <w:jc w:val="center"/>
        </w:trPr>
        <w:tc>
          <w:tcPr>
            <w:tcW w:w="0" w:type="auto"/>
            <w:gridSpan w:val="3"/>
            <w:shd w:val="clear" w:color="auto" w:fill="CCEEFF"/>
            <w:tcMar>
              <w:top w:w="40" w:type="dxa"/>
              <w:left w:w="20" w:type="dxa"/>
              <w:bottom w:w="40" w:type="dxa"/>
              <w:right w:w="20" w:type="dxa"/>
            </w:tcMar>
            <w:vAlign w:val="center"/>
          </w:tcPr>
          <w:p w14:paraId="35D0BCE6" w14:textId="77777777" w:rsidR="00D42204" w:rsidRDefault="004E439D">
            <w:pPr>
              <w:textAlignment w:val="center"/>
            </w:pPr>
            <w:r>
              <w:rPr>
                <w:rFonts w:ascii="Times New Roman" w:eastAsia="宋体" w:hAnsi="Times New Roman"/>
                <w:color w:val="000000"/>
                <w:sz w:val="16"/>
                <w:szCs w:val="16"/>
              </w:rPr>
              <w:t>Interest, net</w:t>
            </w:r>
          </w:p>
        </w:tc>
        <w:tc>
          <w:tcPr>
            <w:tcW w:w="0" w:type="auto"/>
            <w:gridSpan w:val="3"/>
            <w:shd w:val="clear" w:color="auto" w:fill="CCEEFF"/>
            <w:tcMar>
              <w:top w:w="0" w:type="dxa"/>
              <w:left w:w="20" w:type="dxa"/>
              <w:bottom w:w="0" w:type="dxa"/>
              <w:right w:w="20" w:type="dxa"/>
            </w:tcMar>
            <w:vAlign w:val="bottom"/>
          </w:tcPr>
          <w:p w14:paraId="35D0BCE7"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E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E9"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EA"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EB"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EC"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ED"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EE"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CE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CF0" w14:textId="77777777" w:rsidR="00D42204" w:rsidRDefault="004E439D">
            <w:pPr>
              <w:jc w:val="right"/>
              <w:textAlignment w:val="center"/>
            </w:pPr>
            <w:r>
              <w:rPr>
                <w:rFonts w:ascii="Times New Roman" w:eastAsia="宋体" w:hAnsi="Times New Roman"/>
                <w:color w:val="000000"/>
                <w:sz w:val="16"/>
                <w:szCs w:val="16"/>
              </w:rPr>
              <w:t>(2,410)</w:t>
            </w:r>
          </w:p>
        </w:tc>
        <w:tc>
          <w:tcPr>
            <w:tcW w:w="0" w:type="auto"/>
            <w:shd w:val="clear" w:color="auto" w:fill="CCEEFF"/>
            <w:tcMar>
              <w:top w:w="40" w:type="dxa"/>
              <w:left w:w="0" w:type="dxa"/>
              <w:bottom w:w="40" w:type="dxa"/>
              <w:right w:w="20" w:type="dxa"/>
            </w:tcMar>
            <w:vAlign w:val="center"/>
          </w:tcPr>
          <w:p w14:paraId="35D0BCF1" w14:textId="77777777" w:rsidR="00D42204" w:rsidRDefault="00D42204">
            <w:pPr>
              <w:jc w:val="right"/>
              <w:rPr>
                <w:rFonts w:ascii="宋体"/>
              </w:rPr>
            </w:pPr>
          </w:p>
        </w:tc>
      </w:tr>
      <w:tr w:rsidR="00D42204" w14:paraId="35D0BCFF" w14:textId="77777777">
        <w:trPr>
          <w:jc w:val="center"/>
        </w:trPr>
        <w:tc>
          <w:tcPr>
            <w:tcW w:w="0" w:type="auto"/>
            <w:gridSpan w:val="3"/>
            <w:shd w:val="clear" w:color="auto" w:fill="FFFFFF"/>
            <w:tcMar>
              <w:top w:w="40" w:type="dxa"/>
              <w:left w:w="20" w:type="dxa"/>
              <w:bottom w:w="40" w:type="dxa"/>
              <w:right w:w="20" w:type="dxa"/>
            </w:tcMar>
            <w:vAlign w:val="center"/>
          </w:tcPr>
          <w:p w14:paraId="35D0BCF3" w14:textId="77777777" w:rsidR="00D42204" w:rsidRDefault="004E439D">
            <w:pPr>
              <w:textAlignment w:val="center"/>
            </w:pPr>
            <w:r>
              <w:rPr>
                <w:rFonts w:ascii="Times New Roman" w:eastAsia="宋体" w:hAnsi="Times New Roman"/>
                <w:color w:val="000000"/>
                <w:sz w:val="16"/>
                <w:szCs w:val="16"/>
              </w:rPr>
              <w:t>Other gains and (losses)</w:t>
            </w:r>
          </w:p>
        </w:tc>
        <w:tc>
          <w:tcPr>
            <w:tcW w:w="0" w:type="auto"/>
            <w:gridSpan w:val="3"/>
            <w:shd w:val="clear" w:color="auto" w:fill="FFFFFF"/>
            <w:tcMar>
              <w:top w:w="0" w:type="dxa"/>
              <w:left w:w="20" w:type="dxa"/>
              <w:bottom w:w="0" w:type="dxa"/>
              <w:right w:w="20" w:type="dxa"/>
            </w:tcMar>
            <w:vAlign w:val="bottom"/>
          </w:tcPr>
          <w:p w14:paraId="35D0BCF4"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F5"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F6"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F7"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F8"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F9"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FA"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FB"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CF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CFD" w14:textId="77777777" w:rsidR="00D42204" w:rsidRDefault="004E439D">
            <w:pPr>
              <w:jc w:val="right"/>
              <w:textAlignment w:val="center"/>
            </w:pPr>
            <w:r>
              <w:rPr>
                <w:rFonts w:ascii="Times New Roman" w:eastAsia="宋体" w:hAnsi="Times New Roman"/>
                <w:color w:val="000000"/>
                <w:sz w:val="16"/>
                <w:szCs w:val="16"/>
              </w:rPr>
              <w:t>1,958 </w:t>
            </w:r>
          </w:p>
        </w:tc>
        <w:tc>
          <w:tcPr>
            <w:tcW w:w="0" w:type="auto"/>
            <w:shd w:val="clear" w:color="auto" w:fill="FFFFFF"/>
            <w:tcMar>
              <w:top w:w="40" w:type="dxa"/>
              <w:left w:w="0" w:type="dxa"/>
              <w:bottom w:w="40" w:type="dxa"/>
              <w:right w:w="20" w:type="dxa"/>
            </w:tcMar>
            <w:vAlign w:val="center"/>
          </w:tcPr>
          <w:p w14:paraId="35D0BCFE" w14:textId="77777777" w:rsidR="00D42204" w:rsidRDefault="00D42204">
            <w:pPr>
              <w:jc w:val="right"/>
              <w:rPr>
                <w:rFonts w:ascii="宋体"/>
              </w:rPr>
            </w:pPr>
          </w:p>
        </w:tc>
      </w:tr>
      <w:tr w:rsidR="00D42204" w14:paraId="35D0BD0D" w14:textId="77777777">
        <w:trPr>
          <w:jc w:val="center"/>
        </w:trPr>
        <w:tc>
          <w:tcPr>
            <w:tcW w:w="0" w:type="auto"/>
            <w:gridSpan w:val="3"/>
            <w:shd w:val="clear" w:color="auto" w:fill="CCEEFF"/>
            <w:tcMar>
              <w:top w:w="40" w:type="dxa"/>
              <w:left w:w="20" w:type="dxa"/>
              <w:bottom w:w="40" w:type="dxa"/>
              <w:right w:w="20" w:type="dxa"/>
            </w:tcMar>
            <w:vAlign w:val="center"/>
          </w:tcPr>
          <w:p w14:paraId="35D0BD00" w14:textId="77777777" w:rsidR="00D42204" w:rsidRDefault="004E439D">
            <w:pPr>
              <w:textAlignment w:val="center"/>
            </w:pPr>
            <w:r>
              <w:rPr>
                <w:rFonts w:ascii="Times New Roman" w:eastAsia="宋体" w:hAnsi="Times New Roman"/>
                <w:color w:val="000000"/>
                <w:sz w:val="16"/>
                <w:szCs w:val="16"/>
              </w:rPr>
              <w:t>Income before income taxes</w:t>
            </w:r>
          </w:p>
        </w:tc>
        <w:tc>
          <w:tcPr>
            <w:tcW w:w="0" w:type="auto"/>
            <w:gridSpan w:val="3"/>
            <w:shd w:val="clear" w:color="auto" w:fill="CCEEFF"/>
            <w:tcMar>
              <w:top w:w="0" w:type="dxa"/>
              <w:left w:w="20" w:type="dxa"/>
              <w:bottom w:w="0" w:type="dxa"/>
              <w:right w:w="20" w:type="dxa"/>
            </w:tcMar>
            <w:vAlign w:val="bottom"/>
          </w:tcPr>
          <w:p w14:paraId="35D0BD01"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D02"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D03"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D04"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D05"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D06"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D07"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D08"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D09"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35D0BD0A"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35D0BD0B" w14:textId="77777777" w:rsidR="00D42204" w:rsidRDefault="004E439D">
            <w:pPr>
              <w:jc w:val="right"/>
              <w:textAlignment w:val="center"/>
            </w:pPr>
            <w:r>
              <w:rPr>
                <w:rFonts w:ascii="Times New Roman" w:eastAsia="宋体" w:hAnsi="Times New Roman"/>
                <w:color w:val="000000"/>
                <w:sz w:val="16"/>
                <w:szCs w:val="16"/>
              </w:rPr>
              <w:t>20,116 </w:t>
            </w:r>
          </w:p>
        </w:tc>
        <w:tc>
          <w:tcPr>
            <w:tcW w:w="0" w:type="auto"/>
            <w:tcBorders>
              <w:top w:val="single" w:sz="8" w:space="0" w:color="000000"/>
            </w:tcBorders>
            <w:shd w:val="clear" w:color="auto" w:fill="CCEEFF"/>
            <w:tcMar>
              <w:top w:w="40" w:type="dxa"/>
              <w:left w:w="0" w:type="dxa"/>
              <w:bottom w:w="40" w:type="dxa"/>
              <w:right w:w="20" w:type="dxa"/>
            </w:tcMar>
            <w:vAlign w:val="center"/>
          </w:tcPr>
          <w:p w14:paraId="35D0BD0C" w14:textId="77777777" w:rsidR="00D42204" w:rsidRDefault="00D42204">
            <w:pPr>
              <w:jc w:val="right"/>
              <w:rPr>
                <w:rFonts w:ascii="宋体"/>
              </w:rPr>
            </w:pPr>
          </w:p>
        </w:tc>
      </w:tr>
      <w:tr w:rsidR="00D42204" w14:paraId="35D0BD23" w14:textId="77777777">
        <w:trPr>
          <w:jc w:val="center"/>
        </w:trPr>
        <w:tc>
          <w:tcPr>
            <w:tcW w:w="0" w:type="auto"/>
            <w:gridSpan w:val="3"/>
            <w:shd w:val="clear" w:color="auto" w:fill="FFFFFF"/>
            <w:tcMar>
              <w:top w:w="40" w:type="dxa"/>
              <w:left w:w="20" w:type="dxa"/>
              <w:bottom w:w="40" w:type="dxa"/>
              <w:right w:w="20" w:type="dxa"/>
            </w:tcMar>
            <w:vAlign w:val="center"/>
          </w:tcPr>
          <w:p w14:paraId="35D0BD0E" w14:textId="77777777" w:rsidR="00D42204" w:rsidRDefault="004E439D">
            <w:pPr>
              <w:textAlignment w:val="center"/>
            </w:pPr>
            <w:r>
              <w:rPr>
                <w:rFonts w:ascii="Times New Roman" w:eastAsia="宋体" w:hAnsi="Times New Roman"/>
                <w:color w:val="000000"/>
                <w:sz w:val="16"/>
                <w:szCs w:val="16"/>
              </w:rPr>
              <w:t>Total assets</w:t>
            </w:r>
          </w:p>
        </w:tc>
        <w:tc>
          <w:tcPr>
            <w:tcW w:w="0" w:type="auto"/>
            <w:gridSpan w:val="3"/>
            <w:shd w:val="clear" w:color="auto" w:fill="FFFFFF"/>
            <w:tcMar>
              <w:top w:w="0" w:type="dxa"/>
              <w:left w:w="20" w:type="dxa"/>
              <w:bottom w:w="0" w:type="dxa"/>
              <w:right w:w="20" w:type="dxa"/>
            </w:tcMar>
            <w:vAlign w:val="bottom"/>
          </w:tcPr>
          <w:p w14:paraId="35D0BD0F"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D10"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D11" w14:textId="77777777" w:rsidR="00D42204" w:rsidRDefault="004E439D">
            <w:pPr>
              <w:jc w:val="right"/>
              <w:textAlignment w:val="center"/>
            </w:pPr>
            <w:r>
              <w:rPr>
                <w:rFonts w:ascii="Times New Roman" w:eastAsia="宋体" w:hAnsi="Times New Roman"/>
                <w:color w:val="000000"/>
                <w:sz w:val="16"/>
                <w:szCs w:val="16"/>
              </w:rPr>
              <w:t>110,353 </w:t>
            </w:r>
          </w:p>
        </w:tc>
        <w:tc>
          <w:tcPr>
            <w:tcW w:w="0" w:type="auto"/>
            <w:shd w:val="clear" w:color="auto" w:fill="FFFFFF"/>
            <w:tcMar>
              <w:top w:w="40" w:type="dxa"/>
              <w:left w:w="0" w:type="dxa"/>
              <w:bottom w:w="40" w:type="dxa"/>
              <w:right w:w="20" w:type="dxa"/>
            </w:tcMar>
            <w:vAlign w:val="center"/>
          </w:tcPr>
          <w:p w14:paraId="35D0BD12"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D13"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D14"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D15" w14:textId="77777777" w:rsidR="00D42204" w:rsidRDefault="004E439D">
            <w:pPr>
              <w:jc w:val="right"/>
              <w:textAlignment w:val="center"/>
            </w:pPr>
            <w:r>
              <w:rPr>
                <w:rFonts w:ascii="Times New Roman" w:eastAsia="宋体" w:hAnsi="Times New Roman"/>
                <w:color w:val="000000"/>
                <w:sz w:val="16"/>
                <w:szCs w:val="16"/>
              </w:rPr>
              <w:t>105,811 </w:t>
            </w:r>
          </w:p>
        </w:tc>
        <w:tc>
          <w:tcPr>
            <w:tcW w:w="0" w:type="auto"/>
            <w:shd w:val="clear" w:color="auto" w:fill="FFFFFF"/>
            <w:tcMar>
              <w:top w:w="40" w:type="dxa"/>
              <w:left w:w="0" w:type="dxa"/>
              <w:bottom w:w="40" w:type="dxa"/>
              <w:right w:w="20" w:type="dxa"/>
            </w:tcMar>
            <w:vAlign w:val="center"/>
          </w:tcPr>
          <w:p w14:paraId="35D0BD1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D17"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D18"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D19" w14:textId="77777777" w:rsidR="00D42204" w:rsidRDefault="004E439D">
            <w:pPr>
              <w:jc w:val="right"/>
              <w:textAlignment w:val="center"/>
            </w:pPr>
            <w:r>
              <w:rPr>
                <w:rFonts w:ascii="Times New Roman" w:eastAsia="宋体" w:hAnsi="Times New Roman"/>
                <w:color w:val="000000"/>
                <w:sz w:val="16"/>
                <w:szCs w:val="16"/>
              </w:rPr>
              <w:t>13,494 </w:t>
            </w:r>
          </w:p>
        </w:tc>
        <w:tc>
          <w:tcPr>
            <w:tcW w:w="0" w:type="auto"/>
            <w:shd w:val="clear" w:color="auto" w:fill="FFFFFF"/>
            <w:tcMar>
              <w:top w:w="40" w:type="dxa"/>
              <w:left w:w="0" w:type="dxa"/>
              <w:bottom w:w="40" w:type="dxa"/>
              <w:right w:w="20" w:type="dxa"/>
            </w:tcMar>
            <w:vAlign w:val="center"/>
          </w:tcPr>
          <w:p w14:paraId="35D0BD1A"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D1B"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D1C"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D1D" w14:textId="77777777" w:rsidR="00D42204" w:rsidRDefault="004E439D">
            <w:pPr>
              <w:jc w:val="right"/>
              <w:textAlignment w:val="center"/>
            </w:pPr>
            <w:r>
              <w:rPr>
                <w:rFonts w:ascii="Times New Roman" w:eastAsia="宋体" w:hAnsi="Times New Roman"/>
                <w:color w:val="000000"/>
                <w:sz w:val="16"/>
                <w:szCs w:val="16"/>
              </w:rPr>
              <w:t>6,837 </w:t>
            </w:r>
          </w:p>
        </w:tc>
        <w:tc>
          <w:tcPr>
            <w:tcW w:w="0" w:type="auto"/>
            <w:shd w:val="clear" w:color="auto" w:fill="FFFFFF"/>
            <w:tcMar>
              <w:top w:w="40" w:type="dxa"/>
              <w:left w:w="0" w:type="dxa"/>
              <w:bottom w:w="40" w:type="dxa"/>
              <w:right w:w="20" w:type="dxa"/>
            </w:tcMar>
            <w:vAlign w:val="center"/>
          </w:tcPr>
          <w:p w14:paraId="35D0BD1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D1F" w14:textId="77777777" w:rsidR="00D42204" w:rsidRDefault="00D4220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35D0BD20"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35D0BD21" w14:textId="77777777" w:rsidR="00D42204" w:rsidRDefault="004E439D">
            <w:pPr>
              <w:jc w:val="right"/>
              <w:textAlignment w:val="center"/>
            </w:pPr>
            <w:r>
              <w:rPr>
                <w:rFonts w:ascii="Times New Roman" w:eastAsia="宋体" w:hAnsi="Times New Roman"/>
                <w:color w:val="000000"/>
                <w:sz w:val="16"/>
                <w:szCs w:val="16"/>
              </w:rPr>
              <w:t>236,495 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BD22" w14:textId="77777777" w:rsidR="00D42204" w:rsidRDefault="00D42204">
            <w:pPr>
              <w:jc w:val="right"/>
              <w:rPr>
                <w:rFonts w:ascii="宋体"/>
              </w:rPr>
            </w:pPr>
          </w:p>
        </w:tc>
      </w:tr>
      <w:tr w:rsidR="00D42204" w14:paraId="35D0BD34" w14:textId="77777777">
        <w:trPr>
          <w:jc w:val="center"/>
        </w:trPr>
        <w:tc>
          <w:tcPr>
            <w:tcW w:w="0" w:type="auto"/>
            <w:gridSpan w:val="3"/>
            <w:shd w:val="clear" w:color="auto" w:fill="CCEEFF"/>
            <w:tcMar>
              <w:top w:w="40" w:type="dxa"/>
              <w:left w:w="20" w:type="dxa"/>
              <w:bottom w:w="40" w:type="dxa"/>
              <w:right w:w="20" w:type="dxa"/>
            </w:tcMar>
            <w:vAlign w:val="center"/>
          </w:tcPr>
          <w:p w14:paraId="35D0BD24" w14:textId="77777777" w:rsidR="00D42204" w:rsidRDefault="004E439D">
            <w:pPr>
              <w:textAlignment w:val="center"/>
            </w:pPr>
            <w:r>
              <w:rPr>
                <w:rFonts w:ascii="Times New Roman" w:eastAsia="宋体" w:hAnsi="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bottom"/>
          </w:tcPr>
          <w:p w14:paraId="35D0BD2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D26" w14:textId="77777777" w:rsidR="00D42204" w:rsidRDefault="004E439D">
            <w:pPr>
              <w:jc w:val="right"/>
              <w:textAlignment w:val="center"/>
            </w:pPr>
            <w:r>
              <w:rPr>
                <w:rFonts w:ascii="Times New Roman" w:eastAsia="宋体" w:hAnsi="Times New Roman"/>
                <w:color w:val="000000"/>
                <w:sz w:val="16"/>
                <w:szCs w:val="16"/>
              </w:rPr>
              <w:t>6,408 </w:t>
            </w:r>
          </w:p>
        </w:tc>
        <w:tc>
          <w:tcPr>
            <w:tcW w:w="0" w:type="auto"/>
            <w:shd w:val="clear" w:color="auto" w:fill="CCEEFF"/>
            <w:tcMar>
              <w:top w:w="40" w:type="dxa"/>
              <w:left w:w="0" w:type="dxa"/>
              <w:bottom w:w="40" w:type="dxa"/>
              <w:right w:w="20" w:type="dxa"/>
            </w:tcMar>
            <w:vAlign w:val="center"/>
          </w:tcPr>
          <w:p w14:paraId="35D0BD2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D2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D29" w14:textId="77777777" w:rsidR="00D42204" w:rsidRDefault="004E439D">
            <w:pPr>
              <w:jc w:val="right"/>
              <w:textAlignment w:val="center"/>
            </w:pPr>
            <w:r>
              <w:rPr>
                <w:rFonts w:ascii="Times New Roman" w:eastAsia="宋体" w:hAnsi="Times New Roman"/>
                <w:color w:val="000000"/>
                <w:sz w:val="16"/>
                <w:szCs w:val="16"/>
              </w:rPr>
              <w:t>2,682 </w:t>
            </w:r>
          </w:p>
        </w:tc>
        <w:tc>
          <w:tcPr>
            <w:tcW w:w="0" w:type="auto"/>
            <w:shd w:val="clear" w:color="auto" w:fill="CCEEFF"/>
            <w:tcMar>
              <w:top w:w="40" w:type="dxa"/>
              <w:left w:w="0" w:type="dxa"/>
              <w:bottom w:w="40" w:type="dxa"/>
              <w:right w:w="20" w:type="dxa"/>
            </w:tcMar>
            <w:vAlign w:val="center"/>
          </w:tcPr>
          <w:p w14:paraId="35D0BD2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D2B"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D2C" w14:textId="77777777" w:rsidR="00D42204" w:rsidRDefault="004E439D">
            <w:pPr>
              <w:jc w:val="right"/>
              <w:textAlignment w:val="center"/>
            </w:pPr>
            <w:r>
              <w:rPr>
                <w:rFonts w:ascii="Times New Roman" w:eastAsia="宋体" w:hAnsi="Times New Roman"/>
                <w:color w:val="000000"/>
                <w:sz w:val="16"/>
                <w:szCs w:val="16"/>
              </w:rPr>
              <w:t>605 </w:t>
            </w:r>
          </w:p>
        </w:tc>
        <w:tc>
          <w:tcPr>
            <w:tcW w:w="0" w:type="auto"/>
            <w:shd w:val="clear" w:color="auto" w:fill="CCEEFF"/>
            <w:tcMar>
              <w:top w:w="40" w:type="dxa"/>
              <w:left w:w="0" w:type="dxa"/>
              <w:bottom w:w="40" w:type="dxa"/>
              <w:right w:w="20" w:type="dxa"/>
            </w:tcMar>
            <w:vAlign w:val="center"/>
          </w:tcPr>
          <w:p w14:paraId="35D0BD2D"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D2E"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D2F" w14:textId="77777777" w:rsidR="00D42204" w:rsidRDefault="004E439D">
            <w:pPr>
              <w:jc w:val="right"/>
              <w:textAlignment w:val="center"/>
            </w:pPr>
            <w:r>
              <w:rPr>
                <w:rFonts w:ascii="Times New Roman" w:eastAsia="宋体" w:hAnsi="Times New Roman"/>
                <w:color w:val="000000"/>
                <w:sz w:val="16"/>
                <w:szCs w:val="16"/>
              </w:rPr>
              <w:t>1,292 </w:t>
            </w:r>
          </w:p>
        </w:tc>
        <w:tc>
          <w:tcPr>
            <w:tcW w:w="0" w:type="auto"/>
            <w:shd w:val="clear" w:color="auto" w:fill="CCEEFF"/>
            <w:tcMar>
              <w:top w:w="40" w:type="dxa"/>
              <w:left w:w="0" w:type="dxa"/>
              <w:bottom w:w="40" w:type="dxa"/>
              <w:right w:w="20" w:type="dxa"/>
            </w:tcMar>
            <w:vAlign w:val="center"/>
          </w:tcPr>
          <w:p w14:paraId="35D0BD30"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D3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D32" w14:textId="77777777" w:rsidR="00D42204" w:rsidRDefault="004E439D">
            <w:pPr>
              <w:jc w:val="right"/>
              <w:textAlignment w:val="center"/>
            </w:pPr>
            <w:r>
              <w:rPr>
                <w:rFonts w:ascii="Times New Roman" w:eastAsia="宋体" w:hAnsi="Times New Roman"/>
                <w:color w:val="000000"/>
                <w:sz w:val="16"/>
                <w:szCs w:val="16"/>
              </w:rPr>
              <w:t>10,987 </w:t>
            </w:r>
          </w:p>
        </w:tc>
        <w:tc>
          <w:tcPr>
            <w:tcW w:w="0" w:type="auto"/>
            <w:shd w:val="clear" w:color="auto" w:fill="CCEEFF"/>
            <w:tcMar>
              <w:top w:w="40" w:type="dxa"/>
              <w:left w:w="0" w:type="dxa"/>
              <w:bottom w:w="40" w:type="dxa"/>
              <w:right w:w="20" w:type="dxa"/>
            </w:tcMar>
            <w:vAlign w:val="center"/>
          </w:tcPr>
          <w:p w14:paraId="35D0BD33" w14:textId="77777777" w:rsidR="00D42204" w:rsidRDefault="00D42204">
            <w:pPr>
              <w:jc w:val="right"/>
              <w:rPr>
                <w:rFonts w:ascii="宋体"/>
              </w:rPr>
            </w:pPr>
          </w:p>
        </w:tc>
      </w:tr>
      <w:tr w:rsidR="00D42204" w14:paraId="35D0BD45" w14:textId="77777777">
        <w:trPr>
          <w:jc w:val="center"/>
        </w:trPr>
        <w:tc>
          <w:tcPr>
            <w:tcW w:w="0" w:type="auto"/>
            <w:gridSpan w:val="3"/>
            <w:shd w:val="clear" w:color="auto" w:fill="FFFFFF"/>
            <w:tcMar>
              <w:top w:w="40" w:type="dxa"/>
              <w:left w:w="20" w:type="dxa"/>
              <w:bottom w:w="40" w:type="dxa"/>
              <w:right w:w="20" w:type="dxa"/>
            </w:tcMar>
            <w:vAlign w:val="center"/>
          </w:tcPr>
          <w:p w14:paraId="35D0BD35" w14:textId="77777777" w:rsidR="00D42204" w:rsidRDefault="004E439D">
            <w:pPr>
              <w:textAlignment w:val="center"/>
            </w:pPr>
            <w:r>
              <w:rPr>
                <w:rFonts w:ascii="Times New Roman" w:eastAsia="宋体" w:hAnsi="Times New Roman"/>
                <w:color w:val="000000"/>
                <w:sz w:val="16"/>
                <w:szCs w:val="16"/>
              </w:rPr>
              <w:t>Capital expenditures</w:t>
            </w:r>
          </w:p>
        </w:tc>
        <w:tc>
          <w:tcPr>
            <w:tcW w:w="0" w:type="auto"/>
            <w:gridSpan w:val="3"/>
            <w:shd w:val="clear" w:color="auto" w:fill="FFFFFF"/>
            <w:tcMar>
              <w:top w:w="0" w:type="dxa"/>
              <w:left w:w="20" w:type="dxa"/>
              <w:bottom w:w="0" w:type="dxa"/>
              <w:right w:w="20" w:type="dxa"/>
            </w:tcMar>
            <w:vAlign w:val="bottom"/>
          </w:tcPr>
          <w:p w14:paraId="35D0BD3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D37" w14:textId="77777777" w:rsidR="00D42204" w:rsidRDefault="004E439D">
            <w:pPr>
              <w:jc w:val="right"/>
              <w:textAlignment w:val="center"/>
            </w:pPr>
            <w:r>
              <w:rPr>
                <w:rFonts w:ascii="Times New Roman" w:eastAsia="宋体" w:hAnsi="Times New Roman"/>
                <w:color w:val="000000"/>
                <w:sz w:val="16"/>
                <w:szCs w:val="16"/>
              </w:rPr>
              <w:t>6,315 </w:t>
            </w:r>
          </w:p>
        </w:tc>
        <w:tc>
          <w:tcPr>
            <w:tcW w:w="0" w:type="auto"/>
            <w:shd w:val="clear" w:color="auto" w:fill="FFFFFF"/>
            <w:tcMar>
              <w:top w:w="40" w:type="dxa"/>
              <w:left w:w="0" w:type="dxa"/>
              <w:bottom w:w="40" w:type="dxa"/>
              <w:right w:w="20" w:type="dxa"/>
            </w:tcMar>
            <w:vAlign w:val="center"/>
          </w:tcPr>
          <w:p w14:paraId="35D0BD3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D3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D3A" w14:textId="77777777" w:rsidR="00D42204" w:rsidRDefault="004E439D">
            <w:pPr>
              <w:jc w:val="right"/>
              <w:textAlignment w:val="center"/>
            </w:pPr>
            <w:r>
              <w:rPr>
                <w:rFonts w:ascii="Times New Roman" w:eastAsia="宋体" w:hAnsi="Times New Roman"/>
                <w:color w:val="000000"/>
                <w:sz w:val="16"/>
                <w:szCs w:val="16"/>
              </w:rPr>
              <w:t>2,801 </w:t>
            </w:r>
          </w:p>
        </w:tc>
        <w:tc>
          <w:tcPr>
            <w:tcW w:w="0" w:type="auto"/>
            <w:shd w:val="clear" w:color="auto" w:fill="FFFFFF"/>
            <w:tcMar>
              <w:top w:w="40" w:type="dxa"/>
              <w:left w:w="0" w:type="dxa"/>
              <w:bottom w:w="40" w:type="dxa"/>
              <w:right w:w="20" w:type="dxa"/>
            </w:tcMar>
            <w:vAlign w:val="center"/>
          </w:tcPr>
          <w:p w14:paraId="35D0BD3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D3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D3D" w14:textId="77777777" w:rsidR="00D42204" w:rsidRDefault="004E439D">
            <w:pPr>
              <w:jc w:val="right"/>
              <w:textAlignment w:val="center"/>
            </w:pPr>
            <w:r>
              <w:rPr>
                <w:rFonts w:ascii="Times New Roman" w:eastAsia="宋体" w:hAnsi="Times New Roman"/>
                <w:color w:val="000000"/>
                <w:sz w:val="16"/>
                <w:szCs w:val="16"/>
              </w:rPr>
              <w:t>525 </w:t>
            </w:r>
          </w:p>
        </w:tc>
        <w:tc>
          <w:tcPr>
            <w:tcW w:w="0" w:type="auto"/>
            <w:shd w:val="clear" w:color="auto" w:fill="FFFFFF"/>
            <w:tcMar>
              <w:top w:w="40" w:type="dxa"/>
              <w:left w:w="0" w:type="dxa"/>
              <w:bottom w:w="40" w:type="dxa"/>
              <w:right w:w="20" w:type="dxa"/>
            </w:tcMar>
            <w:vAlign w:val="center"/>
          </w:tcPr>
          <w:p w14:paraId="35D0BD3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D3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D40" w14:textId="77777777" w:rsidR="00D42204" w:rsidRDefault="004E439D">
            <w:pPr>
              <w:jc w:val="right"/>
              <w:textAlignment w:val="center"/>
            </w:pPr>
            <w:r>
              <w:rPr>
                <w:rFonts w:ascii="Times New Roman" w:eastAsia="宋体" w:hAnsi="Times New Roman"/>
                <w:color w:val="000000"/>
                <w:sz w:val="16"/>
                <w:szCs w:val="16"/>
              </w:rPr>
              <w:t>1,064 </w:t>
            </w:r>
          </w:p>
        </w:tc>
        <w:tc>
          <w:tcPr>
            <w:tcW w:w="0" w:type="auto"/>
            <w:shd w:val="clear" w:color="auto" w:fill="FFFFFF"/>
            <w:tcMar>
              <w:top w:w="40" w:type="dxa"/>
              <w:left w:w="0" w:type="dxa"/>
              <w:bottom w:w="40" w:type="dxa"/>
              <w:right w:w="20" w:type="dxa"/>
            </w:tcMar>
            <w:vAlign w:val="center"/>
          </w:tcPr>
          <w:p w14:paraId="35D0BD4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D4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D43" w14:textId="77777777" w:rsidR="00D42204" w:rsidRDefault="004E439D">
            <w:pPr>
              <w:jc w:val="right"/>
              <w:textAlignment w:val="center"/>
            </w:pPr>
            <w:r>
              <w:rPr>
                <w:rFonts w:ascii="Times New Roman" w:eastAsia="宋体" w:hAnsi="Times New Roman"/>
                <w:color w:val="000000"/>
                <w:sz w:val="16"/>
                <w:szCs w:val="16"/>
              </w:rPr>
              <w:t>10,705 </w:t>
            </w:r>
          </w:p>
        </w:tc>
        <w:tc>
          <w:tcPr>
            <w:tcW w:w="0" w:type="auto"/>
            <w:shd w:val="clear" w:color="auto" w:fill="FFFFFF"/>
            <w:tcMar>
              <w:top w:w="40" w:type="dxa"/>
              <w:left w:w="0" w:type="dxa"/>
              <w:bottom w:w="40" w:type="dxa"/>
              <w:right w:w="20" w:type="dxa"/>
            </w:tcMar>
            <w:vAlign w:val="center"/>
          </w:tcPr>
          <w:p w14:paraId="35D0BD44" w14:textId="77777777" w:rsidR="00D42204" w:rsidRDefault="00D42204">
            <w:pPr>
              <w:jc w:val="right"/>
              <w:rPr>
                <w:rFonts w:ascii="宋体"/>
              </w:rPr>
            </w:pPr>
          </w:p>
        </w:tc>
      </w:tr>
    </w:tbl>
    <w:p w14:paraId="35D0BD46" w14:textId="77777777" w:rsidR="00D42204" w:rsidRDefault="004E439D">
      <w:pPr>
        <w:jc w:val="center"/>
      </w:pPr>
      <w:r>
        <w:rPr>
          <w:rFonts w:ascii="Times New Roman" w:eastAsia="宋体" w:hAnsi="Times New Roman"/>
          <w:color w:val="000000"/>
          <w:sz w:val="20"/>
          <w:szCs w:val="20"/>
        </w:rPr>
        <w:t>77</w:t>
      </w:r>
    </w:p>
    <w:p w14:paraId="35D0BD47" w14:textId="77777777" w:rsidR="00D42204" w:rsidRDefault="004E439D">
      <w:r>
        <w:pict w14:anchorId="35D0C3A8">
          <v:rect id="_x0000_i1101" style="width:415.3pt;height:1.5pt" o:hralign="center" o:hrstd="t" o:hr="t" fillcolor="#a0a0a0" stroked="f"/>
        </w:pict>
      </w:r>
    </w:p>
    <w:p w14:paraId="35D0BD48" w14:textId="77777777" w:rsidR="00D42204" w:rsidRDefault="00D42204"/>
    <w:p w14:paraId="35D0BD49" w14:textId="77777777" w:rsidR="00D42204" w:rsidRDefault="004E439D">
      <w:pPr>
        <w:spacing w:before="80"/>
      </w:pPr>
      <w:r>
        <w:rPr>
          <w:rFonts w:ascii="Times New Roman" w:eastAsia="宋体" w:hAnsi="Times New Roman"/>
          <w:color w:val="000000"/>
          <w:sz w:val="20"/>
          <w:szCs w:val="20"/>
        </w:rPr>
        <w:t xml:space="preserve">Total revenues, consisting of net sales and membership and other income, and long-lived assets, consisting </w:t>
      </w:r>
      <w:r>
        <w:rPr>
          <w:rFonts w:ascii="Times New Roman" w:eastAsia="宋体" w:hAnsi="Times New Roman"/>
          <w:color w:val="000000"/>
          <w:sz w:val="20"/>
          <w:szCs w:val="20"/>
        </w:rPr>
        <w:t>primarily of property and equipment, net and lease right-of-use assets, aggregated by the Company's U.S. and non-U.S. operations for fiscal 2022, 2021 and 2020, are as follows:</w:t>
      </w:r>
    </w:p>
    <w:tbl>
      <w:tblPr>
        <w:tblW w:w="4993" w:type="pct"/>
        <w:tblCellMar>
          <w:top w:w="15" w:type="dxa"/>
          <w:left w:w="15" w:type="dxa"/>
          <w:bottom w:w="15" w:type="dxa"/>
          <w:right w:w="15" w:type="dxa"/>
        </w:tblCellMar>
        <w:tblLook w:val="04A0" w:firstRow="1" w:lastRow="0" w:firstColumn="1" w:lastColumn="0" w:noHBand="0" w:noVBand="1"/>
      </w:tblPr>
      <w:tblGrid>
        <w:gridCol w:w="42"/>
        <w:gridCol w:w="5378"/>
        <w:gridCol w:w="37"/>
        <w:gridCol w:w="36"/>
        <w:gridCol w:w="36"/>
        <w:gridCol w:w="36"/>
        <w:gridCol w:w="100"/>
        <w:gridCol w:w="711"/>
        <w:gridCol w:w="36"/>
        <w:gridCol w:w="36"/>
        <w:gridCol w:w="36"/>
        <w:gridCol w:w="36"/>
        <w:gridCol w:w="100"/>
        <w:gridCol w:w="711"/>
        <w:gridCol w:w="36"/>
        <w:gridCol w:w="36"/>
        <w:gridCol w:w="36"/>
        <w:gridCol w:w="36"/>
        <w:gridCol w:w="100"/>
        <w:gridCol w:w="713"/>
        <w:gridCol w:w="36"/>
      </w:tblGrid>
      <w:tr w:rsidR="00D42204" w14:paraId="35D0BD5F" w14:textId="77777777">
        <w:tc>
          <w:tcPr>
            <w:tcW w:w="50" w:type="pct"/>
            <w:shd w:val="clear" w:color="auto" w:fill="auto"/>
            <w:vAlign w:val="bottom"/>
          </w:tcPr>
          <w:p w14:paraId="35D0BD4A" w14:textId="77777777" w:rsidR="00D42204" w:rsidRDefault="00D42204">
            <w:pPr>
              <w:rPr>
                <w:rFonts w:ascii="宋体"/>
              </w:rPr>
            </w:pPr>
          </w:p>
        </w:tc>
        <w:tc>
          <w:tcPr>
            <w:tcW w:w="3253" w:type="pct"/>
            <w:shd w:val="clear" w:color="auto" w:fill="auto"/>
            <w:vAlign w:val="bottom"/>
          </w:tcPr>
          <w:p w14:paraId="35D0BD4B" w14:textId="77777777" w:rsidR="00D42204" w:rsidRDefault="00D42204">
            <w:pPr>
              <w:rPr>
                <w:rFonts w:ascii="宋体"/>
              </w:rPr>
            </w:pPr>
          </w:p>
        </w:tc>
        <w:tc>
          <w:tcPr>
            <w:tcW w:w="5" w:type="pct"/>
            <w:shd w:val="clear" w:color="auto" w:fill="auto"/>
            <w:vAlign w:val="bottom"/>
          </w:tcPr>
          <w:p w14:paraId="35D0BD4C" w14:textId="77777777" w:rsidR="00D42204" w:rsidRDefault="00D42204">
            <w:pPr>
              <w:rPr>
                <w:rFonts w:ascii="宋体"/>
              </w:rPr>
            </w:pPr>
          </w:p>
        </w:tc>
        <w:tc>
          <w:tcPr>
            <w:tcW w:w="5" w:type="pct"/>
            <w:shd w:val="clear" w:color="auto" w:fill="auto"/>
            <w:vAlign w:val="bottom"/>
          </w:tcPr>
          <w:p w14:paraId="35D0BD4D" w14:textId="77777777" w:rsidR="00D42204" w:rsidRDefault="00D42204">
            <w:pPr>
              <w:rPr>
                <w:rFonts w:ascii="宋体"/>
              </w:rPr>
            </w:pPr>
          </w:p>
        </w:tc>
        <w:tc>
          <w:tcPr>
            <w:tcW w:w="26" w:type="pct"/>
            <w:shd w:val="clear" w:color="auto" w:fill="auto"/>
            <w:vAlign w:val="bottom"/>
          </w:tcPr>
          <w:p w14:paraId="35D0BD4E" w14:textId="77777777" w:rsidR="00D42204" w:rsidRDefault="00D42204">
            <w:pPr>
              <w:rPr>
                <w:rFonts w:ascii="宋体"/>
              </w:rPr>
            </w:pPr>
          </w:p>
        </w:tc>
        <w:tc>
          <w:tcPr>
            <w:tcW w:w="5" w:type="pct"/>
            <w:shd w:val="clear" w:color="auto" w:fill="auto"/>
            <w:vAlign w:val="bottom"/>
          </w:tcPr>
          <w:p w14:paraId="35D0BD4F" w14:textId="77777777" w:rsidR="00D42204" w:rsidRDefault="00D42204">
            <w:pPr>
              <w:rPr>
                <w:rFonts w:ascii="宋体"/>
              </w:rPr>
            </w:pPr>
          </w:p>
        </w:tc>
        <w:tc>
          <w:tcPr>
            <w:tcW w:w="50" w:type="pct"/>
            <w:shd w:val="clear" w:color="auto" w:fill="auto"/>
            <w:vAlign w:val="bottom"/>
          </w:tcPr>
          <w:p w14:paraId="35D0BD50" w14:textId="77777777" w:rsidR="00D42204" w:rsidRDefault="00D42204">
            <w:pPr>
              <w:rPr>
                <w:rFonts w:ascii="宋体"/>
              </w:rPr>
            </w:pPr>
          </w:p>
        </w:tc>
        <w:tc>
          <w:tcPr>
            <w:tcW w:w="472" w:type="pct"/>
            <w:shd w:val="clear" w:color="auto" w:fill="auto"/>
            <w:vAlign w:val="bottom"/>
          </w:tcPr>
          <w:p w14:paraId="35D0BD51" w14:textId="77777777" w:rsidR="00D42204" w:rsidRDefault="00D42204">
            <w:pPr>
              <w:rPr>
                <w:rFonts w:ascii="宋体"/>
              </w:rPr>
            </w:pPr>
          </w:p>
        </w:tc>
        <w:tc>
          <w:tcPr>
            <w:tcW w:w="5" w:type="pct"/>
            <w:shd w:val="clear" w:color="auto" w:fill="auto"/>
            <w:vAlign w:val="bottom"/>
          </w:tcPr>
          <w:p w14:paraId="35D0BD52" w14:textId="77777777" w:rsidR="00D42204" w:rsidRDefault="00D42204">
            <w:pPr>
              <w:rPr>
                <w:rFonts w:ascii="宋体"/>
              </w:rPr>
            </w:pPr>
          </w:p>
        </w:tc>
        <w:tc>
          <w:tcPr>
            <w:tcW w:w="5" w:type="pct"/>
            <w:shd w:val="clear" w:color="auto" w:fill="auto"/>
            <w:vAlign w:val="bottom"/>
          </w:tcPr>
          <w:p w14:paraId="35D0BD53" w14:textId="77777777" w:rsidR="00D42204" w:rsidRDefault="00D42204">
            <w:pPr>
              <w:rPr>
                <w:rFonts w:ascii="宋体"/>
              </w:rPr>
            </w:pPr>
          </w:p>
        </w:tc>
        <w:tc>
          <w:tcPr>
            <w:tcW w:w="26" w:type="pct"/>
            <w:shd w:val="clear" w:color="auto" w:fill="auto"/>
            <w:vAlign w:val="bottom"/>
          </w:tcPr>
          <w:p w14:paraId="35D0BD54" w14:textId="77777777" w:rsidR="00D42204" w:rsidRDefault="00D42204">
            <w:pPr>
              <w:rPr>
                <w:rFonts w:ascii="宋体"/>
              </w:rPr>
            </w:pPr>
          </w:p>
        </w:tc>
        <w:tc>
          <w:tcPr>
            <w:tcW w:w="5" w:type="pct"/>
            <w:shd w:val="clear" w:color="auto" w:fill="auto"/>
            <w:vAlign w:val="bottom"/>
          </w:tcPr>
          <w:p w14:paraId="35D0BD55" w14:textId="77777777" w:rsidR="00D42204" w:rsidRDefault="00D42204">
            <w:pPr>
              <w:rPr>
                <w:rFonts w:ascii="宋体"/>
              </w:rPr>
            </w:pPr>
          </w:p>
        </w:tc>
        <w:tc>
          <w:tcPr>
            <w:tcW w:w="50" w:type="pct"/>
            <w:shd w:val="clear" w:color="auto" w:fill="auto"/>
            <w:vAlign w:val="bottom"/>
          </w:tcPr>
          <w:p w14:paraId="35D0BD56" w14:textId="77777777" w:rsidR="00D42204" w:rsidRDefault="00D42204">
            <w:pPr>
              <w:rPr>
                <w:rFonts w:ascii="宋体"/>
              </w:rPr>
            </w:pPr>
          </w:p>
        </w:tc>
        <w:tc>
          <w:tcPr>
            <w:tcW w:w="472" w:type="pct"/>
            <w:shd w:val="clear" w:color="auto" w:fill="auto"/>
            <w:vAlign w:val="bottom"/>
          </w:tcPr>
          <w:p w14:paraId="35D0BD57" w14:textId="77777777" w:rsidR="00D42204" w:rsidRDefault="00D42204">
            <w:pPr>
              <w:rPr>
                <w:rFonts w:ascii="宋体"/>
              </w:rPr>
            </w:pPr>
          </w:p>
        </w:tc>
        <w:tc>
          <w:tcPr>
            <w:tcW w:w="5" w:type="pct"/>
            <w:shd w:val="clear" w:color="auto" w:fill="auto"/>
            <w:vAlign w:val="bottom"/>
          </w:tcPr>
          <w:p w14:paraId="35D0BD58" w14:textId="77777777" w:rsidR="00D42204" w:rsidRDefault="00D42204">
            <w:pPr>
              <w:rPr>
                <w:rFonts w:ascii="宋体"/>
              </w:rPr>
            </w:pPr>
          </w:p>
        </w:tc>
        <w:tc>
          <w:tcPr>
            <w:tcW w:w="5" w:type="pct"/>
            <w:shd w:val="clear" w:color="auto" w:fill="auto"/>
            <w:vAlign w:val="bottom"/>
          </w:tcPr>
          <w:p w14:paraId="35D0BD59" w14:textId="77777777" w:rsidR="00D42204" w:rsidRDefault="00D42204">
            <w:pPr>
              <w:rPr>
                <w:rFonts w:ascii="宋体"/>
              </w:rPr>
            </w:pPr>
          </w:p>
        </w:tc>
        <w:tc>
          <w:tcPr>
            <w:tcW w:w="26" w:type="pct"/>
            <w:shd w:val="clear" w:color="auto" w:fill="auto"/>
            <w:vAlign w:val="bottom"/>
          </w:tcPr>
          <w:p w14:paraId="35D0BD5A" w14:textId="77777777" w:rsidR="00D42204" w:rsidRDefault="00D42204">
            <w:pPr>
              <w:rPr>
                <w:rFonts w:ascii="宋体"/>
              </w:rPr>
            </w:pPr>
          </w:p>
        </w:tc>
        <w:tc>
          <w:tcPr>
            <w:tcW w:w="5" w:type="pct"/>
            <w:shd w:val="clear" w:color="auto" w:fill="auto"/>
            <w:vAlign w:val="bottom"/>
          </w:tcPr>
          <w:p w14:paraId="35D0BD5B" w14:textId="77777777" w:rsidR="00D42204" w:rsidRDefault="00D42204">
            <w:pPr>
              <w:rPr>
                <w:rFonts w:ascii="宋体"/>
              </w:rPr>
            </w:pPr>
          </w:p>
        </w:tc>
        <w:tc>
          <w:tcPr>
            <w:tcW w:w="50" w:type="pct"/>
            <w:shd w:val="clear" w:color="auto" w:fill="auto"/>
            <w:vAlign w:val="bottom"/>
          </w:tcPr>
          <w:p w14:paraId="35D0BD5C" w14:textId="77777777" w:rsidR="00D42204" w:rsidRDefault="00D42204">
            <w:pPr>
              <w:rPr>
                <w:rFonts w:ascii="宋体"/>
              </w:rPr>
            </w:pPr>
          </w:p>
        </w:tc>
        <w:tc>
          <w:tcPr>
            <w:tcW w:w="472" w:type="pct"/>
            <w:shd w:val="clear" w:color="auto" w:fill="auto"/>
            <w:vAlign w:val="bottom"/>
          </w:tcPr>
          <w:p w14:paraId="35D0BD5D" w14:textId="77777777" w:rsidR="00D42204" w:rsidRDefault="00D42204">
            <w:pPr>
              <w:rPr>
                <w:rFonts w:ascii="宋体"/>
              </w:rPr>
            </w:pPr>
          </w:p>
        </w:tc>
        <w:tc>
          <w:tcPr>
            <w:tcW w:w="5" w:type="pct"/>
            <w:shd w:val="clear" w:color="auto" w:fill="auto"/>
            <w:vAlign w:val="bottom"/>
          </w:tcPr>
          <w:p w14:paraId="35D0BD5E" w14:textId="77777777" w:rsidR="00D42204" w:rsidRDefault="00D42204">
            <w:pPr>
              <w:rPr>
                <w:rFonts w:ascii="宋体"/>
              </w:rPr>
            </w:pPr>
          </w:p>
        </w:tc>
      </w:tr>
      <w:tr w:rsidR="00D42204" w14:paraId="35D0BD63" w14:textId="77777777">
        <w:tc>
          <w:tcPr>
            <w:tcW w:w="0" w:type="auto"/>
            <w:gridSpan w:val="3"/>
            <w:shd w:val="clear" w:color="auto" w:fill="auto"/>
            <w:tcMar>
              <w:top w:w="0" w:type="dxa"/>
              <w:left w:w="20" w:type="dxa"/>
              <w:bottom w:w="0" w:type="dxa"/>
              <w:right w:w="20" w:type="dxa"/>
            </w:tcMar>
            <w:vAlign w:val="bottom"/>
          </w:tcPr>
          <w:p w14:paraId="35D0BD60"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D61"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BD62" w14:textId="77777777" w:rsidR="00D42204" w:rsidRDefault="004E439D">
            <w:pPr>
              <w:jc w:val="center"/>
              <w:textAlignment w:val="bottom"/>
            </w:pPr>
            <w:r>
              <w:rPr>
                <w:rFonts w:ascii="Times New Roman" w:eastAsia="宋体" w:hAnsi="Times New Roman"/>
                <w:b/>
                <w:bCs/>
                <w:color w:val="000000"/>
                <w:sz w:val="16"/>
                <w:szCs w:val="16"/>
              </w:rPr>
              <w:t>Fiscal Y</w:t>
            </w:r>
            <w:r>
              <w:rPr>
                <w:rFonts w:ascii="Times New Roman" w:eastAsia="宋体" w:hAnsi="Times New Roman"/>
                <w:b/>
                <w:bCs/>
                <w:color w:val="000000"/>
                <w:sz w:val="16"/>
                <w:szCs w:val="16"/>
              </w:rPr>
              <w:t>ears Ended January 31,</w:t>
            </w:r>
          </w:p>
        </w:tc>
      </w:tr>
      <w:tr w:rsidR="00D42204" w14:paraId="35D0BD6B" w14:textId="77777777">
        <w:tc>
          <w:tcPr>
            <w:tcW w:w="0" w:type="auto"/>
            <w:gridSpan w:val="3"/>
            <w:shd w:val="clear" w:color="auto" w:fill="auto"/>
            <w:tcMar>
              <w:top w:w="40" w:type="dxa"/>
              <w:left w:w="20" w:type="dxa"/>
              <w:bottom w:w="40" w:type="dxa"/>
              <w:right w:w="20" w:type="dxa"/>
            </w:tcMar>
            <w:vAlign w:val="bottom"/>
          </w:tcPr>
          <w:p w14:paraId="35D0BD64"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D65"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D66"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D67"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D68"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D69"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D6A"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BD73" w14:textId="77777777">
        <w:tc>
          <w:tcPr>
            <w:tcW w:w="0" w:type="auto"/>
            <w:gridSpan w:val="3"/>
            <w:shd w:val="clear" w:color="auto" w:fill="CCEEFF"/>
            <w:tcMar>
              <w:top w:w="40" w:type="dxa"/>
              <w:left w:w="20" w:type="dxa"/>
              <w:bottom w:w="40" w:type="dxa"/>
              <w:right w:w="20" w:type="dxa"/>
            </w:tcMar>
            <w:vAlign w:val="center"/>
          </w:tcPr>
          <w:p w14:paraId="35D0BD6C" w14:textId="77777777" w:rsidR="00D42204" w:rsidRDefault="004E439D">
            <w:pPr>
              <w:textAlignment w:val="center"/>
            </w:pPr>
            <w:r>
              <w:rPr>
                <w:rFonts w:ascii="Times New Roman" w:eastAsia="宋体" w:hAnsi="Times New Roman"/>
                <w:b/>
                <w:bCs/>
                <w:color w:val="000000"/>
                <w:sz w:val="16"/>
                <w:szCs w:val="16"/>
              </w:rPr>
              <w:t>Revenues</w:t>
            </w:r>
          </w:p>
        </w:tc>
        <w:tc>
          <w:tcPr>
            <w:tcW w:w="0" w:type="auto"/>
            <w:gridSpan w:val="3"/>
            <w:shd w:val="clear" w:color="auto" w:fill="CCEEFF"/>
            <w:tcMar>
              <w:top w:w="0" w:type="dxa"/>
              <w:left w:w="20" w:type="dxa"/>
              <w:bottom w:w="0" w:type="dxa"/>
              <w:right w:w="20" w:type="dxa"/>
            </w:tcMar>
            <w:vAlign w:val="bottom"/>
          </w:tcPr>
          <w:p w14:paraId="35D0BD6D"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D6E"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D6F"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D70"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D71" w14:textId="77777777" w:rsidR="00D42204" w:rsidRDefault="00D4220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35D0BD72" w14:textId="77777777" w:rsidR="00D42204" w:rsidRDefault="00D42204">
            <w:pPr>
              <w:rPr>
                <w:rFonts w:ascii="宋体"/>
              </w:rPr>
            </w:pPr>
          </w:p>
        </w:tc>
      </w:tr>
      <w:tr w:rsidR="00D42204" w14:paraId="35D0BD81" w14:textId="77777777">
        <w:tc>
          <w:tcPr>
            <w:tcW w:w="0" w:type="auto"/>
            <w:gridSpan w:val="3"/>
            <w:shd w:val="clear" w:color="auto" w:fill="FFFFFF"/>
            <w:tcMar>
              <w:top w:w="40" w:type="dxa"/>
              <w:left w:w="20" w:type="dxa"/>
              <w:bottom w:w="40" w:type="dxa"/>
              <w:right w:w="20" w:type="dxa"/>
            </w:tcMar>
            <w:vAlign w:val="center"/>
          </w:tcPr>
          <w:p w14:paraId="35D0BD74" w14:textId="77777777" w:rsidR="00D42204" w:rsidRDefault="004E439D">
            <w:pPr>
              <w:textAlignment w:val="center"/>
            </w:pPr>
            <w:r>
              <w:rPr>
                <w:rFonts w:ascii="Times New Roman" w:eastAsia="宋体" w:hAnsi="Times New Roman"/>
                <w:color w:val="000000"/>
                <w:sz w:val="16"/>
                <w:szCs w:val="16"/>
              </w:rPr>
              <w:t>U.S. operations</w:t>
            </w:r>
          </w:p>
        </w:tc>
        <w:tc>
          <w:tcPr>
            <w:tcW w:w="0" w:type="auto"/>
            <w:gridSpan w:val="3"/>
            <w:shd w:val="clear" w:color="auto" w:fill="FFFFFF"/>
            <w:tcMar>
              <w:top w:w="0" w:type="dxa"/>
              <w:left w:w="20" w:type="dxa"/>
              <w:bottom w:w="0" w:type="dxa"/>
              <w:right w:w="20" w:type="dxa"/>
            </w:tcMar>
            <w:vAlign w:val="bottom"/>
          </w:tcPr>
          <w:p w14:paraId="35D0BD75"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D76"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D77" w14:textId="77777777" w:rsidR="00D42204" w:rsidRDefault="004E439D">
            <w:pPr>
              <w:jc w:val="right"/>
              <w:textAlignment w:val="center"/>
            </w:pPr>
            <w:r>
              <w:rPr>
                <w:rFonts w:ascii="Times New Roman" w:eastAsia="宋体" w:hAnsi="Times New Roman"/>
                <w:color w:val="000000"/>
                <w:sz w:val="16"/>
                <w:szCs w:val="16"/>
              </w:rPr>
              <w:t>470,295 </w:t>
            </w:r>
          </w:p>
        </w:tc>
        <w:tc>
          <w:tcPr>
            <w:tcW w:w="0" w:type="auto"/>
            <w:shd w:val="clear" w:color="auto" w:fill="FFFFFF"/>
            <w:tcMar>
              <w:top w:w="40" w:type="dxa"/>
              <w:left w:w="0" w:type="dxa"/>
              <w:bottom w:w="40" w:type="dxa"/>
              <w:right w:w="20" w:type="dxa"/>
            </w:tcMar>
            <w:vAlign w:val="center"/>
          </w:tcPr>
          <w:p w14:paraId="35D0BD7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D79"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D7A"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D7B" w14:textId="77777777" w:rsidR="00D42204" w:rsidRDefault="004E439D">
            <w:pPr>
              <w:jc w:val="right"/>
              <w:textAlignment w:val="center"/>
            </w:pPr>
            <w:r>
              <w:rPr>
                <w:rFonts w:ascii="Times New Roman" w:eastAsia="宋体" w:hAnsi="Times New Roman"/>
                <w:color w:val="000000"/>
                <w:sz w:val="16"/>
                <w:szCs w:val="16"/>
              </w:rPr>
              <w:t>436,649 </w:t>
            </w:r>
          </w:p>
        </w:tc>
        <w:tc>
          <w:tcPr>
            <w:tcW w:w="0" w:type="auto"/>
            <w:shd w:val="clear" w:color="auto" w:fill="FFFFFF"/>
            <w:tcMar>
              <w:top w:w="40" w:type="dxa"/>
              <w:left w:w="0" w:type="dxa"/>
              <w:bottom w:w="40" w:type="dxa"/>
              <w:right w:w="20" w:type="dxa"/>
            </w:tcMar>
            <w:vAlign w:val="center"/>
          </w:tcPr>
          <w:p w14:paraId="35D0BD7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D7D" w14:textId="77777777" w:rsidR="00D42204" w:rsidRDefault="00D42204">
            <w:pPr>
              <w:rPr>
                <w:rFonts w:ascii="宋体"/>
              </w:rPr>
            </w:pPr>
          </w:p>
        </w:tc>
        <w:tc>
          <w:tcPr>
            <w:tcW w:w="0" w:type="auto"/>
            <w:shd w:val="clear" w:color="auto" w:fill="FFFFFF"/>
            <w:tcMar>
              <w:top w:w="40" w:type="dxa"/>
              <w:left w:w="20" w:type="dxa"/>
              <w:bottom w:w="40" w:type="dxa"/>
              <w:right w:w="0" w:type="dxa"/>
            </w:tcMar>
            <w:vAlign w:val="center"/>
          </w:tcPr>
          <w:p w14:paraId="35D0BD7E"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FFFFFF"/>
            <w:tcMar>
              <w:top w:w="40" w:type="dxa"/>
              <w:left w:w="0" w:type="dxa"/>
              <w:bottom w:w="40" w:type="dxa"/>
              <w:right w:w="0" w:type="dxa"/>
            </w:tcMar>
            <w:vAlign w:val="center"/>
          </w:tcPr>
          <w:p w14:paraId="35D0BD7F" w14:textId="77777777" w:rsidR="00D42204" w:rsidRDefault="004E439D">
            <w:pPr>
              <w:jc w:val="right"/>
              <w:textAlignment w:val="center"/>
            </w:pPr>
            <w:r>
              <w:rPr>
                <w:rFonts w:ascii="Times New Roman" w:eastAsia="宋体" w:hAnsi="Times New Roman"/>
                <w:color w:val="000000"/>
                <w:sz w:val="16"/>
                <w:szCs w:val="16"/>
              </w:rPr>
              <w:t>402,532 </w:t>
            </w:r>
          </w:p>
        </w:tc>
        <w:tc>
          <w:tcPr>
            <w:tcW w:w="0" w:type="auto"/>
            <w:shd w:val="clear" w:color="auto" w:fill="FFFFFF"/>
            <w:tcMar>
              <w:top w:w="40" w:type="dxa"/>
              <w:left w:w="0" w:type="dxa"/>
              <w:bottom w:w="40" w:type="dxa"/>
              <w:right w:w="20" w:type="dxa"/>
            </w:tcMar>
            <w:vAlign w:val="center"/>
          </w:tcPr>
          <w:p w14:paraId="35D0BD80" w14:textId="77777777" w:rsidR="00D42204" w:rsidRDefault="00D42204">
            <w:pPr>
              <w:jc w:val="right"/>
              <w:rPr>
                <w:rFonts w:ascii="宋体"/>
              </w:rPr>
            </w:pPr>
          </w:p>
        </w:tc>
      </w:tr>
      <w:tr w:rsidR="00D42204" w14:paraId="35D0BD8C" w14:textId="77777777">
        <w:tc>
          <w:tcPr>
            <w:tcW w:w="0" w:type="auto"/>
            <w:gridSpan w:val="3"/>
            <w:shd w:val="clear" w:color="auto" w:fill="CCEEFF"/>
            <w:tcMar>
              <w:top w:w="40" w:type="dxa"/>
              <w:left w:w="20" w:type="dxa"/>
              <w:bottom w:w="40" w:type="dxa"/>
              <w:right w:w="20" w:type="dxa"/>
            </w:tcMar>
            <w:vAlign w:val="center"/>
          </w:tcPr>
          <w:p w14:paraId="35D0BD82" w14:textId="77777777" w:rsidR="00D42204" w:rsidRDefault="004E439D">
            <w:pPr>
              <w:textAlignment w:val="center"/>
            </w:pPr>
            <w:r>
              <w:rPr>
                <w:rFonts w:ascii="Times New Roman" w:eastAsia="宋体" w:hAnsi="Times New Roman"/>
                <w:color w:val="000000"/>
                <w:sz w:val="16"/>
                <w:szCs w:val="16"/>
              </w:rPr>
              <w:t>Non-U.S. operations</w:t>
            </w:r>
          </w:p>
        </w:tc>
        <w:tc>
          <w:tcPr>
            <w:tcW w:w="0" w:type="auto"/>
            <w:gridSpan w:val="3"/>
            <w:shd w:val="clear" w:color="auto" w:fill="CCEEFF"/>
            <w:tcMar>
              <w:top w:w="0" w:type="dxa"/>
              <w:left w:w="20" w:type="dxa"/>
              <w:bottom w:w="0" w:type="dxa"/>
              <w:right w:w="20" w:type="dxa"/>
            </w:tcMar>
            <w:vAlign w:val="bottom"/>
          </w:tcPr>
          <w:p w14:paraId="35D0BD83"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D84" w14:textId="77777777" w:rsidR="00D42204" w:rsidRDefault="004E439D">
            <w:pPr>
              <w:jc w:val="right"/>
              <w:textAlignment w:val="center"/>
            </w:pPr>
            <w:r>
              <w:rPr>
                <w:rFonts w:ascii="Times New Roman" w:eastAsia="宋体" w:hAnsi="Times New Roman"/>
                <w:color w:val="000000"/>
                <w:sz w:val="16"/>
                <w:szCs w:val="16"/>
              </w:rPr>
              <w:t>102,459 </w:t>
            </w:r>
          </w:p>
        </w:tc>
        <w:tc>
          <w:tcPr>
            <w:tcW w:w="0" w:type="auto"/>
            <w:shd w:val="clear" w:color="auto" w:fill="CCEEFF"/>
            <w:tcMar>
              <w:top w:w="40" w:type="dxa"/>
              <w:left w:w="0" w:type="dxa"/>
              <w:bottom w:w="40" w:type="dxa"/>
              <w:right w:w="20" w:type="dxa"/>
            </w:tcMar>
            <w:vAlign w:val="center"/>
          </w:tcPr>
          <w:p w14:paraId="35D0BD85"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D86"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D87" w14:textId="77777777" w:rsidR="00D42204" w:rsidRDefault="004E439D">
            <w:pPr>
              <w:jc w:val="right"/>
              <w:textAlignment w:val="center"/>
            </w:pPr>
            <w:r>
              <w:rPr>
                <w:rFonts w:ascii="Times New Roman" w:eastAsia="宋体" w:hAnsi="Times New Roman"/>
                <w:color w:val="000000"/>
                <w:sz w:val="16"/>
                <w:szCs w:val="16"/>
              </w:rPr>
              <w:t>122,502 </w:t>
            </w:r>
          </w:p>
        </w:tc>
        <w:tc>
          <w:tcPr>
            <w:tcW w:w="0" w:type="auto"/>
            <w:shd w:val="clear" w:color="auto" w:fill="CCEEFF"/>
            <w:tcMar>
              <w:top w:w="40" w:type="dxa"/>
              <w:left w:w="0" w:type="dxa"/>
              <w:bottom w:w="40" w:type="dxa"/>
              <w:right w:w="20" w:type="dxa"/>
            </w:tcMar>
            <w:vAlign w:val="center"/>
          </w:tcPr>
          <w:p w14:paraId="35D0BD8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D89"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D8A" w14:textId="77777777" w:rsidR="00D42204" w:rsidRDefault="004E439D">
            <w:pPr>
              <w:jc w:val="right"/>
              <w:textAlignment w:val="center"/>
            </w:pPr>
            <w:r>
              <w:rPr>
                <w:rFonts w:ascii="Times New Roman" w:eastAsia="宋体" w:hAnsi="Times New Roman"/>
                <w:color w:val="000000"/>
                <w:sz w:val="16"/>
                <w:szCs w:val="16"/>
              </w:rPr>
              <w:t>121,432 </w:t>
            </w:r>
          </w:p>
        </w:tc>
        <w:tc>
          <w:tcPr>
            <w:tcW w:w="0" w:type="auto"/>
            <w:shd w:val="clear" w:color="auto" w:fill="CCEEFF"/>
            <w:tcMar>
              <w:top w:w="40" w:type="dxa"/>
              <w:left w:w="0" w:type="dxa"/>
              <w:bottom w:w="40" w:type="dxa"/>
              <w:right w:w="20" w:type="dxa"/>
            </w:tcMar>
            <w:vAlign w:val="center"/>
          </w:tcPr>
          <w:p w14:paraId="35D0BD8B" w14:textId="77777777" w:rsidR="00D42204" w:rsidRDefault="00D42204">
            <w:pPr>
              <w:jc w:val="right"/>
              <w:rPr>
                <w:rFonts w:ascii="宋体"/>
              </w:rPr>
            </w:pPr>
          </w:p>
        </w:tc>
      </w:tr>
      <w:tr w:rsidR="00D42204" w14:paraId="35D0BD9A" w14:textId="77777777">
        <w:tc>
          <w:tcPr>
            <w:tcW w:w="0" w:type="auto"/>
            <w:gridSpan w:val="3"/>
            <w:shd w:val="clear" w:color="auto" w:fill="FFFFFF"/>
            <w:tcMar>
              <w:top w:w="40" w:type="dxa"/>
              <w:left w:w="20" w:type="dxa"/>
              <w:bottom w:w="40" w:type="dxa"/>
              <w:right w:w="20" w:type="dxa"/>
            </w:tcMar>
            <w:vAlign w:val="center"/>
          </w:tcPr>
          <w:p w14:paraId="35D0BD8D" w14:textId="77777777" w:rsidR="00D42204" w:rsidRDefault="004E439D">
            <w:pPr>
              <w:textAlignment w:val="center"/>
            </w:pPr>
            <w:r>
              <w:rPr>
                <w:rFonts w:ascii="Times New Roman" w:eastAsia="宋体" w:hAnsi="Times New Roman"/>
                <w:b/>
                <w:bCs/>
                <w:color w:val="000000"/>
                <w:sz w:val="16"/>
                <w:szCs w:val="16"/>
              </w:rPr>
              <w:t>Total revenues</w:t>
            </w:r>
          </w:p>
        </w:tc>
        <w:tc>
          <w:tcPr>
            <w:tcW w:w="0" w:type="auto"/>
            <w:gridSpan w:val="3"/>
            <w:shd w:val="clear" w:color="auto" w:fill="FFFFFF"/>
            <w:tcMar>
              <w:top w:w="0" w:type="dxa"/>
              <w:left w:w="20" w:type="dxa"/>
              <w:bottom w:w="0" w:type="dxa"/>
              <w:right w:w="20" w:type="dxa"/>
            </w:tcMar>
            <w:vAlign w:val="bottom"/>
          </w:tcPr>
          <w:p w14:paraId="35D0BD8E" w14:textId="77777777" w:rsidR="00D42204" w:rsidRDefault="00D4220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35D0BD8F"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35D0BD90" w14:textId="77777777" w:rsidR="00D42204" w:rsidRDefault="004E439D">
            <w:pPr>
              <w:jc w:val="right"/>
              <w:textAlignment w:val="center"/>
            </w:pPr>
            <w:r>
              <w:rPr>
                <w:rFonts w:ascii="Times New Roman" w:eastAsia="宋体" w:hAnsi="Times New Roman"/>
                <w:color w:val="000000"/>
                <w:sz w:val="16"/>
                <w:szCs w:val="16"/>
              </w:rPr>
              <w:t>572,754 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BD9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D92" w14:textId="77777777" w:rsidR="00D42204" w:rsidRDefault="00D4220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35D0BD93"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35D0BD94" w14:textId="77777777" w:rsidR="00D42204" w:rsidRDefault="004E439D">
            <w:pPr>
              <w:jc w:val="right"/>
              <w:textAlignment w:val="center"/>
            </w:pPr>
            <w:r>
              <w:rPr>
                <w:rFonts w:ascii="Times New Roman" w:eastAsia="宋体" w:hAnsi="Times New Roman"/>
                <w:color w:val="000000"/>
                <w:sz w:val="16"/>
                <w:szCs w:val="16"/>
              </w:rPr>
              <w:t>559,151 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BD9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D96" w14:textId="77777777" w:rsidR="00D42204" w:rsidRDefault="00D42204">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35D0BD97"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35D0BD98" w14:textId="77777777" w:rsidR="00D42204" w:rsidRDefault="004E439D">
            <w:pPr>
              <w:jc w:val="right"/>
              <w:textAlignment w:val="center"/>
            </w:pPr>
            <w:r>
              <w:rPr>
                <w:rFonts w:ascii="Times New Roman" w:eastAsia="宋体" w:hAnsi="Times New Roman"/>
                <w:color w:val="000000"/>
                <w:sz w:val="16"/>
                <w:szCs w:val="16"/>
              </w:rPr>
              <w:t>523,964 </w:t>
            </w:r>
          </w:p>
        </w:tc>
        <w:tc>
          <w:tcPr>
            <w:tcW w:w="0" w:type="auto"/>
            <w:tcBorders>
              <w:top w:val="single" w:sz="8" w:space="0" w:color="000000"/>
            </w:tcBorders>
            <w:shd w:val="clear" w:color="auto" w:fill="FFFFFF"/>
            <w:tcMar>
              <w:top w:w="40" w:type="dxa"/>
              <w:left w:w="0" w:type="dxa"/>
              <w:bottom w:w="40" w:type="dxa"/>
              <w:right w:w="20" w:type="dxa"/>
            </w:tcMar>
            <w:vAlign w:val="center"/>
          </w:tcPr>
          <w:p w14:paraId="35D0BD99" w14:textId="77777777" w:rsidR="00D42204" w:rsidRDefault="00D42204">
            <w:pPr>
              <w:jc w:val="right"/>
              <w:rPr>
                <w:rFonts w:ascii="宋体"/>
              </w:rPr>
            </w:pPr>
          </w:p>
        </w:tc>
      </w:tr>
      <w:tr w:rsidR="00D42204" w14:paraId="35D0BDA2" w14:textId="77777777">
        <w:trPr>
          <w:trHeight w:val="240"/>
        </w:trPr>
        <w:tc>
          <w:tcPr>
            <w:tcW w:w="0" w:type="auto"/>
            <w:gridSpan w:val="3"/>
            <w:shd w:val="clear" w:color="auto" w:fill="CCEEFF"/>
            <w:tcMar>
              <w:top w:w="0" w:type="dxa"/>
              <w:left w:w="20" w:type="dxa"/>
              <w:bottom w:w="0" w:type="dxa"/>
              <w:right w:w="20" w:type="dxa"/>
            </w:tcMar>
            <w:vAlign w:val="bottom"/>
          </w:tcPr>
          <w:p w14:paraId="35D0BD9B"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D9C" w14:textId="77777777" w:rsidR="00D42204" w:rsidRDefault="00D4220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5D0BD9D"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D9E" w14:textId="77777777" w:rsidR="00D42204" w:rsidRDefault="00D4220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5D0BD9F" w14:textId="77777777" w:rsidR="00D42204" w:rsidRDefault="00D42204">
            <w:pPr>
              <w:rPr>
                <w:rFonts w:ascii="宋体"/>
              </w:rPr>
            </w:pPr>
          </w:p>
        </w:tc>
        <w:tc>
          <w:tcPr>
            <w:tcW w:w="0" w:type="auto"/>
            <w:gridSpan w:val="3"/>
            <w:shd w:val="clear" w:color="auto" w:fill="CCEEFF"/>
            <w:tcMar>
              <w:top w:w="0" w:type="dxa"/>
              <w:left w:w="20" w:type="dxa"/>
              <w:bottom w:w="0" w:type="dxa"/>
              <w:right w:w="20" w:type="dxa"/>
            </w:tcMar>
            <w:vAlign w:val="bottom"/>
          </w:tcPr>
          <w:p w14:paraId="35D0BDA0" w14:textId="77777777" w:rsidR="00D42204" w:rsidRDefault="00D4220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35D0BDA1" w14:textId="77777777" w:rsidR="00D42204" w:rsidRDefault="00D42204">
            <w:pPr>
              <w:rPr>
                <w:rFonts w:ascii="宋体"/>
              </w:rPr>
            </w:pPr>
          </w:p>
        </w:tc>
      </w:tr>
      <w:tr w:rsidR="00D42204" w14:paraId="35D0BDAA" w14:textId="77777777">
        <w:tc>
          <w:tcPr>
            <w:tcW w:w="0" w:type="auto"/>
            <w:gridSpan w:val="3"/>
            <w:shd w:val="clear" w:color="auto" w:fill="FFFFFF"/>
            <w:tcMar>
              <w:top w:w="40" w:type="dxa"/>
              <w:left w:w="20" w:type="dxa"/>
              <w:bottom w:w="40" w:type="dxa"/>
              <w:right w:w="20" w:type="dxa"/>
            </w:tcMar>
            <w:vAlign w:val="center"/>
          </w:tcPr>
          <w:p w14:paraId="35D0BDA3" w14:textId="77777777" w:rsidR="00D42204" w:rsidRDefault="004E439D">
            <w:pPr>
              <w:textAlignment w:val="center"/>
            </w:pPr>
            <w:r>
              <w:rPr>
                <w:rFonts w:ascii="Times New Roman" w:eastAsia="宋体" w:hAnsi="Times New Roman"/>
                <w:b/>
                <w:bCs/>
                <w:color w:val="000000"/>
                <w:sz w:val="16"/>
                <w:szCs w:val="16"/>
              </w:rPr>
              <w:t xml:space="preserve">Long-lived assets </w:t>
            </w:r>
          </w:p>
        </w:tc>
        <w:tc>
          <w:tcPr>
            <w:tcW w:w="0" w:type="auto"/>
            <w:gridSpan w:val="3"/>
            <w:shd w:val="clear" w:color="auto" w:fill="FFFFFF"/>
            <w:tcMar>
              <w:top w:w="0" w:type="dxa"/>
              <w:left w:w="20" w:type="dxa"/>
              <w:bottom w:w="0" w:type="dxa"/>
              <w:right w:w="20" w:type="dxa"/>
            </w:tcMar>
            <w:vAlign w:val="bottom"/>
          </w:tcPr>
          <w:p w14:paraId="35D0BDA4"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DA5"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DA6"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DA7"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DA8" w14:textId="77777777" w:rsidR="00D42204" w:rsidRDefault="00D42204">
            <w:pPr>
              <w:rPr>
                <w:rFonts w:ascii="宋体"/>
              </w:rPr>
            </w:pPr>
          </w:p>
        </w:tc>
        <w:tc>
          <w:tcPr>
            <w:tcW w:w="0" w:type="auto"/>
            <w:gridSpan w:val="3"/>
            <w:shd w:val="clear" w:color="auto" w:fill="FFFFFF"/>
            <w:tcMar>
              <w:top w:w="0" w:type="dxa"/>
              <w:left w:w="20" w:type="dxa"/>
              <w:bottom w:w="0" w:type="dxa"/>
              <w:right w:w="20" w:type="dxa"/>
            </w:tcMar>
            <w:vAlign w:val="bottom"/>
          </w:tcPr>
          <w:p w14:paraId="35D0BDA9" w14:textId="77777777" w:rsidR="00D42204" w:rsidRDefault="00D42204">
            <w:pPr>
              <w:rPr>
                <w:rFonts w:ascii="宋体"/>
              </w:rPr>
            </w:pPr>
          </w:p>
        </w:tc>
      </w:tr>
      <w:tr w:rsidR="00D42204" w14:paraId="35D0BDB8" w14:textId="77777777">
        <w:tc>
          <w:tcPr>
            <w:tcW w:w="0" w:type="auto"/>
            <w:gridSpan w:val="3"/>
            <w:shd w:val="clear" w:color="auto" w:fill="CCEEFF"/>
            <w:tcMar>
              <w:top w:w="40" w:type="dxa"/>
              <w:left w:w="20" w:type="dxa"/>
              <w:bottom w:w="40" w:type="dxa"/>
              <w:right w:w="20" w:type="dxa"/>
            </w:tcMar>
            <w:vAlign w:val="center"/>
          </w:tcPr>
          <w:p w14:paraId="35D0BDAB" w14:textId="77777777" w:rsidR="00D42204" w:rsidRDefault="004E439D">
            <w:pPr>
              <w:textAlignment w:val="center"/>
            </w:pPr>
            <w:r>
              <w:rPr>
                <w:rFonts w:ascii="Times New Roman" w:eastAsia="宋体" w:hAnsi="Times New Roman"/>
                <w:color w:val="000000"/>
                <w:sz w:val="16"/>
                <w:szCs w:val="16"/>
              </w:rPr>
              <w:t>U.S. operations</w:t>
            </w:r>
          </w:p>
        </w:tc>
        <w:tc>
          <w:tcPr>
            <w:tcW w:w="0" w:type="auto"/>
            <w:gridSpan w:val="3"/>
            <w:shd w:val="clear" w:color="auto" w:fill="CCEEFF"/>
            <w:tcMar>
              <w:top w:w="0" w:type="dxa"/>
              <w:left w:w="20" w:type="dxa"/>
              <w:bottom w:w="0" w:type="dxa"/>
              <w:right w:w="20" w:type="dxa"/>
            </w:tcMar>
            <w:vAlign w:val="bottom"/>
          </w:tcPr>
          <w:p w14:paraId="35D0BDAC"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BDAD"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BDAE" w14:textId="77777777" w:rsidR="00D42204" w:rsidRDefault="004E439D">
            <w:pPr>
              <w:jc w:val="right"/>
              <w:textAlignment w:val="center"/>
            </w:pPr>
            <w:r>
              <w:rPr>
                <w:rFonts w:ascii="Times New Roman" w:eastAsia="宋体" w:hAnsi="Times New Roman"/>
                <w:color w:val="000000"/>
                <w:sz w:val="16"/>
                <w:szCs w:val="16"/>
              </w:rPr>
              <w:t>89,795 </w:t>
            </w:r>
          </w:p>
        </w:tc>
        <w:tc>
          <w:tcPr>
            <w:tcW w:w="0" w:type="auto"/>
            <w:shd w:val="clear" w:color="auto" w:fill="CCEEFF"/>
            <w:tcMar>
              <w:top w:w="40" w:type="dxa"/>
              <w:left w:w="0" w:type="dxa"/>
              <w:bottom w:w="40" w:type="dxa"/>
              <w:right w:w="20" w:type="dxa"/>
            </w:tcMar>
            <w:vAlign w:val="center"/>
          </w:tcPr>
          <w:p w14:paraId="35D0BDA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DB0"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BDB1"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BDB2" w14:textId="77777777" w:rsidR="00D42204" w:rsidRDefault="004E439D">
            <w:pPr>
              <w:jc w:val="right"/>
              <w:textAlignment w:val="center"/>
            </w:pPr>
            <w:r>
              <w:rPr>
                <w:rFonts w:ascii="Times New Roman" w:eastAsia="宋体" w:hAnsi="Times New Roman"/>
                <w:color w:val="000000"/>
                <w:sz w:val="16"/>
                <w:szCs w:val="16"/>
              </w:rPr>
              <w:t>87,068 </w:t>
            </w:r>
          </w:p>
        </w:tc>
        <w:tc>
          <w:tcPr>
            <w:tcW w:w="0" w:type="auto"/>
            <w:shd w:val="clear" w:color="auto" w:fill="CCEEFF"/>
            <w:tcMar>
              <w:top w:w="40" w:type="dxa"/>
              <w:left w:w="0" w:type="dxa"/>
              <w:bottom w:w="40" w:type="dxa"/>
              <w:right w:w="20" w:type="dxa"/>
            </w:tcMar>
            <w:vAlign w:val="center"/>
          </w:tcPr>
          <w:p w14:paraId="35D0BDB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DB4" w14:textId="77777777" w:rsidR="00D42204" w:rsidRDefault="00D42204">
            <w:pPr>
              <w:rPr>
                <w:rFonts w:ascii="宋体"/>
              </w:rPr>
            </w:pPr>
          </w:p>
        </w:tc>
        <w:tc>
          <w:tcPr>
            <w:tcW w:w="0" w:type="auto"/>
            <w:shd w:val="clear" w:color="auto" w:fill="CCEEFF"/>
            <w:tcMar>
              <w:top w:w="40" w:type="dxa"/>
              <w:left w:w="20" w:type="dxa"/>
              <w:bottom w:w="40" w:type="dxa"/>
              <w:right w:w="0" w:type="dxa"/>
            </w:tcMar>
            <w:vAlign w:val="center"/>
          </w:tcPr>
          <w:p w14:paraId="35D0BDB5" w14:textId="77777777" w:rsidR="00D42204" w:rsidRDefault="004E439D">
            <w:pPr>
              <w:textAlignment w:val="center"/>
            </w:pPr>
            <w:r>
              <w:rPr>
                <w:rFonts w:ascii="Times New Roman" w:eastAsia="宋体" w:hAnsi="Times New Roman"/>
                <w:color w:val="000000"/>
                <w:sz w:val="16"/>
                <w:szCs w:val="16"/>
              </w:rPr>
              <w:t>$</w:t>
            </w:r>
          </w:p>
        </w:tc>
        <w:tc>
          <w:tcPr>
            <w:tcW w:w="0" w:type="auto"/>
            <w:shd w:val="clear" w:color="auto" w:fill="CCEEFF"/>
            <w:tcMar>
              <w:top w:w="40" w:type="dxa"/>
              <w:left w:w="0" w:type="dxa"/>
              <w:bottom w:w="40" w:type="dxa"/>
              <w:right w:w="0" w:type="dxa"/>
            </w:tcMar>
            <w:vAlign w:val="center"/>
          </w:tcPr>
          <w:p w14:paraId="35D0BDB6" w14:textId="77777777" w:rsidR="00D42204" w:rsidRDefault="004E439D">
            <w:pPr>
              <w:jc w:val="right"/>
              <w:textAlignment w:val="center"/>
            </w:pPr>
            <w:r>
              <w:rPr>
                <w:rFonts w:ascii="Times New Roman" w:eastAsia="宋体" w:hAnsi="Times New Roman"/>
                <w:color w:val="000000"/>
                <w:sz w:val="16"/>
                <w:szCs w:val="16"/>
              </w:rPr>
              <w:t>86,944 </w:t>
            </w:r>
          </w:p>
        </w:tc>
        <w:tc>
          <w:tcPr>
            <w:tcW w:w="0" w:type="auto"/>
            <w:shd w:val="clear" w:color="auto" w:fill="CCEEFF"/>
            <w:tcMar>
              <w:top w:w="40" w:type="dxa"/>
              <w:left w:w="0" w:type="dxa"/>
              <w:bottom w:w="40" w:type="dxa"/>
              <w:right w:w="20" w:type="dxa"/>
            </w:tcMar>
            <w:vAlign w:val="center"/>
          </w:tcPr>
          <w:p w14:paraId="35D0BDB7" w14:textId="77777777" w:rsidR="00D42204" w:rsidRDefault="00D42204">
            <w:pPr>
              <w:jc w:val="right"/>
              <w:rPr>
                <w:rFonts w:ascii="宋体"/>
              </w:rPr>
            </w:pPr>
          </w:p>
        </w:tc>
      </w:tr>
      <w:tr w:rsidR="00D42204" w14:paraId="35D0BDC3" w14:textId="77777777">
        <w:tc>
          <w:tcPr>
            <w:tcW w:w="0" w:type="auto"/>
            <w:gridSpan w:val="3"/>
            <w:shd w:val="clear" w:color="auto" w:fill="FFFFFF"/>
            <w:tcMar>
              <w:top w:w="40" w:type="dxa"/>
              <w:left w:w="20" w:type="dxa"/>
              <w:bottom w:w="40" w:type="dxa"/>
              <w:right w:w="20" w:type="dxa"/>
            </w:tcMar>
            <w:vAlign w:val="center"/>
          </w:tcPr>
          <w:p w14:paraId="35D0BDB9" w14:textId="77777777" w:rsidR="00D42204" w:rsidRDefault="004E439D">
            <w:pPr>
              <w:textAlignment w:val="center"/>
            </w:pPr>
            <w:r>
              <w:rPr>
                <w:rFonts w:ascii="Times New Roman" w:eastAsia="宋体" w:hAnsi="Times New Roman"/>
                <w:color w:val="000000"/>
                <w:sz w:val="16"/>
                <w:szCs w:val="16"/>
              </w:rPr>
              <w:t>Non-U.S. operations</w:t>
            </w:r>
          </w:p>
        </w:tc>
        <w:tc>
          <w:tcPr>
            <w:tcW w:w="0" w:type="auto"/>
            <w:gridSpan w:val="3"/>
            <w:shd w:val="clear" w:color="auto" w:fill="FFFFFF"/>
            <w:tcMar>
              <w:top w:w="0" w:type="dxa"/>
              <w:left w:w="20" w:type="dxa"/>
              <w:bottom w:w="0" w:type="dxa"/>
              <w:right w:w="20" w:type="dxa"/>
            </w:tcMar>
            <w:vAlign w:val="bottom"/>
          </w:tcPr>
          <w:p w14:paraId="35D0BDB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DBB" w14:textId="77777777" w:rsidR="00D42204" w:rsidRDefault="004E439D">
            <w:pPr>
              <w:jc w:val="right"/>
              <w:textAlignment w:val="center"/>
            </w:pPr>
            <w:r>
              <w:rPr>
                <w:rFonts w:ascii="Times New Roman" w:eastAsia="宋体" w:hAnsi="Times New Roman"/>
                <w:color w:val="000000"/>
                <w:sz w:val="16"/>
                <w:szCs w:val="16"/>
              </w:rPr>
              <w:t>22,829 </w:t>
            </w:r>
          </w:p>
        </w:tc>
        <w:tc>
          <w:tcPr>
            <w:tcW w:w="0" w:type="auto"/>
            <w:shd w:val="clear" w:color="auto" w:fill="FFFFFF"/>
            <w:tcMar>
              <w:top w:w="40" w:type="dxa"/>
              <w:left w:w="0" w:type="dxa"/>
              <w:bottom w:w="40" w:type="dxa"/>
              <w:right w:w="20" w:type="dxa"/>
            </w:tcMar>
            <w:vAlign w:val="center"/>
          </w:tcPr>
          <w:p w14:paraId="35D0BDB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DB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DBE" w14:textId="77777777" w:rsidR="00D42204" w:rsidRDefault="004E439D">
            <w:pPr>
              <w:jc w:val="right"/>
              <w:textAlignment w:val="center"/>
            </w:pPr>
            <w:r>
              <w:rPr>
                <w:rFonts w:ascii="Times New Roman" w:eastAsia="宋体" w:hAnsi="Times New Roman"/>
                <w:color w:val="000000"/>
                <w:sz w:val="16"/>
                <w:szCs w:val="16"/>
              </w:rPr>
              <w:t>22,780 </w:t>
            </w:r>
          </w:p>
        </w:tc>
        <w:tc>
          <w:tcPr>
            <w:tcW w:w="0" w:type="auto"/>
            <w:shd w:val="clear" w:color="auto" w:fill="FFFFFF"/>
            <w:tcMar>
              <w:top w:w="40" w:type="dxa"/>
              <w:left w:w="0" w:type="dxa"/>
              <w:bottom w:w="40" w:type="dxa"/>
              <w:right w:w="20" w:type="dxa"/>
            </w:tcMar>
            <w:vAlign w:val="center"/>
          </w:tcPr>
          <w:p w14:paraId="35D0BDBF"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DC0"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DC1" w14:textId="77777777" w:rsidR="00D42204" w:rsidRDefault="004E439D">
            <w:pPr>
              <w:jc w:val="right"/>
              <w:textAlignment w:val="center"/>
            </w:pPr>
            <w:r>
              <w:rPr>
                <w:rFonts w:ascii="Times New Roman" w:eastAsia="宋体" w:hAnsi="Times New Roman"/>
                <w:color w:val="000000"/>
                <w:sz w:val="16"/>
                <w:szCs w:val="16"/>
              </w:rPr>
              <w:t>40,105 </w:t>
            </w:r>
          </w:p>
        </w:tc>
        <w:tc>
          <w:tcPr>
            <w:tcW w:w="0" w:type="auto"/>
            <w:shd w:val="clear" w:color="auto" w:fill="FFFFFF"/>
            <w:tcMar>
              <w:top w:w="40" w:type="dxa"/>
              <w:left w:w="0" w:type="dxa"/>
              <w:bottom w:w="40" w:type="dxa"/>
              <w:right w:w="20" w:type="dxa"/>
            </w:tcMar>
            <w:vAlign w:val="center"/>
          </w:tcPr>
          <w:p w14:paraId="35D0BDC2" w14:textId="77777777" w:rsidR="00D42204" w:rsidRDefault="00D42204">
            <w:pPr>
              <w:jc w:val="right"/>
              <w:rPr>
                <w:rFonts w:ascii="宋体"/>
              </w:rPr>
            </w:pPr>
          </w:p>
        </w:tc>
      </w:tr>
      <w:tr w:rsidR="00D42204" w14:paraId="35D0BDD1" w14:textId="77777777">
        <w:tc>
          <w:tcPr>
            <w:tcW w:w="0" w:type="auto"/>
            <w:gridSpan w:val="3"/>
            <w:shd w:val="clear" w:color="auto" w:fill="CCEEFF"/>
            <w:tcMar>
              <w:top w:w="40" w:type="dxa"/>
              <w:left w:w="20" w:type="dxa"/>
              <w:bottom w:w="40" w:type="dxa"/>
              <w:right w:w="20" w:type="dxa"/>
            </w:tcMar>
            <w:vAlign w:val="center"/>
          </w:tcPr>
          <w:p w14:paraId="35D0BDC4" w14:textId="77777777" w:rsidR="00D42204" w:rsidRDefault="004E439D">
            <w:pPr>
              <w:textAlignment w:val="center"/>
            </w:pPr>
            <w:r>
              <w:rPr>
                <w:rFonts w:ascii="Times New Roman" w:eastAsia="宋体" w:hAnsi="Times New Roman"/>
                <w:b/>
                <w:bCs/>
                <w:color w:val="000000"/>
                <w:sz w:val="16"/>
                <w:szCs w:val="16"/>
              </w:rPr>
              <w:t>Total long-lived assets</w:t>
            </w:r>
          </w:p>
        </w:tc>
        <w:tc>
          <w:tcPr>
            <w:tcW w:w="0" w:type="auto"/>
            <w:gridSpan w:val="3"/>
            <w:shd w:val="clear" w:color="auto" w:fill="CCEEFF"/>
            <w:tcMar>
              <w:top w:w="0" w:type="dxa"/>
              <w:left w:w="20" w:type="dxa"/>
              <w:bottom w:w="0" w:type="dxa"/>
              <w:right w:w="20" w:type="dxa"/>
            </w:tcMar>
            <w:vAlign w:val="bottom"/>
          </w:tcPr>
          <w:p w14:paraId="35D0BDC5"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DC6"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DC7" w14:textId="77777777" w:rsidR="00D42204" w:rsidRDefault="004E439D">
            <w:pPr>
              <w:jc w:val="right"/>
              <w:textAlignment w:val="center"/>
            </w:pPr>
            <w:r>
              <w:rPr>
                <w:rFonts w:ascii="Times New Roman" w:eastAsia="宋体" w:hAnsi="Times New Roman"/>
                <w:color w:val="000000"/>
                <w:sz w:val="16"/>
                <w:szCs w:val="16"/>
              </w:rPr>
              <w:t>112,624 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DC8"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DC9"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DCA"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DCB" w14:textId="77777777" w:rsidR="00D42204" w:rsidRDefault="004E439D">
            <w:pPr>
              <w:jc w:val="right"/>
              <w:textAlignment w:val="center"/>
            </w:pPr>
            <w:r>
              <w:rPr>
                <w:rFonts w:ascii="Times New Roman" w:eastAsia="宋体" w:hAnsi="Times New Roman"/>
                <w:color w:val="000000"/>
                <w:sz w:val="16"/>
                <w:szCs w:val="16"/>
              </w:rPr>
              <w:t>109,848 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DC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DCD"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35D0BDCE" w14:textId="77777777" w:rsidR="00D42204" w:rsidRDefault="004E439D">
            <w:pPr>
              <w:textAlignment w:val="center"/>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35D0BDCF" w14:textId="77777777" w:rsidR="00D42204" w:rsidRDefault="004E439D">
            <w:pPr>
              <w:jc w:val="right"/>
              <w:textAlignment w:val="center"/>
            </w:pPr>
            <w:r>
              <w:rPr>
                <w:rFonts w:ascii="Times New Roman" w:eastAsia="宋体" w:hAnsi="Times New Roman"/>
                <w:color w:val="000000"/>
                <w:sz w:val="16"/>
                <w:szCs w:val="16"/>
              </w:rPr>
              <w:t>127,049 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35D0BDD0" w14:textId="77777777" w:rsidR="00D42204" w:rsidRDefault="00D42204">
            <w:pPr>
              <w:jc w:val="right"/>
              <w:rPr>
                <w:rFonts w:ascii="宋体"/>
              </w:rPr>
            </w:pPr>
          </w:p>
        </w:tc>
      </w:tr>
    </w:tbl>
    <w:p w14:paraId="35D0BDD2" w14:textId="77777777" w:rsidR="00D42204" w:rsidRDefault="004E439D">
      <w:pPr>
        <w:spacing w:before="80"/>
      </w:pPr>
      <w:r>
        <w:rPr>
          <w:rFonts w:ascii="Times New Roman" w:eastAsia="宋体" w:hAnsi="Times New Roman"/>
          <w:color w:val="000000"/>
          <w:sz w:val="20"/>
          <w:szCs w:val="20"/>
        </w:rPr>
        <w:t>No individual country outside of the U.S. had total revenues or long-lived assets that were material to the consolidated totals. Long-lived assets related to operation</w:t>
      </w:r>
      <w:r>
        <w:rPr>
          <w:rFonts w:ascii="Times New Roman" w:eastAsia="宋体" w:hAnsi="Times New Roman"/>
          <w:color w:val="000000"/>
          <w:sz w:val="20"/>
          <w:szCs w:val="20"/>
        </w:rPr>
        <w:t>s classified as held for sale are excluded from the table above. Additionally, the Company did not generate material revenues from any single customer.</w:t>
      </w:r>
    </w:p>
    <w:p w14:paraId="35D0BDD3" w14:textId="77777777" w:rsidR="00D42204" w:rsidRDefault="004E439D">
      <w:pPr>
        <w:spacing w:before="180"/>
      </w:pPr>
      <w:r>
        <w:rPr>
          <w:rFonts w:ascii="Times New Roman" w:eastAsia="宋体" w:hAnsi="Times New Roman"/>
          <w:i/>
          <w:iCs/>
          <w:color w:val="000000"/>
          <w:sz w:val="20"/>
          <w:szCs w:val="20"/>
        </w:rPr>
        <w:t>Disaggregated Revenues</w:t>
      </w:r>
    </w:p>
    <w:p w14:paraId="35D0BDD4" w14:textId="77777777" w:rsidR="00D42204" w:rsidRDefault="004E439D">
      <w:pPr>
        <w:spacing w:before="100"/>
      </w:pPr>
      <w:r>
        <w:rPr>
          <w:rFonts w:ascii="Times New Roman" w:eastAsia="宋体" w:hAnsi="Times New Roman"/>
          <w:color w:val="000000"/>
          <w:sz w:val="20"/>
          <w:szCs w:val="20"/>
        </w:rPr>
        <w:t xml:space="preserve">In the following tables, segment net sales are disaggregated by either </w:t>
      </w:r>
      <w:r>
        <w:rPr>
          <w:rFonts w:ascii="Times New Roman" w:eastAsia="宋体" w:hAnsi="Times New Roman"/>
          <w:color w:val="000000"/>
          <w:sz w:val="20"/>
          <w:szCs w:val="20"/>
        </w:rPr>
        <w:t>merchandise category or market. In addition, net sales related to eCommerce are provided for each segment, which include omni-channel sales where a customer initiates an order digitally and the order is fulfilled through a store or club.</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393"/>
        <w:gridCol w:w="38"/>
        <w:gridCol w:w="36"/>
        <w:gridCol w:w="36"/>
        <w:gridCol w:w="36"/>
        <w:gridCol w:w="100"/>
        <w:gridCol w:w="698"/>
        <w:gridCol w:w="36"/>
        <w:gridCol w:w="36"/>
        <w:gridCol w:w="36"/>
        <w:gridCol w:w="36"/>
        <w:gridCol w:w="100"/>
        <w:gridCol w:w="698"/>
        <w:gridCol w:w="36"/>
        <w:gridCol w:w="36"/>
        <w:gridCol w:w="36"/>
        <w:gridCol w:w="36"/>
        <w:gridCol w:w="100"/>
        <w:gridCol w:w="738"/>
        <w:gridCol w:w="36"/>
      </w:tblGrid>
      <w:tr w:rsidR="00D42204" w14:paraId="35D0BDEA" w14:textId="77777777">
        <w:trPr>
          <w:jc w:val="center"/>
        </w:trPr>
        <w:tc>
          <w:tcPr>
            <w:tcW w:w="50" w:type="pct"/>
            <w:shd w:val="clear" w:color="auto" w:fill="auto"/>
            <w:vAlign w:val="bottom"/>
          </w:tcPr>
          <w:p w14:paraId="35D0BDD5" w14:textId="77777777" w:rsidR="00D42204" w:rsidRDefault="00D42204">
            <w:pPr>
              <w:rPr>
                <w:rFonts w:ascii="宋体"/>
              </w:rPr>
            </w:pPr>
          </w:p>
        </w:tc>
        <w:tc>
          <w:tcPr>
            <w:tcW w:w="3263" w:type="pct"/>
            <w:shd w:val="clear" w:color="auto" w:fill="auto"/>
            <w:vAlign w:val="bottom"/>
          </w:tcPr>
          <w:p w14:paraId="35D0BDD6" w14:textId="77777777" w:rsidR="00D42204" w:rsidRDefault="00D42204">
            <w:pPr>
              <w:rPr>
                <w:rFonts w:ascii="宋体"/>
              </w:rPr>
            </w:pPr>
          </w:p>
        </w:tc>
        <w:tc>
          <w:tcPr>
            <w:tcW w:w="5" w:type="pct"/>
            <w:shd w:val="clear" w:color="auto" w:fill="auto"/>
            <w:vAlign w:val="bottom"/>
          </w:tcPr>
          <w:p w14:paraId="35D0BDD7" w14:textId="77777777" w:rsidR="00D42204" w:rsidRDefault="00D42204">
            <w:pPr>
              <w:rPr>
                <w:rFonts w:ascii="宋体"/>
              </w:rPr>
            </w:pPr>
          </w:p>
        </w:tc>
        <w:tc>
          <w:tcPr>
            <w:tcW w:w="5" w:type="pct"/>
            <w:shd w:val="clear" w:color="auto" w:fill="auto"/>
            <w:vAlign w:val="bottom"/>
          </w:tcPr>
          <w:p w14:paraId="35D0BDD8" w14:textId="77777777" w:rsidR="00D42204" w:rsidRDefault="00D42204">
            <w:pPr>
              <w:rPr>
                <w:rFonts w:ascii="宋体"/>
              </w:rPr>
            </w:pPr>
          </w:p>
        </w:tc>
        <w:tc>
          <w:tcPr>
            <w:tcW w:w="26" w:type="pct"/>
            <w:shd w:val="clear" w:color="auto" w:fill="auto"/>
            <w:vAlign w:val="bottom"/>
          </w:tcPr>
          <w:p w14:paraId="35D0BDD9" w14:textId="77777777" w:rsidR="00D42204" w:rsidRDefault="00D42204">
            <w:pPr>
              <w:rPr>
                <w:rFonts w:ascii="宋体"/>
              </w:rPr>
            </w:pPr>
          </w:p>
        </w:tc>
        <w:tc>
          <w:tcPr>
            <w:tcW w:w="5" w:type="pct"/>
            <w:shd w:val="clear" w:color="auto" w:fill="auto"/>
            <w:vAlign w:val="bottom"/>
          </w:tcPr>
          <w:p w14:paraId="35D0BDDA" w14:textId="77777777" w:rsidR="00D42204" w:rsidRDefault="00D42204">
            <w:pPr>
              <w:rPr>
                <w:rFonts w:ascii="宋体"/>
              </w:rPr>
            </w:pPr>
          </w:p>
        </w:tc>
        <w:tc>
          <w:tcPr>
            <w:tcW w:w="50" w:type="pct"/>
            <w:shd w:val="clear" w:color="auto" w:fill="auto"/>
            <w:vAlign w:val="bottom"/>
          </w:tcPr>
          <w:p w14:paraId="35D0BDDB" w14:textId="77777777" w:rsidR="00D42204" w:rsidRDefault="00D42204">
            <w:pPr>
              <w:rPr>
                <w:rFonts w:ascii="宋体"/>
              </w:rPr>
            </w:pPr>
          </w:p>
        </w:tc>
        <w:tc>
          <w:tcPr>
            <w:tcW w:w="471" w:type="pct"/>
            <w:shd w:val="clear" w:color="auto" w:fill="auto"/>
            <w:vAlign w:val="bottom"/>
          </w:tcPr>
          <w:p w14:paraId="35D0BDDC" w14:textId="77777777" w:rsidR="00D42204" w:rsidRDefault="00D42204">
            <w:pPr>
              <w:rPr>
                <w:rFonts w:ascii="宋体"/>
              </w:rPr>
            </w:pPr>
          </w:p>
        </w:tc>
        <w:tc>
          <w:tcPr>
            <w:tcW w:w="5" w:type="pct"/>
            <w:shd w:val="clear" w:color="auto" w:fill="auto"/>
            <w:vAlign w:val="bottom"/>
          </w:tcPr>
          <w:p w14:paraId="35D0BDDD" w14:textId="77777777" w:rsidR="00D42204" w:rsidRDefault="00D42204">
            <w:pPr>
              <w:rPr>
                <w:rFonts w:ascii="宋体"/>
              </w:rPr>
            </w:pPr>
          </w:p>
        </w:tc>
        <w:tc>
          <w:tcPr>
            <w:tcW w:w="5" w:type="pct"/>
            <w:shd w:val="clear" w:color="auto" w:fill="auto"/>
            <w:vAlign w:val="bottom"/>
          </w:tcPr>
          <w:p w14:paraId="35D0BDDE" w14:textId="77777777" w:rsidR="00D42204" w:rsidRDefault="00D42204">
            <w:pPr>
              <w:rPr>
                <w:rFonts w:ascii="宋体"/>
              </w:rPr>
            </w:pPr>
          </w:p>
        </w:tc>
        <w:tc>
          <w:tcPr>
            <w:tcW w:w="26" w:type="pct"/>
            <w:shd w:val="clear" w:color="auto" w:fill="auto"/>
            <w:vAlign w:val="bottom"/>
          </w:tcPr>
          <w:p w14:paraId="35D0BDDF" w14:textId="77777777" w:rsidR="00D42204" w:rsidRDefault="00D42204">
            <w:pPr>
              <w:rPr>
                <w:rFonts w:ascii="宋体"/>
              </w:rPr>
            </w:pPr>
          </w:p>
        </w:tc>
        <w:tc>
          <w:tcPr>
            <w:tcW w:w="5" w:type="pct"/>
            <w:shd w:val="clear" w:color="auto" w:fill="auto"/>
            <w:vAlign w:val="bottom"/>
          </w:tcPr>
          <w:p w14:paraId="35D0BDE0" w14:textId="77777777" w:rsidR="00D42204" w:rsidRDefault="00D42204">
            <w:pPr>
              <w:rPr>
                <w:rFonts w:ascii="宋体"/>
              </w:rPr>
            </w:pPr>
          </w:p>
        </w:tc>
        <w:tc>
          <w:tcPr>
            <w:tcW w:w="50" w:type="pct"/>
            <w:shd w:val="clear" w:color="auto" w:fill="auto"/>
            <w:vAlign w:val="bottom"/>
          </w:tcPr>
          <w:p w14:paraId="35D0BDE1" w14:textId="77777777" w:rsidR="00D42204" w:rsidRDefault="00D42204">
            <w:pPr>
              <w:rPr>
                <w:rFonts w:ascii="宋体"/>
              </w:rPr>
            </w:pPr>
          </w:p>
        </w:tc>
        <w:tc>
          <w:tcPr>
            <w:tcW w:w="471" w:type="pct"/>
            <w:shd w:val="clear" w:color="auto" w:fill="auto"/>
            <w:vAlign w:val="bottom"/>
          </w:tcPr>
          <w:p w14:paraId="35D0BDE2" w14:textId="77777777" w:rsidR="00D42204" w:rsidRDefault="00D42204">
            <w:pPr>
              <w:rPr>
                <w:rFonts w:ascii="宋体"/>
              </w:rPr>
            </w:pPr>
          </w:p>
        </w:tc>
        <w:tc>
          <w:tcPr>
            <w:tcW w:w="5" w:type="pct"/>
            <w:shd w:val="clear" w:color="auto" w:fill="auto"/>
            <w:vAlign w:val="bottom"/>
          </w:tcPr>
          <w:p w14:paraId="35D0BDE3" w14:textId="77777777" w:rsidR="00D42204" w:rsidRDefault="00D42204">
            <w:pPr>
              <w:rPr>
                <w:rFonts w:ascii="宋体"/>
              </w:rPr>
            </w:pPr>
          </w:p>
        </w:tc>
        <w:tc>
          <w:tcPr>
            <w:tcW w:w="5" w:type="pct"/>
            <w:shd w:val="clear" w:color="auto" w:fill="auto"/>
            <w:vAlign w:val="bottom"/>
          </w:tcPr>
          <w:p w14:paraId="35D0BDE4" w14:textId="77777777" w:rsidR="00D42204" w:rsidRDefault="00D42204">
            <w:pPr>
              <w:rPr>
                <w:rFonts w:ascii="宋体"/>
              </w:rPr>
            </w:pPr>
          </w:p>
        </w:tc>
        <w:tc>
          <w:tcPr>
            <w:tcW w:w="19" w:type="pct"/>
            <w:shd w:val="clear" w:color="auto" w:fill="auto"/>
            <w:vAlign w:val="bottom"/>
          </w:tcPr>
          <w:p w14:paraId="35D0BDE5" w14:textId="77777777" w:rsidR="00D42204" w:rsidRDefault="00D42204">
            <w:pPr>
              <w:rPr>
                <w:rFonts w:ascii="宋体"/>
              </w:rPr>
            </w:pPr>
          </w:p>
        </w:tc>
        <w:tc>
          <w:tcPr>
            <w:tcW w:w="5" w:type="pct"/>
            <w:shd w:val="clear" w:color="auto" w:fill="auto"/>
            <w:vAlign w:val="bottom"/>
          </w:tcPr>
          <w:p w14:paraId="35D0BDE6" w14:textId="77777777" w:rsidR="00D42204" w:rsidRDefault="00D42204">
            <w:pPr>
              <w:rPr>
                <w:rFonts w:ascii="宋体"/>
              </w:rPr>
            </w:pPr>
          </w:p>
        </w:tc>
        <w:tc>
          <w:tcPr>
            <w:tcW w:w="50" w:type="pct"/>
            <w:shd w:val="clear" w:color="auto" w:fill="auto"/>
            <w:vAlign w:val="bottom"/>
          </w:tcPr>
          <w:p w14:paraId="35D0BDE7" w14:textId="77777777" w:rsidR="00D42204" w:rsidRDefault="00D42204">
            <w:pPr>
              <w:rPr>
                <w:rFonts w:ascii="宋体"/>
              </w:rPr>
            </w:pPr>
          </w:p>
        </w:tc>
        <w:tc>
          <w:tcPr>
            <w:tcW w:w="471" w:type="pct"/>
            <w:shd w:val="clear" w:color="auto" w:fill="auto"/>
            <w:vAlign w:val="bottom"/>
          </w:tcPr>
          <w:p w14:paraId="35D0BDE8" w14:textId="77777777" w:rsidR="00D42204" w:rsidRDefault="00D42204">
            <w:pPr>
              <w:rPr>
                <w:rFonts w:ascii="宋体"/>
              </w:rPr>
            </w:pPr>
          </w:p>
        </w:tc>
        <w:tc>
          <w:tcPr>
            <w:tcW w:w="5" w:type="pct"/>
            <w:shd w:val="clear" w:color="auto" w:fill="auto"/>
            <w:vAlign w:val="bottom"/>
          </w:tcPr>
          <w:p w14:paraId="35D0BDE9" w14:textId="77777777" w:rsidR="00D42204" w:rsidRDefault="00D42204">
            <w:pPr>
              <w:rPr>
                <w:rFonts w:ascii="宋体"/>
              </w:rPr>
            </w:pPr>
          </w:p>
        </w:tc>
      </w:tr>
      <w:tr w:rsidR="00D42204" w14:paraId="35D0BDEE" w14:textId="77777777">
        <w:trPr>
          <w:jc w:val="center"/>
        </w:trPr>
        <w:tc>
          <w:tcPr>
            <w:tcW w:w="0" w:type="auto"/>
            <w:gridSpan w:val="3"/>
            <w:shd w:val="clear" w:color="auto" w:fill="auto"/>
            <w:tcMar>
              <w:top w:w="40" w:type="dxa"/>
              <w:left w:w="20" w:type="dxa"/>
              <w:bottom w:w="40" w:type="dxa"/>
              <w:right w:w="20" w:type="dxa"/>
            </w:tcMar>
            <w:vAlign w:val="bottom"/>
          </w:tcPr>
          <w:p w14:paraId="35D0BDEB" w14:textId="77777777" w:rsidR="00D42204" w:rsidRDefault="004E439D">
            <w:pPr>
              <w:textAlignment w:val="bottom"/>
            </w:pPr>
            <w:r>
              <w:rPr>
                <w:rFonts w:ascii="Times New Roman" w:eastAsia="宋体" w:hAnsi="Times New Roman"/>
                <w:i/>
                <w:iCs/>
                <w:color w:val="000000"/>
                <w:sz w:val="16"/>
                <w:szCs w:val="16"/>
              </w:rPr>
              <w:t>(</w:t>
            </w: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DEC"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BDED" w14:textId="77777777" w:rsidR="00D42204" w:rsidRDefault="004E439D">
            <w:pPr>
              <w:jc w:val="center"/>
              <w:textAlignment w:val="bottom"/>
            </w:pPr>
            <w:r>
              <w:rPr>
                <w:rFonts w:ascii="Times New Roman" w:eastAsia="宋体" w:hAnsi="Times New Roman"/>
                <w:b/>
                <w:bCs/>
                <w:color w:val="000000"/>
                <w:sz w:val="16"/>
                <w:szCs w:val="16"/>
              </w:rPr>
              <w:t>Fiscal Years Ended January 31,</w:t>
            </w:r>
          </w:p>
        </w:tc>
      </w:tr>
      <w:tr w:rsidR="00D42204" w14:paraId="35D0BDF6" w14:textId="77777777">
        <w:trPr>
          <w:jc w:val="center"/>
        </w:trPr>
        <w:tc>
          <w:tcPr>
            <w:tcW w:w="0" w:type="auto"/>
            <w:gridSpan w:val="3"/>
            <w:shd w:val="clear" w:color="auto" w:fill="auto"/>
            <w:tcMar>
              <w:top w:w="40" w:type="dxa"/>
              <w:left w:w="20" w:type="dxa"/>
              <w:bottom w:w="40" w:type="dxa"/>
              <w:right w:w="20" w:type="dxa"/>
            </w:tcMar>
            <w:vAlign w:val="bottom"/>
          </w:tcPr>
          <w:p w14:paraId="35D0BDEF" w14:textId="77777777" w:rsidR="00D42204" w:rsidRDefault="004E439D">
            <w:pPr>
              <w:textAlignment w:val="bottom"/>
            </w:pPr>
            <w:r>
              <w:rPr>
                <w:rFonts w:ascii="Times New Roman" w:eastAsia="宋体" w:hAnsi="Times New Roman"/>
                <w:b/>
                <w:bCs/>
                <w:color w:val="000000"/>
                <w:sz w:val="16"/>
                <w:szCs w:val="16"/>
              </w:rPr>
              <w:t>Walmart U.S. net sales by merchandise category</w:t>
            </w:r>
          </w:p>
        </w:tc>
        <w:tc>
          <w:tcPr>
            <w:tcW w:w="0" w:type="auto"/>
            <w:gridSpan w:val="3"/>
            <w:shd w:val="clear" w:color="auto" w:fill="auto"/>
            <w:tcMar>
              <w:top w:w="0" w:type="dxa"/>
              <w:left w:w="20" w:type="dxa"/>
              <w:bottom w:w="0" w:type="dxa"/>
              <w:right w:w="20" w:type="dxa"/>
            </w:tcMar>
            <w:vAlign w:val="bottom"/>
          </w:tcPr>
          <w:p w14:paraId="35D0BDF0"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DF1"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DF2"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DF3"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DF4"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DF5"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BE04" w14:textId="77777777">
        <w:trPr>
          <w:jc w:val="center"/>
        </w:trPr>
        <w:tc>
          <w:tcPr>
            <w:tcW w:w="0" w:type="auto"/>
            <w:gridSpan w:val="3"/>
            <w:shd w:val="clear" w:color="auto" w:fill="CCEEFF"/>
            <w:tcMar>
              <w:top w:w="40" w:type="dxa"/>
              <w:left w:w="380" w:type="dxa"/>
              <w:bottom w:w="40" w:type="dxa"/>
              <w:right w:w="20" w:type="dxa"/>
            </w:tcMar>
            <w:vAlign w:val="center"/>
          </w:tcPr>
          <w:p w14:paraId="35D0BDF7" w14:textId="77777777" w:rsidR="00D42204" w:rsidRDefault="004E439D">
            <w:pPr>
              <w:textAlignment w:val="center"/>
            </w:pPr>
            <w:r>
              <w:rPr>
                <w:rFonts w:ascii="Times New Roman" w:eastAsia="宋体" w:hAnsi="Times New Roman"/>
                <w:color w:val="000000"/>
                <w:sz w:val="16"/>
                <w:szCs w:val="16"/>
              </w:rPr>
              <w:t>Grocery</w:t>
            </w:r>
          </w:p>
        </w:tc>
        <w:tc>
          <w:tcPr>
            <w:tcW w:w="0" w:type="auto"/>
            <w:gridSpan w:val="3"/>
            <w:shd w:val="clear" w:color="auto" w:fill="CCEEFF"/>
            <w:tcMar>
              <w:top w:w="0" w:type="dxa"/>
              <w:left w:w="20" w:type="dxa"/>
              <w:bottom w:w="0" w:type="dxa"/>
              <w:right w:w="20" w:type="dxa"/>
            </w:tcMar>
            <w:vAlign w:val="bottom"/>
          </w:tcPr>
          <w:p w14:paraId="35D0BDF8"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D0BDF9"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D0BDFA" w14:textId="77777777" w:rsidR="00D42204" w:rsidRDefault="004E439D">
            <w:pPr>
              <w:jc w:val="right"/>
              <w:textAlignment w:val="bottom"/>
            </w:pPr>
            <w:r>
              <w:rPr>
                <w:rFonts w:ascii="Times New Roman" w:eastAsia="宋体" w:hAnsi="Times New Roman"/>
                <w:color w:val="000000"/>
                <w:sz w:val="16"/>
                <w:szCs w:val="16"/>
              </w:rPr>
              <w:t>218,944 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DF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DFC"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D0BDFD"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D0BDFE" w14:textId="77777777" w:rsidR="00D42204" w:rsidRDefault="004E439D">
            <w:pPr>
              <w:jc w:val="right"/>
              <w:textAlignment w:val="bottom"/>
            </w:pPr>
            <w:r>
              <w:rPr>
                <w:rFonts w:ascii="Times New Roman" w:eastAsia="宋体" w:hAnsi="Times New Roman"/>
                <w:color w:val="000000"/>
                <w:sz w:val="16"/>
                <w:szCs w:val="16"/>
              </w:rPr>
              <w:t>208,413 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DF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E00"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D0BE01"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D0BE02" w14:textId="77777777" w:rsidR="00D42204" w:rsidRDefault="004E439D">
            <w:pPr>
              <w:jc w:val="right"/>
              <w:textAlignment w:val="bottom"/>
            </w:pPr>
            <w:r>
              <w:rPr>
                <w:rFonts w:ascii="Times New Roman" w:eastAsia="宋体" w:hAnsi="Times New Roman"/>
                <w:color w:val="000000"/>
                <w:sz w:val="16"/>
                <w:szCs w:val="16"/>
              </w:rPr>
              <w:t>192,428 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E03" w14:textId="77777777" w:rsidR="00D42204" w:rsidRDefault="00D42204">
            <w:pPr>
              <w:jc w:val="right"/>
              <w:rPr>
                <w:rFonts w:ascii="宋体"/>
              </w:rPr>
            </w:pPr>
          </w:p>
        </w:tc>
      </w:tr>
      <w:tr w:rsidR="00D42204" w14:paraId="35D0BE0F" w14:textId="77777777">
        <w:trPr>
          <w:jc w:val="center"/>
        </w:trPr>
        <w:tc>
          <w:tcPr>
            <w:tcW w:w="0" w:type="auto"/>
            <w:gridSpan w:val="3"/>
            <w:shd w:val="clear" w:color="auto" w:fill="FFFFFF"/>
            <w:tcMar>
              <w:top w:w="40" w:type="dxa"/>
              <w:left w:w="380" w:type="dxa"/>
              <w:bottom w:w="40" w:type="dxa"/>
              <w:right w:w="20" w:type="dxa"/>
            </w:tcMar>
            <w:vAlign w:val="bottom"/>
          </w:tcPr>
          <w:p w14:paraId="35D0BE05" w14:textId="77777777" w:rsidR="00D42204" w:rsidRDefault="004E439D">
            <w:pPr>
              <w:textAlignment w:val="bottom"/>
            </w:pPr>
            <w:r>
              <w:rPr>
                <w:rFonts w:ascii="Times New Roman" w:eastAsia="宋体" w:hAnsi="Times New Roman"/>
                <w:color w:val="000000"/>
                <w:sz w:val="16"/>
                <w:szCs w:val="16"/>
              </w:rPr>
              <w:t>General merchandise</w:t>
            </w:r>
          </w:p>
        </w:tc>
        <w:tc>
          <w:tcPr>
            <w:tcW w:w="0" w:type="auto"/>
            <w:gridSpan w:val="3"/>
            <w:shd w:val="clear" w:color="auto" w:fill="FFFFFF"/>
            <w:tcMar>
              <w:top w:w="0" w:type="dxa"/>
              <w:left w:w="20" w:type="dxa"/>
              <w:bottom w:w="0" w:type="dxa"/>
              <w:right w:w="20" w:type="dxa"/>
            </w:tcMar>
            <w:vAlign w:val="bottom"/>
          </w:tcPr>
          <w:p w14:paraId="35D0BE0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E07" w14:textId="77777777" w:rsidR="00D42204" w:rsidRDefault="004E439D">
            <w:pPr>
              <w:jc w:val="right"/>
              <w:textAlignment w:val="bottom"/>
            </w:pPr>
            <w:r>
              <w:rPr>
                <w:rFonts w:ascii="Times New Roman" w:eastAsia="宋体" w:hAnsi="Times New Roman"/>
                <w:color w:val="000000"/>
                <w:sz w:val="16"/>
                <w:szCs w:val="16"/>
              </w:rPr>
              <w:t>125,876 </w:t>
            </w:r>
          </w:p>
        </w:tc>
        <w:tc>
          <w:tcPr>
            <w:tcW w:w="0" w:type="auto"/>
            <w:shd w:val="clear" w:color="auto" w:fill="FFFFFF"/>
            <w:tcMar>
              <w:top w:w="40" w:type="dxa"/>
              <w:left w:w="0" w:type="dxa"/>
              <w:bottom w:w="40" w:type="dxa"/>
              <w:right w:w="20" w:type="dxa"/>
            </w:tcMar>
            <w:vAlign w:val="bottom"/>
          </w:tcPr>
          <w:p w14:paraId="35D0BE0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E0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E0A" w14:textId="77777777" w:rsidR="00D42204" w:rsidRDefault="004E439D">
            <w:pPr>
              <w:jc w:val="right"/>
              <w:textAlignment w:val="bottom"/>
            </w:pPr>
            <w:r>
              <w:rPr>
                <w:rFonts w:ascii="Times New Roman" w:eastAsia="宋体" w:hAnsi="Times New Roman"/>
                <w:color w:val="000000"/>
                <w:sz w:val="16"/>
                <w:szCs w:val="16"/>
              </w:rPr>
              <w:t>119,406 </w:t>
            </w:r>
          </w:p>
        </w:tc>
        <w:tc>
          <w:tcPr>
            <w:tcW w:w="0" w:type="auto"/>
            <w:shd w:val="clear" w:color="auto" w:fill="FFFFFF"/>
            <w:tcMar>
              <w:top w:w="40" w:type="dxa"/>
              <w:left w:w="0" w:type="dxa"/>
              <w:bottom w:w="40" w:type="dxa"/>
              <w:right w:w="20" w:type="dxa"/>
            </w:tcMar>
            <w:vAlign w:val="bottom"/>
          </w:tcPr>
          <w:p w14:paraId="35D0BE0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E0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E0D" w14:textId="77777777" w:rsidR="00D42204" w:rsidRDefault="004E439D">
            <w:pPr>
              <w:jc w:val="right"/>
              <w:textAlignment w:val="bottom"/>
            </w:pPr>
            <w:r>
              <w:rPr>
                <w:rFonts w:ascii="Times New Roman" w:eastAsia="宋体" w:hAnsi="Times New Roman"/>
                <w:color w:val="000000"/>
                <w:sz w:val="16"/>
                <w:szCs w:val="16"/>
              </w:rPr>
              <w:t>108,687 </w:t>
            </w:r>
          </w:p>
        </w:tc>
        <w:tc>
          <w:tcPr>
            <w:tcW w:w="0" w:type="auto"/>
            <w:shd w:val="clear" w:color="auto" w:fill="FFFFFF"/>
            <w:tcMar>
              <w:top w:w="40" w:type="dxa"/>
              <w:left w:w="0" w:type="dxa"/>
              <w:bottom w:w="40" w:type="dxa"/>
              <w:right w:w="20" w:type="dxa"/>
            </w:tcMar>
            <w:vAlign w:val="bottom"/>
          </w:tcPr>
          <w:p w14:paraId="35D0BE0E" w14:textId="77777777" w:rsidR="00D42204" w:rsidRDefault="00D42204">
            <w:pPr>
              <w:jc w:val="right"/>
              <w:rPr>
                <w:rFonts w:ascii="宋体"/>
              </w:rPr>
            </w:pPr>
          </w:p>
        </w:tc>
      </w:tr>
      <w:tr w:rsidR="00D42204" w14:paraId="35D0BE1A" w14:textId="77777777">
        <w:trPr>
          <w:jc w:val="center"/>
        </w:trPr>
        <w:tc>
          <w:tcPr>
            <w:tcW w:w="0" w:type="auto"/>
            <w:gridSpan w:val="3"/>
            <w:shd w:val="clear" w:color="auto" w:fill="CCEEFF"/>
            <w:tcMar>
              <w:top w:w="40" w:type="dxa"/>
              <w:left w:w="380" w:type="dxa"/>
              <w:bottom w:w="40" w:type="dxa"/>
              <w:right w:w="20" w:type="dxa"/>
            </w:tcMar>
            <w:vAlign w:val="bottom"/>
          </w:tcPr>
          <w:p w14:paraId="35D0BE10" w14:textId="77777777" w:rsidR="00D42204" w:rsidRDefault="004E439D">
            <w:pPr>
              <w:textAlignment w:val="bottom"/>
            </w:pPr>
            <w:r>
              <w:rPr>
                <w:rFonts w:ascii="Times New Roman" w:eastAsia="宋体" w:hAnsi="Times New Roman"/>
                <w:color w:val="000000"/>
                <w:sz w:val="16"/>
                <w:szCs w:val="16"/>
              </w:rPr>
              <w:t>Health and wellness</w:t>
            </w:r>
          </w:p>
        </w:tc>
        <w:tc>
          <w:tcPr>
            <w:tcW w:w="0" w:type="auto"/>
            <w:gridSpan w:val="3"/>
            <w:shd w:val="clear" w:color="auto" w:fill="CCEEFF"/>
            <w:tcMar>
              <w:top w:w="0" w:type="dxa"/>
              <w:left w:w="20" w:type="dxa"/>
              <w:bottom w:w="0" w:type="dxa"/>
              <w:right w:w="20" w:type="dxa"/>
            </w:tcMar>
            <w:vAlign w:val="bottom"/>
          </w:tcPr>
          <w:p w14:paraId="35D0BE1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E12" w14:textId="77777777" w:rsidR="00D42204" w:rsidRDefault="004E439D">
            <w:pPr>
              <w:jc w:val="right"/>
              <w:textAlignment w:val="bottom"/>
            </w:pPr>
            <w:r>
              <w:rPr>
                <w:rFonts w:ascii="Times New Roman" w:eastAsia="宋体" w:hAnsi="Times New Roman"/>
                <w:color w:val="000000"/>
                <w:sz w:val="16"/>
                <w:szCs w:val="16"/>
              </w:rPr>
              <w:t>42,839 </w:t>
            </w:r>
          </w:p>
        </w:tc>
        <w:tc>
          <w:tcPr>
            <w:tcW w:w="0" w:type="auto"/>
            <w:shd w:val="clear" w:color="auto" w:fill="CCEEFF"/>
            <w:tcMar>
              <w:top w:w="40" w:type="dxa"/>
              <w:left w:w="0" w:type="dxa"/>
              <w:bottom w:w="40" w:type="dxa"/>
              <w:right w:w="20" w:type="dxa"/>
            </w:tcMar>
            <w:vAlign w:val="bottom"/>
          </w:tcPr>
          <w:p w14:paraId="35D0BE1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E1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E15" w14:textId="77777777" w:rsidR="00D42204" w:rsidRDefault="004E439D">
            <w:pPr>
              <w:jc w:val="right"/>
              <w:textAlignment w:val="bottom"/>
            </w:pPr>
            <w:r>
              <w:rPr>
                <w:rFonts w:ascii="Times New Roman" w:eastAsia="宋体" w:hAnsi="Times New Roman"/>
                <w:color w:val="000000"/>
                <w:sz w:val="16"/>
                <w:szCs w:val="16"/>
              </w:rPr>
              <w:t>38,522 </w:t>
            </w:r>
          </w:p>
        </w:tc>
        <w:tc>
          <w:tcPr>
            <w:tcW w:w="0" w:type="auto"/>
            <w:shd w:val="clear" w:color="auto" w:fill="CCEEFF"/>
            <w:tcMar>
              <w:top w:w="40" w:type="dxa"/>
              <w:left w:w="0" w:type="dxa"/>
              <w:bottom w:w="40" w:type="dxa"/>
              <w:right w:w="20" w:type="dxa"/>
            </w:tcMar>
            <w:vAlign w:val="bottom"/>
          </w:tcPr>
          <w:p w14:paraId="35D0BE1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E1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E18" w14:textId="77777777" w:rsidR="00D42204" w:rsidRDefault="004E439D">
            <w:pPr>
              <w:jc w:val="right"/>
              <w:textAlignment w:val="bottom"/>
            </w:pPr>
            <w:r>
              <w:rPr>
                <w:rFonts w:ascii="Times New Roman" w:eastAsia="宋体" w:hAnsi="Times New Roman"/>
                <w:color w:val="000000"/>
                <w:sz w:val="16"/>
                <w:szCs w:val="16"/>
              </w:rPr>
              <w:t>36,558 </w:t>
            </w:r>
          </w:p>
        </w:tc>
        <w:tc>
          <w:tcPr>
            <w:tcW w:w="0" w:type="auto"/>
            <w:shd w:val="clear" w:color="auto" w:fill="CCEEFF"/>
            <w:tcMar>
              <w:top w:w="40" w:type="dxa"/>
              <w:left w:w="0" w:type="dxa"/>
              <w:bottom w:w="40" w:type="dxa"/>
              <w:right w:w="20" w:type="dxa"/>
            </w:tcMar>
            <w:vAlign w:val="bottom"/>
          </w:tcPr>
          <w:p w14:paraId="35D0BE19" w14:textId="77777777" w:rsidR="00D42204" w:rsidRDefault="00D42204">
            <w:pPr>
              <w:jc w:val="right"/>
              <w:rPr>
                <w:rFonts w:ascii="宋体"/>
              </w:rPr>
            </w:pPr>
          </w:p>
        </w:tc>
      </w:tr>
      <w:tr w:rsidR="00D42204" w14:paraId="35D0BE25" w14:textId="77777777">
        <w:trPr>
          <w:jc w:val="center"/>
        </w:trPr>
        <w:tc>
          <w:tcPr>
            <w:tcW w:w="0" w:type="auto"/>
            <w:gridSpan w:val="3"/>
            <w:shd w:val="clear" w:color="auto" w:fill="FFFFFF"/>
            <w:tcMar>
              <w:top w:w="40" w:type="dxa"/>
              <w:left w:w="380" w:type="dxa"/>
              <w:bottom w:w="40" w:type="dxa"/>
              <w:right w:w="20" w:type="dxa"/>
            </w:tcMar>
            <w:vAlign w:val="bottom"/>
          </w:tcPr>
          <w:p w14:paraId="35D0BE1B" w14:textId="77777777" w:rsidR="00D42204" w:rsidRDefault="004E439D">
            <w:pPr>
              <w:textAlignment w:val="bottom"/>
            </w:pPr>
            <w:r>
              <w:rPr>
                <w:rFonts w:ascii="Times New Roman" w:eastAsia="宋体" w:hAnsi="Times New Roman"/>
                <w:color w:val="000000"/>
                <w:sz w:val="16"/>
                <w:szCs w:val="16"/>
              </w:rPr>
              <w:t>Other categories</w:t>
            </w:r>
          </w:p>
        </w:tc>
        <w:tc>
          <w:tcPr>
            <w:tcW w:w="0" w:type="auto"/>
            <w:gridSpan w:val="3"/>
            <w:shd w:val="clear" w:color="auto" w:fill="FFFFFF"/>
            <w:tcMar>
              <w:top w:w="0" w:type="dxa"/>
              <w:left w:w="20" w:type="dxa"/>
              <w:bottom w:w="0" w:type="dxa"/>
              <w:right w:w="20" w:type="dxa"/>
            </w:tcMar>
            <w:vAlign w:val="bottom"/>
          </w:tcPr>
          <w:p w14:paraId="35D0BE1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E1D" w14:textId="77777777" w:rsidR="00D42204" w:rsidRDefault="004E439D">
            <w:pPr>
              <w:jc w:val="right"/>
              <w:textAlignment w:val="bottom"/>
            </w:pPr>
            <w:r>
              <w:rPr>
                <w:rFonts w:ascii="Times New Roman" w:eastAsia="宋体" w:hAnsi="Times New Roman"/>
                <w:color w:val="000000"/>
                <w:sz w:val="16"/>
                <w:szCs w:val="16"/>
              </w:rPr>
              <w:t>5,588 </w:t>
            </w:r>
          </w:p>
        </w:tc>
        <w:tc>
          <w:tcPr>
            <w:tcW w:w="0" w:type="auto"/>
            <w:shd w:val="clear" w:color="auto" w:fill="FFFFFF"/>
            <w:tcMar>
              <w:top w:w="40" w:type="dxa"/>
              <w:left w:w="0" w:type="dxa"/>
              <w:bottom w:w="40" w:type="dxa"/>
              <w:right w:w="20" w:type="dxa"/>
            </w:tcMar>
            <w:vAlign w:val="bottom"/>
          </w:tcPr>
          <w:p w14:paraId="35D0BE1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E1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E20" w14:textId="77777777" w:rsidR="00D42204" w:rsidRDefault="004E439D">
            <w:pPr>
              <w:jc w:val="right"/>
              <w:textAlignment w:val="bottom"/>
            </w:pPr>
            <w:r>
              <w:rPr>
                <w:rFonts w:ascii="Times New Roman" w:eastAsia="宋体" w:hAnsi="Times New Roman"/>
                <w:color w:val="000000"/>
                <w:sz w:val="16"/>
                <w:szCs w:val="16"/>
              </w:rPr>
              <w:t>3,622 </w:t>
            </w:r>
          </w:p>
        </w:tc>
        <w:tc>
          <w:tcPr>
            <w:tcW w:w="0" w:type="auto"/>
            <w:shd w:val="clear" w:color="auto" w:fill="FFFFFF"/>
            <w:tcMar>
              <w:top w:w="40" w:type="dxa"/>
              <w:left w:w="0" w:type="dxa"/>
              <w:bottom w:w="40" w:type="dxa"/>
              <w:right w:w="20" w:type="dxa"/>
            </w:tcMar>
            <w:vAlign w:val="bottom"/>
          </w:tcPr>
          <w:p w14:paraId="35D0BE2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E2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E23" w14:textId="77777777" w:rsidR="00D42204" w:rsidRDefault="004E439D">
            <w:pPr>
              <w:jc w:val="right"/>
              <w:textAlignment w:val="bottom"/>
            </w:pPr>
            <w:r>
              <w:rPr>
                <w:rFonts w:ascii="Times New Roman" w:eastAsia="宋体" w:hAnsi="Times New Roman"/>
                <w:color w:val="000000"/>
                <w:sz w:val="16"/>
                <w:szCs w:val="16"/>
              </w:rPr>
              <w:t>3,331 </w:t>
            </w:r>
          </w:p>
        </w:tc>
        <w:tc>
          <w:tcPr>
            <w:tcW w:w="0" w:type="auto"/>
            <w:shd w:val="clear" w:color="auto" w:fill="FFFFFF"/>
            <w:tcMar>
              <w:top w:w="40" w:type="dxa"/>
              <w:left w:w="0" w:type="dxa"/>
              <w:bottom w:w="40" w:type="dxa"/>
              <w:right w:w="20" w:type="dxa"/>
            </w:tcMar>
            <w:vAlign w:val="bottom"/>
          </w:tcPr>
          <w:p w14:paraId="35D0BE24" w14:textId="77777777" w:rsidR="00D42204" w:rsidRDefault="00D42204">
            <w:pPr>
              <w:jc w:val="right"/>
              <w:rPr>
                <w:rFonts w:ascii="宋体"/>
              </w:rPr>
            </w:pPr>
          </w:p>
        </w:tc>
      </w:tr>
      <w:tr w:rsidR="00D42204" w14:paraId="35D0BE33" w14:textId="77777777">
        <w:trPr>
          <w:jc w:val="center"/>
        </w:trPr>
        <w:tc>
          <w:tcPr>
            <w:tcW w:w="0" w:type="auto"/>
            <w:gridSpan w:val="3"/>
            <w:shd w:val="clear" w:color="auto" w:fill="CCEEFF"/>
            <w:tcMar>
              <w:top w:w="40" w:type="dxa"/>
              <w:left w:w="20" w:type="dxa"/>
              <w:bottom w:w="40" w:type="dxa"/>
              <w:right w:w="20" w:type="dxa"/>
            </w:tcMar>
            <w:vAlign w:val="bottom"/>
          </w:tcPr>
          <w:p w14:paraId="35D0BE26" w14:textId="77777777" w:rsidR="00D42204" w:rsidRDefault="004E439D">
            <w:pPr>
              <w:textAlignment w:val="bottom"/>
            </w:pPr>
            <w:r>
              <w:rPr>
                <w:rFonts w:ascii="Times New Roman" w:eastAsia="宋体" w:hAnsi="Times New Roman"/>
                <w:b/>
                <w:bCs/>
                <w:color w:val="000000"/>
                <w:sz w:val="16"/>
                <w:szCs w:val="16"/>
              </w:rPr>
              <w:t>Total</w:t>
            </w:r>
          </w:p>
        </w:tc>
        <w:tc>
          <w:tcPr>
            <w:tcW w:w="0" w:type="auto"/>
            <w:gridSpan w:val="3"/>
            <w:shd w:val="clear" w:color="auto" w:fill="CCEEFF"/>
            <w:tcMar>
              <w:top w:w="0" w:type="dxa"/>
              <w:left w:w="20" w:type="dxa"/>
              <w:bottom w:w="0" w:type="dxa"/>
              <w:right w:w="20" w:type="dxa"/>
            </w:tcMar>
            <w:vAlign w:val="bottom"/>
          </w:tcPr>
          <w:p w14:paraId="35D0BE27"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D0BE28"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D0BE29" w14:textId="77777777" w:rsidR="00D42204" w:rsidRDefault="004E439D">
            <w:pPr>
              <w:jc w:val="right"/>
              <w:textAlignment w:val="bottom"/>
            </w:pPr>
            <w:r>
              <w:rPr>
                <w:rFonts w:ascii="Times New Roman" w:eastAsia="宋体" w:hAnsi="Times New Roman"/>
                <w:color w:val="000000"/>
                <w:sz w:val="16"/>
                <w:szCs w:val="16"/>
              </w:rPr>
              <w:t>393,247 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D0BE2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E2B"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D0BE2C"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D0BE2D" w14:textId="77777777" w:rsidR="00D42204" w:rsidRDefault="004E439D">
            <w:pPr>
              <w:jc w:val="right"/>
              <w:textAlignment w:val="bottom"/>
            </w:pPr>
            <w:r>
              <w:rPr>
                <w:rFonts w:ascii="Times New Roman" w:eastAsia="宋体" w:hAnsi="Times New Roman"/>
                <w:color w:val="000000"/>
                <w:sz w:val="16"/>
                <w:szCs w:val="16"/>
              </w:rPr>
              <w:t>369,963 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D0BE2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E2F" w14:textId="77777777" w:rsidR="00D42204" w:rsidRDefault="00D42204">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35D0BE30"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35D0BE31" w14:textId="77777777" w:rsidR="00D42204" w:rsidRDefault="004E439D">
            <w:pPr>
              <w:jc w:val="right"/>
              <w:textAlignment w:val="bottom"/>
            </w:pPr>
            <w:r>
              <w:rPr>
                <w:rFonts w:ascii="Times New Roman" w:eastAsia="宋体" w:hAnsi="Times New Roman"/>
                <w:color w:val="000000"/>
                <w:sz w:val="16"/>
                <w:szCs w:val="16"/>
              </w:rPr>
              <w:t>341,004 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35D0BE32" w14:textId="77777777" w:rsidR="00D42204" w:rsidRDefault="00D42204">
            <w:pPr>
              <w:jc w:val="right"/>
              <w:rPr>
                <w:rFonts w:ascii="宋体"/>
              </w:rPr>
            </w:pPr>
          </w:p>
        </w:tc>
      </w:tr>
    </w:tbl>
    <w:p w14:paraId="35D0BE34" w14:textId="77777777" w:rsidR="00D42204" w:rsidRDefault="004E439D">
      <w:pPr>
        <w:spacing w:before="40"/>
      </w:pPr>
      <w:r>
        <w:rPr>
          <w:rFonts w:ascii="Times New Roman" w:eastAsia="宋体" w:hAnsi="Times New Roman"/>
          <w:color w:val="000000"/>
          <w:sz w:val="20"/>
          <w:szCs w:val="20"/>
        </w:rPr>
        <w:t xml:space="preserve">Of Walmart U.S.'s total net sales, approximately $47.8 billion, $43.0 billion and $24.1 billion related to eCommerce for fiscal 2022, 2021 and 2020, respectively.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394"/>
        <w:gridCol w:w="37"/>
        <w:gridCol w:w="36"/>
        <w:gridCol w:w="36"/>
        <w:gridCol w:w="36"/>
        <w:gridCol w:w="100"/>
        <w:gridCol w:w="698"/>
        <w:gridCol w:w="36"/>
        <w:gridCol w:w="36"/>
        <w:gridCol w:w="36"/>
        <w:gridCol w:w="36"/>
        <w:gridCol w:w="100"/>
        <w:gridCol w:w="698"/>
        <w:gridCol w:w="36"/>
        <w:gridCol w:w="36"/>
        <w:gridCol w:w="36"/>
        <w:gridCol w:w="36"/>
        <w:gridCol w:w="100"/>
        <w:gridCol w:w="739"/>
        <w:gridCol w:w="36"/>
      </w:tblGrid>
      <w:tr w:rsidR="00D42204" w14:paraId="35D0BE4A" w14:textId="77777777">
        <w:trPr>
          <w:jc w:val="center"/>
        </w:trPr>
        <w:tc>
          <w:tcPr>
            <w:tcW w:w="50" w:type="pct"/>
            <w:shd w:val="clear" w:color="auto" w:fill="auto"/>
            <w:vAlign w:val="bottom"/>
          </w:tcPr>
          <w:p w14:paraId="35D0BE35" w14:textId="77777777" w:rsidR="00D42204" w:rsidRDefault="00D42204">
            <w:pPr>
              <w:rPr>
                <w:rFonts w:ascii="宋体"/>
              </w:rPr>
            </w:pPr>
          </w:p>
        </w:tc>
        <w:tc>
          <w:tcPr>
            <w:tcW w:w="3263" w:type="pct"/>
            <w:shd w:val="clear" w:color="auto" w:fill="auto"/>
            <w:vAlign w:val="bottom"/>
          </w:tcPr>
          <w:p w14:paraId="35D0BE36" w14:textId="77777777" w:rsidR="00D42204" w:rsidRDefault="00D42204">
            <w:pPr>
              <w:rPr>
                <w:rFonts w:ascii="宋体"/>
              </w:rPr>
            </w:pPr>
          </w:p>
        </w:tc>
        <w:tc>
          <w:tcPr>
            <w:tcW w:w="5" w:type="pct"/>
            <w:shd w:val="clear" w:color="auto" w:fill="auto"/>
            <w:vAlign w:val="bottom"/>
          </w:tcPr>
          <w:p w14:paraId="35D0BE37" w14:textId="77777777" w:rsidR="00D42204" w:rsidRDefault="00D42204">
            <w:pPr>
              <w:rPr>
                <w:rFonts w:ascii="宋体"/>
              </w:rPr>
            </w:pPr>
          </w:p>
        </w:tc>
        <w:tc>
          <w:tcPr>
            <w:tcW w:w="5" w:type="pct"/>
            <w:shd w:val="clear" w:color="auto" w:fill="auto"/>
            <w:vAlign w:val="bottom"/>
          </w:tcPr>
          <w:p w14:paraId="35D0BE38" w14:textId="77777777" w:rsidR="00D42204" w:rsidRDefault="00D42204">
            <w:pPr>
              <w:rPr>
                <w:rFonts w:ascii="宋体"/>
              </w:rPr>
            </w:pPr>
          </w:p>
        </w:tc>
        <w:tc>
          <w:tcPr>
            <w:tcW w:w="26" w:type="pct"/>
            <w:shd w:val="clear" w:color="auto" w:fill="auto"/>
            <w:vAlign w:val="bottom"/>
          </w:tcPr>
          <w:p w14:paraId="35D0BE39" w14:textId="77777777" w:rsidR="00D42204" w:rsidRDefault="00D42204">
            <w:pPr>
              <w:rPr>
                <w:rFonts w:ascii="宋体"/>
              </w:rPr>
            </w:pPr>
          </w:p>
        </w:tc>
        <w:tc>
          <w:tcPr>
            <w:tcW w:w="5" w:type="pct"/>
            <w:shd w:val="clear" w:color="auto" w:fill="auto"/>
            <w:vAlign w:val="bottom"/>
          </w:tcPr>
          <w:p w14:paraId="35D0BE3A" w14:textId="77777777" w:rsidR="00D42204" w:rsidRDefault="00D42204">
            <w:pPr>
              <w:rPr>
                <w:rFonts w:ascii="宋体"/>
              </w:rPr>
            </w:pPr>
          </w:p>
        </w:tc>
        <w:tc>
          <w:tcPr>
            <w:tcW w:w="50" w:type="pct"/>
            <w:shd w:val="clear" w:color="auto" w:fill="auto"/>
            <w:vAlign w:val="bottom"/>
          </w:tcPr>
          <w:p w14:paraId="35D0BE3B" w14:textId="77777777" w:rsidR="00D42204" w:rsidRDefault="00D42204">
            <w:pPr>
              <w:rPr>
                <w:rFonts w:ascii="宋体"/>
              </w:rPr>
            </w:pPr>
          </w:p>
        </w:tc>
        <w:tc>
          <w:tcPr>
            <w:tcW w:w="471" w:type="pct"/>
            <w:shd w:val="clear" w:color="auto" w:fill="auto"/>
            <w:vAlign w:val="bottom"/>
          </w:tcPr>
          <w:p w14:paraId="35D0BE3C" w14:textId="77777777" w:rsidR="00D42204" w:rsidRDefault="00D42204">
            <w:pPr>
              <w:rPr>
                <w:rFonts w:ascii="宋体"/>
              </w:rPr>
            </w:pPr>
          </w:p>
        </w:tc>
        <w:tc>
          <w:tcPr>
            <w:tcW w:w="5" w:type="pct"/>
            <w:shd w:val="clear" w:color="auto" w:fill="auto"/>
            <w:vAlign w:val="bottom"/>
          </w:tcPr>
          <w:p w14:paraId="35D0BE3D" w14:textId="77777777" w:rsidR="00D42204" w:rsidRDefault="00D42204">
            <w:pPr>
              <w:rPr>
                <w:rFonts w:ascii="宋体"/>
              </w:rPr>
            </w:pPr>
          </w:p>
        </w:tc>
        <w:tc>
          <w:tcPr>
            <w:tcW w:w="5" w:type="pct"/>
            <w:shd w:val="clear" w:color="auto" w:fill="auto"/>
            <w:vAlign w:val="bottom"/>
          </w:tcPr>
          <w:p w14:paraId="35D0BE3E" w14:textId="77777777" w:rsidR="00D42204" w:rsidRDefault="00D42204">
            <w:pPr>
              <w:rPr>
                <w:rFonts w:ascii="宋体"/>
              </w:rPr>
            </w:pPr>
          </w:p>
        </w:tc>
        <w:tc>
          <w:tcPr>
            <w:tcW w:w="26" w:type="pct"/>
            <w:shd w:val="clear" w:color="auto" w:fill="auto"/>
            <w:vAlign w:val="bottom"/>
          </w:tcPr>
          <w:p w14:paraId="35D0BE3F" w14:textId="77777777" w:rsidR="00D42204" w:rsidRDefault="00D42204">
            <w:pPr>
              <w:rPr>
                <w:rFonts w:ascii="宋体"/>
              </w:rPr>
            </w:pPr>
          </w:p>
        </w:tc>
        <w:tc>
          <w:tcPr>
            <w:tcW w:w="5" w:type="pct"/>
            <w:shd w:val="clear" w:color="auto" w:fill="auto"/>
            <w:vAlign w:val="bottom"/>
          </w:tcPr>
          <w:p w14:paraId="35D0BE40" w14:textId="77777777" w:rsidR="00D42204" w:rsidRDefault="00D42204">
            <w:pPr>
              <w:rPr>
                <w:rFonts w:ascii="宋体"/>
              </w:rPr>
            </w:pPr>
          </w:p>
        </w:tc>
        <w:tc>
          <w:tcPr>
            <w:tcW w:w="50" w:type="pct"/>
            <w:shd w:val="clear" w:color="auto" w:fill="auto"/>
            <w:vAlign w:val="bottom"/>
          </w:tcPr>
          <w:p w14:paraId="35D0BE41" w14:textId="77777777" w:rsidR="00D42204" w:rsidRDefault="00D42204">
            <w:pPr>
              <w:rPr>
                <w:rFonts w:ascii="宋体"/>
              </w:rPr>
            </w:pPr>
          </w:p>
        </w:tc>
        <w:tc>
          <w:tcPr>
            <w:tcW w:w="471" w:type="pct"/>
            <w:shd w:val="clear" w:color="auto" w:fill="auto"/>
            <w:vAlign w:val="bottom"/>
          </w:tcPr>
          <w:p w14:paraId="35D0BE42" w14:textId="77777777" w:rsidR="00D42204" w:rsidRDefault="00D42204">
            <w:pPr>
              <w:rPr>
                <w:rFonts w:ascii="宋体"/>
              </w:rPr>
            </w:pPr>
          </w:p>
        </w:tc>
        <w:tc>
          <w:tcPr>
            <w:tcW w:w="5" w:type="pct"/>
            <w:shd w:val="clear" w:color="auto" w:fill="auto"/>
            <w:vAlign w:val="bottom"/>
          </w:tcPr>
          <w:p w14:paraId="35D0BE43" w14:textId="77777777" w:rsidR="00D42204" w:rsidRDefault="00D42204">
            <w:pPr>
              <w:rPr>
                <w:rFonts w:ascii="宋体"/>
              </w:rPr>
            </w:pPr>
          </w:p>
        </w:tc>
        <w:tc>
          <w:tcPr>
            <w:tcW w:w="5" w:type="pct"/>
            <w:shd w:val="clear" w:color="auto" w:fill="auto"/>
            <w:vAlign w:val="bottom"/>
          </w:tcPr>
          <w:p w14:paraId="35D0BE44" w14:textId="77777777" w:rsidR="00D42204" w:rsidRDefault="00D42204">
            <w:pPr>
              <w:rPr>
                <w:rFonts w:ascii="宋体"/>
              </w:rPr>
            </w:pPr>
          </w:p>
        </w:tc>
        <w:tc>
          <w:tcPr>
            <w:tcW w:w="19" w:type="pct"/>
            <w:shd w:val="clear" w:color="auto" w:fill="auto"/>
            <w:vAlign w:val="bottom"/>
          </w:tcPr>
          <w:p w14:paraId="35D0BE45" w14:textId="77777777" w:rsidR="00D42204" w:rsidRDefault="00D42204">
            <w:pPr>
              <w:rPr>
                <w:rFonts w:ascii="宋体"/>
              </w:rPr>
            </w:pPr>
          </w:p>
        </w:tc>
        <w:tc>
          <w:tcPr>
            <w:tcW w:w="5" w:type="pct"/>
            <w:shd w:val="clear" w:color="auto" w:fill="auto"/>
            <w:vAlign w:val="bottom"/>
          </w:tcPr>
          <w:p w14:paraId="35D0BE46" w14:textId="77777777" w:rsidR="00D42204" w:rsidRDefault="00D42204">
            <w:pPr>
              <w:rPr>
                <w:rFonts w:ascii="宋体"/>
              </w:rPr>
            </w:pPr>
          </w:p>
        </w:tc>
        <w:tc>
          <w:tcPr>
            <w:tcW w:w="50" w:type="pct"/>
            <w:shd w:val="clear" w:color="auto" w:fill="auto"/>
            <w:vAlign w:val="bottom"/>
          </w:tcPr>
          <w:p w14:paraId="35D0BE47" w14:textId="77777777" w:rsidR="00D42204" w:rsidRDefault="00D42204">
            <w:pPr>
              <w:rPr>
                <w:rFonts w:ascii="宋体"/>
              </w:rPr>
            </w:pPr>
          </w:p>
        </w:tc>
        <w:tc>
          <w:tcPr>
            <w:tcW w:w="471" w:type="pct"/>
            <w:shd w:val="clear" w:color="auto" w:fill="auto"/>
            <w:vAlign w:val="bottom"/>
          </w:tcPr>
          <w:p w14:paraId="35D0BE48" w14:textId="77777777" w:rsidR="00D42204" w:rsidRDefault="00D42204">
            <w:pPr>
              <w:rPr>
                <w:rFonts w:ascii="宋体"/>
              </w:rPr>
            </w:pPr>
          </w:p>
        </w:tc>
        <w:tc>
          <w:tcPr>
            <w:tcW w:w="5" w:type="pct"/>
            <w:shd w:val="clear" w:color="auto" w:fill="auto"/>
            <w:vAlign w:val="bottom"/>
          </w:tcPr>
          <w:p w14:paraId="35D0BE49" w14:textId="77777777" w:rsidR="00D42204" w:rsidRDefault="00D42204">
            <w:pPr>
              <w:rPr>
                <w:rFonts w:ascii="宋体"/>
              </w:rPr>
            </w:pPr>
          </w:p>
        </w:tc>
      </w:tr>
      <w:tr w:rsidR="00D42204" w14:paraId="35D0BE4E" w14:textId="77777777">
        <w:trPr>
          <w:jc w:val="center"/>
        </w:trPr>
        <w:tc>
          <w:tcPr>
            <w:tcW w:w="0" w:type="auto"/>
            <w:gridSpan w:val="3"/>
            <w:shd w:val="clear" w:color="auto" w:fill="auto"/>
            <w:tcMar>
              <w:top w:w="40" w:type="dxa"/>
              <w:left w:w="20" w:type="dxa"/>
              <w:bottom w:w="40" w:type="dxa"/>
              <w:right w:w="20" w:type="dxa"/>
            </w:tcMar>
            <w:vAlign w:val="bottom"/>
          </w:tcPr>
          <w:p w14:paraId="35D0BE4B" w14:textId="77777777" w:rsidR="00D42204" w:rsidRDefault="004E439D">
            <w:pPr>
              <w:textAlignment w:val="bottom"/>
            </w:pPr>
            <w:r>
              <w:rPr>
                <w:rFonts w:ascii="Times New Roman" w:eastAsia="宋体" w:hAnsi="Times New Roman"/>
                <w:i/>
                <w:iCs/>
                <w:color w:val="000000"/>
                <w:sz w:val="16"/>
                <w:szCs w:val="16"/>
              </w:rPr>
              <w:t>(Amounts in millions)</w:t>
            </w:r>
          </w:p>
        </w:tc>
        <w:tc>
          <w:tcPr>
            <w:tcW w:w="0" w:type="auto"/>
            <w:gridSpan w:val="3"/>
            <w:shd w:val="clear" w:color="auto" w:fill="auto"/>
            <w:tcMar>
              <w:top w:w="0" w:type="dxa"/>
              <w:left w:w="20" w:type="dxa"/>
              <w:bottom w:w="0" w:type="dxa"/>
              <w:right w:w="20" w:type="dxa"/>
            </w:tcMar>
            <w:vAlign w:val="bottom"/>
          </w:tcPr>
          <w:p w14:paraId="35D0BE4C"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BE4D" w14:textId="77777777" w:rsidR="00D42204" w:rsidRDefault="004E439D">
            <w:pPr>
              <w:jc w:val="center"/>
              <w:textAlignment w:val="bottom"/>
            </w:pPr>
            <w:r>
              <w:rPr>
                <w:rFonts w:ascii="Times New Roman" w:eastAsia="宋体" w:hAnsi="Times New Roman"/>
                <w:b/>
                <w:bCs/>
                <w:color w:val="000000"/>
                <w:sz w:val="16"/>
                <w:szCs w:val="16"/>
              </w:rPr>
              <w:t>Fiscal Years Ended January 31,</w:t>
            </w:r>
          </w:p>
        </w:tc>
      </w:tr>
      <w:tr w:rsidR="00D42204" w14:paraId="35D0BE56" w14:textId="77777777">
        <w:trPr>
          <w:jc w:val="center"/>
        </w:trPr>
        <w:tc>
          <w:tcPr>
            <w:tcW w:w="0" w:type="auto"/>
            <w:gridSpan w:val="3"/>
            <w:shd w:val="clear" w:color="auto" w:fill="auto"/>
            <w:tcMar>
              <w:top w:w="40" w:type="dxa"/>
              <w:left w:w="20" w:type="dxa"/>
              <w:bottom w:w="40" w:type="dxa"/>
              <w:right w:w="20" w:type="dxa"/>
            </w:tcMar>
            <w:vAlign w:val="bottom"/>
          </w:tcPr>
          <w:p w14:paraId="35D0BE4F" w14:textId="77777777" w:rsidR="00D42204" w:rsidRDefault="004E439D">
            <w:pPr>
              <w:textAlignment w:val="bottom"/>
            </w:pPr>
            <w:r>
              <w:rPr>
                <w:rFonts w:ascii="Times New Roman" w:eastAsia="宋体" w:hAnsi="Times New Roman"/>
                <w:b/>
                <w:bCs/>
                <w:color w:val="000000"/>
                <w:sz w:val="16"/>
                <w:szCs w:val="16"/>
              </w:rPr>
              <w:t>Walmart International net sales by market</w:t>
            </w:r>
          </w:p>
        </w:tc>
        <w:tc>
          <w:tcPr>
            <w:tcW w:w="0" w:type="auto"/>
            <w:gridSpan w:val="3"/>
            <w:shd w:val="clear" w:color="auto" w:fill="auto"/>
            <w:tcMar>
              <w:top w:w="0" w:type="dxa"/>
              <w:left w:w="20" w:type="dxa"/>
              <w:bottom w:w="0" w:type="dxa"/>
              <w:right w:w="20" w:type="dxa"/>
            </w:tcMar>
            <w:vAlign w:val="bottom"/>
          </w:tcPr>
          <w:p w14:paraId="35D0BE50"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E51"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E52"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E53"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E54"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E55"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BE64" w14:textId="77777777">
        <w:trPr>
          <w:jc w:val="center"/>
        </w:trPr>
        <w:tc>
          <w:tcPr>
            <w:tcW w:w="0" w:type="auto"/>
            <w:gridSpan w:val="3"/>
            <w:shd w:val="clear" w:color="auto" w:fill="CCEEFF"/>
            <w:tcMar>
              <w:top w:w="40" w:type="dxa"/>
              <w:left w:w="380" w:type="dxa"/>
              <w:bottom w:w="40" w:type="dxa"/>
              <w:right w:w="20" w:type="dxa"/>
            </w:tcMar>
            <w:vAlign w:val="center"/>
          </w:tcPr>
          <w:p w14:paraId="35D0BE57" w14:textId="77777777" w:rsidR="00D42204" w:rsidRDefault="004E439D">
            <w:pPr>
              <w:textAlignment w:val="center"/>
            </w:pPr>
            <w:r>
              <w:rPr>
                <w:rFonts w:ascii="Times New Roman" w:eastAsia="宋体" w:hAnsi="Times New Roman"/>
                <w:color w:val="000000"/>
                <w:sz w:val="16"/>
                <w:szCs w:val="16"/>
              </w:rPr>
              <w:t>Mexico and Central America</w:t>
            </w:r>
          </w:p>
        </w:tc>
        <w:tc>
          <w:tcPr>
            <w:tcW w:w="0" w:type="auto"/>
            <w:gridSpan w:val="3"/>
            <w:shd w:val="clear" w:color="auto" w:fill="CCEEFF"/>
            <w:tcMar>
              <w:top w:w="0" w:type="dxa"/>
              <w:left w:w="20" w:type="dxa"/>
              <w:bottom w:w="0" w:type="dxa"/>
              <w:right w:w="20" w:type="dxa"/>
            </w:tcMar>
            <w:vAlign w:val="bottom"/>
          </w:tcPr>
          <w:p w14:paraId="35D0BE58"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D0BE59"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D0BE5A" w14:textId="77777777" w:rsidR="00D42204" w:rsidRDefault="004E439D">
            <w:pPr>
              <w:jc w:val="right"/>
              <w:textAlignment w:val="bottom"/>
            </w:pPr>
            <w:r>
              <w:rPr>
                <w:rFonts w:ascii="Times New Roman" w:eastAsia="宋体" w:hAnsi="Times New Roman"/>
                <w:color w:val="000000"/>
                <w:sz w:val="16"/>
                <w:szCs w:val="16"/>
              </w:rPr>
              <w:t>35,964 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E5B"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E5C"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D0BE5D"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D0BE5E" w14:textId="77777777" w:rsidR="00D42204" w:rsidRDefault="004E439D">
            <w:pPr>
              <w:jc w:val="right"/>
              <w:textAlignment w:val="bottom"/>
            </w:pPr>
            <w:r>
              <w:rPr>
                <w:rFonts w:ascii="Times New Roman" w:eastAsia="宋体" w:hAnsi="Times New Roman"/>
                <w:color w:val="000000"/>
                <w:sz w:val="16"/>
                <w:szCs w:val="16"/>
              </w:rPr>
              <w:t>32,642 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E5F"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E60"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D0BE61"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D0BE62" w14:textId="77777777" w:rsidR="00D42204" w:rsidRDefault="004E439D">
            <w:pPr>
              <w:jc w:val="right"/>
              <w:textAlignment w:val="bottom"/>
            </w:pPr>
            <w:r>
              <w:rPr>
                <w:rFonts w:ascii="Times New Roman" w:eastAsia="宋体" w:hAnsi="Times New Roman"/>
                <w:color w:val="000000"/>
                <w:sz w:val="16"/>
                <w:szCs w:val="16"/>
              </w:rPr>
              <w:t>33,350 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E63" w14:textId="77777777" w:rsidR="00D42204" w:rsidRDefault="00D42204">
            <w:pPr>
              <w:jc w:val="right"/>
              <w:rPr>
                <w:rFonts w:ascii="宋体"/>
              </w:rPr>
            </w:pPr>
          </w:p>
        </w:tc>
      </w:tr>
      <w:tr w:rsidR="00D42204" w14:paraId="35D0BE6F" w14:textId="77777777">
        <w:trPr>
          <w:jc w:val="center"/>
        </w:trPr>
        <w:tc>
          <w:tcPr>
            <w:tcW w:w="0" w:type="auto"/>
            <w:gridSpan w:val="3"/>
            <w:shd w:val="clear" w:color="auto" w:fill="FFFFFF"/>
            <w:tcMar>
              <w:top w:w="40" w:type="dxa"/>
              <w:left w:w="380" w:type="dxa"/>
              <w:bottom w:w="40" w:type="dxa"/>
              <w:right w:w="20" w:type="dxa"/>
            </w:tcMar>
            <w:vAlign w:val="bottom"/>
          </w:tcPr>
          <w:p w14:paraId="35D0BE65" w14:textId="77777777" w:rsidR="00D42204" w:rsidRDefault="004E439D">
            <w:pPr>
              <w:textAlignment w:val="bottom"/>
            </w:pPr>
            <w:r>
              <w:rPr>
                <w:rFonts w:ascii="Times New Roman" w:eastAsia="宋体" w:hAnsi="Times New Roman"/>
                <w:color w:val="000000"/>
                <w:sz w:val="16"/>
                <w:szCs w:val="16"/>
              </w:rPr>
              <w:t>Canada</w:t>
            </w:r>
          </w:p>
        </w:tc>
        <w:tc>
          <w:tcPr>
            <w:tcW w:w="0" w:type="auto"/>
            <w:gridSpan w:val="3"/>
            <w:shd w:val="clear" w:color="auto" w:fill="FFFFFF"/>
            <w:tcMar>
              <w:top w:w="0" w:type="dxa"/>
              <w:left w:w="20" w:type="dxa"/>
              <w:bottom w:w="0" w:type="dxa"/>
              <w:right w:w="20" w:type="dxa"/>
            </w:tcMar>
            <w:vAlign w:val="bottom"/>
          </w:tcPr>
          <w:p w14:paraId="35D0BE66"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E67" w14:textId="77777777" w:rsidR="00D42204" w:rsidRDefault="004E439D">
            <w:pPr>
              <w:jc w:val="right"/>
              <w:textAlignment w:val="bottom"/>
            </w:pPr>
            <w:r>
              <w:rPr>
                <w:rFonts w:ascii="Times New Roman" w:eastAsia="宋体" w:hAnsi="Times New Roman"/>
                <w:color w:val="000000"/>
                <w:sz w:val="16"/>
                <w:szCs w:val="16"/>
              </w:rPr>
              <w:t>21,773 </w:t>
            </w:r>
          </w:p>
        </w:tc>
        <w:tc>
          <w:tcPr>
            <w:tcW w:w="0" w:type="auto"/>
            <w:shd w:val="clear" w:color="auto" w:fill="FFFFFF"/>
            <w:tcMar>
              <w:top w:w="40" w:type="dxa"/>
              <w:left w:w="0" w:type="dxa"/>
              <w:bottom w:w="40" w:type="dxa"/>
              <w:right w:w="20" w:type="dxa"/>
            </w:tcMar>
            <w:vAlign w:val="bottom"/>
          </w:tcPr>
          <w:p w14:paraId="35D0BE68"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E69"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E6A" w14:textId="77777777" w:rsidR="00D42204" w:rsidRDefault="004E439D">
            <w:pPr>
              <w:jc w:val="right"/>
              <w:textAlignment w:val="bottom"/>
            </w:pPr>
            <w:r>
              <w:rPr>
                <w:rFonts w:ascii="Times New Roman" w:eastAsia="宋体" w:hAnsi="Times New Roman"/>
                <w:color w:val="000000"/>
                <w:sz w:val="16"/>
                <w:szCs w:val="16"/>
              </w:rPr>
              <w:t>19,991 </w:t>
            </w:r>
          </w:p>
        </w:tc>
        <w:tc>
          <w:tcPr>
            <w:tcW w:w="0" w:type="auto"/>
            <w:shd w:val="clear" w:color="auto" w:fill="FFFFFF"/>
            <w:tcMar>
              <w:top w:w="40" w:type="dxa"/>
              <w:left w:w="0" w:type="dxa"/>
              <w:bottom w:w="40" w:type="dxa"/>
              <w:right w:w="20" w:type="dxa"/>
            </w:tcMar>
            <w:vAlign w:val="bottom"/>
          </w:tcPr>
          <w:p w14:paraId="35D0BE6B"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E6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E6D" w14:textId="77777777" w:rsidR="00D42204" w:rsidRDefault="004E439D">
            <w:pPr>
              <w:jc w:val="right"/>
              <w:textAlignment w:val="bottom"/>
            </w:pPr>
            <w:r>
              <w:rPr>
                <w:rFonts w:ascii="Times New Roman" w:eastAsia="宋体" w:hAnsi="Times New Roman"/>
                <w:color w:val="000000"/>
                <w:sz w:val="16"/>
                <w:szCs w:val="16"/>
              </w:rPr>
              <w:t>18,420 </w:t>
            </w:r>
          </w:p>
        </w:tc>
        <w:tc>
          <w:tcPr>
            <w:tcW w:w="0" w:type="auto"/>
            <w:shd w:val="clear" w:color="auto" w:fill="FFFFFF"/>
            <w:tcMar>
              <w:top w:w="40" w:type="dxa"/>
              <w:left w:w="0" w:type="dxa"/>
              <w:bottom w:w="40" w:type="dxa"/>
              <w:right w:w="20" w:type="dxa"/>
            </w:tcMar>
            <w:vAlign w:val="bottom"/>
          </w:tcPr>
          <w:p w14:paraId="35D0BE6E" w14:textId="77777777" w:rsidR="00D42204" w:rsidRDefault="00D42204">
            <w:pPr>
              <w:jc w:val="right"/>
              <w:rPr>
                <w:rFonts w:ascii="宋体"/>
              </w:rPr>
            </w:pPr>
          </w:p>
        </w:tc>
      </w:tr>
      <w:tr w:rsidR="00D42204" w14:paraId="35D0BE7A" w14:textId="77777777">
        <w:trPr>
          <w:jc w:val="center"/>
        </w:trPr>
        <w:tc>
          <w:tcPr>
            <w:tcW w:w="0" w:type="auto"/>
            <w:gridSpan w:val="3"/>
            <w:shd w:val="clear" w:color="auto" w:fill="CCEEFF"/>
            <w:tcMar>
              <w:top w:w="40" w:type="dxa"/>
              <w:left w:w="380" w:type="dxa"/>
              <w:bottom w:w="40" w:type="dxa"/>
              <w:right w:w="20" w:type="dxa"/>
            </w:tcMar>
            <w:vAlign w:val="bottom"/>
          </w:tcPr>
          <w:p w14:paraId="35D0BE70" w14:textId="77777777" w:rsidR="00D42204" w:rsidRDefault="004E439D">
            <w:pPr>
              <w:textAlignment w:val="bottom"/>
            </w:pPr>
            <w:r>
              <w:rPr>
                <w:rFonts w:ascii="Times New Roman" w:eastAsia="宋体" w:hAnsi="Times New Roman"/>
                <w:color w:val="000000"/>
                <w:sz w:val="16"/>
                <w:szCs w:val="16"/>
              </w:rPr>
              <w:t>China</w:t>
            </w:r>
          </w:p>
        </w:tc>
        <w:tc>
          <w:tcPr>
            <w:tcW w:w="0" w:type="auto"/>
            <w:gridSpan w:val="3"/>
            <w:shd w:val="clear" w:color="auto" w:fill="CCEEFF"/>
            <w:tcMar>
              <w:top w:w="0" w:type="dxa"/>
              <w:left w:w="20" w:type="dxa"/>
              <w:bottom w:w="0" w:type="dxa"/>
              <w:right w:w="20" w:type="dxa"/>
            </w:tcMar>
            <w:vAlign w:val="bottom"/>
          </w:tcPr>
          <w:p w14:paraId="35D0BE71"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E72" w14:textId="77777777" w:rsidR="00D42204" w:rsidRDefault="004E439D">
            <w:pPr>
              <w:jc w:val="right"/>
              <w:textAlignment w:val="bottom"/>
            </w:pPr>
            <w:r>
              <w:rPr>
                <w:rFonts w:ascii="Times New Roman" w:eastAsia="宋体" w:hAnsi="Times New Roman"/>
                <w:color w:val="000000"/>
                <w:sz w:val="16"/>
                <w:szCs w:val="16"/>
              </w:rPr>
              <w:t>13,852 </w:t>
            </w:r>
          </w:p>
        </w:tc>
        <w:tc>
          <w:tcPr>
            <w:tcW w:w="0" w:type="auto"/>
            <w:shd w:val="clear" w:color="auto" w:fill="CCEEFF"/>
            <w:tcMar>
              <w:top w:w="40" w:type="dxa"/>
              <w:left w:w="0" w:type="dxa"/>
              <w:bottom w:w="40" w:type="dxa"/>
              <w:right w:w="20" w:type="dxa"/>
            </w:tcMar>
            <w:vAlign w:val="bottom"/>
          </w:tcPr>
          <w:p w14:paraId="35D0BE73"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E74"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E75" w14:textId="77777777" w:rsidR="00D42204" w:rsidRDefault="004E439D">
            <w:pPr>
              <w:jc w:val="right"/>
              <w:textAlignment w:val="bottom"/>
            </w:pPr>
            <w:r>
              <w:rPr>
                <w:rFonts w:ascii="Times New Roman" w:eastAsia="宋体" w:hAnsi="Times New Roman"/>
                <w:color w:val="000000"/>
                <w:sz w:val="16"/>
                <w:szCs w:val="16"/>
              </w:rPr>
              <w:t>11,430 </w:t>
            </w:r>
          </w:p>
        </w:tc>
        <w:tc>
          <w:tcPr>
            <w:tcW w:w="0" w:type="auto"/>
            <w:shd w:val="clear" w:color="auto" w:fill="CCEEFF"/>
            <w:tcMar>
              <w:top w:w="40" w:type="dxa"/>
              <w:left w:w="0" w:type="dxa"/>
              <w:bottom w:w="40" w:type="dxa"/>
              <w:right w:w="20" w:type="dxa"/>
            </w:tcMar>
            <w:vAlign w:val="bottom"/>
          </w:tcPr>
          <w:p w14:paraId="35D0BE7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E7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E78" w14:textId="77777777" w:rsidR="00D42204" w:rsidRDefault="004E439D">
            <w:pPr>
              <w:jc w:val="right"/>
              <w:textAlignment w:val="bottom"/>
            </w:pPr>
            <w:r>
              <w:rPr>
                <w:rFonts w:ascii="Times New Roman" w:eastAsia="宋体" w:hAnsi="Times New Roman"/>
                <w:color w:val="000000"/>
                <w:sz w:val="16"/>
                <w:szCs w:val="16"/>
              </w:rPr>
              <w:t>10,671 </w:t>
            </w:r>
          </w:p>
        </w:tc>
        <w:tc>
          <w:tcPr>
            <w:tcW w:w="0" w:type="auto"/>
            <w:shd w:val="clear" w:color="auto" w:fill="CCEEFF"/>
            <w:tcMar>
              <w:top w:w="40" w:type="dxa"/>
              <w:left w:w="0" w:type="dxa"/>
              <w:bottom w:w="40" w:type="dxa"/>
              <w:right w:w="20" w:type="dxa"/>
            </w:tcMar>
            <w:vAlign w:val="bottom"/>
          </w:tcPr>
          <w:p w14:paraId="35D0BE79" w14:textId="77777777" w:rsidR="00D42204" w:rsidRDefault="00D42204">
            <w:pPr>
              <w:jc w:val="right"/>
              <w:rPr>
                <w:rFonts w:ascii="宋体"/>
              </w:rPr>
            </w:pPr>
          </w:p>
        </w:tc>
      </w:tr>
      <w:tr w:rsidR="00D42204" w14:paraId="35D0BE85" w14:textId="77777777">
        <w:trPr>
          <w:jc w:val="center"/>
        </w:trPr>
        <w:tc>
          <w:tcPr>
            <w:tcW w:w="0" w:type="auto"/>
            <w:gridSpan w:val="3"/>
            <w:shd w:val="clear" w:color="auto" w:fill="FFFFFF"/>
            <w:tcMar>
              <w:top w:w="40" w:type="dxa"/>
              <w:left w:w="380" w:type="dxa"/>
              <w:bottom w:w="40" w:type="dxa"/>
              <w:right w:w="20" w:type="dxa"/>
            </w:tcMar>
            <w:vAlign w:val="center"/>
          </w:tcPr>
          <w:p w14:paraId="35D0BE7B" w14:textId="77777777" w:rsidR="00D42204" w:rsidRDefault="004E439D">
            <w:pPr>
              <w:textAlignment w:val="center"/>
            </w:pPr>
            <w:r>
              <w:rPr>
                <w:rFonts w:ascii="Times New Roman" w:eastAsia="宋体" w:hAnsi="Times New Roman"/>
                <w:color w:val="000000"/>
                <w:sz w:val="16"/>
                <w:szCs w:val="16"/>
              </w:rPr>
              <w:t>United Kingdom</w:t>
            </w:r>
          </w:p>
        </w:tc>
        <w:tc>
          <w:tcPr>
            <w:tcW w:w="0" w:type="auto"/>
            <w:gridSpan w:val="3"/>
            <w:shd w:val="clear" w:color="auto" w:fill="FFFFFF"/>
            <w:tcMar>
              <w:top w:w="0" w:type="dxa"/>
              <w:left w:w="20" w:type="dxa"/>
              <w:bottom w:w="0" w:type="dxa"/>
              <w:right w:w="20" w:type="dxa"/>
            </w:tcMar>
            <w:vAlign w:val="bottom"/>
          </w:tcPr>
          <w:p w14:paraId="35D0BE7C"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E7D" w14:textId="77777777" w:rsidR="00D42204" w:rsidRDefault="004E439D">
            <w:pPr>
              <w:jc w:val="right"/>
              <w:textAlignment w:val="bottom"/>
            </w:pPr>
            <w:r>
              <w:rPr>
                <w:rFonts w:ascii="Times New Roman" w:eastAsia="宋体" w:hAnsi="Times New Roman"/>
                <w:color w:val="000000"/>
                <w:sz w:val="16"/>
                <w:szCs w:val="16"/>
              </w:rPr>
              <w:t>3,811 </w:t>
            </w:r>
          </w:p>
        </w:tc>
        <w:tc>
          <w:tcPr>
            <w:tcW w:w="0" w:type="auto"/>
            <w:shd w:val="clear" w:color="auto" w:fill="FFFFFF"/>
            <w:tcMar>
              <w:top w:w="40" w:type="dxa"/>
              <w:left w:w="0" w:type="dxa"/>
              <w:bottom w:w="40" w:type="dxa"/>
              <w:right w:w="20" w:type="dxa"/>
            </w:tcMar>
            <w:vAlign w:val="bottom"/>
          </w:tcPr>
          <w:p w14:paraId="35D0BE7E"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E7F"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E80" w14:textId="77777777" w:rsidR="00D42204" w:rsidRDefault="004E439D">
            <w:pPr>
              <w:jc w:val="right"/>
              <w:textAlignment w:val="bottom"/>
            </w:pPr>
            <w:r>
              <w:rPr>
                <w:rFonts w:ascii="Times New Roman" w:eastAsia="宋体" w:hAnsi="Times New Roman"/>
                <w:color w:val="000000"/>
                <w:sz w:val="16"/>
                <w:szCs w:val="16"/>
              </w:rPr>
              <w:t>29,234 </w:t>
            </w:r>
          </w:p>
        </w:tc>
        <w:tc>
          <w:tcPr>
            <w:tcW w:w="0" w:type="auto"/>
            <w:shd w:val="clear" w:color="auto" w:fill="FFFFFF"/>
            <w:tcMar>
              <w:top w:w="40" w:type="dxa"/>
              <w:left w:w="0" w:type="dxa"/>
              <w:bottom w:w="40" w:type="dxa"/>
              <w:right w:w="20" w:type="dxa"/>
            </w:tcMar>
            <w:vAlign w:val="bottom"/>
          </w:tcPr>
          <w:p w14:paraId="35D0BE81"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E82"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bottom"/>
          </w:tcPr>
          <w:p w14:paraId="35D0BE83" w14:textId="77777777" w:rsidR="00D42204" w:rsidRDefault="004E439D">
            <w:pPr>
              <w:jc w:val="right"/>
              <w:textAlignment w:val="bottom"/>
            </w:pPr>
            <w:r>
              <w:rPr>
                <w:rFonts w:ascii="Times New Roman" w:eastAsia="宋体" w:hAnsi="Times New Roman"/>
                <w:color w:val="000000"/>
                <w:sz w:val="16"/>
                <w:szCs w:val="16"/>
              </w:rPr>
              <w:t>29,243 </w:t>
            </w:r>
          </w:p>
        </w:tc>
        <w:tc>
          <w:tcPr>
            <w:tcW w:w="0" w:type="auto"/>
            <w:shd w:val="clear" w:color="auto" w:fill="FFFFFF"/>
            <w:tcMar>
              <w:top w:w="40" w:type="dxa"/>
              <w:left w:w="0" w:type="dxa"/>
              <w:bottom w:w="40" w:type="dxa"/>
              <w:right w:w="20" w:type="dxa"/>
            </w:tcMar>
            <w:vAlign w:val="bottom"/>
          </w:tcPr>
          <w:p w14:paraId="35D0BE84" w14:textId="77777777" w:rsidR="00D42204" w:rsidRDefault="00D42204">
            <w:pPr>
              <w:jc w:val="right"/>
              <w:rPr>
                <w:rFonts w:ascii="宋体"/>
              </w:rPr>
            </w:pPr>
          </w:p>
        </w:tc>
      </w:tr>
      <w:tr w:rsidR="00D42204" w14:paraId="35D0BE90" w14:textId="77777777">
        <w:trPr>
          <w:jc w:val="center"/>
        </w:trPr>
        <w:tc>
          <w:tcPr>
            <w:tcW w:w="0" w:type="auto"/>
            <w:gridSpan w:val="3"/>
            <w:shd w:val="clear" w:color="auto" w:fill="CCEEFF"/>
            <w:tcMar>
              <w:top w:w="40" w:type="dxa"/>
              <w:left w:w="380" w:type="dxa"/>
              <w:bottom w:w="40" w:type="dxa"/>
              <w:right w:w="20" w:type="dxa"/>
            </w:tcMar>
            <w:vAlign w:val="center"/>
          </w:tcPr>
          <w:p w14:paraId="35D0BE86" w14:textId="77777777" w:rsidR="00D42204" w:rsidRDefault="004E439D">
            <w:pPr>
              <w:textAlignment w:val="center"/>
            </w:pPr>
            <w:r>
              <w:rPr>
                <w:rFonts w:ascii="Times New Roman" w:eastAsia="宋体" w:hAnsi="Times New Roman"/>
                <w:color w:val="000000"/>
                <w:sz w:val="16"/>
                <w:szCs w:val="16"/>
              </w:rPr>
              <w:t>Other</w:t>
            </w:r>
          </w:p>
        </w:tc>
        <w:tc>
          <w:tcPr>
            <w:tcW w:w="0" w:type="auto"/>
            <w:gridSpan w:val="3"/>
            <w:shd w:val="clear" w:color="auto" w:fill="CCEEFF"/>
            <w:tcMar>
              <w:top w:w="0" w:type="dxa"/>
              <w:left w:w="20" w:type="dxa"/>
              <w:bottom w:w="0" w:type="dxa"/>
              <w:right w:w="20" w:type="dxa"/>
            </w:tcMar>
            <w:vAlign w:val="bottom"/>
          </w:tcPr>
          <w:p w14:paraId="35D0BE87"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E88" w14:textId="77777777" w:rsidR="00D42204" w:rsidRDefault="004E439D">
            <w:pPr>
              <w:jc w:val="right"/>
              <w:textAlignment w:val="bottom"/>
            </w:pPr>
            <w:r>
              <w:rPr>
                <w:rFonts w:ascii="Times New Roman" w:eastAsia="宋体" w:hAnsi="Times New Roman"/>
                <w:color w:val="000000"/>
                <w:sz w:val="16"/>
                <w:szCs w:val="16"/>
              </w:rPr>
              <w:t>25,559 </w:t>
            </w:r>
          </w:p>
        </w:tc>
        <w:tc>
          <w:tcPr>
            <w:tcW w:w="0" w:type="auto"/>
            <w:shd w:val="clear" w:color="auto" w:fill="CCEEFF"/>
            <w:tcMar>
              <w:top w:w="40" w:type="dxa"/>
              <w:left w:w="0" w:type="dxa"/>
              <w:bottom w:w="40" w:type="dxa"/>
              <w:right w:w="20" w:type="dxa"/>
            </w:tcMar>
            <w:vAlign w:val="bottom"/>
          </w:tcPr>
          <w:p w14:paraId="35D0BE89"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E8A"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E8B" w14:textId="77777777" w:rsidR="00D42204" w:rsidRDefault="004E439D">
            <w:pPr>
              <w:jc w:val="right"/>
              <w:textAlignment w:val="bottom"/>
            </w:pPr>
            <w:r>
              <w:rPr>
                <w:rFonts w:ascii="Times New Roman" w:eastAsia="宋体" w:hAnsi="Times New Roman"/>
                <w:color w:val="000000"/>
                <w:sz w:val="16"/>
                <w:szCs w:val="16"/>
              </w:rPr>
              <w:t>28,063 </w:t>
            </w:r>
          </w:p>
        </w:tc>
        <w:tc>
          <w:tcPr>
            <w:tcW w:w="0" w:type="auto"/>
            <w:shd w:val="clear" w:color="auto" w:fill="CCEEFF"/>
            <w:tcMar>
              <w:top w:w="40" w:type="dxa"/>
              <w:left w:w="0" w:type="dxa"/>
              <w:bottom w:w="40" w:type="dxa"/>
              <w:right w:w="20" w:type="dxa"/>
            </w:tcMar>
            <w:vAlign w:val="bottom"/>
          </w:tcPr>
          <w:p w14:paraId="35D0BE8C"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E8D"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E8E" w14:textId="77777777" w:rsidR="00D42204" w:rsidRDefault="004E439D">
            <w:pPr>
              <w:jc w:val="right"/>
              <w:textAlignment w:val="bottom"/>
            </w:pPr>
            <w:r>
              <w:rPr>
                <w:rFonts w:ascii="Times New Roman" w:eastAsia="宋体" w:hAnsi="Times New Roman"/>
                <w:color w:val="000000"/>
                <w:sz w:val="16"/>
                <w:szCs w:val="16"/>
              </w:rPr>
              <w:t>28,446 </w:t>
            </w:r>
          </w:p>
        </w:tc>
        <w:tc>
          <w:tcPr>
            <w:tcW w:w="0" w:type="auto"/>
            <w:shd w:val="clear" w:color="auto" w:fill="CCEEFF"/>
            <w:tcMar>
              <w:top w:w="40" w:type="dxa"/>
              <w:left w:w="0" w:type="dxa"/>
              <w:bottom w:w="40" w:type="dxa"/>
              <w:right w:w="20" w:type="dxa"/>
            </w:tcMar>
            <w:vAlign w:val="bottom"/>
          </w:tcPr>
          <w:p w14:paraId="35D0BE8F" w14:textId="77777777" w:rsidR="00D42204" w:rsidRDefault="00D42204">
            <w:pPr>
              <w:jc w:val="right"/>
              <w:rPr>
                <w:rFonts w:ascii="宋体"/>
              </w:rPr>
            </w:pPr>
          </w:p>
        </w:tc>
      </w:tr>
      <w:tr w:rsidR="00D42204" w14:paraId="35D0BE9E" w14:textId="77777777">
        <w:trPr>
          <w:jc w:val="center"/>
        </w:trPr>
        <w:tc>
          <w:tcPr>
            <w:tcW w:w="0" w:type="auto"/>
            <w:gridSpan w:val="3"/>
            <w:shd w:val="clear" w:color="auto" w:fill="FFFFFF"/>
            <w:tcMar>
              <w:top w:w="40" w:type="dxa"/>
              <w:left w:w="20" w:type="dxa"/>
              <w:bottom w:w="40" w:type="dxa"/>
              <w:right w:w="20" w:type="dxa"/>
            </w:tcMar>
            <w:vAlign w:val="bottom"/>
          </w:tcPr>
          <w:p w14:paraId="35D0BE91" w14:textId="77777777" w:rsidR="00D42204" w:rsidRDefault="004E439D">
            <w:pPr>
              <w:textAlignment w:val="bottom"/>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35D0BE92"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5D0BE93"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5D0BE94" w14:textId="77777777" w:rsidR="00D42204" w:rsidRDefault="004E439D">
            <w:pPr>
              <w:jc w:val="right"/>
              <w:textAlignment w:val="bottom"/>
            </w:pPr>
            <w:r>
              <w:rPr>
                <w:rFonts w:ascii="Times New Roman" w:eastAsia="宋体" w:hAnsi="Times New Roman"/>
                <w:color w:val="000000"/>
                <w:sz w:val="16"/>
                <w:szCs w:val="16"/>
              </w:rPr>
              <w:t>100,959 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5D0BE95"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E96"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5D0BE97"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5D0BE98" w14:textId="77777777" w:rsidR="00D42204" w:rsidRDefault="004E439D">
            <w:pPr>
              <w:jc w:val="right"/>
              <w:textAlignment w:val="bottom"/>
            </w:pPr>
            <w:r>
              <w:rPr>
                <w:rFonts w:ascii="Times New Roman" w:eastAsia="宋体" w:hAnsi="Times New Roman"/>
                <w:color w:val="000000"/>
                <w:sz w:val="16"/>
                <w:szCs w:val="16"/>
              </w:rPr>
              <w:t>121,360 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5D0BE9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E9A"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5D0BE9B"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5D0BE9C" w14:textId="77777777" w:rsidR="00D42204" w:rsidRDefault="004E439D">
            <w:pPr>
              <w:jc w:val="right"/>
              <w:textAlignment w:val="bottom"/>
            </w:pPr>
            <w:r>
              <w:rPr>
                <w:rFonts w:ascii="Times New Roman" w:eastAsia="宋体" w:hAnsi="Times New Roman"/>
                <w:color w:val="000000"/>
                <w:sz w:val="16"/>
                <w:szCs w:val="16"/>
              </w:rPr>
              <w:t>120,130 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5D0BE9D" w14:textId="77777777" w:rsidR="00D42204" w:rsidRDefault="00D42204">
            <w:pPr>
              <w:jc w:val="right"/>
              <w:rPr>
                <w:rFonts w:ascii="宋体"/>
              </w:rPr>
            </w:pPr>
          </w:p>
        </w:tc>
      </w:tr>
    </w:tbl>
    <w:p w14:paraId="35D0BE9F" w14:textId="77777777" w:rsidR="00D42204" w:rsidRDefault="004E439D">
      <w:pPr>
        <w:spacing w:before="40"/>
      </w:pPr>
      <w:r>
        <w:rPr>
          <w:rFonts w:ascii="Times New Roman" w:eastAsia="宋体" w:hAnsi="Times New Roman"/>
          <w:color w:val="000000"/>
          <w:sz w:val="20"/>
          <w:szCs w:val="20"/>
        </w:rPr>
        <w:t xml:space="preserve">Of Walmart International's total net sales, approximately $18.5 billion, $16.6 billion and $11.8 billion related to eCommerce for fiscal 2022, 2021 and 2020, respectively.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393"/>
        <w:gridCol w:w="38"/>
        <w:gridCol w:w="36"/>
        <w:gridCol w:w="36"/>
        <w:gridCol w:w="36"/>
        <w:gridCol w:w="100"/>
        <w:gridCol w:w="698"/>
        <w:gridCol w:w="36"/>
        <w:gridCol w:w="36"/>
        <w:gridCol w:w="36"/>
        <w:gridCol w:w="36"/>
        <w:gridCol w:w="100"/>
        <w:gridCol w:w="698"/>
        <w:gridCol w:w="36"/>
        <w:gridCol w:w="36"/>
        <w:gridCol w:w="36"/>
        <w:gridCol w:w="36"/>
        <w:gridCol w:w="100"/>
        <w:gridCol w:w="738"/>
        <w:gridCol w:w="36"/>
      </w:tblGrid>
      <w:tr w:rsidR="00D42204" w14:paraId="35D0BEB5" w14:textId="77777777">
        <w:trPr>
          <w:jc w:val="center"/>
        </w:trPr>
        <w:tc>
          <w:tcPr>
            <w:tcW w:w="50" w:type="pct"/>
            <w:shd w:val="clear" w:color="auto" w:fill="auto"/>
            <w:vAlign w:val="bottom"/>
          </w:tcPr>
          <w:p w14:paraId="35D0BEA0" w14:textId="77777777" w:rsidR="00D42204" w:rsidRDefault="00D42204">
            <w:pPr>
              <w:rPr>
                <w:rFonts w:ascii="宋体"/>
              </w:rPr>
            </w:pPr>
          </w:p>
        </w:tc>
        <w:tc>
          <w:tcPr>
            <w:tcW w:w="3263" w:type="pct"/>
            <w:shd w:val="clear" w:color="auto" w:fill="auto"/>
            <w:vAlign w:val="bottom"/>
          </w:tcPr>
          <w:p w14:paraId="35D0BEA1" w14:textId="77777777" w:rsidR="00D42204" w:rsidRDefault="00D42204">
            <w:pPr>
              <w:rPr>
                <w:rFonts w:ascii="宋体"/>
              </w:rPr>
            </w:pPr>
          </w:p>
        </w:tc>
        <w:tc>
          <w:tcPr>
            <w:tcW w:w="5" w:type="pct"/>
            <w:shd w:val="clear" w:color="auto" w:fill="auto"/>
            <w:vAlign w:val="bottom"/>
          </w:tcPr>
          <w:p w14:paraId="35D0BEA2" w14:textId="77777777" w:rsidR="00D42204" w:rsidRDefault="00D42204">
            <w:pPr>
              <w:rPr>
                <w:rFonts w:ascii="宋体"/>
              </w:rPr>
            </w:pPr>
          </w:p>
        </w:tc>
        <w:tc>
          <w:tcPr>
            <w:tcW w:w="5" w:type="pct"/>
            <w:shd w:val="clear" w:color="auto" w:fill="auto"/>
            <w:vAlign w:val="bottom"/>
          </w:tcPr>
          <w:p w14:paraId="35D0BEA3" w14:textId="77777777" w:rsidR="00D42204" w:rsidRDefault="00D42204">
            <w:pPr>
              <w:rPr>
                <w:rFonts w:ascii="宋体"/>
              </w:rPr>
            </w:pPr>
          </w:p>
        </w:tc>
        <w:tc>
          <w:tcPr>
            <w:tcW w:w="26" w:type="pct"/>
            <w:shd w:val="clear" w:color="auto" w:fill="auto"/>
            <w:vAlign w:val="bottom"/>
          </w:tcPr>
          <w:p w14:paraId="35D0BEA4" w14:textId="77777777" w:rsidR="00D42204" w:rsidRDefault="00D42204">
            <w:pPr>
              <w:rPr>
                <w:rFonts w:ascii="宋体"/>
              </w:rPr>
            </w:pPr>
          </w:p>
        </w:tc>
        <w:tc>
          <w:tcPr>
            <w:tcW w:w="5" w:type="pct"/>
            <w:shd w:val="clear" w:color="auto" w:fill="auto"/>
            <w:vAlign w:val="bottom"/>
          </w:tcPr>
          <w:p w14:paraId="35D0BEA5" w14:textId="77777777" w:rsidR="00D42204" w:rsidRDefault="00D42204">
            <w:pPr>
              <w:rPr>
                <w:rFonts w:ascii="宋体"/>
              </w:rPr>
            </w:pPr>
          </w:p>
        </w:tc>
        <w:tc>
          <w:tcPr>
            <w:tcW w:w="50" w:type="pct"/>
            <w:shd w:val="clear" w:color="auto" w:fill="auto"/>
            <w:vAlign w:val="bottom"/>
          </w:tcPr>
          <w:p w14:paraId="35D0BEA6" w14:textId="77777777" w:rsidR="00D42204" w:rsidRDefault="00D42204">
            <w:pPr>
              <w:rPr>
                <w:rFonts w:ascii="宋体"/>
              </w:rPr>
            </w:pPr>
          </w:p>
        </w:tc>
        <w:tc>
          <w:tcPr>
            <w:tcW w:w="471" w:type="pct"/>
            <w:shd w:val="clear" w:color="auto" w:fill="auto"/>
            <w:vAlign w:val="bottom"/>
          </w:tcPr>
          <w:p w14:paraId="35D0BEA7" w14:textId="77777777" w:rsidR="00D42204" w:rsidRDefault="00D42204">
            <w:pPr>
              <w:rPr>
                <w:rFonts w:ascii="宋体"/>
              </w:rPr>
            </w:pPr>
          </w:p>
        </w:tc>
        <w:tc>
          <w:tcPr>
            <w:tcW w:w="5" w:type="pct"/>
            <w:shd w:val="clear" w:color="auto" w:fill="auto"/>
            <w:vAlign w:val="bottom"/>
          </w:tcPr>
          <w:p w14:paraId="35D0BEA8" w14:textId="77777777" w:rsidR="00D42204" w:rsidRDefault="00D42204">
            <w:pPr>
              <w:rPr>
                <w:rFonts w:ascii="宋体"/>
              </w:rPr>
            </w:pPr>
          </w:p>
        </w:tc>
        <w:tc>
          <w:tcPr>
            <w:tcW w:w="5" w:type="pct"/>
            <w:shd w:val="clear" w:color="auto" w:fill="auto"/>
            <w:vAlign w:val="bottom"/>
          </w:tcPr>
          <w:p w14:paraId="35D0BEA9" w14:textId="77777777" w:rsidR="00D42204" w:rsidRDefault="00D42204">
            <w:pPr>
              <w:rPr>
                <w:rFonts w:ascii="宋体"/>
              </w:rPr>
            </w:pPr>
          </w:p>
        </w:tc>
        <w:tc>
          <w:tcPr>
            <w:tcW w:w="26" w:type="pct"/>
            <w:shd w:val="clear" w:color="auto" w:fill="auto"/>
            <w:vAlign w:val="bottom"/>
          </w:tcPr>
          <w:p w14:paraId="35D0BEAA" w14:textId="77777777" w:rsidR="00D42204" w:rsidRDefault="00D42204">
            <w:pPr>
              <w:rPr>
                <w:rFonts w:ascii="宋体"/>
              </w:rPr>
            </w:pPr>
          </w:p>
        </w:tc>
        <w:tc>
          <w:tcPr>
            <w:tcW w:w="5" w:type="pct"/>
            <w:shd w:val="clear" w:color="auto" w:fill="auto"/>
            <w:vAlign w:val="bottom"/>
          </w:tcPr>
          <w:p w14:paraId="35D0BEAB" w14:textId="77777777" w:rsidR="00D42204" w:rsidRDefault="00D42204">
            <w:pPr>
              <w:rPr>
                <w:rFonts w:ascii="宋体"/>
              </w:rPr>
            </w:pPr>
          </w:p>
        </w:tc>
        <w:tc>
          <w:tcPr>
            <w:tcW w:w="50" w:type="pct"/>
            <w:shd w:val="clear" w:color="auto" w:fill="auto"/>
            <w:vAlign w:val="bottom"/>
          </w:tcPr>
          <w:p w14:paraId="35D0BEAC" w14:textId="77777777" w:rsidR="00D42204" w:rsidRDefault="00D42204">
            <w:pPr>
              <w:rPr>
                <w:rFonts w:ascii="宋体"/>
              </w:rPr>
            </w:pPr>
          </w:p>
        </w:tc>
        <w:tc>
          <w:tcPr>
            <w:tcW w:w="471" w:type="pct"/>
            <w:shd w:val="clear" w:color="auto" w:fill="auto"/>
            <w:vAlign w:val="bottom"/>
          </w:tcPr>
          <w:p w14:paraId="35D0BEAD" w14:textId="77777777" w:rsidR="00D42204" w:rsidRDefault="00D42204">
            <w:pPr>
              <w:rPr>
                <w:rFonts w:ascii="宋体"/>
              </w:rPr>
            </w:pPr>
          </w:p>
        </w:tc>
        <w:tc>
          <w:tcPr>
            <w:tcW w:w="5" w:type="pct"/>
            <w:shd w:val="clear" w:color="auto" w:fill="auto"/>
            <w:vAlign w:val="bottom"/>
          </w:tcPr>
          <w:p w14:paraId="35D0BEAE" w14:textId="77777777" w:rsidR="00D42204" w:rsidRDefault="00D42204">
            <w:pPr>
              <w:rPr>
                <w:rFonts w:ascii="宋体"/>
              </w:rPr>
            </w:pPr>
          </w:p>
        </w:tc>
        <w:tc>
          <w:tcPr>
            <w:tcW w:w="5" w:type="pct"/>
            <w:shd w:val="clear" w:color="auto" w:fill="auto"/>
            <w:vAlign w:val="bottom"/>
          </w:tcPr>
          <w:p w14:paraId="35D0BEAF" w14:textId="77777777" w:rsidR="00D42204" w:rsidRDefault="00D42204">
            <w:pPr>
              <w:rPr>
                <w:rFonts w:ascii="宋体"/>
              </w:rPr>
            </w:pPr>
          </w:p>
        </w:tc>
        <w:tc>
          <w:tcPr>
            <w:tcW w:w="19" w:type="pct"/>
            <w:shd w:val="clear" w:color="auto" w:fill="auto"/>
            <w:vAlign w:val="bottom"/>
          </w:tcPr>
          <w:p w14:paraId="35D0BEB0" w14:textId="77777777" w:rsidR="00D42204" w:rsidRDefault="00D42204">
            <w:pPr>
              <w:rPr>
                <w:rFonts w:ascii="宋体"/>
              </w:rPr>
            </w:pPr>
          </w:p>
        </w:tc>
        <w:tc>
          <w:tcPr>
            <w:tcW w:w="5" w:type="pct"/>
            <w:shd w:val="clear" w:color="auto" w:fill="auto"/>
            <w:vAlign w:val="bottom"/>
          </w:tcPr>
          <w:p w14:paraId="35D0BEB1" w14:textId="77777777" w:rsidR="00D42204" w:rsidRDefault="00D42204">
            <w:pPr>
              <w:rPr>
                <w:rFonts w:ascii="宋体"/>
              </w:rPr>
            </w:pPr>
          </w:p>
        </w:tc>
        <w:tc>
          <w:tcPr>
            <w:tcW w:w="50" w:type="pct"/>
            <w:shd w:val="clear" w:color="auto" w:fill="auto"/>
            <w:vAlign w:val="bottom"/>
          </w:tcPr>
          <w:p w14:paraId="35D0BEB2" w14:textId="77777777" w:rsidR="00D42204" w:rsidRDefault="00D42204">
            <w:pPr>
              <w:rPr>
                <w:rFonts w:ascii="宋体"/>
              </w:rPr>
            </w:pPr>
          </w:p>
        </w:tc>
        <w:tc>
          <w:tcPr>
            <w:tcW w:w="471" w:type="pct"/>
            <w:shd w:val="clear" w:color="auto" w:fill="auto"/>
            <w:vAlign w:val="bottom"/>
          </w:tcPr>
          <w:p w14:paraId="35D0BEB3" w14:textId="77777777" w:rsidR="00D42204" w:rsidRDefault="00D42204">
            <w:pPr>
              <w:rPr>
                <w:rFonts w:ascii="宋体"/>
              </w:rPr>
            </w:pPr>
          </w:p>
        </w:tc>
        <w:tc>
          <w:tcPr>
            <w:tcW w:w="5" w:type="pct"/>
            <w:shd w:val="clear" w:color="auto" w:fill="auto"/>
            <w:vAlign w:val="bottom"/>
          </w:tcPr>
          <w:p w14:paraId="35D0BEB4" w14:textId="77777777" w:rsidR="00D42204" w:rsidRDefault="00D42204">
            <w:pPr>
              <w:rPr>
                <w:rFonts w:ascii="宋体"/>
              </w:rPr>
            </w:pPr>
          </w:p>
        </w:tc>
      </w:tr>
      <w:tr w:rsidR="00D42204" w14:paraId="35D0BEB9" w14:textId="77777777">
        <w:trPr>
          <w:jc w:val="center"/>
        </w:trPr>
        <w:tc>
          <w:tcPr>
            <w:tcW w:w="0" w:type="auto"/>
            <w:gridSpan w:val="3"/>
            <w:shd w:val="clear" w:color="auto" w:fill="auto"/>
            <w:tcMar>
              <w:top w:w="40" w:type="dxa"/>
              <w:left w:w="20" w:type="dxa"/>
              <w:bottom w:w="40" w:type="dxa"/>
              <w:right w:w="20" w:type="dxa"/>
            </w:tcMar>
            <w:vAlign w:val="bottom"/>
          </w:tcPr>
          <w:p w14:paraId="35D0BEB6" w14:textId="77777777" w:rsidR="00D42204" w:rsidRDefault="004E439D">
            <w:pPr>
              <w:textAlignment w:val="bottom"/>
            </w:pPr>
            <w:r>
              <w:rPr>
                <w:rFonts w:ascii="Times New Roman" w:eastAsia="宋体" w:hAnsi="Times New Roman"/>
                <w:i/>
                <w:iCs/>
                <w:color w:val="000000"/>
                <w:sz w:val="16"/>
                <w:szCs w:val="16"/>
              </w:rPr>
              <w:t>(Amou</w:t>
            </w:r>
            <w:r>
              <w:rPr>
                <w:rFonts w:ascii="Times New Roman" w:eastAsia="宋体" w:hAnsi="Times New Roman"/>
                <w:i/>
                <w:iCs/>
                <w:color w:val="000000"/>
                <w:sz w:val="16"/>
                <w:szCs w:val="16"/>
              </w:rPr>
              <w:t>nts in millions)</w:t>
            </w:r>
          </w:p>
        </w:tc>
        <w:tc>
          <w:tcPr>
            <w:tcW w:w="0" w:type="auto"/>
            <w:gridSpan w:val="3"/>
            <w:shd w:val="clear" w:color="auto" w:fill="auto"/>
            <w:tcMar>
              <w:top w:w="0" w:type="dxa"/>
              <w:left w:w="20" w:type="dxa"/>
              <w:bottom w:w="0" w:type="dxa"/>
              <w:right w:w="20" w:type="dxa"/>
            </w:tcMar>
            <w:vAlign w:val="bottom"/>
          </w:tcPr>
          <w:p w14:paraId="35D0BEB7" w14:textId="77777777" w:rsidR="00D42204" w:rsidRDefault="00D42204">
            <w:pPr>
              <w:rPr>
                <w:rFonts w:ascii="宋体"/>
              </w:rPr>
            </w:pPr>
          </w:p>
        </w:tc>
        <w:tc>
          <w:tcPr>
            <w:tcW w:w="0" w:type="auto"/>
            <w:gridSpan w:val="15"/>
            <w:shd w:val="clear" w:color="auto" w:fill="auto"/>
            <w:tcMar>
              <w:top w:w="40" w:type="dxa"/>
              <w:left w:w="20" w:type="dxa"/>
              <w:bottom w:w="40" w:type="dxa"/>
              <w:right w:w="20" w:type="dxa"/>
            </w:tcMar>
            <w:vAlign w:val="bottom"/>
          </w:tcPr>
          <w:p w14:paraId="35D0BEB8" w14:textId="77777777" w:rsidR="00D42204" w:rsidRDefault="004E439D">
            <w:pPr>
              <w:jc w:val="center"/>
              <w:textAlignment w:val="bottom"/>
            </w:pPr>
            <w:r>
              <w:rPr>
                <w:rFonts w:ascii="Times New Roman" w:eastAsia="宋体" w:hAnsi="Times New Roman"/>
                <w:b/>
                <w:bCs/>
                <w:color w:val="000000"/>
                <w:sz w:val="16"/>
                <w:szCs w:val="16"/>
              </w:rPr>
              <w:t>Fiscal Years Ended January 31,</w:t>
            </w:r>
          </w:p>
        </w:tc>
      </w:tr>
      <w:tr w:rsidR="00D42204" w14:paraId="35D0BEC1" w14:textId="77777777">
        <w:trPr>
          <w:jc w:val="center"/>
        </w:trPr>
        <w:tc>
          <w:tcPr>
            <w:tcW w:w="0" w:type="auto"/>
            <w:gridSpan w:val="3"/>
            <w:shd w:val="clear" w:color="auto" w:fill="auto"/>
            <w:tcMar>
              <w:top w:w="40" w:type="dxa"/>
              <w:left w:w="20" w:type="dxa"/>
              <w:bottom w:w="40" w:type="dxa"/>
              <w:right w:w="20" w:type="dxa"/>
            </w:tcMar>
            <w:vAlign w:val="bottom"/>
          </w:tcPr>
          <w:p w14:paraId="35D0BEBA" w14:textId="77777777" w:rsidR="00D42204" w:rsidRDefault="004E439D">
            <w:pPr>
              <w:textAlignment w:val="bottom"/>
            </w:pPr>
            <w:r>
              <w:rPr>
                <w:rFonts w:ascii="Times New Roman" w:eastAsia="宋体" w:hAnsi="Times New Roman"/>
                <w:b/>
                <w:bCs/>
                <w:color w:val="000000"/>
                <w:sz w:val="16"/>
                <w:szCs w:val="16"/>
              </w:rPr>
              <w:t>Sam's Club net sales by merchandise category</w:t>
            </w:r>
          </w:p>
        </w:tc>
        <w:tc>
          <w:tcPr>
            <w:tcW w:w="0" w:type="auto"/>
            <w:gridSpan w:val="3"/>
            <w:shd w:val="clear" w:color="auto" w:fill="auto"/>
            <w:tcMar>
              <w:top w:w="0" w:type="dxa"/>
              <w:left w:w="20" w:type="dxa"/>
              <w:bottom w:w="0" w:type="dxa"/>
              <w:right w:w="20" w:type="dxa"/>
            </w:tcMar>
            <w:vAlign w:val="bottom"/>
          </w:tcPr>
          <w:p w14:paraId="35D0BEBB"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EBC" w14:textId="77777777" w:rsidR="00D42204" w:rsidRDefault="004E439D">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EBD"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EBE" w14:textId="77777777" w:rsidR="00D42204" w:rsidRDefault="004E439D">
            <w:pPr>
              <w:jc w:val="center"/>
              <w:textAlignment w:val="bottom"/>
            </w:pPr>
            <w:r>
              <w:rPr>
                <w:rFonts w:ascii="Times New Roman" w:eastAsia="宋体" w:hAnsi="Times New Roman"/>
                <w:b/>
                <w:bCs/>
                <w:color w:val="000000"/>
                <w:sz w:val="16"/>
                <w:szCs w:val="16"/>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35D0BEBF"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BEC0" w14:textId="77777777" w:rsidR="00D42204" w:rsidRDefault="004E439D">
            <w:pPr>
              <w:jc w:val="center"/>
              <w:textAlignment w:val="bottom"/>
            </w:pPr>
            <w:r>
              <w:rPr>
                <w:rFonts w:ascii="Times New Roman" w:eastAsia="宋体" w:hAnsi="Times New Roman"/>
                <w:b/>
                <w:bCs/>
                <w:color w:val="000000"/>
                <w:sz w:val="16"/>
                <w:szCs w:val="16"/>
              </w:rPr>
              <w:t>2020</w:t>
            </w:r>
          </w:p>
        </w:tc>
      </w:tr>
      <w:tr w:rsidR="00D42204" w14:paraId="35D0BECF" w14:textId="77777777">
        <w:trPr>
          <w:jc w:val="center"/>
        </w:trPr>
        <w:tc>
          <w:tcPr>
            <w:tcW w:w="0" w:type="auto"/>
            <w:gridSpan w:val="3"/>
            <w:shd w:val="clear" w:color="auto" w:fill="CCEEFF"/>
            <w:tcMar>
              <w:top w:w="40" w:type="dxa"/>
              <w:left w:w="380" w:type="dxa"/>
              <w:bottom w:w="40" w:type="dxa"/>
              <w:right w:w="20" w:type="dxa"/>
            </w:tcMar>
            <w:vAlign w:val="center"/>
          </w:tcPr>
          <w:p w14:paraId="35D0BEC2" w14:textId="77777777" w:rsidR="00D42204" w:rsidRDefault="004E439D">
            <w:pPr>
              <w:textAlignment w:val="center"/>
            </w:pPr>
            <w:r>
              <w:rPr>
                <w:rFonts w:ascii="Times New Roman" w:eastAsia="宋体" w:hAnsi="Times New Roman"/>
                <w:color w:val="000000"/>
                <w:sz w:val="16"/>
                <w:szCs w:val="16"/>
              </w:rPr>
              <w:t>Grocery and consumables</w:t>
            </w:r>
          </w:p>
        </w:tc>
        <w:tc>
          <w:tcPr>
            <w:tcW w:w="0" w:type="auto"/>
            <w:gridSpan w:val="3"/>
            <w:shd w:val="clear" w:color="auto" w:fill="CCEEFF"/>
            <w:tcMar>
              <w:top w:w="0" w:type="dxa"/>
              <w:left w:w="20" w:type="dxa"/>
              <w:bottom w:w="0" w:type="dxa"/>
              <w:right w:w="20" w:type="dxa"/>
            </w:tcMar>
            <w:vAlign w:val="bottom"/>
          </w:tcPr>
          <w:p w14:paraId="35D0BEC3"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D0BEC4"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D0BEC5" w14:textId="77777777" w:rsidR="00D42204" w:rsidRDefault="004E439D">
            <w:pPr>
              <w:jc w:val="right"/>
              <w:textAlignment w:val="bottom"/>
            </w:pPr>
            <w:r>
              <w:rPr>
                <w:rFonts w:ascii="Times New Roman" w:eastAsia="宋体" w:hAnsi="Times New Roman"/>
                <w:color w:val="000000"/>
                <w:sz w:val="16"/>
                <w:szCs w:val="16"/>
              </w:rPr>
              <w:t>46,822 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EC6"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EC7"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D0BEC8"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D0BEC9" w14:textId="77777777" w:rsidR="00D42204" w:rsidRDefault="004E439D">
            <w:pPr>
              <w:jc w:val="right"/>
              <w:textAlignment w:val="bottom"/>
            </w:pPr>
            <w:r>
              <w:rPr>
                <w:rFonts w:ascii="Times New Roman" w:eastAsia="宋体" w:hAnsi="Times New Roman"/>
                <w:color w:val="000000"/>
                <w:sz w:val="16"/>
                <w:szCs w:val="16"/>
              </w:rPr>
              <w:t>42,148 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ECA"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ECB" w14:textId="77777777" w:rsidR="00D42204" w:rsidRDefault="00D42204">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35D0BECC"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35D0BECD" w14:textId="77777777" w:rsidR="00D42204" w:rsidRDefault="004E439D">
            <w:pPr>
              <w:jc w:val="right"/>
              <w:textAlignment w:val="bottom"/>
            </w:pPr>
            <w:r>
              <w:rPr>
                <w:rFonts w:ascii="Times New Roman" w:eastAsia="宋体" w:hAnsi="Times New Roman"/>
                <w:color w:val="000000"/>
                <w:sz w:val="16"/>
                <w:szCs w:val="16"/>
              </w:rPr>
              <w:t>35,043 </w:t>
            </w:r>
          </w:p>
        </w:tc>
        <w:tc>
          <w:tcPr>
            <w:tcW w:w="0" w:type="auto"/>
            <w:tcBorders>
              <w:top w:val="single" w:sz="8" w:space="0" w:color="000000"/>
            </w:tcBorders>
            <w:shd w:val="clear" w:color="auto" w:fill="CCEEFF"/>
            <w:tcMar>
              <w:top w:w="40" w:type="dxa"/>
              <w:left w:w="0" w:type="dxa"/>
              <w:bottom w:w="40" w:type="dxa"/>
              <w:right w:w="20" w:type="dxa"/>
            </w:tcMar>
            <w:vAlign w:val="bottom"/>
          </w:tcPr>
          <w:p w14:paraId="35D0BECE" w14:textId="77777777" w:rsidR="00D42204" w:rsidRDefault="00D42204">
            <w:pPr>
              <w:jc w:val="right"/>
              <w:rPr>
                <w:rFonts w:ascii="宋体"/>
              </w:rPr>
            </w:pPr>
          </w:p>
        </w:tc>
      </w:tr>
      <w:tr w:rsidR="00D42204" w14:paraId="35D0BEDA" w14:textId="77777777">
        <w:trPr>
          <w:jc w:val="center"/>
        </w:trPr>
        <w:tc>
          <w:tcPr>
            <w:tcW w:w="0" w:type="auto"/>
            <w:gridSpan w:val="3"/>
            <w:shd w:val="clear" w:color="auto" w:fill="FFFFFF"/>
            <w:tcMar>
              <w:top w:w="40" w:type="dxa"/>
              <w:left w:w="380" w:type="dxa"/>
              <w:bottom w:w="40" w:type="dxa"/>
              <w:right w:w="20" w:type="dxa"/>
            </w:tcMar>
            <w:vAlign w:val="bottom"/>
          </w:tcPr>
          <w:p w14:paraId="35D0BED0" w14:textId="77777777" w:rsidR="00D42204" w:rsidRDefault="004E439D">
            <w:pPr>
              <w:textAlignment w:val="bottom"/>
            </w:pPr>
            <w:r>
              <w:rPr>
                <w:rFonts w:ascii="Times New Roman" w:eastAsia="宋体" w:hAnsi="Times New Roman"/>
                <w:color w:val="000000"/>
                <w:sz w:val="16"/>
                <w:szCs w:val="16"/>
              </w:rPr>
              <w:t>Fuel, tobacco and other categories</w:t>
            </w:r>
          </w:p>
        </w:tc>
        <w:tc>
          <w:tcPr>
            <w:tcW w:w="0" w:type="auto"/>
            <w:gridSpan w:val="3"/>
            <w:shd w:val="clear" w:color="auto" w:fill="FFFFFF"/>
            <w:tcMar>
              <w:top w:w="0" w:type="dxa"/>
              <w:left w:w="20" w:type="dxa"/>
              <w:bottom w:w="0" w:type="dxa"/>
              <w:right w:w="20" w:type="dxa"/>
            </w:tcMar>
            <w:vAlign w:val="bottom"/>
          </w:tcPr>
          <w:p w14:paraId="35D0BED1"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ED2" w14:textId="77777777" w:rsidR="00D42204" w:rsidRDefault="004E439D">
            <w:pPr>
              <w:jc w:val="right"/>
              <w:textAlignment w:val="center"/>
            </w:pPr>
            <w:r>
              <w:rPr>
                <w:rFonts w:ascii="Times New Roman" w:eastAsia="宋体" w:hAnsi="Times New Roman"/>
                <w:color w:val="000000"/>
                <w:sz w:val="16"/>
                <w:szCs w:val="16"/>
              </w:rPr>
              <w:t>11,048 </w:t>
            </w:r>
          </w:p>
        </w:tc>
        <w:tc>
          <w:tcPr>
            <w:tcW w:w="0" w:type="auto"/>
            <w:shd w:val="clear" w:color="auto" w:fill="FFFFFF"/>
            <w:tcMar>
              <w:top w:w="40" w:type="dxa"/>
              <w:left w:w="0" w:type="dxa"/>
              <w:bottom w:w="40" w:type="dxa"/>
              <w:right w:w="20" w:type="dxa"/>
            </w:tcMar>
            <w:vAlign w:val="center"/>
          </w:tcPr>
          <w:p w14:paraId="35D0BED3"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ED4"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ED5" w14:textId="77777777" w:rsidR="00D42204" w:rsidRDefault="004E439D">
            <w:pPr>
              <w:jc w:val="right"/>
              <w:textAlignment w:val="center"/>
            </w:pPr>
            <w:r>
              <w:rPr>
                <w:rFonts w:ascii="Times New Roman" w:eastAsia="宋体" w:hAnsi="Times New Roman"/>
                <w:color w:val="000000"/>
                <w:sz w:val="16"/>
                <w:szCs w:val="16"/>
              </w:rPr>
              <w:t>7,838 </w:t>
            </w:r>
          </w:p>
        </w:tc>
        <w:tc>
          <w:tcPr>
            <w:tcW w:w="0" w:type="auto"/>
            <w:shd w:val="clear" w:color="auto" w:fill="FFFFFF"/>
            <w:tcMar>
              <w:top w:w="40" w:type="dxa"/>
              <w:left w:w="0" w:type="dxa"/>
              <w:bottom w:w="40" w:type="dxa"/>
              <w:right w:w="20" w:type="dxa"/>
            </w:tcMar>
            <w:vAlign w:val="center"/>
          </w:tcPr>
          <w:p w14:paraId="35D0BED6"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ED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ED8" w14:textId="77777777" w:rsidR="00D42204" w:rsidRDefault="004E439D">
            <w:pPr>
              <w:jc w:val="right"/>
              <w:textAlignment w:val="center"/>
            </w:pPr>
            <w:r>
              <w:rPr>
                <w:rFonts w:ascii="Times New Roman" w:eastAsia="宋体" w:hAnsi="Times New Roman"/>
                <w:color w:val="000000"/>
                <w:sz w:val="16"/>
                <w:szCs w:val="16"/>
              </w:rPr>
              <w:t>10,571 </w:t>
            </w:r>
          </w:p>
        </w:tc>
        <w:tc>
          <w:tcPr>
            <w:tcW w:w="0" w:type="auto"/>
            <w:shd w:val="clear" w:color="auto" w:fill="FFFFFF"/>
            <w:tcMar>
              <w:top w:w="40" w:type="dxa"/>
              <w:left w:w="0" w:type="dxa"/>
              <w:bottom w:w="40" w:type="dxa"/>
              <w:right w:w="20" w:type="dxa"/>
            </w:tcMar>
            <w:vAlign w:val="center"/>
          </w:tcPr>
          <w:p w14:paraId="35D0BED9" w14:textId="77777777" w:rsidR="00D42204" w:rsidRDefault="00D42204">
            <w:pPr>
              <w:jc w:val="right"/>
              <w:rPr>
                <w:rFonts w:ascii="宋体"/>
              </w:rPr>
            </w:pPr>
          </w:p>
        </w:tc>
      </w:tr>
      <w:tr w:rsidR="00D42204" w14:paraId="35D0BEE5" w14:textId="77777777">
        <w:trPr>
          <w:jc w:val="center"/>
        </w:trPr>
        <w:tc>
          <w:tcPr>
            <w:tcW w:w="0" w:type="auto"/>
            <w:gridSpan w:val="3"/>
            <w:shd w:val="clear" w:color="auto" w:fill="CCEEFF"/>
            <w:tcMar>
              <w:top w:w="40" w:type="dxa"/>
              <w:left w:w="380" w:type="dxa"/>
              <w:bottom w:w="40" w:type="dxa"/>
              <w:right w:w="20" w:type="dxa"/>
            </w:tcMar>
            <w:vAlign w:val="center"/>
          </w:tcPr>
          <w:p w14:paraId="35D0BEDB" w14:textId="77777777" w:rsidR="00D42204" w:rsidRDefault="004E439D">
            <w:pPr>
              <w:textAlignment w:val="center"/>
            </w:pPr>
            <w:r>
              <w:rPr>
                <w:rFonts w:ascii="Times New Roman" w:eastAsia="宋体" w:hAnsi="Times New Roman"/>
                <w:color w:val="000000"/>
                <w:sz w:val="16"/>
                <w:szCs w:val="16"/>
              </w:rPr>
              <w:t>Home and apparel</w:t>
            </w:r>
          </w:p>
        </w:tc>
        <w:tc>
          <w:tcPr>
            <w:tcW w:w="0" w:type="auto"/>
            <w:gridSpan w:val="3"/>
            <w:shd w:val="clear" w:color="auto" w:fill="CCEEFF"/>
            <w:tcMar>
              <w:top w:w="0" w:type="dxa"/>
              <w:left w:w="20" w:type="dxa"/>
              <w:bottom w:w="0" w:type="dxa"/>
              <w:right w:w="20" w:type="dxa"/>
            </w:tcMar>
            <w:vAlign w:val="bottom"/>
          </w:tcPr>
          <w:p w14:paraId="35D0BEDC"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EDD" w14:textId="77777777" w:rsidR="00D42204" w:rsidRDefault="004E439D">
            <w:pPr>
              <w:jc w:val="right"/>
              <w:textAlignment w:val="bottom"/>
            </w:pPr>
            <w:r>
              <w:rPr>
                <w:rFonts w:ascii="Times New Roman" w:eastAsia="宋体" w:hAnsi="Times New Roman"/>
                <w:color w:val="000000"/>
                <w:sz w:val="16"/>
                <w:szCs w:val="16"/>
              </w:rPr>
              <w:t>8,740 </w:t>
            </w:r>
          </w:p>
        </w:tc>
        <w:tc>
          <w:tcPr>
            <w:tcW w:w="0" w:type="auto"/>
            <w:shd w:val="clear" w:color="auto" w:fill="CCEEFF"/>
            <w:tcMar>
              <w:top w:w="40" w:type="dxa"/>
              <w:left w:w="0" w:type="dxa"/>
              <w:bottom w:w="40" w:type="dxa"/>
              <w:right w:w="20" w:type="dxa"/>
            </w:tcMar>
            <w:vAlign w:val="bottom"/>
          </w:tcPr>
          <w:p w14:paraId="35D0BEDE"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EDF"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EE0" w14:textId="77777777" w:rsidR="00D42204" w:rsidRDefault="004E439D">
            <w:pPr>
              <w:jc w:val="right"/>
              <w:textAlignment w:val="bottom"/>
            </w:pPr>
            <w:r>
              <w:rPr>
                <w:rFonts w:ascii="Times New Roman" w:eastAsia="宋体" w:hAnsi="Times New Roman"/>
                <w:color w:val="000000"/>
                <w:sz w:val="16"/>
                <w:szCs w:val="16"/>
              </w:rPr>
              <w:t>7,092 </w:t>
            </w:r>
          </w:p>
        </w:tc>
        <w:tc>
          <w:tcPr>
            <w:tcW w:w="0" w:type="auto"/>
            <w:shd w:val="clear" w:color="auto" w:fill="CCEEFF"/>
            <w:tcMar>
              <w:top w:w="40" w:type="dxa"/>
              <w:left w:w="0" w:type="dxa"/>
              <w:bottom w:w="40" w:type="dxa"/>
              <w:right w:w="20" w:type="dxa"/>
            </w:tcMar>
            <w:vAlign w:val="bottom"/>
          </w:tcPr>
          <w:p w14:paraId="35D0BEE1"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EE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bottom"/>
          </w:tcPr>
          <w:p w14:paraId="35D0BEE3" w14:textId="77777777" w:rsidR="00D42204" w:rsidRDefault="004E439D">
            <w:pPr>
              <w:jc w:val="right"/>
              <w:textAlignment w:val="bottom"/>
            </w:pPr>
            <w:r>
              <w:rPr>
                <w:rFonts w:ascii="Times New Roman" w:eastAsia="宋体" w:hAnsi="Times New Roman"/>
                <w:color w:val="000000"/>
                <w:sz w:val="16"/>
                <w:szCs w:val="16"/>
              </w:rPr>
              <w:t>6,744 </w:t>
            </w:r>
          </w:p>
        </w:tc>
        <w:tc>
          <w:tcPr>
            <w:tcW w:w="0" w:type="auto"/>
            <w:shd w:val="clear" w:color="auto" w:fill="CCEEFF"/>
            <w:tcMar>
              <w:top w:w="40" w:type="dxa"/>
              <w:left w:w="0" w:type="dxa"/>
              <w:bottom w:w="40" w:type="dxa"/>
              <w:right w:w="20" w:type="dxa"/>
            </w:tcMar>
            <w:vAlign w:val="bottom"/>
          </w:tcPr>
          <w:p w14:paraId="35D0BEE4" w14:textId="77777777" w:rsidR="00D42204" w:rsidRDefault="00D42204">
            <w:pPr>
              <w:jc w:val="right"/>
              <w:rPr>
                <w:rFonts w:ascii="宋体"/>
              </w:rPr>
            </w:pPr>
          </w:p>
        </w:tc>
      </w:tr>
      <w:tr w:rsidR="00D42204" w14:paraId="35D0BEF0" w14:textId="77777777">
        <w:trPr>
          <w:jc w:val="center"/>
        </w:trPr>
        <w:tc>
          <w:tcPr>
            <w:tcW w:w="0" w:type="auto"/>
            <w:gridSpan w:val="3"/>
            <w:shd w:val="clear" w:color="auto" w:fill="FFFFFF"/>
            <w:tcMar>
              <w:top w:w="40" w:type="dxa"/>
              <w:left w:w="380" w:type="dxa"/>
              <w:bottom w:w="40" w:type="dxa"/>
              <w:right w:w="20" w:type="dxa"/>
            </w:tcMar>
            <w:vAlign w:val="bottom"/>
          </w:tcPr>
          <w:p w14:paraId="35D0BEE6" w14:textId="77777777" w:rsidR="00D42204" w:rsidRDefault="004E439D">
            <w:pPr>
              <w:textAlignment w:val="bottom"/>
            </w:pPr>
            <w:r>
              <w:rPr>
                <w:rFonts w:ascii="Times New Roman" w:eastAsia="宋体" w:hAnsi="Times New Roman"/>
                <w:color w:val="000000"/>
                <w:sz w:val="16"/>
                <w:szCs w:val="16"/>
              </w:rPr>
              <w:t>Health and wellness</w:t>
            </w:r>
          </w:p>
        </w:tc>
        <w:tc>
          <w:tcPr>
            <w:tcW w:w="0" w:type="auto"/>
            <w:gridSpan w:val="3"/>
            <w:shd w:val="clear" w:color="auto" w:fill="FFFFFF"/>
            <w:tcMar>
              <w:top w:w="0" w:type="dxa"/>
              <w:left w:w="20" w:type="dxa"/>
              <w:bottom w:w="0" w:type="dxa"/>
              <w:right w:w="20" w:type="dxa"/>
            </w:tcMar>
            <w:vAlign w:val="bottom"/>
          </w:tcPr>
          <w:p w14:paraId="35D0BEE7"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EE8" w14:textId="77777777" w:rsidR="00D42204" w:rsidRDefault="004E439D">
            <w:pPr>
              <w:jc w:val="right"/>
              <w:textAlignment w:val="center"/>
            </w:pPr>
            <w:r>
              <w:rPr>
                <w:rFonts w:ascii="Times New Roman" w:eastAsia="宋体" w:hAnsi="Times New Roman"/>
                <w:color w:val="000000"/>
                <w:sz w:val="16"/>
                <w:szCs w:val="16"/>
              </w:rPr>
              <w:t>3,956 </w:t>
            </w:r>
          </w:p>
        </w:tc>
        <w:tc>
          <w:tcPr>
            <w:tcW w:w="0" w:type="auto"/>
            <w:shd w:val="clear" w:color="auto" w:fill="FFFFFF"/>
            <w:tcMar>
              <w:top w:w="40" w:type="dxa"/>
              <w:left w:w="0" w:type="dxa"/>
              <w:bottom w:w="40" w:type="dxa"/>
              <w:right w:w="20" w:type="dxa"/>
            </w:tcMar>
            <w:vAlign w:val="center"/>
          </w:tcPr>
          <w:p w14:paraId="35D0BEE9"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EEA"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EEB" w14:textId="77777777" w:rsidR="00D42204" w:rsidRDefault="004E439D">
            <w:pPr>
              <w:jc w:val="right"/>
              <w:textAlignment w:val="center"/>
            </w:pPr>
            <w:r>
              <w:rPr>
                <w:rFonts w:ascii="Times New Roman" w:eastAsia="宋体" w:hAnsi="Times New Roman"/>
                <w:color w:val="000000"/>
                <w:sz w:val="16"/>
                <w:szCs w:val="16"/>
              </w:rPr>
              <w:t>3,792 </w:t>
            </w:r>
          </w:p>
        </w:tc>
        <w:tc>
          <w:tcPr>
            <w:tcW w:w="0" w:type="auto"/>
            <w:shd w:val="clear" w:color="auto" w:fill="FFFFFF"/>
            <w:tcMar>
              <w:top w:w="40" w:type="dxa"/>
              <w:left w:w="0" w:type="dxa"/>
              <w:bottom w:w="40" w:type="dxa"/>
              <w:right w:w="20" w:type="dxa"/>
            </w:tcMar>
            <w:vAlign w:val="center"/>
          </w:tcPr>
          <w:p w14:paraId="35D0BEEC"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EED" w14:textId="77777777" w:rsidR="00D42204" w:rsidRDefault="00D42204">
            <w:pPr>
              <w:rPr>
                <w:rFonts w:ascii="宋体"/>
              </w:rPr>
            </w:pPr>
          </w:p>
        </w:tc>
        <w:tc>
          <w:tcPr>
            <w:tcW w:w="0" w:type="auto"/>
            <w:gridSpan w:val="2"/>
            <w:shd w:val="clear" w:color="auto" w:fill="FFFFFF"/>
            <w:tcMar>
              <w:top w:w="40" w:type="dxa"/>
              <w:left w:w="20" w:type="dxa"/>
              <w:bottom w:w="40" w:type="dxa"/>
              <w:right w:w="0" w:type="dxa"/>
            </w:tcMar>
            <w:vAlign w:val="center"/>
          </w:tcPr>
          <w:p w14:paraId="35D0BEEE" w14:textId="77777777" w:rsidR="00D42204" w:rsidRDefault="004E439D">
            <w:pPr>
              <w:jc w:val="right"/>
              <w:textAlignment w:val="center"/>
            </w:pPr>
            <w:r>
              <w:rPr>
                <w:rFonts w:ascii="Times New Roman" w:eastAsia="宋体" w:hAnsi="Times New Roman"/>
                <w:color w:val="000000"/>
                <w:sz w:val="16"/>
                <w:szCs w:val="16"/>
              </w:rPr>
              <w:t>3,372 </w:t>
            </w:r>
          </w:p>
        </w:tc>
        <w:tc>
          <w:tcPr>
            <w:tcW w:w="0" w:type="auto"/>
            <w:shd w:val="clear" w:color="auto" w:fill="FFFFFF"/>
            <w:tcMar>
              <w:top w:w="40" w:type="dxa"/>
              <w:left w:w="0" w:type="dxa"/>
              <w:bottom w:w="40" w:type="dxa"/>
              <w:right w:w="20" w:type="dxa"/>
            </w:tcMar>
            <w:vAlign w:val="center"/>
          </w:tcPr>
          <w:p w14:paraId="35D0BEEF" w14:textId="77777777" w:rsidR="00D42204" w:rsidRDefault="00D42204">
            <w:pPr>
              <w:jc w:val="right"/>
              <w:rPr>
                <w:rFonts w:ascii="宋体"/>
              </w:rPr>
            </w:pPr>
          </w:p>
        </w:tc>
      </w:tr>
      <w:tr w:rsidR="00D42204" w14:paraId="35D0BEFB" w14:textId="77777777">
        <w:trPr>
          <w:jc w:val="center"/>
        </w:trPr>
        <w:tc>
          <w:tcPr>
            <w:tcW w:w="0" w:type="auto"/>
            <w:gridSpan w:val="3"/>
            <w:shd w:val="clear" w:color="auto" w:fill="CCEEFF"/>
            <w:tcMar>
              <w:top w:w="40" w:type="dxa"/>
              <w:left w:w="380" w:type="dxa"/>
              <w:bottom w:w="40" w:type="dxa"/>
              <w:right w:w="20" w:type="dxa"/>
            </w:tcMar>
            <w:vAlign w:val="center"/>
          </w:tcPr>
          <w:p w14:paraId="35D0BEF1" w14:textId="77777777" w:rsidR="00D42204" w:rsidRDefault="004E439D">
            <w:pPr>
              <w:textAlignment w:val="center"/>
            </w:pPr>
            <w:r>
              <w:rPr>
                <w:rFonts w:ascii="Times New Roman" w:eastAsia="宋体" w:hAnsi="Times New Roman"/>
                <w:color w:val="000000"/>
                <w:sz w:val="16"/>
                <w:szCs w:val="16"/>
              </w:rPr>
              <w:t>Technology, office and entertainment</w:t>
            </w:r>
          </w:p>
        </w:tc>
        <w:tc>
          <w:tcPr>
            <w:tcW w:w="0" w:type="auto"/>
            <w:gridSpan w:val="3"/>
            <w:shd w:val="clear" w:color="auto" w:fill="CCEEFF"/>
            <w:tcMar>
              <w:top w:w="0" w:type="dxa"/>
              <w:left w:w="20" w:type="dxa"/>
              <w:bottom w:w="0" w:type="dxa"/>
              <w:right w:w="20" w:type="dxa"/>
            </w:tcMar>
            <w:vAlign w:val="bottom"/>
          </w:tcPr>
          <w:p w14:paraId="35D0BEF2"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EF3" w14:textId="77777777" w:rsidR="00D42204" w:rsidRDefault="004E439D">
            <w:pPr>
              <w:jc w:val="right"/>
              <w:textAlignment w:val="center"/>
            </w:pPr>
            <w:r>
              <w:rPr>
                <w:rFonts w:ascii="Times New Roman" w:eastAsia="宋体" w:hAnsi="Times New Roman"/>
                <w:color w:val="000000"/>
                <w:sz w:val="16"/>
                <w:szCs w:val="16"/>
              </w:rPr>
              <w:t>2,990 </w:t>
            </w:r>
          </w:p>
        </w:tc>
        <w:tc>
          <w:tcPr>
            <w:tcW w:w="0" w:type="auto"/>
            <w:shd w:val="clear" w:color="auto" w:fill="CCEEFF"/>
            <w:tcMar>
              <w:top w:w="40" w:type="dxa"/>
              <w:left w:w="0" w:type="dxa"/>
              <w:bottom w:w="40" w:type="dxa"/>
              <w:right w:w="20" w:type="dxa"/>
            </w:tcMar>
            <w:vAlign w:val="center"/>
          </w:tcPr>
          <w:p w14:paraId="35D0BEF4"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EF5"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EF6" w14:textId="77777777" w:rsidR="00D42204" w:rsidRDefault="004E439D">
            <w:pPr>
              <w:jc w:val="right"/>
              <w:textAlignment w:val="center"/>
            </w:pPr>
            <w:r>
              <w:rPr>
                <w:rFonts w:ascii="Times New Roman" w:eastAsia="宋体" w:hAnsi="Times New Roman"/>
                <w:color w:val="000000"/>
                <w:sz w:val="16"/>
                <w:szCs w:val="16"/>
              </w:rPr>
              <w:t>3,040 </w:t>
            </w:r>
          </w:p>
        </w:tc>
        <w:tc>
          <w:tcPr>
            <w:tcW w:w="0" w:type="auto"/>
            <w:shd w:val="clear" w:color="auto" w:fill="CCEEFF"/>
            <w:tcMar>
              <w:top w:w="40" w:type="dxa"/>
              <w:left w:w="0" w:type="dxa"/>
              <w:bottom w:w="40" w:type="dxa"/>
              <w:right w:w="20" w:type="dxa"/>
            </w:tcMar>
            <w:vAlign w:val="center"/>
          </w:tcPr>
          <w:p w14:paraId="35D0BEF7" w14:textId="77777777" w:rsidR="00D42204" w:rsidRDefault="00D42204">
            <w:pPr>
              <w:jc w:val="right"/>
              <w:rPr>
                <w:rFonts w:ascii="宋体"/>
              </w:rPr>
            </w:pPr>
          </w:p>
        </w:tc>
        <w:tc>
          <w:tcPr>
            <w:tcW w:w="0" w:type="auto"/>
            <w:gridSpan w:val="3"/>
            <w:shd w:val="clear" w:color="auto" w:fill="CCEEFF"/>
            <w:tcMar>
              <w:top w:w="0" w:type="dxa"/>
              <w:left w:w="20" w:type="dxa"/>
              <w:bottom w:w="0" w:type="dxa"/>
              <w:right w:w="20" w:type="dxa"/>
            </w:tcMar>
            <w:vAlign w:val="bottom"/>
          </w:tcPr>
          <w:p w14:paraId="35D0BEF8" w14:textId="77777777" w:rsidR="00D42204" w:rsidRDefault="00D42204">
            <w:pPr>
              <w:rPr>
                <w:rFonts w:ascii="宋体"/>
              </w:rPr>
            </w:pPr>
          </w:p>
        </w:tc>
        <w:tc>
          <w:tcPr>
            <w:tcW w:w="0" w:type="auto"/>
            <w:gridSpan w:val="2"/>
            <w:shd w:val="clear" w:color="auto" w:fill="CCEEFF"/>
            <w:tcMar>
              <w:top w:w="40" w:type="dxa"/>
              <w:left w:w="20" w:type="dxa"/>
              <w:bottom w:w="40" w:type="dxa"/>
              <w:right w:w="0" w:type="dxa"/>
            </w:tcMar>
            <w:vAlign w:val="center"/>
          </w:tcPr>
          <w:p w14:paraId="35D0BEF9" w14:textId="77777777" w:rsidR="00D42204" w:rsidRDefault="004E439D">
            <w:pPr>
              <w:jc w:val="right"/>
              <w:textAlignment w:val="center"/>
            </w:pPr>
            <w:r>
              <w:rPr>
                <w:rFonts w:ascii="Times New Roman" w:eastAsia="宋体" w:hAnsi="Times New Roman"/>
                <w:color w:val="000000"/>
                <w:sz w:val="16"/>
                <w:szCs w:val="16"/>
              </w:rPr>
              <w:t>3,062 </w:t>
            </w:r>
          </w:p>
        </w:tc>
        <w:tc>
          <w:tcPr>
            <w:tcW w:w="0" w:type="auto"/>
            <w:shd w:val="clear" w:color="auto" w:fill="CCEEFF"/>
            <w:tcMar>
              <w:top w:w="40" w:type="dxa"/>
              <w:left w:w="0" w:type="dxa"/>
              <w:bottom w:w="40" w:type="dxa"/>
              <w:right w:w="20" w:type="dxa"/>
            </w:tcMar>
            <w:vAlign w:val="center"/>
          </w:tcPr>
          <w:p w14:paraId="35D0BEFA" w14:textId="77777777" w:rsidR="00D42204" w:rsidRDefault="00D42204">
            <w:pPr>
              <w:jc w:val="right"/>
              <w:rPr>
                <w:rFonts w:ascii="宋体"/>
              </w:rPr>
            </w:pPr>
          </w:p>
        </w:tc>
      </w:tr>
      <w:tr w:rsidR="00D42204" w14:paraId="35D0BF09" w14:textId="77777777">
        <w:trPr>
          <w:jc w:val="center"/>
        </w:trPr>
        <w:tc>
          <w:tcPr>
            <w:tcW w:w="0" w:type="auto"/>
            <w:gridSpan w:val="3"/>
            <w:shd w:val="clear" w:color="auto" w:fill="FFFFFF"/>
            <w:tcMar>
              <w:top w:w="40" w:type="dxa"/>
              <w:left w:w="20" w:type="dxa"/>
              <w:bottom w:w="40" w:type="dxa"/>
              <w:right w:w="20" w:type="dxa"/>
            </w:tcMar>
            <w:vAlign w:val="center"/>
          </w:tcPr>
          <w:p w14:paraId="35D0BEFC" w14:textId="77777777" w:rsidR="00D42204" w:rsidRDefault="004E439D">
            <w:pPr>
              <w:textAlignment w:val="center"/>
            </w:pPr>
            <w:r>
              <w:rPr>
                <w:rFonts w:ascii="Times New Roman" w:eastAsia="宋体" w:hAnsi="Times New Roman"/>
                <w:b/>
                <w:bCs/>
                <w:color w:val="000000"/>
                <w:sz w:val="16"/>
                <w:szCs w:val="16"/>
              </w:rPr>
              <w:t>Total</w:t>
            </w:r>
          </w:p>
        </w:tc>
        <w:tc>
          <w:tcPr>
            <w:tcW w:w="0" w:type="auto"/>
            <w:gridSpan w:val="3"/>
            <w:shd w:val="clear" w:color="auto" w:fill="FFFFFF"/>
            <w:tcMar>
              <w:top w:w="0" w:type="dxa"/>
              <w:left w:w="20" w:type="dxa"/>
              <w:bottom w:w="0" w:type="dxa"/>
              <w:right w:w="20" w:type="dxa"/>
            </w:tcMar>
            <w:vAlign w:val="bottom"/>
          </w:tcPr>
          <w:p w14:paraId="35D0BEFD"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5D0BEFE"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5D0BEFF" w14:textId="77777777" w:rsidR="00D42204" w:rsidRDefault="004E439D">
            <w:pPr>
              <w:jc w:val="right"/>
              <w:textAlignment w:val="bottom"/>
            </w:pPr>
            <w:r>
              <w:rPr>
                <w:rFonts w:ascii="Times New Roman" w:eastAsia="宋体" w:hAnsi="Times New Roman"/>
                <w:color w:val="000000"/>
                <w:sz w:val="16"/>
                <w:szCs w:val="16"/>
              </w:rPr>
              <w:t>73,556 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5D0BF00"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F01"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5D0BF02"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5D0BF03" w14:textId="77777777" w:rsidR="00D42204" w:rsidRDefault="004E439D">
            <w:pPr>
              <w:jc w:val="right"/>
              <w:textAlignment w:val="bottom"/>
            </w:pPr>
            <w:r>
              <w:rPr>
                <w:rFonts w:ascii="Times New Roman" w:eastAsia="宋体" w:hAnsi="Times New Roman"/>
                <w:color w:val="000000"/>
                <w:sz w:val="16"/>
                <w:szCs w:val="16"/>
              </w:rPr>
              <w:t>63,910 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5D0BF04" w14:textId="77777777" w:rsidR="00D42204" w:rsidRDefault="00D42204">
            <w:pPr>
              <w:jc w:val="right"/>
              <w:rPr>
                <w:rFonts w:ascii="宋体"/>
              </w:rPr>
            </w:pPr>
          </w:p>
        </w:tc>
        <w:tc>
          <w:tcPr>
            <w:tcW w:w="0" w:type="auto"/>
            <w:gridSpan w:val="3"/>
            <w:shd w:val="clear" w:color="auto" w:fill="FFFFFF"/>
            <w:tcMar>
              <w:top w:w="0" w:type="dxa"/>
              <w:left w:w="20" w:type="dxa"/>
              <w:bottom w:w="0" w:type="dxa"/>
              <w:right w:w="20" w:type="dxa"/>
            </w:tcMar>
            <w:vAlign w:val="bottom"/>
          </w:tcPr>
          <w:p w14:paraId="35D0BF05" w14:textId="77777777" w:rsidR="00D42204" w:rsidRDefault="00D42204">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35D0BF06" w14:textId="77777777" w:rsidR="00D42204" w:rsidRDefault="004E439D">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35D0BF07" w14:textId="77777777" w:rsidR="00D42204" w:rsidRDefault="004E439D">
            <w:pPr>
              <w:jc w:val="right"/>
              <w:textAlignment w:val="bottom"/>
            </w:pPr>
            <w:r>
              <w:rPr>
                <w:rFonts w:ascii="Times New Roman" w:eastAsia="宋体" w:hAnsi="Times New Roman"/>
                <w:color w:val="000000"/>
                <w:sz w:val="16"/>
                <w:szCs w:val="16"/>
              </w:rPr>
              <w:t>58,792 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35D0BF08" w14:textId="77777777" w:rsidR="00D42204" w:rsidRDefault="00D42204">
            <w:pPr>
              <w:jc w:val="right"/>
              <w:rPr>
                <w:rFonts w:ascii="宋体"/>
              </w:rPr>
            </w:pPr>
          </w:p>
        </w:tc>
      </w:tr>
    </w:tbl>
    <w:p w14:paraId="35D0BF0A" w14:textId="77777777" w:rsidR="00D42204" w:rsidRDefault="004E439D">
      <w:pPr>
        <w:spacing w:before="40"/>
      </w:pPr>
      <w:r>
        <w:rPr>
          <w:rFonts w:ascii="Times New Roman" w:eastAsia="宋体" w:hAnsi="Times New Roman"/>
          <w:color w:val="000000"/>
          <w:sz w:val="20"/>
          <w:szCs w:val="20"/>
        </w:rPr>
        <w:t xml:space="preserve">Of Sam's Club's total net sales, approximately $6.9 billion, $5.3 billion and $3.8 billion related to eCommerce for fiscal 2022, 2021 and 2020, respectively. </w:t>
      </w:r>
    </w:p>
    <w:p w14:paraId="35D0BF0B" w14:textId="77777777" w:rsidR="00D42204" w:rsidRDefault="004E439D">
      <w:pPr>
        <w:jc w:val="center"/>
      </w:pPr>
      <w:r>
        <w:rPr>
          <w:rFonts w:ascii="Times New Roman" w:eastAsia="宋体" w:hAnsi="Times New Roman"/>
          <w:color w:val="000000"/>
          <w:sz w:val="20"/>
          <w:szCs w:val="20"/>
        </w:rPr>
        <w:t>78</w:t>
      </w:r>
    </w:p>
    <w:p w14:paraId="35D0BF0C" w14:textId="77777777" w:rsidR="00D42204" w:rsidRDefault="004E439D">
      <w:r>
        <w:pict w14:anchorId="35D0C3A9">
          <v:rect id="_x0000_i1102" style="width:415.3pt;height:1.5pt" o:hralign="center" o:hrstd="t" o:hr="t" fillcolor="#a0a0a0" stroked="f"/>
        </w:pict>
      </w:r>
    </w:p>
    <w:p w14:paraId="35D0BF0D" w14:textId="77777777" w:rsidR="00D42204" w:rsidRDefault="00D42204"/>
    <w:p w14:paraId="35D0BF0E" w14:textId="77777777" w:rsidR="00D42204" w:rsidRDefault="004E439D">
      <w:pPr>
        <w:spacing w:before="180"/>
      </w:pPr>
      <w:r>
        <w:rPr>
          <w:rFonts w:ascii="Times New Roman" w:eastAsia="宋体" w:hAnsi="Times New Roman"/>
          <w:b/>
          <w:bCs/>
          <w:color w:val="000000"/>
          <w:sz w:val="20"/>
          <w:szCs w:val="20"/>
        </w:rPr>
        <w:t xml:space="preserve">Note 14. </w:t>
      </w:r>
      <w:r>
        <w:rPr>
          <w:rFonts w:ascii="Times New Roman" w:eastAsia="宋体" w:hAnsi="Times New Roman"/>
          <w:b/>
          <w:bCs/>
          <w:color w:val="000000"/>
          <w:sz w:val="20"/>
          <w:szCs w:val="20"/>
        </w:rPr>
        <w:t>Subsequent Event</w:t>
      </w:r>
    </w:p>
    <w:p w14:paraId="35D0BF0F" w14:textId="77777777" w:rsidR="00D42204" w:rsidRDefault="004E439D">
      <w:pPr>
        <w:spacing w:before="100"/>
      </w:pPr>
      <w:r>
        <w:rPr>
          <w:rFonts w:ascii="Times New Roman" w:eastAsia="宋体" w:hAnsi="Times New Roman"/>
          <w:i/>
          <w:iCs/>
          <w:color w:val="000000"/>
          <w:sz w:val="20"/>
          <w:szCs w:val="20"/>
        </w:rPr>
        <w:t>Dividends Declared</w:t>
      </w:r>
    </w:p>
    <w:p w14:paraId="35D0BF10" w14:textId="77777777" w:rsidR="00D42204" w:rsidRDefault="004E439D">
      <w:pPr>
        <w:spacing w:before="100"/>
      </w:pPr>
      <w:r>
        <w:rPr>
          <w:rFonts w:ascii="Times New Roman" w:eastAsia="宋体" w:hAnsi="Times New Roman"/>
          <w:color w:val="000000"/>
          <w:sz w:val="20"/>
          <w:szCs w:val="20"/>
        </w:rPr>
        <w:t>The Board of Directors approved, effective February 17, 2022, the fiscal 2023 annual dividend of $2.24 per share, an increase over the fiscal 2022 dividend of $2.20 per share. For fiscal 2023, the annual dividend will be</w:t>
      </w:r>
      <w:r>
        <w:rPr>
          <w:rFonts w:ascii="Times New Roman" w:eastAsia="宋体" w:hAnsi="Times New Roman"/>
          <w:color w:val="000000"/>
          <w:sz w:val="20"/>
          <w:szCs w:val="20"/>
        </w:rPr>
        <w:t xml:space="preserve"> paid in four quarterly installments of $0.56 per share, according to the following record and payable dates:</w:t>
      </w:r>
    </w:p>
    <w:tbl>
      <w:tblPr>
        <w:tblW w:w="5000" w:type="pct"/>
        <w:tblCellMar>
          <w:top w:w="15" w:type="dxa"/>
          <w:left w:w="15" w:type="dxa"/>
          <w:bottom w:w="15" w:type="dxa"/>
          <w:right w:w="15" w:type="dxa"/>
        </w:tblCellMar>
        <w:tblLook w:val="04A0" w:firstRow="1" w:lastRow="0" w:firstColumn="1" w:lastColumn="0" w:noHBand="0" w:noVBand="1"/>
      </w:tblPr>
      <w:tblGrid>
        <w:gridCol w:w="60"/>
        <w:gridCol w:w="5577"/>
        <w:gridCol w:w="37"/>
        <w:gridCol w:w="37"/>
        <w:gridCol w:w="154"/>
        <w:gridCol w:w="36"/>
        <w:gridCol w:w="61"/>
        <w:gridCol w:w="2337"/>
        <w:gridCol w:w="37"/>
      </w:tblGrid>
      <w:tr w:rsidR="00D42204" w14:paraId="35D0BF1A" w14:textId="77777777">
        <w:tc>
          <w:tcPr>
            <w:tcW w:w="50" w:type="pct"/>
            <w:shd w:val="clear" w:color="auto" w:fill="auto"/>
            <w:vAlign w:val="bottom"/>
          </w:tcPr>
          <w:p w14:paraId="35D0BF11" w14:textId="77777777" w:rsidR="00D42204" w:rsidRDefault="00D42204">
            <w:pPr>
              <w:rPr>
                <w:rFonts w:ascii="宋体"/>
              </w:rPr>
            </w:pPr>
          </w:p>
        </w:tc>
        <w:tc>
          <w:tcPr>
            <w:tcW w:w="3358" w:type="pct"/>
            <w:shd w:val="clear" w:color="auto" w:fill="auto"/>
            <w:vAlign w:val="bottom"/>
          </w:tcPr>
          <w:p w14:paraId="35D0BF12" w14:textId="77777777" w:rsidR="00D42204" w:rsidRDefault="00D42204">
            <w:pPr>
              <w:rPr>
                <w:rFonts w:ascii="宋体"/>
              </w:rPr>
            </w:pPr>
          </w:p>
        </w:tc>
        <w:tc>
          <w:tcPr>
            <w:tcW w:w="5" w:type="pct"/>
            <w:shd w:val="clear" w:color="auto" w:fill="auto"/>
            <w:vAlign w:val="bottom"/>
          </w:tcPr>
          <w:p w14:paraId="35D0BF13" w14:textId="77777777" w:rsidR="00D42204" w:rsidRDefault="00D42204">
            <w:pPr>
              <w:rPr>
                <w:rFonts w:ascii="宋体"/>
              </w:rPr>
            </w:pPr>
          </w:p>
        </w:tc>
        <w:tc>
          <w:tcPr>
            <w:tcW w:w="5" w:type="pct"/>
            <w:shd w:val="clear" w:color="auto" w:fill="auto"/>
            <w:vAlign w:val="bottom"/>
          </w:tcPr>
          <w:p w14:paraId="35D0BF14" w14:textId="77777777" w:rsidR="00D42204" w:rsidRDefault="00D42204">
            <w:pPr>
              <w:rPr>
                <w:rFonts w:ascii="宋体"/>
              </w:rPr>
            </w:pPr>
          </w:p>
        </w:tc>
        <w:tc>
          <w:tcPr>
            <w:tcW w:w="106" w:type="pct"/>
            <w:shd w:val="clear" w:color="auto" w:fill="auto"/>
            <w:vAlign w:val="bottom"/>
          </w:tcPr>
          <w:p w14:paraId="35D0BF15" w14:textId="77777777" w:rsidR="00D42204" w:rsidRDefault="00D42204">
            <w:pPr>
              <w:rPr>
                <w:rFonts w:ascii="宋体"/>
              </w:rPr>
            </w:pPr>
          </w:p>
        </w:tc>
        <w:tc>
          <w:tcPr>
            <w:tcW w:w="5" w:type="pct"/>
            <w:shd w:val="clear" w:color="auto" w:fill="auto"/>
            <w:vAlign w:val="bottom"/>
          </w:tcPr>
          <w:p w14:paraId="35D0BF16" w14:textId="77777777" w:rsidR="00D42204" w:rsidRDefault="00D42204">
            <w:pPr>
              <w:rPr>
                <w:rFonts w:ascii="宋体"/>
              </w:rPr>
            </w:pPr>
          </w:p>
        </w:tc>
        <w:tc>
          <w:tcPr>
            <w:tcW w:w="50" w:type="pct"/>
            <w:shd w:val="clear" w:color="auto" w:fill="auto"/>
            <w:vAlign w:val="bottom"/>
          </w:tcPr>
          <w:p w14:paraId="35D0BF17" w14:textId="77777777" w:rsidR="00D42204" w:rsidRDefault="00D42204">
            <w:pPr>
              <w:rPr>
                <w:rFonts w:ascii="宋体"/>
              </w:rPr>
            </w:pPr>
          </w:p>
        </w:tc>
        <w:tc>
          <w:tcPr>
            <w:tcW w:w="1414" w:type="pct"/>
            <w:shd w:val="clear" w:color="auto" w:fill="auto"/>
            <w:vAlign w:val="bottom"/>
          </w:tcPr>
          <w:p w14:paraId="35D0BF18" w14:textId="77777777" w:rsidR="00D42204" w:rsidRDefault="00D42204">
            <w:pPr>
              <w:rPr>
                <w:rFonts w:ascii="宋体"/>
              </w:rPr>
            </w:pPr>
          </w:p>
        </w:tc>
        <w:tc>
          <w:tcPr>
            <w:tcW w:w="5" w:type="pct"/>
            <w:shd w:val="clear" w:color="auto" w:fill="auto"/>
            <w:vAlign w:val="bottom"/>
          </w:tcPr>
          <w:p w14:paraId="35D0BF19" w14:textId="77777777" w:rsidR="00D42204" w:rsidRDefault="00D42204">
            <w:pPr>
              <w:rPr>
                <w:rFonts w:ascii="宋体"/>
              </w:rPr>
            </w:pPr>
          </w:p>
        </w:tc>
      </w:tr>
      <w:tr w:rsidR="00D42204" w14:paraId="35D0BF1E" w14:textId="77777777">
        <w:tc>
          <w:tcPr>
            <w:tcW w:w="0" w:type="auto"/>
            <w:gridSpan w:val="3"/>
            <w:shd w:val="clear" w:color="auto" w:fill="auto"/>
            <w:tcMar>
              <w:top w:w="40" w:type="dxa"/>
              <w:left w:w="20" w:type="dxa"/>
              <w:bottom w:w="40" w:type="dxa"/>
              <w:right w:w="20" w:type="dxa"/>
            </w:tcMar>
            <w:vAlign w:val="bottom"/>
          </w:tcPr>
          <w:p w14:paraId="35D0BF1B" w14:textId="77777777" w:rsidR="00D42204" w:rsidRDefault="004E439D">
            <w:pPr>
              <w:textAlignment w:val="bottom"/>
            </w:pPr>
            <w:r>
              <w:rPr>
                <w:rFonts w:ascii="Times New Roman" w:eastAsia="宋体" w:hAnsi="Times New Roman"/>
                <w:b/>
                <w:bCs/>
                <w:color w:val="000000"/>
                <w:sz w:val="16"/>
                <w:szCs w:val="16"/>
              </w:rPr>
              <w:t>Record Date</w:t>
            </w:r>
          </w:p>
        </w:tc>
        <w:tc>
          <w:tcPr>
            <w:tcW w:w="0" w:type="auto"/>
            <w:gridSpan w:val="3"/>
            <w:shd w:val="clear" w:color="auto" w:fill="auto"/>
            <w:tcMar>
              <w:top w:w="40" w:type="dxa"/>
              <w:left w:w="20" w:type="dxa"/>
              <w:bottom w:w="40" w:type="dxa"/>
              <w:right w:w="20" w:type="dxa"/>
            </w:tcMar>
            <w:vAlign w:val="bottom"/>
          </w:tcPr>
          <w:p w14:paraId="35D0BF1C"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BF1D" w14:textId="77777777" w:rsidR="00D42204" w:rsidRDefault="004E439D">
            <w:pPr>
              <w:textAlignment w:val="bottom"/>
            </w:pPr>
            <w:r>
              <w:rPr>
                <w:rFonts w:ascii="Times New Roman" w:eastAsia="宋体" w:hAnsi="Times New Roman"/>
                <w:b/>
                <w:bCs/>
                <w:color w:val="000000"/>
                <w:sz w:val="16"/>
                <w:szCs w:val="16"/>
              </w:rPr>
              <w:t>Payable Date</w:t>
            </w:r>
          </w:p>
        </w:tc>
      </w:tr>
      <w:tr w:rsidR="00D42204" w14:paraId="35D0BF22"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BF1F" w14:textId="77777777" w:rsidR="00D42204" w:rsidRDefault="004E439D">
            <w:pPr>
              <w:textAlignment w:val="center"/>
            </w:pPr>
            <w:r>
              <w:rPr>
                <w:rFonts w:ascii="Times New Roman" w:eastAsia="宋体" w:hAnsi="Times New Roman"/>
                <w:color w:val="000000"/>
                <w:sz w:val="16"/>
                <w:szCs w:val="16"/>
              </w:rPr>
              <w:t>March 18, 2022</w:t>
            </w:r>
          </w:p>
        </w:tc>
        <w:tc>
          <w:tcPr>
            <w:tcW w:w="0" w:type="auto"/>
            <w:gridSpan w:val="3"/>
            <w:shd w:val="clear" w:color="auto" w:fill="CCEEFF"/>
            <w:tcMar>
              <w:top w:w="40" w:type="dxa"/>
              <w:left w:w="20" w:type="dxa"/>
              <w:bottom w:w="40" w:type="dxa"/>
              <w:right w:w="20" w:type="dxa"/>
            </w:tcMar>
            <w:vAlign w:val="center"/>
          </w:tcPr>
          <w:p w14:paraId="35D0BF20" w14:textId="77777777" w:rsidR="00D42204" w:rsidRDefault="004E439D">
            <w:pPr>
              <w:textAlignment w:val="center"/>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35D0BF21" w14:textId="77777777" w:rsidR="00D42204" w:rsidRDefault="004E439D">
            <w:pPr>
              <w:textAlignment w:val="center"/>
            </w:pPr>
            <w:r>
              <w:rPr>
                <w:rFonts w:ascii="Times New Roman" w:eastAsia="宋体" w:hAnsi="Times New Roman"/>
                <w:color w:val="000000"/>
                <w:sz w:val="16"/>
                <w:szCs w:val="16"/>
              </w:rPr>
              <w:t>April 4, 2022</w:t>
            </w:r>
          </w:p>
        </w:tc>
      </w:tr>
      <w:tr w:rsidR="00D42204" w14:paraId="35D0BF26" w14:textId="77777777">
        <w:tc>
          <w:tcPr>
            <w:tcW w:w="0" w:type="auto"/>
            <w:gridSpan w:val="3"/>
            <w:shd w:val="clear" w:color="auto" w:fill="FFFFFF"/>
            <w:tcMar>
              <w:top w:w="40" w:type="dxa"/>
              <w:left w:w="20" w:type="dxa"/>
              <w:bottom w:w="40" w:type="dxa"/>
              <w:right w:w="20" w:type="dxa"/>
            </w:tcMar>
            <w:vAlign w:val="center"/>
          </w:tcPr>
          <w:p w14:paraId="35D0BF23" w14:textId="77777777" w:rsidR="00D42204" w:rsidRDefault="004E439D">
            <w:pPr>
              <w:textAlignment w:val="center"/>
            </w:pPr>
            <w:r>
              <w:rPr>
                <w:rFonts w:ascii="Times New Roman" w:eastAsia="宋体" w:hAnsi="Times New Roman"/>
                <w:color w:val="000000"/>
                <w:sz w:val="16"/>
                <w:szCs w:val="16"/>
              </w:rPr>
              <w:t>May 6, 2022</w:t>
            </w:r>
          </w:p>
        </w:tc>
        <w:tc>
          <w:tcPr>
            <w:tcW w:w="0" w:type="auto"/>
            <w:gridSpan w:val="3"/>
            <w:shd w:val="clear" w:color="auto" w:fill="FFFFFF"/>
            <w:tcMar>
              <w:top w:w="40" w:type="dxa"/>
              <w:left w:w="20" w:type="dxa"/>
              <w:bottom w:w="40" w:type="dxa"/>
              <w:right w:w="20" w:type="dxa"/>
            </w:tcMar>
            <w:vAlign w:val="center"/>
          </w:tcPr>
          <w:p w14:paraId="35D0BF24" w14:textId="77777777" w:rsidR="00D42204" w:rsidRDefault="004E439D">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35D0BF25" w14:textId="77777777" w:rsidR="00D42204" w:rsidRDefault="004E439D">
            <w:pPr>
              <w:textAlignment w:val="center"/>
            </w:pPr>
            <w:r>
              <w:rPr>
                <w:rFonts w:ascii="Times New Roman" w:eastAsia="宋体" w:hAnsi="Times New Roman"/>
                <w:color w:val="000000"/>
                <w:sz w:val="16"/>
                <w:szCs w:val="16"/>
              </w:rPr>
              <w:t>May 31, 2022</w:t>
            </w:r>
          </w:p>
        </w:tc>
      </w:tr>
      <w:tr w:rsidR="00D42204" w14:paraId="35D0BF2A" w14:textId="77777777">
        <w:tc>
          <w:tcPr>
            <w:tcW w:w="0" w:type="auto"/>
            <w:gridSpan w:val="3"/>
            <w:shd w:val="clear" w:color="auto" w:fill="CCEEFF"/>
            <w:tcMar>
              <w:top w:w="40" w:type="dxa"/>
              <w:left w:w="20" w:type="dxa"/>
              <w:bottom w:w="40" w:type="dxa"/>
              <w:right w:w="20" w:type="dxa"/>
            </w:tcMar>
            <w:vAlign w:val="center"/>
          </w:tcPr>
          <w:p w14:paraId="35D0BF27" w14:textId="77777777" w:rsidR="00D42204" w:rsidRDefault="004E439D">
            <w:pPr>
              <w:textAlignment w:val="center"/>
            </w:pPr>
            <w:r>
              <w:rPr>
                <w:rFonts w:ascii="Times New Roman" w:eastAsia="宋体" w:hAnsi="Times New Roman"/>
                <w:color w:val="000000"/>
                <w:sz w:val="16"/>
                <w:szCs w:val="16"/>
              </w:rPr>
              <w:t>August 12, 2022</w:t>
            </w:r>
          </w:p>
        </w:tc>
        <w:tc>
          <w:tcPr>
            <w:tcW w:w="0" w:type="auto"/>
            <w:gridSpan w:val="3"/>
            <w:shd w:val="clear" w:color="auto" w:fill="CCEEFF"/>
            <w:tcMar>
              <w:top w:w="40" w:type="dxa"/>
              <w:left w:w="20" w:type="dxa"/>
              <w:bottom w:w="40" w:type="dxa"/>
              <w:right w:w="20" w:type="dxa"/>
            </w:tcMar>
            <w:vAlign w:val="center"/>
          </w:tcPr>
          <w:p w14:paraId="35D0BF28" w14:textId="77777777" w:rsidR="00D42204" w:rsidRDefault="004E439D">
            <w:pPr>
              <w:textAlignment w:val="center"/>
            </w:pPr>
            <w:r>
              <w:rPr>
                <w:rFonts w:ascii="Times New Roman" w:eastAsia="宋体" w:hAnsi="Times New Roman"/>
                <w:color w:val="000000"/>
                <w:sz w:val="16"/>
                <w:szCs w:val="16"/>
              </w:rPr>
              <w:t>  </w:t>
            </w:r>
          </w:p>
        </w:tc>
        <w:tc>
          <w:tcPr>
            <w:tcW w:w="0" w:type="auto"/>
            <w:gridSpan w:val="3"/>
            <w:shd w:val="clear" w:color="auto" w:fill="CCEEFF"/>
            <w:tcMar>
              <w:top w:w="40" w:type="dxa"/>
              <w:left w:w="20" w:type="dxa"/>
              <w:bottom w:w="40" w:type="dxa"/>
              <w:right w:w="20" w:type="dxa"/>
            </w:tcMar>
            <w:vAlign w:val="center"/>
          </w:tcPr>
          <w:p w14:paraId="35D0BF29" w14:textId="77777777" w:rsidR="00D42204" w:rsidRDefault="004E439D">
            <w:pPr>
              <w:textAlignment w:val="center"/>
            </w:pPr>
            <w:r>
              <w:rPr>
                <w:rFonts w:ascii="Times New Roman" w:eastAsia="宋体" w:hAnsi="Times New Roman"/>
                <w:color w:val="000000"/>
                <w:sz w:val="16"/>
                <w:szCs w:val="16"/>
              </w:rPr>
              <w:t>September 6, 2022</w:t>
            </w:r>
          </w:p>
        </w:tc>
      </w:tr>
      <w:tr w:rsidR="00D42204" w14:paraId="35D0BF2E" w14:textId="77777777">
        <w:tc>
          <w:tcPr>
            <w:tcW w:w="0" w:type="auto"/>
            <w:gridSpan w:val="3"/>
            <w:shd w:val="clear" w:color="auto" w:fill="FFFFFF"/>
            <w:tcMar>
              <w:top w:w="40" w:type="dxa"/>
              <w:left w:w="20" w:type="dxa"/>
              <w:bottom w:w="40" w:type="dxa"/>
              <w:right w:w="20" w:type="dxa"/>
            </w:tcMar>
            <w:vAlign w:val="center"/>
          </w:tcPr>
          <w:p w14:paraId="35D0BF2B" w14:textId="77777777" w:rsidR="00D42204" w:rsidRDefault="004E439D">
            <w:pPr>
              <w:textAlignment w:val="center"/>
            </w:pPr>
            <w:r>
              <w:rPr>
                <w:rFonts w:ascii="Times New Roman" w:eastAsia="宋体" w:hAnsi="Times New Roman"/>
                <w:color w:val="000000"/>
                <w:sz w:val="16"/>
                <w:szCs w:val="16"/>
              </w:rPr>
              <w:t>December 9, 2022</w:t>
            </w:r>
          </w:p>
        </w:tc>
        <w:tc>
          <w:tcPr>
            <w:tcW w:w="0" w:type="auto"/>
            <w:gridSpan w:val="3"/>
            <w:shd w:val="clear" w:color="auto" w:fill="FFFFFF"/>
            <w:tcMar>
              <w:top w:w="40" w:type="dxa"/>
              <w:left w:w="20" w:type="dxa"/>
              <w:bottom w:w="40" w:type="dxa"/>
              <w:right w:w="20" w:type="dxa"/>
            </w:tcMar>
            <w:vAlign w:val="center"/>
          </w:tcPr>
          <w:p w14:paraId="35D0BF2C" w14:textId="77777777" w:rsidR="00D42204" w:rsidRDefault="004E439D">
            <w:pPr>
              <w:textAlignment w:val="center"/>
            </w:pPr>
            <w:r>
              <w:rPr>
                <w:rFonts w:ascii="Times New Roman" w:eastAsia="宋体" w:hAnsi="Times New Roman"/>
                <w:color w:val="000000"/>
                <w:sz w:val="16"/>
                <w:szCs w:val="16"/>
              </w:rPr>
              <w:t>  </w:t>
            </w:r>
          </w:p>
        </w:tc>
        <w:tc>
          <w:tcPr>
            <w:tcW w:w="0" w:type="auto"/>
            <w:gridSpan w:val="3"/>
            <w:shd w:val="clear" w:color="auto" w:fill="FFFFFF"/>
            <w:tcMar>
              <w:top w:w="40" w:type="dxa"/>
              <w:left w:w="20" w:type="dxa"/>
              <w:bottom w:w="40" w:type="dxa"/>
              <w:right w:w="20" w:type="dxa"/>
            </w:tcMar>
            <w:vAlign w:val="center"/>
          </w:tcPr>
          <w:p w14:paraId="35D0BF2D" w14:textId="77777777" w:rsidR="00D42204" w:rsidRDefault="004E439D">
            <w:pPr>
              <w:textAlignment w:val="center"/>
            </w:pPr>
            <w:r>
              <w:rPr>
                <w:rFonts w:ascii="Times New Roman" w:eastAsia="宋体" w:hAnsi="Times New Roman"/>
                <w:color w:val="000000"/>
                <w:sz w:val="16"/>
                <w:szCs w:val="16"/>
              </w:rPr>
              <w:t>January 3, 2023</w:t>
            </w:r>
          </w:p>
        </w:tc>
      </w:tr>
    </w:tbl>
    <w:p w14:paraId="35D0BF2F" w14:textId="77777777" w:rsidR="00D42204" w:rsidRDefault="004E439D">
      <w:pPr>
        <w:jc w:val="center"/>
      </w:pPr>
      <w:r>
        <w:rPr>
          <w:rFonts w:ascii="Times New Roman" w:eastAsia="宋体" w:hAnsi="Times New Roman"/>
          <w:color w:val="000000"/>
          <w:sz w:val="20"/>
          <w:szCs w:val="20"/>
        </w:rPr>
        <w:t>79</w:t>
      </w:r>
    </w:p>
    <w:p w14:paraId="35D0BF30" w14:textId="77777777" w:rsidR="00D42204" w:rsidRDefault="004E439D">
      <w:r>
        <w:pict w14:anchorId="35D0C3AA">
          <v:rect id="_x0000_i1103" style="width:415.3pt;height:1.5pt" o:hralign="center" o:hrstd="t" o:hr="t" fillcolor="#a0a0a0" stroked="f"/>
        </w:pict>
      </w:r>
    </w:p>
    <w:p w14:paraId="35D0BF31" w14:textId="77777777" w:rsidR="00D42204" w:rsidRDefault="00D42204"/>
    <w:tbl>
      <w:tblPr>
        <w:tblW w:w="4993" w:type="pct"/>
        <w:tblCellMar>
          <w:top w:w="15" w:type="dxa"/>
          <w:left w:w="15" w:type="dxa"/>
          <w:bottom w:w="15" w:type="dxa"/>
          <w:right w:w="15" w:type="dxa"/>
        </w:tblCellMar>
        <w:tblLook w:val="04A0" w:firstRow="1" w:lastRow="0" w:firstColumn="1" w:lastColumn="0" w:noHBand="0" w:noVBand="1"/>
      </w:tblPr>
      <w:tblGrid>
        <w:gridCol w:w="71"/>
        <w:gridCol w:w="806"/>
        <w:gridCol w:w="36"/>
        <w:gridCol w:w="70"/>
        <w:gridCol w:w="7305"/>
        <w:gridCol w:w="36"/>
      </w:tblGrid>
      <w:tr w:rsidR="00D42204" w14:paraId="35D0BF38" w14:textId="77777777">
        <w:tc>
          <w:tcPr>
            <w:tcW w:w="50" w:type="pct"/>
            <w:shd w:val="clear" w:color="auto" w:fill="auto"/>
            <w:vAlign w:val="bottom"/>
          </w:tcPr>
          <w:p w14:paraId="35D0BF32" w14:textId="77777777" w:rsidR="00D42204" w:rsidRDefault="00D42204">
            <w:pPr>
              <w:rPr>
                <w:rFonts w:ascii="宋体"/>
              </w:rPr>
            </w:pPr>
          </w:p>
        </w:tc>
        <w:tc>
          <w:tcPr>
            <w:tcW w:w="494" w:type="pct"/>
            <w:shd w:val="clear" w:color="auto" w:fill="auto"/>
            <w:vAlign w:val="bottom"/>
          </w:tcPr>
          <w:p w14:paraId="35D0BF33" w14:textId="77777777" w:rsidR="00D42204" w:rsidRDefault="00D42204">
            <w:pPr>
              <w:rPr>
                <w:rFonts w:ascii="宋体"/>
              </w:rPr>
            </w:pPr>
          </w:p>
        </w:tc>
        <w:tc>
          <w:tcPr>
            <w:tcW w:w="5" w:type="pct"/>
            <w:shd w:val="clear" w:color="auto" w:fill="auto"/>
            <w:vAlign w:val="bottom"/>
          </w:tcPr>
          <w:p w14:paraId="35D0BF34" w14:textId="77777777" w:rsidR="00D42204" w:rsidRDefault="00D42204">
            <w:pPr>
              <w:rPr>
                <w:rFonts w:ascii="宋体"/>
              </w:rPr>
            </w:pPr>
          </w:p>
        </w:tc>
        <w:tc>
          <w:tcPr>
            <w:tcW w:w="50" w:type="pct"/>
            <w:shd w:val="clear" w:color="auto" w:fill="auto"/>
            <w:vAlign w:val="bottom"/>
          </w:tcPr>
          <w:p w14:paraId="35D0BF35" w14:textId="77777777" w:rsidR="00D42204" w:rsidRDefault="00D42204">
            <w:pPr>
              <w:rPr>
                <w:rFonts w:ascii="宋体"/>
              </w:rPr>
            </w:pPr>
          </w:p>
        </w:tc>
        <w:tc>
          <w:tcPr>
            <w:tcW w:w="4396" w:type="pct"/>
            <w:shd w:val="clear" w:color="auto" w:fill="auto"/>
            <w:vAlign w:val="bottom"/>
          </w:tcPr>
          <w:p w14:paraId="35D0BF36" w14:textId="77777777" w:rsidR="00D42204" w:rsidRDefault="00D42204">
            <w:pPr>
              <w:rPr>
                <w:rFonts w:ascii="宋体"/>
              </w:rPr>
            </w:pPr>
          </w:p>
        </w:tc>
        <w:tc>
          <w:tcPr>
            <w:tcW w:w="5" w:type="pct"/>
            <w:shd w:val="clear" w:color="auto" w:fill="auto"/>
            <w:vAlign w:val="bottom"/>
          </w:tcPr>
          <w:p w14:paraId="35D0BF37" w14:textId="77777777" w:rsidR="00D42204" w:rsidRDefault="00D42204">
            <w:pPr>
              <w:rPr>
                <w:rFonts w:ascii="宋体"/>
              </w:rPr>
            </w:pPr>
          </w:p>
        </w:tc>
      </w:tr>
      <w:tr w:rsidR="00D42204" w14:paraId="35D0BF3B" w14:textId="77777777">
        <w:tc>
          <w:tcPr>
            <w:tcW w:w="0" w:type="auto"/>
            <w:gridSpan w:val="3"/>
            <w:shd w:val="clear" w:color="auto" w:fill="auto"/>
            <w:tcMar>
              <w:top w:w="40" w:type="dxa"/>
              <w:left w:w="20" w:type="dxa"/>
              <w:bottom w:w="40" w:type="dxa"/>
              <w:right w:w="20" w:type="dxa"/>
            </w:tcMar>
          </w:tcPr>
          <w:p w14:paraId="35D0BF39" w14:textId="77777777" w:rsidR="00D42204" w:rsidRDefault="004E439D">
            <w:pPr>
              <w:textAlignment w:val="top"/>
            </w:pPr>
            <w:r>
              <w:rPr>
                <w:rFonts w:ascii="Times New Roman" w:eastAsia="宋体" w:hAnsi="Times New Roman"/>
                <w:b/>
                <w:bCs/>
                <w:color w:val="000000"/>
                <w:sz w:val="20"/>
                <w:szCs w:val="20"/>
                <w:u w:val="single"/>
              </w:rPr>
              <w:t>ITEM 9.</w:t>
            </w:r>
          </w:p>
        </w:tc>
        <w:tc>
          <w:tcPr>
            <w:tcW w:w="0" w:type="auto"/>
            <w:gridSpan w:val="3"/>
            <w:shd w:val="clear" w:color="auto" w:fill="auto"/>
            <w:tcMar>
              <w:top w:w="40" w:type="dxa"/>
              <w:left w:w="20" w:type="dxa"/>
              <w:bottom w:w="40" w:type="dxa"/>
              <w:right w:w="20" w:type="dxa"/>
            </w:tcMar>
          </w:tcPr>
          <w:p w14:paraId="35D0BF3A" w14:textId="77777777" w:rsidR="00D42204" w:rsidRDefault="004E439D">
            <w:pPr>
              <w:textAlignment w:val="top"/>
            </w:pPr>
            <w:r>
              <w:rPr>
                <w:rFonts w:ascii="Times New Roman" w:eastAsia="宋体" w:hAnsi="Times New Roman"/>
                <w:b/>
                <w:bCs/>
                <w:color w:val="000000"/>
                <w:sz w:val="20"/>
                <w:szCs w:val="20"/>
                <w:u w:val="single"/>
              </w:rPr>
              <w:t>CHANGES IN AND DISAGREEMENTS WITH ACCOUNTANTS ON ACCOUNTING AND FINANCIAL DISCLOSURE</w:t>
            </w:r>
          </w:p>
        </w:tc>
      </w:tr>
    </w:tbl>
    <w:p w14:paraId="35D0BF3C" w14:textId="77777777" w:rsidR="00D42204" w:rsidRDefault="004E439D">
      <w:r>
        <w:rPr>
          <w:rFonts w:ascii="Times New Roman" w:eastAsia="宋体" w:hAnsi="Times New Roman"/>
          <w:color w:val="000000"/>
          <w:sz w:val="20"/>
          <w:szCs w:val="20"/>
        </w:rPr>
        <w:t>None.</w:t>
      </w:r>
    </w:p>
    <w:tbl>
      <w:tblPr>
        <w:tblW w:w="4993" w:type="pct"/>
        <w:tblCellMar>
          <w:top w:w="15" w:type="dxa"/>
          <w:left w:w="15" w:type="dxa"/>
          <w:bottom w:w="15" w:type="dxa"/>
          <w:right w:w="15" w:type="dxa"/>
        </w:tblCellMar>
        <w:tblLook w:val="04A0" w:firstRow="1" w:lastRow="0" w:firstColumn="1" w:lastColumn="0" w:noHBand="0" w:noVBand="1"/>
      </w:tblPr>
      <w:tblGrid>
        <w:gridCol w:w="84"/>
        <w:gridCol w:w="826"/>
        <w:gridCol w:w="36"/>
        <w:gridCol w:w="53"/>
        <w:gridCol w:w="7289"/>
        <w:gridCol w:w="36"/>
      </w:tblGrid>
      <w:tr w:rsidR="00D42204" w14:paraId="35D0BF43" w14:textId="77777777">
        <w:tc>
          <w:tcPr>
            <w:tcW w:w="50" w:type="pct"/>
            <w:shd w:val="clear" w:color="auto" w:fill="auto"/>
            <w:vAlign w:val="bottom"/>
          </w:tcPr>
          <w:p w14:paraId="35D0BF3D" w14:textId="77777777" w:rsidR="00D42204" w:rsidRDefault="00D42204">
            <w:pPr>
              <w:rPr>
                <w:rFonts w:ascii="宋体"/>
              </w:rPr>
            </w:pPr>
          </w:p>
        </w:tc>
        <w:tc>
          <w:tcPr>
            <w:tcW w:w="494" w:type="pct"/>
            <w:shd w:val="clear" w:color="auto" w:fill="auto"/>
            <w:vAlign w:val="bottom"/>
          </w:tcPr>
          <w:p w14:paraId="35D0BF3E" w14:textId="77777777" w:rsidR="00D42204" w:rsidRDefault="00D42204">
            <w:pPr>
              <w:rPr>
                <w:rFonts w:ascii="宋体"/>
              </w:rPr>
            </w:pPr>
          </w:p>
        </w:tc>
        <w:tc>
          <w:tcPr>
            <w:tcW w:w="5" w:type="pct"/>
            <w:shd w:val="clear" w:color="auto" w:fill="auto"/>
            <w:vAlign w:val="bottom"/>
          </w:tcPr>
          <w:p w14:paraId="35D0BF3F" w14:textId="77777777" w:rsidR="00D42204" w:rsidRDefault="00D42204">
            <w:pPr>
              <w:rPr>
                <w:rFonts w:ascii="宋体"/>
              </w:rPr>
            </w:pPr>
          </w:p>
        </w:tc>
        <w:tc>
          <w:tcPr>
            <w:tcW w:w="50" w:type="pct"/>
            <w:shd w:val="clear" w:color="auto" w:fill="auto"/>
            <w:vAlign w:val="bottom"/>
          </w:tcPr>
          <w:p w14:paraId="35D0BF40" w14:textId="77777777" w:rsidR="00D42204" w:rsidRDefault="00D42204">
            <w:pPr>
              <w:rPr>
                <w:rFonts w:ascii="宋体"/>
              </w:rPr>
            </w:pPr>
          </w:p>
        </w:tc>
        <w:tc>
          <w:tcPr>
            <w:tcW w:w="4396" w:type="pct"/>
            <w:shd w:val="clear" w:color="auto" w:fill="auto"/>
            <w:vAlign w:val="bottom"/>
          </w:tcPr>
          <w:p w14:paraId="35D0BF41" w14:textId="77777777" w:rsidR="00D42204" w:rsidRDefault="00D42204">
            <w:pPr>
              <w:rPr>
                <w:rFonts w:ascii="宋体"/>
              </w:rPr>
            </w:pPr>
          </w:p>
        </w:tc>
        <w:tc>
          <w:tcPr>
            <w:tcW w:w="5" w:type="pct"/>
            <w:shd w:val="clear" w:color="auto" w:fill="auto"/>
            <w:vAlign w:val="bottom"/>
          </w:tcPr>
          <w:p w14:paraId="35D0BF42" w14:textId="77777777" w:rsidR="00D42204" w:rsidRDefault="00D42204">
            <w:pPr>
              <w:rPr>
                <w:rFonts w:ascii="宋体"/>
              </w:rPr>
            </w:pPr>
          </w:p>
        </w:tc>
      </w:tr>
      <w:tr w:rsidR="00D42204" w14:paraId="35D0BF46" w14:textId="77777777">
        <w:tc>
          <w:tcPr>
            <w:tcW w:w="0" w:type="auto"/>
            <w:gridSpan w:val="3"/>
            <w:shd w:val="clear" w:color="auto" w:fill="auto"/>
            <w:tcMar>
              <w:top w:w="40" w:type="dxa"/>
              <w:left w:w="20" w:type="dxa"/>
              <w:bottom w:w="40" w:type="dxa"/>
              <w:right w:w="20" w:type="dxa"/>
            </w:tcMar>
          </w:tcPr>
          <w:p w14:paraId="35D0BF44" w14:textId="77777777" w:rsidR="00D42204" w:rsidRDefault="004E439D">
            <w:pPr>
              <w:textAlignment w:val="top"/>
            </w:pPr>
            <w:r>
              <w:rPr>
                <w:rFonts w:ascii="Times New Roman" w:eastAsia="宋体" w:hAnsi="Times New Roman"/>
                <w:b/>
                <w:bCs/>
                <w:color w:val="000000"/>
                <w:sz w:val="20"/>
                <w:szCs w:val="20"/>
                <w:u w:val="single"/>
              </w:rPr>
              <w:t>ITEM 9A.</w:t>
            </w:r>
          </w:p>
        </w:tc>
        <w:tc>
          <w:tcPr>
            <w:tcW w:w="0" w:type="auto"/>
            <w:gridSpan w:val="3"/>
            <w:shd w:val="clear" w:color="auto" w:fill="auto"/>
            <w:tcMar>
              <w:top w:w="40" w:type="dxa"/>
              <w:left w:w="20" w:type="dxa"/>
              <w:bottom w:w="40" w:type="dxa"/>
              <w:right w:w="20" w:type="dxa"/>
            </w:tcMar>
          </w:tcPr>
          <w:p w14:paraId="35D0BF45" w14:textId="77777777" w:rsidR="00D42204" w:rsidRDefault="004E439D">
            <w:pPr>
              <w:textAlignment w:val="top"/>
            </w:pPr>
            <w:r>
              <w:rPr>
                <w:rFonts w:ascii="Times New Roman" w:eastAsia="宋体" w:hAnsi="Times New Roman"/>
                <w:b/>
                <w:bCs/>
                <w:color w:val="000000"/>
                <w:sz w:val="20"/>
                <w:szCs w:val="20"/>
                <w:u w:val="single"/>
              </w:rPr>
              <w:t>CONTROLS AND PROCEDURES</w:t>
            </w:r>
          </w:p>
        </w:tc>
      </w:tr>
    </w:tbl>
    <w:p w14:paraId="35D0BF47" w14:textId="77777777" w:rsidR="00D42204" w:rsidRDefault="004E439D">
      <w:r>
        <w:rPr>
          <w:rFonts w:ascii="Times New Roman" w:eastAsia="宋体" w:hAnsi="Times New Roman"/>
          <w:b/>
          <w:bCs/>
          <w:color w:val="000000"/>
          <w:sz w:val="20"/>
          <w:szCs w:val="20"/>
        </w:rPr>
        <w:t>Evaluation of Disclosure Controls and Procedures</w:t>
      </w:r>
    </w:p>
    <w:p w14:paraId="35D0BF48" w14:textId="77777777" w:rsidR="00D42204" w:rsidRDefault="004E439D">
      <w:pPr>
        <w:spacing w:before="100"/>
      </w:pPr>
      <w:r>
        <w:rPr>
          <w:rFonts w:ascii="Times New Roman" w:eastAsia="宋体" w:hAnsi="Times New Roman"/>
          <w:color w:val="000000"/>
          <w:sz w:val="20"/>
          <w:szCs w:val="20"/>
        </w:rPr>
        <w:t xml:space="preserve">We </w:t>
      </w:r>
      <w:r>
        <w:rPr>
          <w:rFonts w:ascii="Times New Roman" w:eastAsia="宋体" w:hAnsi="Times New Roman"/>
          <w:color w:val="000000"/>
          <w:sz w:val="20"/>
          <w:szCs w:val="20"/>
        </w:rPr>
        <w:t>maintain disclosure controls and procedures that are designed to provide reasonable assurance that information, which is required to be timely disclosed, is accumulated and communicated to management in a timely fashion. In designing and evaluating such co</w:t>
      </w:r>
      <w:r>
        <w:rPr>
          <w:rFonts w:ascii="Times New Roman" w:eastAsia="宋体" w:hAnsi="Times New Roman"/>
          <w:color w:val="000000"/>
          <w:sz w:val="20"/>
          <w:szCs w:val="20"/>
        </w:rPr>
        <w:t>ntrols and procedures, we recognize that any controls and procedures, no matter how well designed and operated, can provide only reasonable assurance of achieving the desired control objectives. Our management is necessarily required to use judgment in eva</w:t>
      </w:r>
      <w:r>
        <w:rPr>
          <w:rFonts w:ascii="Times New Roman" w:eastAsia="宋体" w:hAnsi="Times New Roman"/>
          <w:color w:val="000000"/>
          <w:sz w:val="20"/>
          <w:szCs w:val="20"/>
        </w:rPr>
        <w:t>luating controls and procedures. Also, we have investments in unconsolidated entities. Since we do not control or manage those entities, our controls and procedures with respect to those entities are substantially more limited than those we maintain with r</w:t>
      </w:r>
      <w:r>
        <w:rPr>
          <w:rFonts w:ascii="Times New Roman" w:eastAsia="宋体" w:hAnsi="Times New Roman"/>
          <w:color w:val="000000"/>
          <w:sz w:val="20"/>
          <w:szCs w:val="20"/>
        </w:rPr>
        <w:t>espect to our consolidated subsidiaries.</w:t>
      </w:r>
    </w:p>
    <w:p w14:paraId="35D0BF49" w14:textId="77777777" w:rsidR="00D42204" w:rsidRDefault="004E439D">
      <w:pPr>
        <w:spacing w:before="100"/>
      </w:pPr>
      <w:r>
        <w:rPr>
          <w:rFonts w:ascii="Times New Roman" w:eastAsia="宋体" w:hAnsi="Times New Roman"/>
          <w:color w:val="000000"/>
          <w:sz w:val="20"/>
          <w:szCs w:val="20"/>
        </w:rPr>
        <w:t xml:space="preserve">In the ordinary course of business, we review our internal control over financial reporting and make changes to our systems and processes to improve such controls and increase efficiency, while ensuring that we </w:t>
      </w:r>
      <w:r>
        <w:rPr>
          <w:rFonts w:ascii="Times New Roman" w:eastAsia="宋体" w:hAnsi="Times New Roman"/>
          <w:color w:val="000000"/>
          <w:sz w:val="20"/>
          <w:szCs w:val="20"/>
        </w:rPr>
        <w:t>maintain an effective internal control environment. Changes may include such activities as implementing new, more efficient systems, updating existing systems, automating manual processes, standardizing controls globally, migrating certain processes to our</w:t>
      </w:r>
      <w:r>
        <w:rPr>
          <w:rFonts w:ascii="Times New Roman" w:eastAsia="宋体" w:hAnsi="Times New Roman"/>
          <w:color w:val="000000"/>
          <w:sz w:val="20"/>
          <w:szCs w:val="20"/>
        </w:rPr>
        <w:t xml:space="preserve"> shared services organizations and increasing monitoring controls. These changes have not materially affected, and are not reasonably likely to materially affect, the Company's internal control over financial reporting. However, they allow us to continue t</w:t>
      </w:r>
      <w:r>
        <w:rPr>
          <w:rFonts w:ascii="Times New Roman" w:eastAsia="宋体" w:hAnsi="Times New Roman"/>
          <w:color w:val="000000"/>
          <w:sz w:val="20"/>
          <w:szCs w:val="20"/>
        </w:rPr>
        <w:t>o enhance our internal control over financial reporting and ensure that our internal control environment remains effective.</w:t>
      </w:r>
    </w:p>
    <w:p w14:paraId="35D0BF4A" w14:textId="77777777" w:rsidR="00D42204" w:rsidRDefault="004E439D">
      <w:pPr>
        <w:spacing w:before="100"/>
      </w:pPr>
      <w:r>
        <w:rPr>
          <w:rFonts w:ascii="Times New Roman" w:eastAsia="宋体" w:hAnsi="Times New Roman"/>
          <w:color w:val="000000"/>
          <w:sz w:val="20"/>
          <w:szCs w:val="20"/>
        </w:rPr>
        <w:t>An evaluation of the effectiveness of the design and operation of our disclosure controls and procedures as of the end of the period</w:t>
      </w:r>
      <w:r>
        <w:rPr>
          <w:rFonts w:ascii="Times New Roman" w:eastAsia="宋体" w:hAnsi="Times New Roman"/>
          <w:color w:val="000000"/>
          <w:sz w:val="20"/>
          <w:szCs w:val="20"/>
        </w:rPr>
        <w:t xml:space="preserve"> covered by this report was performed under the supervision and with the participation of management, including our Chief Executive Officer and Chief Financial Officer. Based upon that evaluation, our Chief Executive Officer and Chief Financial Officer con</w:t>
      </w:r>
      <w:r>
        <w:rPr>
          <w:rFonts w:ascii="Times New Roman" w:eastAsia="宋体" w:hAnsi="Times New Roman"/>
          <w:color w:val="000000"/>
          <w:sz w:val="20"/>
          <w:szCs w:val="20"/>
        </w:rPr>
        <w:t>cluded that our disclosure controls and procedures are effective to provide reasonable assurance that information required to be disclosed by the Company in the reports that it files or submits under the Securities Exchange Act of 1934, as amended, is accu</w:t>
      </w:r>
      <w:r>
        <w:rPr>
          <w:rFonts w:ascii="Times New Roman" w:eastAsia="宋体" w:hAnsi="Times New Roman"/>
          <w:color w:val="000000"/>
          <w:sz w:val="20"/>
          <w:szCs w:val="20"/>
        </w:rPr>
        <w:t>mulated and communicated to management, including our Chief Executive Officer and Chief Financial Officer, as appropriate, to allow timely decisions regarding required disclosure and are effective to provide reasonable assurance that such information is re</w:t>
      </w:r>
      <w:r>
        <w:rPr>
          <w:rFonts w:ascii="Times New Roman" w:eastAsia="宋体" w:hAnsi="Times New Roman"/>
          <w:color w:val="000000"/>
          <w:sz w:val="20"/>
          <w:szCs w:val="20"/>
        </w:rPr>
        <w:t>corded, processed, summarized and reported within the time periods specified by the SEC's rules and forms.</w:t>
      </w:r>
    </w:p>
    <w:p w14:paraId="35D0BF4B" w14:textId="77777777" w:rsidR="00D42204" w:rsidRDefault="004E439D">
      <w:pPr>
        <w:spacing w:before="180"/>
      </w:pPr>
      <w:r>
        <w:rPr>
          <w:rFonts w:ascii="Times New Roman" w:eastAsia="宋体" w:hAnsi="Times New Roman"/>
          <w:b/>
          <w:bCs/>
          <w:color w:val="000000"/>
          <w:sz w:val="20"/>
          <w:szCs w:val="20"/>
        </w:rPr>
        <w:t>Report on Internal Control Over Financial Reporting</w:t>
      </w:r>
    </w:p>
    <w:p w14:paraId="35D0BF4C" w14:textId="77777777" w:rsidR="00D42204" w:rsidRDefault="004E439D">
      <w:pPr>
        <w:spacing w:before="100" w:after="120"/>
      </w:pPr>
      <w:r>
        <w:rPr>
          <w:rFonts w:ascii="Times New Roman" w:eastAsia="宋体" w:hAnsi="Times New Roman"/>
          <w:color w:val="000000"/>
          <w:sz w:val="20"/>
          <w:szCs w:val="20"/>
        </w:rPr>
        <w:t xml:space="preserve">Management has responsibility for establishing and maintaining adequate internal control over </w:t>
      </w:r>
      <w:r>
        <w:rPr>
          <w:rFonts w:ascii="Times New Roman" w:eastAsia="宋体" w:hAnsi="Times New Roman"/>
          <w:color w:val="000000"/>
          <w:sz w:val="20"/>
          <w:szCs w:val="20"/>
        </w:rPr>
        <w:t xml:space="preserve">financial reporting. Internal control over financial reporting is a process designed to provide reasonable assurance regarding the reliability of financial reporting and the preparation of financial statements for external reporting purposes in accordance </w:t>
      </w:r>
      <w:r>
        <w:rPr>
          <w:rFonts w:ascii="Times New Roman" w:eastAsia="宋体" w:hAnsi="Times New Roman"/>
          <w:color w:val="000000"/>
          <w:sz w:val="20"/>
          <w:szCs w:val="20"/>
        </w:rPr>
        <w:t xml:space="preserve">with accounting principles generally accepted in the United States. Because of its inherent limitations, internal control over financial reporting may not prevent or detect misstatements. Management has assessed the effectiveness of the Company's internal </w:t>
      </w:r>
      <w:r>
        <w:rPr>
          <w:rFonts w:ascii="Times New Roman" w:eastAsia="宋体" w:hAnsi="Times New Roman"/>
          <w:color w:val="000000"/>
          <w:sz w:val="20"/>
          <w:szCs w:val="20"/>
        </w:rPr>
        <w:t>control over financial reporting as of January 31, 2022. In making its assessment, management has utilized the criteria set forth by the Committee of Sponsoring Organizations ("COSO") of the Treadway Commission in Internal Control-Integrated Framework (201</w:t>
      </w:r>
      <w:r>
        <w:rPr>
          <w:rFonts w:ascii="Times New Roman" w:eastAsia="宋体" w:hAnsi="Times New Roman"/>
          <w:color w:val="000000"/>
          <w:sz w:val="20"/>
          <w:szCs w:val="20"/>
        </w:rPr>
        <w:t>3). Management concluded that based on its assessment, Walmart's internal control over financial reporting was effective as of January 31, 2022. The Company's internal control over financial reporting as of January 31, 2022, has been audited by Ernst &amp; You</w:t>
      </w:r>
      <w:r>
        <w:rPr>
          <w:rFonts w:ascii="Times New Roman" w:eastAsia="宋体" w:hAnsi="Times New Roman"/>
          <w:color w:val="000000"/>
          <w:sz w:val="20"/>
          <w:szCs w:val="20"/>
        </w:rPr>
        <w:t>ng LLP as stated in their report which appears herein.</w:t>
      </w:r>
    </w:p>
    <w:p w14:paraId="35D0BF4D" w14:textId="77777777" w:rsidR="00D42204" w:rsidRDefault="004E439D">
      <w:pPr>
        <w:spacing w:before="180"/>
      </w:pPr>
      <w:r>
        <w:rPr>
          <w:rFonts w:ascii="Times New Roman" w:eastAsia="宋体" w:hAnsi="Times New Roman"/>
          <w:b/>
          <w:bCs/>
          <w:color w:val="000000"/>
          <w:sz w:val="20"/>
          <w:szCs w:val="20"/>
        </w:rPr>
        <w:t>Changes in Internal Control Over Financial Reporting</w:t>
      </w:r>
    </w:p>
    <w:p w14:paraId="35D0BF4E" w14:textId="77777777" w:rsidR="00D42204" w:rsidRDefault="004E439D">
      <w:pPr>
        <w:spacing w:before="100"/>
      </w:pPr>
      <w:r>
        <w:rPr>
          <w:rFonts w:ascii="Times New Roman" w:eastAsia="宋体" w:hAnsi="Times New Roman"/>
          <w:color w:val="000000"/>
          <w:sz w:val="20"/>
          <w:szCs w:val="20"/>
        </w:rPr>
        <w:t>There has been no change in the Company's internal control over financial reporting as of January 31, 2022, that has materially affected, or is reas</w:t>
      </w:r>
      <w:r>
        <w:rPr>
          <w:rFonts w:ascii="Times New Roman" w:eastAsia="宋体" w:hAnsi="Times New Roman"/>
          <w:color w:val="000000"/>
          <w:sz w:val="20"/>
          <w:szCs w:val="20"/>
        </w:rPr>
        <w:t>onably likely to materially affect, the Company's internal control over financial reporting.</w:t>
      </w:r>
    </w:p>
    <w:tbl>
      <w:tblPr>
        <w:tblW w:w="4993" w:type="pct"/>
        <w:tblCellMar>
          <w:top w:w="15" w:type="dxa"/>
          <w:left w:w="15" w:type="dxa"/>
          <w:bottom w:w="15" w:type="dxa"/>
          <w:right w:w="15" w:type="dxa"/>
        </w:tblCellMar>
        <w:tblLook w:val="04A0" w:firstRow="1" w:lastRow="0" w:firstColumn="1" w:lastColumn="0" w:noHBand="0" w:noVBand="1"/>
      </w:tblPr>
      <w:tblGrid>
        <w:gridCol w:w="83"/>
        <w:gridCol w:w="816"/>
        <w:gridCol w:w="36"/>
        <w:gridCol w:w="53"/>
        <w:gridCol w:w="7300"/>
        <w:gridCol w:w="36"/>
      </w:tblGrid>
      <w:tr w:rsidR="00D42204" w14:paraId="35D0BF55" w14:textId="77777777">
        <w:tc>
          <w:tcPr>
            <w:tcW w:w="50" w:type="pct"/>
            <w:shd w:val="clear" w:color="auto" w:fill="auto"/>
            <w:vAlign w:val="bottom"/>
          </w:tcPr>
          <w:p w14:paraId="35D0BF4F" w14:textId="77777777" w:rsidR="00D42204" w:rsidRDefault="00D42204">
            <w:pPr>
              <w:rPr>
                <w:rFonts w:ascii="宋体"/>
              </w:rPr>
            </w:pPr>
          </w:p>
        </w:tc>
        <w:tc>
          <w:tcPr>
            <w:tcW w:w="494" w:type="pct"/>
            <w:shd w:val="clear" w:color="auto" w:fill="auto"/>
            <w:vAlign w:val="bottom"/>
          </w:tcPr>
          <w:p w14:paraId="35D0BF50" w14:textId="77777777" w:rsidR="00D42204" w:rsidRDefault="00D42204">
            <w:pPr>
              <w:rPr>
                <w:rFonts w:ascii="宋体"/>
              </w:rPr>
            </w:pPr>
          </w:p>
        </w:tc>
        <w:tc>
          <w:tcPr>
            <w:tcW w:w="5" w:type="pct"/>
            <w:shd w:val="clear" w:color="auto" w:fill="auto"/>
            <w:vAlign w:val="bottom"/>
          </w:tcPr>
          <w:p w14:paraId="35D0BF51" w14:textId="77777777" w:rsidR="00D42204" w:rsidRDefault="00D42204">
            <w:pPr>
              <w:rPr>
                <w:rFonts w:ascii="宋体"/>
              </w:rPr>
            </w:pPr>
          </w:p>
        </w:tc>
        <w:tc>
          <w:tcPr>
            <w:tcW w:w="50" w:type="pct"/>
            <w:shd w:val="clear" w:color="auto" w:fill="auto"/>
            <w:vAlign w:val="bottom"/>
          </w:tcPr>
          <w:p w14:paraId="35D0BF52" w14:textId="77777777" w:rsidR="00D42204" w:rsidRDefault="00D42204">
            <w:pPr>
              <w:rPr>
                <w:rFonts w:ascii="宋体"/>
              </w:rPr>
            </w:pPr>
          </w:p>
        </w:tc>
        <w:tc>
          <w:tcPr>
            <w:tcW w:w="4396" w:type="pct"/>
            <w:shd w:val="clear" w:color="auto" w:fill="auto"/>
            <w:vAlign w:val="bottom"/>
          </w:tcPr>
          <w:p w14:paraId="35D0BF53" w14:textId="77777777" w:rsidR="00D42204" w:rsidRDefault="00D42204">
            <w:pPr>
              <w:rPr>
                <w:rFonts w:ascii="宋体"/>
              </w:rPr>
            </w:pPr>
          </w:p>
        </w:tc>
        <w:tc>
          <w:tcPr>
            <w:tcW w:w="5" w:type="pct"/>
            <w:shd w:val="clear" w:color="auto" w:fill="auto"/>
            <w:vAlign w:val="bottom"/>
          </w:tcPr>
          <w:p w14:paraId="35D0BF54" w14:textId="77777777" w:rsidR="00D42204" w:rsidRDefault="00D42204">
            <w:pPr>
              <w:rPr>
                <w:rFonts w:ascii="宋体"/>
              </w:rPr>
            </w:pPr>
          </w:p>
        </w:tc>
      </w:tr>
      <w:tr w:rsidR="00D42204" w14:paraId="35D0BF58" w14:textId="77777777">
        <w:tc>
          <w:tcPr>
            <w:tcW w:w="0" w:type="auto"/>
            <w:gridSpan w:val="3"/>
            <w:shd w:val="clear" w:color="auto" w:fill="auto"/>
            <w:tcMar>
              <w:top w:w="40" w:type="dxa"/>
              <w:left w:w="20" w:type="dxa"/>
              <w:bottom w:w="40" w:type="dxa"/>
              <w:right w:w="20" w:type="dxa"/>
            </w:tcMar>
          </w:tcPr>
          <w:p w14:paraId="35D0BF56" w14:textId="77777777" w:rsidR="00D42204" w:rsidRDefault="004E439D">
            <w:pPr>
              <w:textAlignment w:val="top"/>
            </w:pPr>
            <w:r>
              <w:rPr>
                <w:rFonts w:ascii="Times New Roman" w:eastAsia="宋体" w:hAnsi="Times New Roman"/>
                <w:b/>
                <w:bCs/>
                <w:color w:val="000000"/>
                <w:sz w:val="20"/>
                <w:szCs w:val="20"/>
                <w:u w:val="single"/>
              </w:rPr>
              <w:t>ITEM 9B.</w:t>
            </w:r>
          </w:p>
        </w:tc>
        <w:tc>
          <w:tcPr>
            <w:tcW w:w="0" w:type="auto"/>
            <w:gridSpan w:val="3"/>
            <w:shd w:val="clear" w:color="auto" w:fill="auto"/>
            <w:tcMar>
              <w:top w:w="40" w:type="dxa"/>
              <w:left w:w="20" w:type="dxa"/>
              <w:bottom w:w="40" w:type="dxa"/>
              <w:right w:w="20" w:type="dxa"/>
            </w:tcMar>
          </w:tcPr>
          <w:p w14:paraId="35D0BF57" w14:textId="77777777" w:rsidR="00D42204" w:rsidRDefault="004E439D">
            <w:pPr>
              <w:textAlignment w:val="top"/>
            </w:pPr>
            <w:r>
              <w:rPr>
                <w:rFonts w:ascii="Times New Roman" w:eastAsia="宋体" w:hAnsi="Times New Roman"/>
                <w:b/>
                <w:bCs/>
                <w:color w:val="000000"/>
                <w:sz w:val="20"/>
                <w:szCs w:val="20"/>
                <w:u w:val="single"/>
              </w:rPr>
              <w:t>OTHER INFORMATION</w:t>
            </w:r>
          </w:p>
        </w:tc>
      </w:tr>
    </w:tbl>
    <w:p w14:paraId="35D0BF59" w14:textId="77777777" w:rsidR="00D42204" w:rsidRDefault="004E439D">
      <w:r>
        <w:rPr>
          <w:rFonts w:ascii="Times New Roman" w:eastAsia="宋体" w:hAnsi="Times New Roman"/>
          <w:color w:val="000000"/>
          <w:sz w:val="20"/>
          <w:szCs w:val="20"/>
        </w:rPr>
        <w:t>None.</w:t>
      </w:r>
    </w:p>
    <w:tbl>
      <w:tblPr>
        <w:tblW w:w="4993" w:type="pct"/>
        <w:tblCellMar>
          <w:top w:w="15" w:type="dxa"/>
          <w:left w:w="15" w:type="dxa"/>
          <w:bottom w:w="15" w:type="dxa"/>
          <w:right w:w="15" w:type="dxa"/>
        </w:tblCellMar>
        <w:tblLook w:val="04A0" w:firstRow="1" w:lastRow="0" w:firstColumn="1" w:lastColumn="0" w:noHBand="0" w:noVBand="1"/>
      </w:tblPr>
      <w:tblGrid>
        <w:gridCol w:w="84"/>
        <w:gridCol w:w="826"/>
        <w:gridCol w:w="36"/>
        <w:gridCol w:w="53"/>
        <w:gridCol w:w="7289"/>
        <w:gridCol w:w="36"/>
      </w:tblGrid>
      <w:tr w:rsidR="00D42204" w14:paraId="35D0BF60" w14:textId="77777777">
        <w:tc>
          <w:tcPr>
            <w:tcW w:w="50" w:type="pct"/>
            <w:shd w:val="clear" w:color="auto" w:fill="auto"/>
            <w:vAlign w:val="bottom"/>
          </w:tcPr>
          <w:p w14:paraId="35D0BF5A" w14:textId="77777777" w:rsidR="00D42204" w:rsidRDefault="00D42204">
            <w:pPr>
              <w:rPr>
                <w:rFonts w:ascii="宋体"/>
              </w:rPr>
            </w:pPr>
          </w:p>
        </w:tc>
        <w:tc>
          <w:tcPr>
            <w:tcW w:w="494" w:type="pct"/>
            <w:shd w:val="clear" w:color="auto" w:fill="auto"/>
            <w:vAlign w:val="bottom"/>
          </w:tcPr>
          <w:p w14:paraId="35D0BF5B" w14:textId="77777777" w:rsidR="00D42204" w:rsidRDefault="00D42204">
            <w:pPr>
              <w:rPr>
                <w:rFonts w:ascii="宋体"/>
              </w:rPr>
            </w:pPr>
          </w:p>
        </w:tc>
        <w:tc>
          <w:tcPr>
            <w:tcW w:w="5" w:type="pct"/>
            <w:shd w:val="clear" w:color="auto" w:fill="auto"/>
            <w:vAlign w:val="bottom"/>
          </w:tcPr>
          <w:p w14:paraId="35D0BF5C" w14:textId="77777777" w:rsidR="00D42204" w:rsidRDefault="00D42204">
            <w:pPr>
              <w:rPr>
                <w:rFonts w:ascii="宋体"/>
              </w:rPr>
            </w:pPr>
          </w:p>
        </w:tc>
        <w:tc>
          <w:tcPr>
            <w:tcW w:w="50" w:type="pct"/>
            <w:shd w:val="clear" w:color="auto" w:fill="auto"/>
            <w:vAlign w:val="bottom"/>
          </w:tcPr>
          <w:p w14:paraId="35D0BF5D" w14:textId="77777777" w:rsidR="00D42204" w:rsidRDefault="00D42204">
            <w:pPr>
              <w:rPr>
                <w:rFonts w:ascii="宋体"/>
              </w:rPr>
            </w:pPr>
          </w:p>
        </w:tc>
        <w:tc>
          <w:tcPr>
            <w:tcW w:w="4396" w:type="pct"/>
            <w:shd w:val="clear" w:color="auto" w:fill="auto"/>
            <w:vAlign w:val="bottom"/>
          </w:tcPr>
          <w:p w14:paraId="35D0BF5E" w14:textId="77777777" w:rsidR="00D42204" w:rsidRDefault="00D42204">
            <w:pPr>
              <w:rPr>
                <w:rFonts w:ascii="宋体"/>
              </w:rPr>
            </w:pPr>
          </w:p>
        </w:tc>
        <w:tc>
          <w:tcPr>
            <w:tcW w:w="5" w:type="pct"/>
            <w:shd w:val="clear" w:color="auto" w:fill="auto"/>
            <w:vAlign w:val="bottom"/>
          </w:tcPr>
          <w:p w14:paraId="35D0BF5F" w14:textId="77777777" w:rsidR="00D42204" w:rsidRDefault="00D42204">
            <w:pPr>
              <w:rPr>
                <w:rFonts w:ascii="宋体"/>
              </w:rPr>
            </w:pPr>
          </w:p>
        </w:tc>
      </w:tr>
      <w:tr w:rsidR="00D42204" w14:paraId="35D0BF63" w14:textId="77777777">
        <w:tc>
          <w:tcPr>
            <w:tcW w:w="0" w:type="auto"/>
            <w:gridSpan w:val="3"/>
            <w:shd w:val="clear" w:color="auto" w:fill="auto"/>
            <w:tcMar>
              <w:top w:w="40" w:type="dxa"/>
              <w:left w:w="20" w:type="dxa"/>
              <w:bottom w:w="40" w:type="dxa"/>
              <w:right w:w="20" w:type="dxa"/>
            </w:tcMar>
          </w:tcPr>
          <w:p w14:paraId="35D0BF61" w14:textId="77777777" w:rsidR="00D42204" w:rsidRDefault="004E439D">
            <w:pPr>
              <w:textAlignment w:val="top"/>
            </w:pPr>
            <w:r>
              <w:rPr>
                <w:rFonts w:ascii="Times New Roman" w:eastAsia="宋体" w:hAnsi="Times New Roman"/>
                <w:b/>
                <w:bCs/>
                <w:color w:val="000000"/>
                <w:sz w:val="20"/>
                <w:szCs w:val="20"/>
                <w:u w:val="single"/>
              </w:rPr>
              <w:t>ITEM 9C.</w:t>
            </w:r>
          </w:p>
        </w:tc>
        <w:tc>
          <w:tcPr>
            <w:tcW w:w="0" w:type="auto"/>
            <w:gridSpan w:val="3"/>
            <w:shd w:val="clear" w:color="auto" w:fill="auto"/>
            <w:tcMar>
              <w:top w:w="40" w:type="dxa"/>
              <w:left w:w="20" w:type="dxa"/>
              <w:bottom w:w="40" w:type="dxa"/>
              <w:right w:w="20" w:type="dxa"/>
            </w:tcMar>
          </w:tcPr>
          <w:p w14:paraId="35D0BF62" w14:textId="77777777" w:rsidR="00D42204" w:rsidRDefault="004E439D">
            <w:pPr>
              <w:textAlignment w:val="top"/>
            </w:pPr>
            <w:r>
              <w:rPr>
                <w:rFonts w:ascii="Times New Roman" w:eastAsia="宋体" w:hAnsi="Times New Roman"/>
                <w:b/>
                <w:bCs/>
                <w:color w:val="000000"/>
                <w:sz w:val="20"/>
                <w:szCs w:val="20"/>
                <w:u w:val="single"/>
              </w:rPr>
              <w:t>DISCLOSURE REGARDING FOREIGN JURISDICTIONS THAT PREVENT INSPECTIONS</w:t>
            </w:r>
          </w:p>
        </w:tc>
      </w:tr>
    </w:tbl>
    <w:p w14:paraId="35D0BF64" w14:textId="77777777" w:rsidR="00D42204" w:rsidRDefault="004E439D">
      <w:pPr>
        <w:spacing w:before="120"/>
      </w:pPr>
      <w:r>
        <w:rPr>
          <w:rFonts w:ascii="Times New Roman" w:eastAsia="宋体" w:hAnsi="Times New Roman"/>
          <w:color w:val="000000"/>
          <w:sz w:val="20"/>
          <w:szCs w:val="20"/>
        </w:rPr>
        <w:t>Not applicable.</w:t>
      </w:r>
    </w:p>
    <w:p w14:paraId="35D0BF65" w14:textId="77777777" w:rsidR="00D42204" w:rsidRDefault="004E439D">
      <w:pPr>
        <w:jc w:val="center"/>
      </w:pPr>
      <w:r>
        <w:rPr>
          <w:rFonts w:ascii="Times New Roman" w:eastAsia="宋体" w:hAnsi="Times New Roman"/>
          <w:color w:val="000000"/>
          <w:sz w:val="20"/>
          <w:szCs w:val="20"/>
        </w:rPr>
        <w:t>80</w:t>
      </w:r>
    </w:p>
    <w:p w14:paraId="35D0BF66" w14:textId="77777777" w:rsidR="00D42204" w:rsidRDefault="004E439D">
      <w:r>
        <w:pict w14:anchorId="35D0C3AB">
          <v:rect id="_x0000_i1104" style="width:415.3pt;height:1.5pt" o:hralign="center" o:hrstd="t" o:hr="t" fillcolor="#a0a0a0" stroked="f"/>
        </w:pict>
      </w:r>
    </w:p>
    <w:p w14:paraId="35D0BF67" w14:textId="77777777" w:rsidR="00D42204" w:rsidRDefault="00D42204"/>
    <w:p w14:paraId="35D0BF68" w14:textId="77777777" w:rsidR="00D42204" w:rsidRDefault="004E439D">
      <w:pPr>
        <w:spacing w:before="240"/>
        <w:jc w:val="center"/>
      </w:pPr>
      <w:r>
        <w:rPr>
          <w:rFonts w:ascii="Times New Roman" w:eastAsia="宋体" w:hAnsi="Times New Roman"/>
          <w:b/>
          <w:bCs/>
          <w:color w:val="000000"/>
          <w:sz w:val="20"/>
          <w:szCs w:val="20"/>
          <w:u w:val="single"/>
        </w:rPr>
        <w:t>PART III</w:t>
      </w:r>
    </w:p>
    <w:tbl>
      <w:tblPr>
        <w:tblW w:w="4993" w:type="pct"/>
        <w:tblCellMar>
          <w:top w:w="15" w:type="dxa"/>
          <w:left w:w="15" w:type="dxa"/>
          <w:bottom w:w="15" w:type="dxa"/>
          <w:right w:w="15" w:type="dxa"/>
        </w:tblCellMar>
        <w:tblLook w:val="04A0" w:firstRow="1" w:lastRow="0" w:firstColumn="1" w:lastColumn="0" w:noHBand="0" w:noVBand="1"/>
      </w:tblPr>
      <w:tblGrid>
        <w:gridCol w:w="80"/>
        <w:gridCol w:w="797"/>
        <w:gridCol w:w="36"/>
        <w:gridCol w:w="70"/>
        <w:gridCol w:w="7305"/>
        <w:gridCol w:w="36"/>
      </w:tblGrid>
      <w:tr w:rsidR="00D42204" w14:paraId="35D0BF6F" w14:textId="77777777">
        <w:tc>
          <w:tcPr>
            <w:tcW w:w="50" w:type="pct"/>
            <w:shd w:val="clear" w:color="auto" w:fill="auto"/>
            <w:vAlign w:val="bottom"/>
          </w:tcPr>
          <w:p w14:paraId="35D0BF69" w14:textId="77777777" w:rsidR="00D42204" w:rsidRDefault="00D42204">
            <w:pPr>
              <w:rPr>
                <w:rFonts w:ascii="宋体"/>
              </w:rPr>
            </w:pPr>
          </w:p>
        </w:tc>
        <w:tc>
          <w:tcPr>
            <w:tcW w:w="494" w:type="pct"/>
            <w:shd w:val="clear" w:color="auto" w:fill="auto"/>
            <w:vAlign w:val="bottom"/>
          </w:tcPr>
          <w:p w14:paraId="35D0BF6A" w14:textId="77777777" w:rsidR="00D42204" w:rsidRDefault="00D42204">
            <w:pPr>
              <w:rPr>
                <w:rFonts w:ascii="宋体"/>
              </w:rPr>
            </w:pPr>
          </w:p>
        </w:tc>
        <w:tc>
          <w:tcPr>
            <w:tcW w:w="5" w:type="pct"/>
            <w:shd w:val="clear" w:color="auto" w:fill="auto"/>
            <w:vAlign w:val="bottom"/>
          </w:tcPr>
          <w:p w14:paraId="35D0BF6B" w14:textId="77777777" w:rsidR="00D42204" w:rsidRDefault="00D42204">
            <w:pPr>
              <w:rPr>
                <w:rFonts w:ascii="宋体"/>
              </w:rPr>
            </w:pPr>
          </w:p>
        </w:tc>
        <w:tc>
          <w:tcPr>
            <w:tcW w:w="50" w:type="pct"/>
            <w:shd w:val="clear" w:color="auto" w:fill="auto"/>
            <w:vAlign w:val="bottom"/>
          </w:tcPr>
          <w:p w14:paraId="35D0BF6C" w14:textId="77777777" w:rsidR="00D42204" w:rsidRDefault="00D42204">
            <w:pPr>
              <w:rPr>
                <w:rFonts w:ascii="宋体"/>
              </w:rPr>
            </w:pPr>
          </w:p>
        </w:tc>
        <w:tc>
          <w:tcPr>
            <w:tcW w:w="4396" w:type="pct"/>
            <w:shd w:val="clear" w:color="auto" w:fill="auto"/>
            <w:vAlign w:val="bottom"/>
          </w:tcPr>
          <w:p w14:paraId="35D0BF6D" w14:textId="77777777" w:rsidR="00D42204" w:rsidRDefault="00D42204">
            <w:pPr>
              <w:rPr>
                <w:rFonts w:ascii="宋体"/>
              </w:rPr>
            </w:pPr>
          </w:p>
        </w:tc>
        <w:tc>
          <w:tcPr>
            <w:tcW w:w="5" w:type="pct"/>
            <w:shd w:val="clear" w:color="auto" w:fill="auto"/>
            <w:vAlign w:val="bottom"/>
          </w:tcPr>
          <w:p w14:paraId="35D0BF6E" w14:textId="77777777" w:rsidR="00D42204" w:rsidRDefault="00D42204">
            <w:pPr>
              <w:rPr>
                <w:rFonts w:ascii="宋体"/>
              </w:rPr>
            </w:pPr>
          </w:p>
        </w:tc>
      </w:tr>
      <w:tr w:rsidR="00D42204" w14:paraId="35D0BF72" w14:textId="77777777">
        <w:tc>
          <w:tcPr>
            <w:tcW w:w="0" w:type="auto"/>
            <w:gridSpan w:val="3"/>
            <w:shd w:val="clear" w:color="auto" w:fill="auto"/>
            <w:tcMar>
              <w:top w:w="40" w:type="dxa"/>
              <w:left w:w="20" w:type="dxa"/>
              <w:bottom w:w="40" w:type="dxa"/>
              <w:right w:w="20" w:type="dxa"/>
            </w:tcMar>
          </w:tcPr>
          <w:p w14:paraId="35D0BF70" w14:textId="77777777" w:rsidR="00D42204" w:rsidRDefault="004E439D">
            <w:pPr>
              <w:textAlignment w:val="top"/>
            </w:pPr>
            <w:r>
              <w:rPr>
                <w:rFonts w:ascii="Times New Roman" w:eastAsia="宋体" w:hAnsi="Times New Roman"/>
                <w:b/>
                <w:bCs/>
                <w:color w:val="000000"/>
                <w:sz w:val="20"/>
                <w:szCs w:val="20"/>
                <w:u w:val="single"/>
              </w:rPr>
              <w:t>ITEM 10.</w:t>
            </w:r>
          </w:p>
        </w:tc>
        <w:tc>
          <w:tcPr>
            <w:tcW w:w="0" w:type="auto"/>
            <w:gridSpan w:val="3"/>
            <w:shd w:val="clear" w:color="auto" w:fill="auto"/>
            <w:tcMar>
              <w:top w:w="40" w:type="dxa"/>
              <w:left w:w="20" w:type="dxa"/>
              <w:bottom w:w="40" w:type="dxa"/>
              <w:right w:w="20" w:type="dxa"/>
            </w:tcMar>
          </w:tcPr>
          <w:p w14:paraId="35D0BF71" w14:textId="77777777" w:rsidR="00D42204" w:rsidRDefault="004E439D">
            <w:pPr>
              <w:textAlignment w:val="top"/>
            </w:pPr>
            <w:r>
              <w:rPr>
                <w:rFonts w:ascii="Times New Roman" w:eastAsia="宋体" w:hAnsi="Times New Roman"/>
                <w:b/>
                <w:bCs/>
                <w:color w:val="000000"/>
                <w:sz w:val="20"/>
                <w:szCs w:val="20"/>
                <w:u w:val="single"/>
              </w:rPr>
              <w:t>DIRECTORS, EXECUTIVE OFFICERS AND CORPORATE GOVERNANCE</w:t>
            </w:r>
          </w:p>
        </w:tc>
      </w:tr>
    </w:tbl>
    <w:p w14:paraId="35D0BF73" w14:textId="77777777" w:rsidR="00D42204" w:rsidRDefault="004E439D">
      <w:r>
        <w:rPr>
          <w:rFonts w:ascii="Times New Roman" w:eastAsia="宋体" w:hAnsi="Times New Roman"/>
          <w:color w:val="000000"/>
          <w:sz w:val="20"/>
          <w:szCs w:val="20"/>
        </w:rPr>
        <w:t>Please see the information concerning our executive officers contained in "</w:t>
      </w:r>
      <w:hyperlink r:id="rId158" w:anchor="i1ba69ebb72ec48f9b754a5e96c4cdf3f_16" w:history="1">
        <w:r>
          <w:rPr>
            <w:rStyle w:val="a5"/>
            <w:rFonts w:ascii="Times New Roman" w:eastAsia="宋体" w:hAnsi="Times New Roman"/>
            <w:sz w:val="20"/>
            <w:szCs w:val="20"/>
          </w:rPr>
          <w:t>Item 1. Business</w:t>
        </w:r>
      </w:hyperlink>
      <w:r>
        <w:rPr>
          <w:rFonts w:ascii="Times New Roman" w:eastAsia="宋体" w:hAnsi="Times New Roman"/>
          <w:color w:val="000000"/>
          <w:sz w:val="20"/>
          <w:szCs w:val="20"/>
        </w:rPr>
        <w:t>" herein under the caption "Information About Our Executive Officers," which is include</w:t>
      </w:r>
      <w:r>
        <w:rPr>
          <w:rFonts w:ascii="Times New Roman" w:eastAsia="宋体" w:hAnsi="Times New Roman"/>
          <w:color w:val="000000"/>
          <w:sz w:val="20"/>
          <w:szCs w:val="20"/>
        </w:rPr>
        <w:t>d in accordance with the Instruction to Item 401 of the SEC's Regulation S-K.</w:t>
      </w:r>
    </w:p>
    <w:p w14:paraId="35D0BF74" w14:textId="77777777" w:rsidR="00D42204" w:rsidRDefault="004E439D">
      <w:pPr>
        <w:spacing w:before="100"/>
      </w:pPr>
      <w:r>
        <w:rPr>
          <w:rFonts w:ascii="Times New Roman" w:eastAsia="宋体" w:hAnsi="Times New Roman"/>
          <w:color w:val="000000"/>
          <w:sz w:val="20"/>
          <w:szCs w:val="20"/>
        </w:rPr>
        <w:t xml:space="preserve">Information required by this Item 10 with respect to the Company's directors and certain family relationships is incorporated by reference to such information under the </w:t>
      </w:r>
      <w:r>
        <w:rPr>
          <w:rFonts w:ascii="Times New Roman" w:eastAsia="宋体" w:hAnsi="Times New Roman"/>
          <w:color w:val="000000"/>
          <w:sz w:val="20"/>
          <w:szCs w:val="20"/>
        </w:rPr>
        <w:t>caption "Proposal No. 1 – Election of Directors" included in our Proxy Statement relating to our 2022 Annual Meeting of Shareholders (our "Proxy Statement").</w:t>
      </w:r>
    </w:p>
    <w:p w14:paraId="35D0BF75" w14:textId="77777777" w:rsidR="00D42204" w:rsidRDefault="004E439D">
      <w:pPr>
        <w:spacing w:before="100"/>
      </w:pPr>
      <w:r>
        <w:rPr>
          <w:rFonts w:ascii="Times New Roman" w:eastAsia="宋体" w:hAnsi="Times New Roman"/>
          <w:color w:val="000000"/>
          <w:sz w:val="20"/>
          <w:szCs w:val="20"/>
        </w:rPr>
        <w:t>No material changes have been made to the procedures by which shareholders of the Company may reco</w:t>
      </w:r>
      <w:r>
        <w:rPr>
          <w:rFonts w:ascii="Times New Roman" w:eastAsia="宋体" w:hAnsi="Times New Roman"/>
          <w:color w:val="000000"/>
          <w:sz w:val="20"/>
          <w:szCs w:val="20"/>
        </w:rPr>
        <w:t>mmend nominees to our Board of Directors since those procedures were disclosed in our proxy statement relating to our 2021 Annual Shareholders' Meeting as previously filed with the SEC.</w:t>
      </w:r>
    </w:p>
    <w:p w14:paraId="35D0BF76" w14:textId="77777777" w:rsidR="00D42204" w:rsidRDefault="004E439D">
      <w:pPr>
        <w:spacing w:before="100"/>
      </w:pPr>
      <w:r>
        <w:rPr>
          <w:rFonts w:ascii="Times New Roman" w:eastAsia="宋体" w:hAnsi="Times New Roman"/>
          <w:color w:val="000000"/>
          <w:sz w:val="20"/>
          <w:szCs w:val="20"/>
        </w:rPr>
        <w:t>The information regarding our Audit Committee, including our audit com</w:t>
      </w:r>
      <w:r>
        <w:rPr>
          <w:rFonts w:ascii="Times New Roman" w:eastAsia="宋体" w:hAnsi="Times New Roman"/>
          <w:color w:val="000000"/>
          <w:sz w:val="20"/>
          <w:szCs w:val="20"/>
        </w:rPr>
        <w:t xml:space="preserve">mittee financial experts, our Reporting Protocols for Senior Financial Officers and our Code of Conduct applicable to all of our associates, including our Chief Executive Officer, Chief Financial Officer and our Controller, who is our principal accounting </w:t>
      </w:r>
      <w:r>
        <w:rPr>
          <w:rFonts w:ascii="Times New Roman" w:eastAsia="宋体" w:hAnsi="Times New Roman"/>
          <w:color w:val="000000"/>
          <w:sz w:val="20"/>
          <w:szCs w:val="20"/>
        </w:rPr>
        <w:t>officer, required by this Item 10 is incorporated herein by reference to the information under the captions "Corporate Governance" and "Proposal No. 3: Ratification of Independent Accountants" included in our Proxy Statement. "</w:t>
      </w:r>
      <w:hyperlink r:id="rId159" w:anchor="i1ba69ebb72ec48f9b754a5e96c4cdf3f_16" w:history="1">
        <w:r>
          <w:rPr>
            <w:rStyle w:val="a5"/>
            <w:rFonts w:ascii="Times New Roman" w:eastAsia="宋体" w:hAnsi="Times New Roman"/>
            <w:sz w:val="20"/>
            <w:szCs w:val="20"/>
          </w:rPr>
          <w:t>Item 1. Business</w:t>
        </w:r>
      </w:hyperlink>
      <w:r>
        <w:rPr>
          <w:rFonts w:ascii="Times New Roman" w:eastAsia="宋体" w:hAnsi="Times New Roman"/>
          <w:color w:val="000000"/>
          <w:sz w:val="20"/>
          <w:szCs w:val="20"/>
        </w:rPr>
        <w:t xml:space="preserve">" above contains information relating to the availability of a copy of our Reporting Protocols for Senior Financial </w:t>
      </w:r>
      <w:r>
        <w:rPr>
          <w:rFonts w:ascii="Times New Roman" w:eastAsia="宋体" w:hAnsi="Times New Roman"/>
          <w:color w:val="000000"/>
          <w:sz w:val="20"/>
          <w:szCs w:val="20"/>
        </w:rPr>
        <w:t>Officers and our Code of Conduct and the posting of amendments to and any waivers of the Reporting Protocols for Senior Financial Officers and our Code of Conduct on our website.</w:t>
      </w:r>
    </w:p>
    <w:tbl>
      <w:tblPr>
        <w:tblW w:w="4993" w:type="pct"/>
        <w:tblCellMar>
          <w:top w:w="15" w:type="dxa"/>
          <w:left w:w="15" w:type="dxa"/>
          <w:bottom w:w="15" w:type="dxa"/>
          <w:right w:w="15" w:type="dxa"/>
        </w:tblCellMar>
        <w:tblLook w:val="04A0" w:firstRow="1" w:lastRow="0" w:firstColumn="1" w:lastColumn="0" w:noHBand="0" w:noVBand="1"/>
      </w:tblPr>
      <w:tblGrid>
        <w:gridCol w:w="80"/>
        <w:gridCol w:w="797"/>
        <w:gridCol w:w="36"/>
        <w:gridCol w:w="70"/>
        <w:gridCol w:w="7305"/>
        <w:gridCol w:w="36"/>
      </w:tblGrid>
      <w:tr w:rsidR="00D42204" w14:paraId="35D0BF7D" w14:textId="77777777">
        <w:tc>
          <w:tcPr>
            <w:tcW w:w="50" w:type="pct"/>
            <w:shd w:val="clear" w:color="auto" w:fill="auto"/>
            <w:vAlign w:val="bottom"/>
          </w:tcPr>
          <w:p w14:paraId="35D0BF77" w14:textId="77777777" w:rsidR="00D42204" w:rsidRDefault="00D42204">
            <w:pPr>
              <w:rPr>
                <w:rFonts w:ascii="宋体"/>
              </w:rPr>
            </w:pPr>
          </w:p>
        </w:tc>
        <w:tc>
          <w:tcPr>
            <w:tcW w:w="494" w:type="pct"/>
            <w:shd w:val="clear" w:color="auto" w:fill="auto"/>
            <w:vAlign w:val="bottom"/>
          </w:tcPr>
          <w:p w14:paraId="35D0BF78" w14:textId="77777777" w:rsidR="00D42204" w:rsidRDefault="00D42204">
            <w:pPr>
              <w:rPr>
                <w:rFonts w:ascii="宋体"/>
              </w:rPr>
            </w:pPr>
          </w:p>
        </w:tc>
        <w:tc>
          <w:tcPr>
            <w:tcW w:w="5" w:type="pct"/>
            <w:shd w:val="clear" w:color="auto" w:fill="auto"/>
            <w:vAlign w:val="bottom"/>
          </w:tcPr>
          <w:p w14:paraId="35D0BF79" w14:textId="77777777" w:rsidR="00D42204" w:rsidRDefault="00D42204">
            <w:pPr>
              <w:rPr>
                <w:rFonts w:ascii="宋体"/>
              </w:rPr>
            </w:pPr>
          </w:p>
        </w:tc>
        <w:tc>
          <w:tcPr>
            <w:tcW w:w="50" w:type="pct"/>
            <w:shd w:val="clear" w:color="auto" w:fill="auto"/>
            <w:vAlign w:val="bottom"/>
          </w:tcPr>
          <w:p w14:paraId="35D0BF7A" w14:textId="77777777" w:rsidR="00D42204" w:rsidRDefault="00D42204">
            <w:pPr>
              <w:rPr>
                <w:rFonts w:ascii="宋体"/>
              </w:rPr>
            </w:pPr>
          </w:p>
        </w:tc>
        <w:tc>
          <w:tcPr>
            <w:tcW w:w="4396" w:type="pct"/>
            <w:shd w:val="clear" w:color="auto" w:fill="auto"/>
            <w:vAlign w:val="bottom"/>
          </w:tcPr>
          <w:p w14:paraId="35D0BF7B" w14:textId="77777777" w:rsidR="00D42204" w:rsidRDefault="00D42204">
            <w:pPr>
              <w:rPr>
                <w:rFonts w:ascii="宋体"/>
              </w:rPr>
            </w:pPr>
          </w:p>
        </w:tc>
        <w:tc>
          <w:tcPr>
            <w:tcW w:w="5" w:type="pct"/>
            <w:shd w:val="clear" w:color="auto" w:fill="auto"/>
            <w:vAlign w:val="bottom"/>
          </w:tcPr>
          <w:p w14:paraId="35D0BF7C" w14:textId="77777777" w:rsidR="00D42204" w:rsidRDefault="00D42204">
            <w:pPr>
              <w:rPr>
                <w:rFonts w:ascii="宋体"/>
              </w:rPr>
            </w:pPr>
          </w:p>
        </w:tc>
      </w:tr>
      <w:tr w:rsidR="00D42204" w14:paraId="35D0BF80" w14:textId="77777777">
        <w:tc>
          <w:tcPr>
            <w:tcW w:w="0" w:type="auto"/>
            <w:gridSpan w:val="3"/>
            <w:shd w:val="clear" w:color="auto" w:fill="auto"/>
            <w:tcMar>
              <w:top w:w="40" w:type="dxa"/>
              <w:left w:w="20" w:type="dxa"/>
              <w:bottom w:w="40" w:type="dxa"/>
              <w:right w:w="20" w:type="dxa"/>
            </w:tcMar>
          </w:tcPr>
          <w:p w14:paraId="35D0BF7E" w14:textId="77777777" w:rsidR="00D42204" w:rsidRDefault="004E439D">
            <w:pPr>
              <w:textAlignment w:val="top"/>
            </w:pPr>
            <w:r>
              <w:rPr>
                <w:rFonts w:ascii="Times New Roman" w:eastAsia="宋体" w:hAnsi="Times New Roman"/>
                <w:b/>
                <w:bCs/>
                <w:color w:val="000000"/>
                <w:sz w:val="20"/>
                <w:szCs w:val="20"/>
                <w:u w:val="single"/>
              </w:rPr>
              <w:t>ITEM 11.</w:t>
            </w:r>
          </w:p>
        </w:tc>
        <w:tc>
          <w:tcPr>
            <w:tcW w:w="0" w:type="auto"/>
            <w:gridSpan w:val="3"/>
            <w:shd w:val="clear" w:color="auto" w:fill="auto"/>
            <w:tcMar>
              <w:top w:w="40" w:type="dxa"/>
              <w:left w:w="20" w:type="dxa"/>
              <w:bottom w:w="40" w:type="dxa"/>
              <w:right w:w="20" w:type="dxa"/>
            </w:tcMar>
          </w:tcPr>
          <w:p w14:paraId="35D0BF7F" w14:textId="77777777" w:rsidR="00D42204" w:rsidRDefault="004E439D">
            <w:pPr>
              <w:textAlignment w:val="top"/>
            </w:pPr>
            <w:r>
              <w:rPr>
                <w:rFonts w:ascii="Times New Roman" w:eastAsia="宋体" w:hAnsi="Times New Roman"/>
                <w:b/>
                <w:bCs/>
                <w:color w:val="000000"/>
                <w:sz w:val="20"/>
                <w:szCs w:val="20"/>
                <w:u w:val="single"/>
              </w:rPr>
              <w:t>EXECUTIVE COMPENSATION</w:t>
            </w:r>
          </w:p>
        </w:tc>
      </w:tr>
    </w:tbl>
    <w:p w14:paraId="35D0BF81" w14:textId="77777777" w:rsidR="00D42204" w:rsidRDefault="004E439D">
      <w:r>
        <w:rPr>
          <w:rFonts w:ascii="Times New Roman" w:eastAsia="宋体" w:hAnsi="Times New Roman"/>
          <w:color w:val="000000"/>
          <w:sz w:val="20"/>
          <w:szCs w:val="20"/>
        </w:rPr>
        <w:t xml:space="preserve">The information required by this Item 11 is incorporated herein by reference to the information under the captions "Corporate Governance – Director Compensation" and "Executive Compensation" included in our Proxy Statement. </w:t>
      </w:r>
    </w:p>
    <w:tbl>
      <w:tblPr>
        <w:tblW w:w="4993" w:type="pct"/>
        <w:tblCellMar>
          <w:top w:w="15" w:type="dxa"/>
          <w:left w:w="15" w:type="dxa"/>
          <w:bottom w:w="15" w:type="dxa"/>
          <w:right w:w="15" w:type="dxa"/>
        </w:tblCellMar>
        <w:tblLook w:val="04A0" w:firstRow="1" w:lastRow="0" w:firstColumn="1" w:lastColumn="0" w:noHBand="0" w:noVBand="1"/>
      </w:tblPr>
      <w:tblGrid>
        <w:gridCol w:w="80"/>
        <w:gridCol w:w="797"/>
        <w:gridCol w:w="36"/>
        <w:gridCol w:w="70"/>
        <w:gridCol w:w="7305"/>
        <w:gridCol w:w="36"/>
      </w:tblGrid>
      <w:tr w:rsidR="00D42204" w14:paraId="35D0BF88" w14:textId="77777777">
        <w:tc>
          <w:tcPr>
            <w:tcW w:w="50" w:type="pct"/>
            <w:shd w:val="clear" w:color="auto" w:fill="auto"/>
            <w:vAlign w:val="bottom"/>
          </w:tcPr>
          <w:p w14:paraId="35D0BF82" w14:textId="77777777" w:rsidR="00D42204" w:rsidRDefault="00D42204">
            <w:pPr>
              <w:rPr>
                <w:rFonts w:ascii="宋体"/>
              </w:rPr>
            </w:pPr>
          </w:p>
        </w:tc>
        <w:tc>
          <w:tcPr>
            <w:tcW w:w="494" w:type="pct"/>
            <w:shd w:val="clear" w:color="auto" w:fill="auto"/>
            <w:vAlign w:val="bottom"/>
          </w:tcPr>
          <w:p w14:paraId="35D0BF83" w14:textId="77777777" w:rsidR="00D42204" w:rsidRDefault="00D42204">
            <w:pPr>
              <w:rPr>
                <w:rFonts w:ascii="宋体"/>
              </w:rPr>
            </w:pPr>
          </w:p>
        </w:tc>
        <w:tc>
          <w:tcPr>
            <w:tcW w:w="5" w:type="pct"/>
            <w:shd w:val="clear" w:color="auto" w:fill="auto"/>
            <w:vAlign w:val="bottom"/>
          </w:tcPr>
          <w:p w14:paraId="35D0BF84" w14:textId="77777777" w:rsidR="00D42204" w:rsidRDefault="00D42204">
            <w:pPr>
              <w:rPr>
                <w:rFonts w:ascii="宋体"/>
              </w:rPr>
            </w:pPr>
          </w:p>
        </w:tc>
        <w:tc>
          <w:tcPr>
            <w:tcW w:w="50" w:type="pct"/>
            <w:shd w:val="clear" w:color="auto" w:fill="auto"/>
            <w:vAlign w:val="bottom"/>
          </w:tcPr>
          <w:p w14:paraId="35D0BF85" w14:textId="77777777" w:rsidR="00D42204" w:rsidRDefault="00D42204">
            <w:pPr>
              <w:rPr>
                <w:rFonts w:ascii="宋体"/>
              </w:rPr>
            </w:pPr>
          </w:p>
        </w:tc>
        <w:tc>
          <w:tcPr>
            <w:tcW w:w="4396" w:type="pct"/>
            <w:shd w:val="clear" w:color="auto" w:fill="auto"/>
            <w:vAlign w:val="bottom"/>
          </w:tcPr>
          <w:p w14:paraId="35D0BF86" w14:textId="77777777" w:rsidR="00D42204" w:rsidRDefault="00D42204">
            <w:pPr>
              <w:rPr>
                <w:rFonts w:ascii="宋体"/>
              </w:rPr>
            </w:pPr>
          </w:p>
        </w:tc>
        <w:tc>
          <w:tcPr>
            <w:tcW w:w="5" w:type="pct"/>
            <w:shd w:val="clear" w:color="auto" w:fill="auto"/>
            <w:vAlign w:val="bottom"/>
          </w:tcPr>
          <w:p w14:paraId="35D0BF87" w14:textId="77777777" w:rsidR="00D42204" w:rsidRDefault="00D42204">
            <w:pPr>
              <w:rPr>
                <w:rFonts w:ascii="宋体"/>
              </w:rPr>
            </w:pPr>
          </w:p>
        </w:tc>
      </w:tr>
      <w:tr w:rsidR="00D42204" w14:paraId="35D0BF8B" w14:textId="77777777">
        <w:tc>
          <w:tcPr>
            <w:tcW w:w="0" w:type="auto"/>
            <w:gridSpan w:val="3"/>
            <w:shd w:val="clear" w:color="auto" w:fill="auto"/>
            <w:tcMar>
              <w:top w:w="40" w:type="dxa"/>
              <w:left w:w="20" w:type="dxa"/>
              <w:bottom w:w="40" w:type="dxa"/>
              <w:right w:w="20" w:type="dxa"/>
            </w:tcMar>
          </w:tcPr>
          <w:p w14:paraId="35D0BF89" w14:textId="77777777" w:rsidR="00D42204" w:rsidRDefault="004E439D">
            <w:pPr>
              <w:textAlignment w:val="top"/>
            </w:pPr>
            <w:r>
              <w:rPr>
                <w:rFonts w:ascii="Times New Roman" w:eastAsia="宋体" w:hAnsi="Times New Roman"/>
                <w:b/>
                <w:bCs/>
                <w:color w:val="000000"/>
                <w:sz w:val="20"/>
                <w:szCs w:val="20"/>
                <w:u w:val="single"/>
              </w:rPr>
              <w:t>ITEM 12.</w:t>
            </w:r>
          </w:p>
        </w:tc>
        <w:tc>
          <w:tcPr>
            <w:tcW w:w="0" w:type="auto"/>
            <w:gridSpan w:val="3"/>
            <w:shd w:val="clear" w:color="auto" w:fill="auto"/>
            <w:tcMar>
              <w:top w:w="40" w:type="dxa"/>
              <w:left w:w="20" w:type="dxa"/>
              <w:bottom w:w="40" w:type="dxa"/>
              <w:right w:w="20" w:type="dxa"/>
            </w:tcMar>
          </w:tcPr>
          <w:p w14:paraId="35D0BF8A" w14:textId="77777777" w:rsidR="00D42204" w:rsidRDefault="004E439D">
            <w:pPr>
              <w:textAlignment w:val="top"/>
            </w:pPr>
            <w:r>
              <w:rPr>
                <w:rFonts w:ascii="Times New Roman" w:eastAsia="宋体" w:hAnsi="Times New Roman"/>
                <w:b/>
                <w:bCs/>
                <w:color w:val="000000"/>
                <w:sz w:val="20"/>
                <w:szCs w:val="20"/>
                <w:u w:val="single"/>
              </w:rPr>
              <w:t>SECURITY OWNERSHIP OF CERTAIN BENEFICIAL OWNERS AND MANAGEMENT AND RELATED STOCKHOLDER MATTERS</w:t>
            </w:r>
          </w:p>
        </w:tc>
      </w:tr>
    </w:tbl>
    <w:p w14:paraId="35D0BF8C" w14:textId="77777777" w:rsidR="00D42204" w:rsidRDefault="004E439D">
      <w:r>
        <w:rPr>
          <w:rFonts w:ascii="Times New Roman" w:eastAsia="宋体" w:hAnsi="Times New Roman"/>
          <w:color w:val="000000"/>
          <w:sz w:val="20"/>
          <w:szCs w:val="20"/>
        </w:rPr>
        <w:t xml:space="preserve">The information required by this Item 12 is incorporated herein by reference to the information that appears under the caption "Stock Ownership" </w:t>
      </w:r>
      <w:r>
        <w:rPr>
          <w:rFonts w:ascii="Times New Roman" w:eastAsia="宋体" w:hAnsi="Times New Roman"/>
          <w:color w:val="000000"/>
          <w:sz w:val="20"/>
          <w:szCs w:val="20"/>
        </w:rPr>
        <w:t>included in our Proxy Statement.</w:t>
      </w:r>
    </w:p>
    <w:tbl>
      <w:tblPr>
        <w:tblW w:w="4993" w:type="pct"/>
        <w:tblCellMar>
          <w:top w:w="15" w:type="dxa"/>
          <w:left w:w="15" w:type="dxa"/>
          <w:bottom w:w="15" w:type="dxa"/>
          <w:right w:w="15" w:type="dxa"/>
        </w:tblCellMar>
        <w:tblLook w:val="04A0" w:firstRow="1" w:lastRow="0" w:firstColumn="1" w:lastColumn="0" w:noHBand="0" w:noVBand="1"/>
      </w:tblPr>
      <w:tblGrid>
        <w:gridCol w:w="80"/>
        <w:gridCol w:w="797"/>
        <w:gridCol w:w="36"/>
        <w:gridCol w:w="70"/>
        <w:gridCol w:w="7305"/>
        <w:gridCol w:w="36"/>
      </w:tblGrid>
      <w:tr w:rsidR="00D42204" w14:paraId="35D0BF93" w14:textId="77777777">
        <w:tc>
          <w:tcPr>
            <w:tcW w:w="50" w:type="pct"/>
            <w:shd w:val="clear" w:color="auto" w:fill="auto"/>
            <w:vAlign w:val="bottom"/>
          </w:tcPr>
          <w:p w14:paraId="35D0BF8D" w14:textId="77777777" w:rsidR="00D42204" w:rsidRDefault="00D42204">
            <w:pPr>
              <w:rPr>
                <w:rFonts w:ascii="宋体"/>
              </w:rPr>
            </w:pPr>
          </w:p>
        </w:tc>
        <w:tc>
          <w:tcPr>
            <w:tcW w:w="494" w:type="pct"/>
            <w:shd w:val="clear" w:color="auto" w:fill="auto"/>
            <w:vAlign w:val="bottom"/>
          </w:tcPr>
          <w:p w14:paraId="35D0BF8E" w14:textId="77777777" w:rsidR="00D42204" w:rsidRDefault="00D42204">
            <w:pPr>
              <w:rPr>
                <w:rFonts w:ascii="宋体"/>
              </w:rPr>
            </w:pPr>
          </w:p>
        </w:tc>
        <w:tc>
          <w:tcPr>
            <w:tcW w:w="5" w:type="pct"/>
            <w:shd w:val="clear" w:color="auto" w:fill="auto"/>
            <w:vAlign w:val="bottom"/>
          </w:tcPr>
          <w:p w14:paraId="35D0BF8F" w14:textId="77777777" w:rsidR="00D42204" w:rsidRDefault="00D42204">
            <w:pPr>
              <w:rPr>
                <w:rFonts w:ascii="宋体"/>
              </w:rPr>
            </w:pPr>
          </w:p>
        </w:tc>
        <w:tc>
          <w:tcPr>
            <w:tcW w:w="50" w:type="pct"/>
            <w:shd w:val="clear" w:color="auto" w:fill="auto"/>
            <w:vAlign w:val="bottom"/>
          </w:tcPr>
          <w:p w14:paraId="35D0BF90" w14:textId="77777777" w:rsidR="00D42204" w:rsidRDefault="00D42204">
            <w:pPr>
              <w:rPr>
                <w:rFonts w:ascii="宋体"/>
              </w:rPr>
            </w:pPr>
          </w:p>
        </w:tc>
        <w:tc>
          <w:tcPr>
            <w:tcW w:w="4396" w:type="pct"/>
            <w:shd w:val="clear" w:color="auto" w:fill="auto"/>
            <w:vAlign w:val="bottom"/>
          </w:tcPr>
          <w:p w14:paraId="35D0BF91" w14:textId="77777777" w:rsidR="00D42204" w:rsidRDefault="00D42204">
            <w:pPr>
              <w:rPr>
                <w:rFonts w:ascii="宋体"/>
              </w:rPr>
            </w:pPr>
          </w:p>
        </w:tc>
        <w:tc>
          <w:tcPr>
            <w:tcW w:w="5" w:type="pct"/>
            <w:shd w:val="clear" w:color="auto" w:fill="auto"/>
            <w:vAlign w:val="bottom"/>
          </w:tcPr>
          <w:p w14:paraId="35D0BF92" w14:textId="77777777" w:rsidR="00D42204" w:rsidRDefault="00D42204">
            <w:pPr>
              <w:rPr>
                <w:rFonts w:ascii="宋体"/>
              </w:rPr>
            </w:pPr>
          </w:p>
        </w:tc>
      </w:tr>
      <w:tr w:rsidR="00D42204" w14:paraId="35D0BF96" w14:textId="77777777">
        <w:tc>
          <w:tcPr>
            <w:tcW w:w="0" w:type="auto"/>
            <w:gridSpan w:val="3"/>
            <w:shd w:val="clear" w:color="auto" w:fill="auto"/>
            <w:tcMar>
              <w:top w:w="40" w:type="dxa"/>
              <w:left w:w="20" w:type="dxa"/>
              <w:bottom w:w="40" w:type="dxa"/>
              <w:right w:w="20" w:type="dxa"/>
            </w:tcMar>
          </w:tcPr>
          <w:p w14:paraId="35D0BF94" w14:textId="77777777" w:rsidR="00D42204" w:rsidRDefault="004E439D">
            <w:pPr>
              <w:textAlignment w:val="top"/>
            </w:pPr>
            <w:r>
              <w:rPr>
                <w:rFonts w:ascii="Times New Roman" w:eastAsia="宋体" w:hAnsi="Times New Roman"/>
                <w:b/>
                <w:bCs/>
                <w:color w:val="000000"/>
                <w:sz w:val="20"/>
                <w:szCs w:val="20"/>
                <w:u w:val="single"/>
              </w:rPr>
              <w:t>ITEM 13.</w:t>
            </w:r>
          </w:p>
        </w:tc>
        <w:tc>
          <w:tcPr>
            <w:tcW w:w="0" w:type="auto"/>
            <w:gridSpan w:val="3"/>
            <w:shd w:val="clear" w:color="auto" w:fill="auto"/>
            <w:tcMar>
              <w:top w:w="40" w:type="dxa"/>
              <w:left w:w="20" w:type="dxa"/>
              <w:bottom w:w="40" w:type="dxa"/>
              <w:right w:w="20" w:type="dxa"/>
            </w:tcMar>
          </w:tcPr>
          <w:p w14:paraId="35D0BF95" w14:textId="77777777" w:rsidR="00D42204" w:rsidRDefault="004E439D">
            <w:pPr>
              <w:textAlignment w:val="top"/>
            </w:pPr>
            <w:r>
              <w:rPr>
                <w:rFonts w:ascii="Times New Roman" w:eastAsia="宋体" w:hAnsi="Times New Roman"/>
                <w:b/>
                <w:bCs/>
                <w:color w:val="000000"/>
                <w:sz w:val="20"/>
                <w:szCs w:val="20"/>
                <w:u w:val="single"/>
              </w:rPr>
              <w:t>CERTAIN RELATIONSHIPS AND RELATED TRANSACTIONS, AND DIRECTOR INDEPENDENCE</w:t>
            </w:r>
          </w:p>
        </w:tc>
      </w:tr>
    </w:tbl>
    <w:p w14:paraId="35D0BF97" w14:textId="77777777" w:rsidR="00D42204" w:rsidRDefault="004E439D">
      <w:r>
        <w:rPr>
          <w:rFonts w:ascii="Times New Roman" w:eastAsia="宋体" w:hAnsi="Times New Roman"/>
          <w:color w:val="000000"/>
          <w:sz w:val="20"/>
          <w:szCs w:val="20"/>
        </w:rPr>
        <w:t xml:space="preserve">The information required by this Item 13 is incorporated herein by reference to the information under the caption </w:t>
      </w:r>
      <w:r>
        <w:rPr>
          <w:rFonts w:ascii="Times New Roman" w:eastAsia="宋体" w:hAnsi="Times New Roman"/>
          <w:color w:val="000000"/>
          <w:sz w:val="20"/>
          <w:szCs w:val="20"/>
        </w:rPr>
        <w:t>"Corporate Governance – Board Processes and Practices" included in our Proxy Statement.</w:t>
      </w:r>
    </w:p>
    <w:tbl>
      <w:tblPr>
        <w:tblW w:w="4993" w:type="pct"/>
        <w:tblCellMar>
          <w:top w:w="15" w:type="dxa"/>
          <w:left w:w="15" w:type="dxa"/>
          <w:bottom w:w="15" w:type="dxa"/>
          <w:right w:w="15" w:type="dxa"/>
        </w:tblCellMar>
        <w:tblLook w:val="04A0" w:firstRow="1" w:lastRow="0" w:firstColumn="1" w:lastColumn="0" w:noHBand="0" w:noVBand="1"/>
      </w:tblPr>
      <w:tblGrid>
        <w:gridCol w:w="80"/>
        <w:gridCol w:w="797"/>
        <w:gridCol w:w="36"/>
        <w:gridCol w:w="70"/>
        <w:gridCol w:w="7305"/>
        <w:gridCol w:w="36"/>
      </w:tblGrid>
      <w:tr w:rsidR="00D42204" w14:paraId="35D0BF9E" w14:textId="77777777">
        <w:tc>
          <w:tcPr>
            <w:tcW w:w="50" w:type="pct"/>
            <w:shd w:val="clear" w:color="auto" w:fill="auto"/>
            <w:vAlign w:val="bottom"/>
          </w:tcPr>
          <w:p w14:paraId="35D0BF98" w14:textId="77777777" w:rsidR="00D42204" w:rsidRDefault="00D42204">
            <w:pPr>
              <w:rPr>
                <w:rFonts w:ascii="宋体"/>
              </w:rPr>
            </w:pPr>
          </w:p>
        </w:tc>
        <w:tc>
          <w:tcPr>
            <w:tcW w:w="494" w:type="pct"/>
            <w:shd w:val="clear" w:color="auto" w:fill="auto"/>
            <w:vAlign w:val="bottom"/>
          </w:tcPr>
          <w:p w14:paraId="35D0BF99" w14:textId="77777777" w:rsidR="00D42204" w:rsidRDefault="00D42204">
            <w:pPr>
              <w:rPr>
                <w:rFonts w:ascii="宋体"/>
              </w:rPr>
            </w:pPr>
          </w:p>
        </w:tc>
        <w:tc>
          <w:tcPr>
            <w:tcW w:w="5" w:type="pct"/>
            <w:shd w:val="clear" w:color="auto" w:fill="auto"/>
            <w:vAlign w:val="bottom"/>
          </w:tcPr>
          <w:p w14:paraId="35D0BF9A" w14:textId="77777777" w:rsidR="00D42204" w:rsidRDefault="00D42204">
            <w:pPr>
              <w:rPr>
                <w:rFonts w:ascii="宋体"/>
              </w:rPr>
            </w:pPr>
          </w:p>
        </w:tc>
        <w:tc>
          <w:tcPr>
            <w:tcW w:w="50" w:type="pct"/>
            <w:shd w:val="clear" w:color="auto" w:fill="auto"/>
            <w:vAlign w:val="bottom"/>
          </w:tcPr>
          <w:p w14:paraId="35D0BF9B" w14:textId="77777777" w:rsidR="00D42204" w:rsidRDefault="00D42204">
            <w:pPr>
              <w:rPr>
                <w:rFonts w:ascii="宋体"/>
              </w:rPr>
            </w:pPr>
          </w:p>
        </w:tc>
        <w:tc>
          <w:tcPr>
            <w:tcW w:w="4396" w:type="pct"/>
            <w:shd w:val="clear" w:color="auto" w:fill="auto"/>
            <w:vAlign w:val="bottom"/>
          </w:tcPr>
          <w:p w14:paraId="35D0BF9C" w14:textId="77777777" w:rsidR="00D42204" w:rsidRDefault="00D42204">
            <w:pPr>
              <w:rPr>
                <w:rFonts w:ascii="宋体"/>
              </w:rPr>
            </w:pPr>
          </w:p>
        </w:tc>
        <w:tc>
          <w:tcPr>
            <w:tcW w:w="5" w:type="pct"/>
            <w:shd w:val="clear" w:color="auto" w:fill="auto"/>
            <w:vAlign w:val="bottom"/>
          </w:tcPr>
          <w:p w14:paraId="35D0BF9D" w14:textId="77777777" w:rsidR="00D42204" w:rsidRDefault="00D42204">
            <w:pPr>
              <w:rPr>
                <w:rFonts w:ascii="宋体"/>
              </w:rPr>
            </w:pPr>
          </w:p>
        </w:tc>
      </w:tr>
      <w:tr w:rsidR="00D42204" w14:paraId="35D0BFA1" w14:textId="77777777">
        <w:tc>
          <w:tcPr>
            <w:tcW w:w="0" w:type="auto"/>
            <w:gridSpan w:val="3"/>
            <w:shd w:val="clear" w:color="auto" w:fill="auto"/>
            <w:tcMar>
              <w:top w:w="40" w:type="dxa"/>
              <w:left w:w="20" w:type="dxa"/>
              <w:bottom w:w="40" w:type="dxa"/>
              <w:right w:w="20" w:type="dxa"/>
            </w:tcMar>
          </w:tcPr>
          <w:p w14:paraId="35D0BF9F" w14:textId="77777777" w:rsidR="00D42204" w:rsidRDefault="004E439D">
            <w:pPr>
              <w:textAlignment w:val="top"/>
            </w:pPr>
            <w:r>
              <w:rPr>
                <w:rFonts w:ascii="Times New Roman" w:eastAsia="宋体" w:hAnsi="Times New Roman"/>
                <w:b/>
                <w:bCs/>
                <w:color w:val="000000"/>
                <w:sz w:val="20"/>
                <w:szCs w:val="20"/>
                <w:u w:val="single"/>
              </w:rPr>
              <w:t>ITEM 14.</w:t>
            </w:r>
          </w:p>
        </w:tc>
        <w:tc>
          <w:tcPr>
            <w:tcW w:w="0" w:type="auto"/>
            <w:gridSpan w:val="3"/>
            <w:shd w:val="clear" w:color="auto" w:fill="auto"/>
            <w:tcMar>
              <w:top w:w="40" w:type="dxa"/>
              <w:left w:w="20" w:type="dxa"/>
              <w:bottom w:w="40" w:type="dxa"/>
              <w:right w:w="20" w:type="dxa"/>
            </w:tcMar>
          </w:tcPr>
          <w:p w14:paraId="35D0BFA0" w14:textId="77777777" w:rsidR="00D42204" w:rsidRDefault="004E439D">
            <w:pPr>
              <w:textAlignment w:val="top"/>
            </w:pPr>
            <w:r>
              <w:rPr>
                <w:rFonts w:ascii="Times New Roman" w:eastAsia="宋体" w:hAnsi="Times New Roman"/>
                <w:b/>
                <w:bCs/>
                <w:color w:val="000000"/>
                <w:sz w:val="20"/>
                <w:szCs w:val="20"/>
                <w:u w:val="single"/>
              </w:rPr>
              <w:t>PRINCIPAL ACCOUNTING FEES AND SERVICES</w:t>
            </w:r>
          </w:p>
        </w:tc>
      </w:tr>
    </w:tbl>
    <w:p w14:paraId="35D0BFA2" w14:textId="77777777" w:rsidR="00D42204" w:rsidRDefault="004E439D">
      <w:r>
        <w:rPr>
          <w:rFonts w:ascii="Times New Roman" w:eastAsia="宋体" w:hAnsi="Times New Roman"/>
          <w:color w:val="000000"/>
          <w:sz w:val="20"/>
          <w:szCs w:val="20"/>
        </w:rPr>
        <w:t xml:space="preserve">The information required by this Item 14 is incorporated herein by reference to the information under the </w:t>
      </w:r>
      <w:r>
        <w:rPr>
          <w:rFonts w:ascii="Times New Roman" w:eastAsia="宋体" w:hAnsi="Times New Roman"/>
          <w:color w:val="000000"/>
          <w:sz w:val="20"/>
          <w:szCs w:val="20"/>
        </w:rPr>
        <w:t>caption "Proposal No. 3 – Ratification of Independent Accountants" included in our Proxy Statement.</w:t>
      </w:r>
    </w:p>
    <w:p w14:paraId="35D0BFA3" w14:textId="77777777" w:rsidR="00D42204" w:rsidRDefault="004E439D">
      <w:pPr>
        <w:jc w:val="center"/>
      </w:pPr>
      <w:r>
        <w:rPr>
          <w:rFonts w:ascii="Times New Roman" w:eastAsia="宋体" w:hAnsi="Times New Roman"/>
          <w:color w:val="000000"/>
          <w:sz w:val="20"/>
          <w:szCs w:val="20"/>
        </w:rPr>
        <w:t>81</w:t>
      </w:r>
    </w:p>
    <w:p w14:paraId="35D0BFA4" w14:textId="77777777" w:rsidR="00D42204" w:rsidRDefault="004E439D">
      <w:r>
        <w:pict w14:anchorId="35D0C3AC">
          <v:rect id="_x0000_i1105" style="width:415.3pt;height:1.5pt" o:hralign="center" o:hrstd="t" o:hr="t" fillcolor="#a0a0a0" stroked="f"/>
        </w:pict>
      </w:r>
    </w:p>
    <w:p w14:paraId="35D0BFA5" w14:textId="77777777" w:rsidR="00D42204" w:rsidRDefault="00D42204"/>
    <w:p w14:paraId="35D0BFA6" w14:textId="77777777" w:rsidR="00D42204" w:rsidRDefault="004E439D">
      <w:pPr>
        <w:spacing w:before="240"/>
        <w:jc w:val="center"/>
      </w:pPr>
      <w:r>
        <w:rPr>
          <w:rFonts w:ascii="Times New Roman" w:eastAsia="宋体" w:hAnsi="Times New Roman"/>
          <w:b/>
          <w:bCs/>
          <w:color w:val="000000"/>
          <w:sz w:val="20"/>
          <w:szCs w:val="20"/>
          <w:u w:val="single"/>
        </w:rPr>
        <w:t>PART IV</w:t>
      </w:r>
    </w:p>
    <w:tbl>
      <w:tblPr>
        <w:tblW w:w="4993" w:type="pct"/>
        <w:tblCellMar>
          <w:top w:w="15" w:type="dxa"/>
          <w:left w:w="15" w:type="dxa"/>
          <w:bottom w:w="15" w:type="dxa"/>
          <w:right w:w="15" w:type="dxa"/>
        </w:tblCellMar>
        <w:tblLook w:val="04A0" w:firstRow="1" w:lastRow="0" w:firstColumn="1" w:lastColumn="0" w:noHBand="0" w:noVBand="1"/>
      </w:tblPr>
      <w:tblGrid>
        <w:gridCol w:w="80"/>
        <w:gridCol w:w="797"/>
        <w:gridCol w:w="36"/>
        <w:gridCol w:w="70"/>
        <w:gridCol w:w="7305"/>
        <w:gridCol w:w="36"/>
      </w:tblGrid>
      <w:tr w:rsidR="00D42204" w14:paraId="35D0BFAD" w14:textId="77777777">
        <w:tc>
          <w:tcPr>
            <w:tcW w:w="50" w:type="pct"/>
            <w:shd w:val="clear" w:color="auto" w:fill="auto"/>
            <w:vAlign w:val="bottom"/>
          </w:tcPr>
          <w:p w14:paraId="35D0BFA7" w14:textId="77777777" w:rsidR="00D42204" w:rsidRDefault="00D42204">
            <w:pPr>
              <w:rPr>
                <w:rFonts w:ascii="宋体"/>
              </w:rPr>
            </w:pPr>
          </w:p>
        </w:tc>
        <w:tc>
          <w:tcPr>
            <w:tcW w:w="494" w:type="pct"/>
            <w:shd w:val="clear" w:color="auto" w:fill="auto"/>
            <w:vAlign w:val="bottom"/>
          </w:tcPr>
          <w:p w14:paraId="35D0BFA8" w14:textId="77777777" w:rsidR="00D42204" w:rsidRDefault="00D42204">
            <w:pPr>
              <w:rPr>
                <w:rFonts w:ascii="宋体"/>
              </w:rPr>
            </w:pPr>
          </w:p>
        </w:tc>
        <w:tc>
          <w:tcPr>
            <w:tcW w:w="5" w:type="pct"/>
            <w:shd w:val="clear" w:color="auto" w:fill="auto"/>
            <w:vAlign w:val="bottom"/>
          </w:tcPr>
          <w:p w14:paraId="35D0BFA9" w14:textId="77777777" w:rsidR="00D42204" w:rsidRDefault="00D42204">
            <w:pPr>
              <w:rPr>
                <w:rFonts w:ascii="宋体"/>
              </w:rPr>
            </w:pPr>
          </w:p>
        </w:tc>
        <w:tc>
          <w:tcPr>
            <w:tcW w:w="50" w:type="pct"/>
            <w:shd w:val="clear" w:color="auto" w:fill="auto"/>
            <w:vAlign w:val="bottom"/>
          </w:tcPr>
          <w:p w14:paraId="35D0BFAA" w14:textId="77777777" w:rsidR="00D42204" w:rsidRDefault="00D42204">
            <w:pPr>
              <w:rPr>
                <w:rFonts w:ascii="宋体"/>
              </w:rPr>
            </w:pPr>
          </w:p>
        </w:tc>
        <w:tc>
          <w:tcPr>
            <w:tcW w:w="4396" w:type="pct"/>
            <w:shd w:val="clear" w:color="auto" w:fill="auto"/>
            <w:vAlign w:val="bottom"/>
          </w:tcPr>
          <w:p w14:paraId="35D0BFAB" w14:textId="77777777" w:rsidR="00D42204" w:rsidRDefault="00D42204">
            <w:pPr>
              <w:rPr>
                <w:rFonts w:ascii="宋体"/>
              </w:rPr>
            </w:pPr>
          </w:p>
        </w:tc>
        <w:tc>
          <w:tcPr>
            <w:tcW w:w="5" w:type="pct"/>
            <w:shd w:val="clear" w:color="auto" w:fill="auto"/>
            <w:vAlign w:val="bottom"/>
          </w:tcPr>
          <w:p w14:paraId="35D0BFAC" w14:textId="77777777" w:rsidR="00D42204" w:rsidRDefault="00D42204">
            <w:pPr>
              <w:rPr>
                <w:rFonts w:ascii="宋体"/>
              </w:rPr>
            </w:pPr>
          </w:p>
        </w:tc>
      </w:tr>
      <w:tr w:rsidR="00D42204" w14:paraId="35D0BFB0" w14:textId="77777777">
        <w:tc>
          <w:tcPr>
            <w:tcW w:w="0" w:type="auto"/>
            <w:gridSpan w:val="3"/>
            <w:shd w:val="clear" w:color="auto" w:fill="auto"/>
            <w:tcMar>
              <w:top w:w="40" w:type="dxa"/>
              <w:left w:w="20" w:type="dxa"/>
              <w:bottom w:w="40" w:type="dxa"/>
              <w:right w:w="20" w:type="dxa"/>
            </w:tcMar>
          </w:tcPr>
          <w:p w14:paraId="35D0BFAE" w14:textId="77777777" w:rsidR="00D42204" w:rsidRDefault="004E439D">
            <w:pPr>
              <w:textAlignment w:val="top"/>
            </w:pPr>
            <w:r>
              <w:rPr>
                <w:rFonts w:ascii="Times New Roman" w:eastAsia="宋体" w:hAnsi="Times New Roman"/>
                <w:b/>
                <w:bCs/>
                <w:color w:val="000000"/>
                <w:sz w:val="20"/>
                <w:szCs w:val="20"/>
                <w:u w:val="single"/>
              </w:rPr>
              <w:t>ITEM 15.</w:t>
            </w:r>
          </w:p>
        </w:tc>
        <w:tc>
          <w:tcPr>
            <w:tcW w:w="0" w:type="auto"/>
            <w:gridSpan w:val="3"/>
            <w:shd w:val="clear" w:color="auto" w:fill="auto"/>
            <w:tcMar>
              <w:top w:w="40" w:type="dxa"/>
              <w:left w:w="20" w:type="dxa"/>
              <w:bottom w:w="40" w:type="dxa"/>
              <w:right w:w="20" w:type="dxa"/>
            </w:tcMar>
          </w:tcPr>
          <w:p w14:paraId="35D0BFAF" w14:textId="77777777" w:rsidR="00D42204" w:rsidRDefault="004E439D">
            <w:pPr>
              <w:textAlignment w:val="top"/>
            </w:pPr>
            <w:r>
              <w:rPr>
                <w:rFonts w:ascii="Times New Roman" w:eastAsia="宋体" w:hAnsi="Times New Roman"/>
                <w:b/>
                <w:bCs/>
                <w:color w:val="000000"/>
                <w:sz w:val="20"/>
                <w:szCs w:val="20"/>
                <w:u w:val="single"/>
              </w:rPr>
              <w:t>EXHIBITS, FINANCIAL STATEMENT SCHEDULES</w:t>
            </w:r>
          </w:p>
        </w:tc>
      </w:tr>
    </w:tbl>
    <w:p w14:paraId="35D0BFB1" w14:textId="77777777" w:rsidR="00D42204" w:rsidRDefault="004E439D">
      <w:r>
        <w:rPr>
          <w:rFonts w:ascii="Times New Roman" w:eastAsia="宋体" w:hAnsi="Times New Roman"/>
          <w:color w:val="000000"/>
          <w:sz w:val="20"/>
          <w:szCs w:val="20"/>
        </w:rPr>
        <w:t xml:space="preserve">(a)     Documents filed as part of this report are as follows: </w:t>
      </w:r>
    </w:p>
    <w:tbl>
      <w:tblPr>
        <w:tblW w:w="5000" w:type="pct"/>
        <w:tblCellMar>
          <w:top w:w="15" w:type="dxa"/>
          <w:left w:w="15" w:type="dxa"/>
          <w:bottom w:w="15" w:type="dxa"/>
          <w:right w:w="15" w:type="dxa"/>
        </w:tblCellMar>
        <w:tblLook w:val="04A0" w:firstRow="1" w:lastRow="0" w:firstColumn="1" w:lastColumn="0" w:noHBand="0" w:noVBand="1"/>
      </w:tblPr>
      <w:tblGrid>
        <w:gridCol w:w="61"/>
        <w:gridCol w:w="860"/>
        <w:gridCol w:w="36"/>
        <w:gridCol w:w="36"/>
        <w:gridCol w:w="36"/>
        <w:gridCol w:w="36"/>
        <w:gridCol w:w="46"/>
        <w:gridCol w:w="7189"/>
        <w:gridCol w:w="36"/>
      </w:tblGrid>
      <w:tr w:rsidR="00D42204" w14:paraId="35D0BFBB" w14:textId="77777777">
        <w:tc>
          <w:tcPr>
            <w:tcW w:w="50" w:type="pct"/>
            <w:shd w:val="clear" w:color="auto" w:fill="auto"/>
            <w:vAlign w:val="bottom"/>
          </w:tcPr>
          <w:p w14:paraId="35D0BFB2" w14:textId="77777777" w:rsidR="00D42204" w:rsidRDefault="00D42204">
            <w:pPr>
              <w:rPr>
                <w:rFonts w:ascii="宋体"/>
              </w:rPr>
            </w:pPr>
          </w:p>
        </w:tc>
        <w:tc>
          <w:tcPr>
            <w:tcW w:w="529" w:type="pct"/>
            <w:shd w:val="clear" w:color="auto" w:fill="auto"/>
            <w:vAlign w:val="bottom"/>
          </w:tcPr>
          <w:p w14:paraId="35D0BFB3" w14:textId="77777777" w:rsidR="00D42204" w:rsidRDefault="00D42204">
            <w:pPr>
              <w:rPr>
                <w:rFonts w:ascii="宋体"/>
              </w:rPr>
            </w:pPr>
          </w:p>
        </w:tc>
        <w:tc>
          <w:tcPr>
            <w:tcW w:w="5" w:type="pct"/>
            <w:shd w:val="clear" w:color="auto" w:fill="auto"/>
            <w:vAlign w:val="bottom"/>
          </w:tcPr>
          <w:p w14:paraId="35D0BFB4" w14:textId="77777777" w:rsidR="00D42204" w:rsidRDefault="00D42204">
            <w:pPr>
              <w:rPr>
                <w:rFonts w:ascii="宋体"/>
              </w:rPr>
            </w:pPr>
          </w:p>
        </w:tc>
        <w:tc>
          <w:tcPr>
            <w:tcW w:w="5" w:type="pct"/>
            <w:shd w:val="clear" w:color="auto" w:fill="auto"/>
            <w:vAlign w:val="bottom"/>
          </w:tcPr>
          <w:p w14:paraId="35D0BFB5" w14:textId="77777777" w:rsidR="00D42204" w:rsidRDefault="00D42204">
            <w:pPr>
              <w:rPr>
                <w:rFonts w:ascii="宋体"/>
              </w:rPr>
            </w:pPr>
          </w:p>
        </w:tc>
        <w:tc>
          <w:tcPr>
            <w:tcW w:w="26" w:type="pct"/>
            <w:shd w:val="clear" w:color="auto" w:fill="auto"/>
            <w:vAlign w:val="bottom"/>
          </w:tcPr>
          <w:p w14:paraId="35D0BFB6" w14:textId="77777777" w:rsidR="00D42204" w:rsidRDefault="00D42204">
            <w:pPr>
              <w:rPr>
                <w:rFonts w:ascii="宋体"/>
              </w:rPr>
            </w:pPr>
          </w:p>
        </w:tc>
        <w:tc>
          <w:tcPr>
            <w:tcW w:w="5" w:type="pct"/>
            <w:shd w:val="clear" w:color="auto" w:fill="auto"/>
            <w:vAlign w:val="bottom"/>
          </w:tcPr>
          <w:p w14:paraId="35D0BFB7" w14:textId="77777777" w:rsidR="00D42204" w:rsidRDefault="00D42204">
            <w:pPr>
              <w:rPr>
                <w:rFonts w:ascii="宋体"/>
              </w:rPr>
            </w:pPr>
          </w:p>
        </w:tc>
        <w:tc>
          <w:tcPr>
            <w:tcW w:w="50" w:type="pct"/>
            <w:shd w:val="clear" w:color="auto" w:fill="auto"/>
            <w:vAlign w:val="bottom"/>
          </w:tcPr>
          <w:p w14:paraId="35D0BFB8" w14:textId="77777777" w:rsidR="00D42204" w:rsidRDefault="00D42204">
            <w:pPr>
              <w:rPr>
                <w:rFonts w:ascii="宋体"/>
              </w:rPr>
            </w:pPr>
          </w:p>
        </w:tc>
        <w:tc>
          <w:tcPr>
            <w:tcW w:w="4323" w:type="pct"/>
            <w:shd w:val="clear" w:color="auto" w:fill="auto"/>
            <w:vAlign w:val="bottom"/>
          </w:tcPr>
          <w:p w14:paraId="35D0BFB9" w14:textId="77777777" w:rsidR="00D42204" w:rsidRDefault="00D42204">
            <w:pPr>
              <w:rPr>
                <w:rFonts w:ascii="宋体"/>
              </w:rPr>
            </w:pPr>
          </w:p>
        </w:tc>
        <w:tc>
          <w:tcPr>
            <w:tcW w:w="5" w:type="pct"/>
            <w:shd w:val="clear" w:color="auto" w:fill="auto"/>
            <w:vAlign w:val="bottom"/>
          </w:tcPr>
          <w:p w14:paraId="35D0BFBA" w14:textId="77777777" w:rsidR="00D42204" w:rsidRDefault="00D42204">
            <w:pPr>
              <w:rPr>
                <w:rFonts w:ascii="宋体"/>
              </w:rPr>
            </w:pPr>
          </w:p>
        </w:tc>
      </w:tr>
      <w:tr w:rsidR="00D42204" w14:paraId="35D0BFBF" w14:textId="77777777">
        <w:tc>
          <w:tcPr>
            <w:tcW w:w="0" w:type="auto"/>
            <w:gridSpan w:val="3"/>
            <w:shd w:val="clear" w:color="auto" w:fill="auto"/>
            <w:tcMar>
              <w:top w:w="40" w:type="dxa"/>
              <w:left w:w="20" w:type="dxa"/>
              <w:bottom w:w="40" w:type="dxa"/>
              <w:right w:w="20" w:type="dxa"/>
            </w:tcMar>
          </w:tcPr>
          <w:p w14:paraId="35D0BFBC" w14:textId="77777777" w:rsidR="00D42204" w:rsidRDefault="004E439D">
            <w:pPr>
              <w:textAlignment w:val="top"/>
            </w:pPr>
            <w:r>
              <w:rPr>
                <w:rFonts w:ascii="Times New Roman" w:eastAsia="宋体" w:hAnsi="Times New Roman"/>
                <w:color w:val="000000"/>
                <w:sz w:val="20"/>
                <w:szCs w:val="20"/>
              </w:rPr>
              <w:t>1.</w:t>
            </w:r>
          </w:p>
        </w:tc>
        <w:tc>
          <w:tcPr>
            <w:tcW w:w="0" w:type="auto"/>
            <w:gridSpan w:val="3"/>
            <w:shd w:val="clear" w:color="auto" w:fill="auto"/>
            <w:tcMar>
              <w:top w:w="0" w:type="dxa"/>
              <w:left w:w="20" w:type="dxa"/>
              <w:bottom w:w="0" w:type="dxa"/>
              <w:right w:w="20" w:type="dxa"/>
            </w:tcMar>
            <w:vAlign w:val="bottom"/>
          </w:tcPr>
          <w:p w14:paraId="35D0BFBD"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BFBE" w14:textId="77777777" w:rsidR="00D42204" w:rsidRDefault="004E439D">
            <w:pPr>
              <w:spacing w:before="180"/>
              <w:textAlignment w:val="top"/>
            </w:pPr>
            <w:r>
              <w:rPr>
                <w:rFonts w:ascii="Times New Roman" w:eastAsia="宋体" w:hAnsi="Times New Roman"/>
                <w:color w:val="000000"/>
                <w:sz w:val="20"/>
                <w:szCs w:val="20"/>
              </w:rPr>
              <w:t>Financial Statements: See the Financial Statements in "</w:t>
            </w:r>
            <w:hyperlink r:id="rId160" w:anchor="i1ba69ebb72ec48f9b754a5e96c4cdf3f_121" w:history="1">
              <w:r>
                <w:rPr>
                  <w:rStyle w:val="a5"/>
                  <w:rFonts w:ascii="Times New Roman" w:eastAsia="宋体" w:hAnsi="Times New Roman"/>
                  <w:sz w:val="20"/>
                  <w:szCs w:val="20"/>
                </w:rPr>
                <w:t>Item 8. Financial Statements and Supplementary Data</w:t>
              </w:r>
            </w:hyperlink>
            <w:r>
              <w:rPr>
                <w:rFonts w:ascii="Times New Roman" w:eastAsia="宋体" w:hAnsi="Times New Roman"/>
                <w:color w:val="000000"/>
                <w:sz w:val="20"/>
                <w:szCs w:val="20"/>
              </w:rPr>
              <w:t>."</w:t>
            </w:r>
          </w:p>
        </w:tc>
      </w:tr>
      <w:tr w:rsidR="00D42204" w14:paraId="35D0BFC2" w14:textId="77777777">
        <w:trPr>
          <w:trHeight w:val="100"/>
        </w:trPr>
        <w:tc>
          <w:tcPr>
            <w:tcW w:w="0" w:type="auto"/>
            <w:gridSpan w:val="3"/>
            <w:shd w:val="clear" w:color="auto" w:fill="auto"/>
            <w:tcMar>
              <w:top w:w="0" w:type="dxa"/>
              <w:left w:w="20" w:type="dxa"/>
              <w:bottom w:w="0" w:type="dxa"/>
              <w:right w:w="20" w:type="dxa"/>
            </w:tcMar>
            <w:vAlign w:val="bottom"/>
          </w:tcPr>
          <w:p w14:paraId="35D0BFC0"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BFC1" w14:textId="77777777" w:rsidR="00D42204" w:rsidRDefault="00D42204">
            <w:pPr>
              <w:rPr>
                <w:rFonts w:ascii="宋体"/>
              </w:rPr>
            </w:pPr>
          </w:p>
        </w:tc>
      </w:tr>
      <w:tr w:rsidR="00D42204" w14:paraId="35D0BFC7" w14:textId="77777777">
        <w:tc>
          <w:tcPr>
            <w:tcW w:w="0" w:type="auto"/>
            <w:gridSpan w:val="3"/>
            <w:shd w:val="clear" w:color="auto" w:fill="auto"/>
            <w:tcMar>
              <w:top w:w="40" w:type="dxa"/>
              <w:left w:w="20" w:type="dxa"/>
              <w:bottom w:w="40" w:type="dxa"/>
              <w:right w:w="20" w:type="dxa"/>
            </w:tcMar>
          </w:tcPr>
          <w:p w14:paraId="35D0BFC3" w14:textId="77777777" w:rsidR="00D42204" w:rsidRDefault="004E439D">
            <w:pPr>
              <w:textAlignment w:val="top"/>
            </w:pPr>
            <w:r>
              <w:rPr>
                <w:rFonts w:ascii="Times New Roman" w:eastAsia="宋体" w:hAnsi="Times New Roman"/>
                <w:color w:val="000000"/>
                <w:sz w:val="20"/>
                <w:szCs w:val="20"/>
              </w:rPr>
              <w:t>2.</w:t>
            </w:r>
          </w:p>
        </w:tc>
        <w:tc>
          <w:tcPr>
            <w:tcW w:w="0" w:type="auto"/>
            <w:gridSpan w:val="3"/>
            <w:shd w:val="clear" w:color="auto" w:fill="auto"/>
            <w:tcMar>
              <w:top w:w="0" w:type="dxa"/>
              <w:left w:w="20" w:type="dxa"/>
              <w:bottom w:w="0" w:type="dxa"/>
              <w:right w:w="20" w:type="dxa"/>
            </w:tcMar>
            <w:vAlign w:val="bottom"/>
          </w:tcPr>
          <w:p w14:paraId="35D0BFC4"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BFC5" w14:textId="77777777" w:rsidR="00D42204" w:rsidRDefault="004E439D">
            <w:pPr>
              <w:spacing w:before="180"/>
              <w:textAlignment w:val="top"/>
            </w:pPr>
            <w:r>
              <w:rPr>
                <w:rFonts w:ascii="Times New Roman" w:eastAsia="宋体" w:hAnsi="Times New Roman"/>
                <w:color w:val="000000"/>
                <w:sz w:val="20"/>
                <w:szCs w:val="20"/>
              </w:rPr>
              <w:t>Financial Statement Schedules:</w:t>
            </w:r>
          </w:p>
          <w:p w14:paraId="35D0BFC6" w14:textId="77777777" w:rsidR="00D42204" w:rsidRDefault="004E439D">
            <w:pPr>
              <w:spacing w:before="100"/>
              <w:textAlignment w:val="top"/>
            </w:pPr>
            <w:r>
              <w:rPr>
                <w:rFonts w:ascii="Times New Roman" w:eastAsia="宋体" w:hAnsi="Times New Roman"/>
                <w:color w:val="000000"/>
                <w:sz w:val="20"/>
                <w:szCs w:val="20"/>
              </w:rPr>
              <w:t>Certain schedules have been omitted because the required information is not present or is not present in amounts sufficient to require submission of the schedule, or because the information required is included in the Consolidated Financial Statements, inc</w:t>
            </w:r>
            <w:r>
              <w:rPr>
                <w:rFonts w:ascii="Times New Roman" w:eastAsia="宋体" w:hAnsi="Times New Roman"/>
                <w:color w:val="000000"/>
                <w:sz w:val="20"/>
                <w:szCs w:val="20"/>
              </w:rPr>
              <w:t>luding the notes thereto.</w:t>
            </w:r>
          </w:p>
        </w:tc>
      </w:tr>
      <w:tr w:rsidR="00D42204" w14:paraId="35D0BFCA" w14:textId="77777777">
        <w:trPr>
          <w:trHeight w:val="100"/>
        </w:trPr>
        <w:tc>
          <w:tcPr>
            <w:tcW w:w="0" w:type="auto"/>
            <w:gridSpan w:val="3"/>
            <w:shd w:val="clear" w:color="auto" w:fill="auto"/>
            <w:tcMar>
              <w:top w:w="0" w:type="dxa"/>
              <w:left w:w="20" w:type="dxa"/>
              <w:bottom w:w="0" w:type="dxa"/>
              <w:right w:w="20" w:type="dxa"/>
            </w:tcMar>
            <w:vAlign w:val="bottom"/>
          </w:tcPr>
          <w:p w14:paraId="35D0BFC8"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BFC9" w14:textId="77777777" w:rsidR="00D42204" w:rsidRDefault="00D42204">
            <w:pPr>
              <w:rPr>
                <w:rFonts w:ascii="宋体"/>
              </w:rPr>
            </w:pPr>
          </w:p>
        </w:tc>
      </w:tr>
      <w:tr w:rsidR="00D42204" w14:paraId="35D0BFCF" w14:textId="77777777">
        <w:tc>
          <w:tcPr>
            <w:tcW w:w="0" w:type="auto"/>
            <w:gridSpan w:val="3"/>
            <w:shd w:val="clear" w:color="auto" w:fill="auto"/>
            <w:tcMar>
              <w:top w:w="40" w:type="dxa"/>
              <w:left w:w="20" w:type="dxa"/>
              <w:bottom w:w="40" w:type="dxa"/>
              <w:right w:w="20" w:type="dxa"/>
            </w:tcMar>
          </w:tcPr>
          <w:p w14:paraId="35D0BFCB" w14:textId="77777777" w:rsidR="00D42204" w:rsidRDefault="004E439D">
            <w:pPr>
              <w:textAlignment w:val="top"/>
            </w:pPr>
            <w:r>
              <w:rPr>
                <w:rFonts w:ascii="Times New Roman" w:eastAsia="宋体" w:hAnsi="Times New Roman"/>
                <w:color w:val="000000"/>
                <w:sz w:val="20"/>
                <w:szCs w:val="20"/>
              </w:rPr>
              <w:t>3.</w:t>
            </w:r>
          </w:p>
        </w:tc>
        <w:tc>
          <w:tcPr>
            <w:tcW w:w="0" w:type="auto"/>
            <w:gridSpan w:val="3"/>
            <w:shd w:val="clear" w:color="auto" w:fill="auto"/>
            <w:tcMar>
              <w:top w:w="0" w:type="dxa"/>
              <w:left w:w="20" w:type="dxa"/>
              <w:bottom w:w="0" w:type="dxa"/>
              <w:right w:w="20" w:type="dxa"/>
            </w:tcMar>
            <w:vAlign w:val="bottom"/>
          </w:tcPr>
          <w:p w14:paraId="35D0BFCC"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BFCD" w14:textId="77777777" w:rsidR="00D42204" w:rsidRDefault="004E439D">
            <w:pPr>
              <w:spacing w:before="180"/>
              <w:textAlignment w:val="top"/>
            </w:pPr>
            <w:r>
              <w:rPr>
                <w:rFonts w:ascii="Times New Roman" w:eastAsia="宋体" w:hAnsi="Times New Roman"/>
                <w:color w:val="000000"/>
                <w:sz w:val="20"/>
                <w:szCs w:val="20"/>
              </w:rPr>
              <w:t>Exhibits:</w:t>
            </w:r>
          </w:p>
          <w:p w14:paraId="35D0BFCE" w14:textId="77777777" w:rsidR="00D42204" w:rsidRDefault="004E439D">
            <w:pPr>
              <w:spacing w:before="100"/>
              <w:textAlignment w:val="top"/>
            </w:pPr>
            <w:r>
              <w:rPr>
                <w:rFonts w:ascii="Times New Roman" w:eastAsia="宋体" w:hAnsi="Times New Roman"/>
                <w:color w:val="000000"/>
                <w:sz w:val="20"/>
                <w:szCs w:val="20"/>
              </w:rPr>
              <w:t>See exhibits listed under part (b) below.</w:t>
            </w:r>
          </w:p>
        </w:tc>
      </w:tr>
      <w:tr w:rsidR="00D42204" w14:paraId="35D0BFD2" w14:textId="77777777">
        <w:trPr>
          <w:trHeight w:val="100"/>
        </w:trPr>
        <w:tc>
          <w:tcPr>
            <w:tcW w:w="0" w:type="auto"/>
            <w:gridSpan w:val="3"/>
            <w:shd w:val="clear" w:color="auto" w:fill="auto"/>
            <w:tcMar>
              <w:top w:w="0" w:type="dxa"/>
              <w:left w:w="20" w:type="dxa"/>
              <w:bottom w:w="0" w:type="dxa"/>
              <w:right w:w="20" w:type="dxa"/>
            </w:tcMar>
            <w:vAlign w:val="bottom"/>
          </w:tcPr>
          <w:p w14:paraId="35D0BFD0"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BFD1" w14:textId="77777777" w:rsidR="00D42204" w:rsidRDefault="00D42204">
            <w:pPr>
              <w:rPr>
                <w:rFonts w:ascii="宋体"/>
              </w:rPr>
            </w:pPr>
          </w:p>
        </w:tc>
      </w:tr>
    </w:tbl>
    <w:p w14:paraId="35D0BFD3" w14:textId="77777777" w:rsidR="00D42204" w:rsidRDefault="004E439D">
      <w:pPr>
        <w:spacing w:before="80"/>
        <w:ind w:hanging="720"/>
      </w:pPr>
      <w:r>
        <w:rPr>
          <w:rFonts w:ascii="Times New Roman" w:eastAsia="宋体" w:hAnsi="Times New Roman"/>
          <w:color w:val="000000"/>
          <w:sz w:val="20"/>
          <w:szCs w:val="20"/>
        </w:rPr>
        <w:t>(b)    The required exhibits are filed as part of this Form 10-K or are incorporated by reference herein.</w:t>
      </w:r>
      <w:r>
        <w:rPr>
          <w:rFonts w:ascii="Times New Roman" w:eastAsia="宋体" w:hAnsi="Times New Roman"/>
          <w:color w:val="000000"/>
          <w:sz w:val="13"/>
          <w:szCs w:val="13"/>
        </w:rPr>
        <w:t>(1)</w:t>
      </w:r>
      <w:r>
        <w:rPr>
          <w:rFonts w:ascii="Times New Roman" w:eastAsia="宋体" w:hAnsi="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860"/>
        <w:gridCol w:w="36"/>
        <w:gridCol w:w="36"/>
        <w:gridCol w:w="36"/>
        <w:gridCol w:w="36"/>
        <w:gridCol w:w="46"/>
        <w:gridCol w:w="7189"/>
        <w:gridCol w:w="37"/>
      </w:tblGrid>
      <w:tr w:rsidR="00D42204" w14:paraId="35D0BFDD" w14:textId="77777777">
        <w:trPr>
          <w:jc w:val="center"/>
        </w:trPr>
        <w:tc>
          <w:tcPr>
            <w:tcW w:w="50" w:type="pct"/>
            <w:shd w:val="clear" w:color="auto" w:fill="auto"/>
            <w:vAlign w:val="bottom"/>
          </w:tcPr>
          <w:p w14:paraId="35D0BFD4" w14:textId="77777777" w:rsidR="00D42204" w:rsidRDefault="00D42204">
            <w:pPr>
              <w:rPr>
                <w:rFonts w:ascii="宋体"/>
              </w:rPr>
            </w:pPr>
          </w:p>
        </w:tc>
        <w:tc>
          <w:tcPr>
            <w:tcW w:w="529" w:type="pct"/>
            <w:shd w:val="clear" w:color="auto" w:fill="auto"/>
            <w:vAlign w:val="bottom"/>
          </w:tcPr>
          <w:p w14:paraId="35D0BFD5" w14:textId="77777777" w:rsidR="00D42204" w:rsidRDefault="00D42204">
            <w:pPr>
              <w:rPr>
                <w:rFonts w:ascii="宋体"/>
              </w:rPr>
            </w:pPr>
          </w:p>
        </w:tc>
        <w:tc>
          <w:tcPr>
            <w:tcW w:w="5" w:type="pct"/>
            <w:shd w:val="clear" w:color="auto" w:fill="auto"/>
            <w:vAlign w:val="bottom"/>
          </w:tcPr>
          <w:p w14:paraId="35D0BFD6" w14:textId="77777777" w:rsidR="00D42204" w:rsidRDefault="00D42204">
            <w:pPr>
              <w:rPr>
                <w:rFonts w:ascii="宋体"/>
              </w:rPr>
            </w:pPr>
          </w:p>
        </w:tc>
        <w:tc>
          <w:tcPr>
            <w:tcW w:w="5" w:type="pct"/>
            <w:shd w:val="clear" w:color="auto" w:fill="auto"/>
            <w:vAlign w:val="bottom"/>
          </w:tcPr>
          <w:p w14:paraId="35D0BFD7" w14:textId="77777777" w:rsidR="00D42204" w:rsidRDefault="00D42204">
            <w:pPr>
              <w:rPr>
                <w:rFonts w:ascii="宋体"/>
              </w:rPr>
            </w:pPr>
          </w:p>
        </w:tc>
        <w:tc>
          <w:tcPr>
            <w:tcW w:w="26" w:type="pct"/>
            <w:shd w:val="clear" w:color="auto" w:fill="auto"/>
            <w:vAlign w:val="bottom"/>
          </w:tcPr>
          <w:p w14:paraId="35D0BFD8" w14:textId="77777777" w:rsidR="00D42204" w:rsidRDefault="00D42204">
            <w:pPr>
              <w:rPr>
                <w:rFonts w:ascii="宋体"/>
              </w:rPr>
            </w:pPr>
          </w:p>
        </w:tc>
        <w:tc>
          <w:tcPr>
            <w:tcW w:w="5" w:type="pct"/>
            <w:shd w:val="clear" w:color="auto" w:fill="auto"/>
            <w:vAlign w:val="bottom"/>
          </w:tcPr>
          <w:p w14:paraId="35D0BFD9" w14:textId="77777777" w:rsidR="00D42204" w:rsidRDefault="00D42204">
            <w:pPr>
              <w:rPr>
                <w:rFonts w:ascii="宋体"/>
              </w:rPr>
            </w:pPr>
          </w:p>
        </w:tc>
        <w:tc>
          <w:tcPr>
            <w:tcW w:w="50" w:type="pct"/>
            <w:shd w:val="clear" w:color="auto" w:fill="auto"/>
            <w:vAlign w:val="bottom"/>
          </w:tcPr>
          <w:p w14:paraId="35D0BFDA" w14:textId="77777777" w:rsidR="00D42204" w:rsidRDefault="00D42204">
            <w:pPr>
              <w:rPr>
                <w:rFonts w:ascii="宋体"/>
              </w:rPr>
            </w:pPr>
          </w:p>
        </w:tc>
        <w:tc>
          <w:tcPr>
            <w:tcW w:w="4323" w:type="pct"/>
            <w:shd w:val="clear" w:color="auto" w:fill="auto"/>
            <w:vAlign w:val="bottom"/>
          </w:tcPr>
          <w:p w14:paraId="35D0BFDB" w14:textId="77777777" w:rsidR="00D42204" w:rsidRDefault="00D42204">
            <w:pPr>
              <w:rPr>
                <w:rFonts w:ascii="宋体"/>
              </w:rPr>
            </w:pPr>
          </w:p>
        </w:tc>
        <w:tc>
          <w:tcPr>
            <w:tcW w:w="5" w:type="pct"/>
            <w:shd w:val="clear" w:color="auto" w:fill="auto"/>
            <w:vAlign w:val="bottom"/>
          </w:tcPr>
          <w:p w14:paraId="35D0BFDC" w14:textId="77777777" w:rsidR="00D42204" w:rsidRDefault="00D42204">
            <w:pPr>
              <w:rPr>
                <w:rFonts w:ascii="宋体"/>
              </w:rPr>
            </w:pPr>
          </w:p>
        </w:tc>
      </w:tr>
      <w:tr w:rsidR="00D42204" w14:paraId="35D0BFE1" w14:textId="77777777">
        <w:trPr>
          <w:jc w:val="center"/>
        </w:trPr>
        <w:tc>
          <w:tcPr>
            <w:tcW w:w="0" w:type="auto"/>
            <w:gridSpan w:val="3"/>
            <w:shd w:val="clear" w:color="auto" w:fill="auto"/>
            <w:tcMar>
              <w:top w:w="40" w:type="dxa"/>
              <w:left w:w="20" w:type="dxa"/>
              <w:bottom w:w="40" w:type="dxa"/>
              <w:right w:w="20" w:type="dxa"/>
            </w:tcMar>
          </w:tcPr>
          <w:p w14:paraId="35D0BFDE" w14:textId="77777777" w:rsidR="00D42204" w:rsidRDefault="004E439D">
            <w:pPr>
              <w:textAlignment w:val="top"/>
            </w:pPr>
            <w:r>
              <w:rPr>
                <w:rFonts w:ascii="Times New Roman" w:eastAsia="宋体" w:hAnsi="Times New Roman"/>
                <w:color w:val="000000"/>
                <w:sz w:val="20"/>
                <w:szCs w:val="20"/>
              </w:rPr>
              <w:t>3.1</w:t>
            </w:r>
          </w:p>
        </w:tc>
        <w:tc>
          <w:tcPr>
            <w:tcW w:w="0" w:type="auto"/>
            <w:gridSpan w:val="3"/>
            <w:shd w:val="clear" w:color="auto" w:fill="auto"/>
            <w:tcMar>
              <w:top w:w="0" w:type="dxa"/>
              <w:left w:w="20" w:type="dxa"/>
              <w:bottom w:w="0" w:type="dxa"/>
              <w:right w:w="20" w:type="dxa"/>
            </w:tcMar>
            <w:vAlign w:val="bottom"/>
          </w:tcPr>
          <w:p w14:paraId="35D0BFDF"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BFE0" w14:textId="77777777" w:rsidR="00D42204" w:rsidRDefault="004E439D">
            <w:pPr>
              <w:textAlignment w:val="top"/>
            </w:pPr>
            <w:hyperlink r:id="rId161" w:history="1">
              <w:r>
                <w:rPr>
                  <w:rStyle w:val="a5"/>
                  <w:rFonts w:ascii="Times New Roman" w:eastAsia="宋体" w:hAnsi="Times New Roman"/>
                  <w:sz w:val="20"/>
                  <w:szCs w:val="20"/>
                </w:rPr>
                <w:t>Restated Certificate of Incorporation of the Company dated February 1, 2018 is incorporated herein by reference to Exhibit 3.1 to the Report on Form 8-K file</w:t>
              </w:r>
              <w:r>
                <w:rPr>
                  <w:rStyle w:val="a5"/>
                  <w:rFonts w:ascii="Times New Roman" w:eastAsia="宋体" w:hAnsi="Times New Roman"/>
                  <w:sz w:val="20"/>
                  <w:szCs w:val="20"/>
                </w:rPr>
                <w:t>d by the Company on February 1, 2018</w:t>
              </w:r>
            </w:hyperlink>
          </w:p>
        </w:tc>
      </w:tr>
      <w:tr w:rsidR="00D42204" w14:paraId="35D0BFE4" w14:textId="77777777">
        <w:trPr>
          <w:trHeight w:val="60"/>
          <w:jc w:val="center"/>
        </w:trPr>
        <w:tc>
          <w:tcPr>
            <w:tcW w:w="0" w:type="auto"/>
            <w:gridSpan w:val="3"/>
            <w:shd w:val="clear" w:color="auto" w:fill="auto"/>
            <w:tcMar>
              <w:top w:w="0" w:type="dxa"/>
              <w:left w:w="20" w:type="dxa"/>
              <w:bottom w:w="0" w:type="dxa"/>
              <w:right w:w="20" w:type="dxa"/>
            </w:tcMar>
            <w:vAlign w:val="bottom"/>
          </w:tcPr>
          <w:p w14:paraId="35D0BFE2"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BFE3" w14:textId="77777777" w:rsidR="00D42204" w:rsidRDefault="00D42204">
            <w:pPr>
              <w:rPr>
                <w:rFonts w:ascii="宋体"/>
              </w:rPr>
            </w:pPr>
          </w:p>
        </w:tc>
      </w:tr>
      <w:tr w:rsidR="00D42204" w14:paraId="35D0BFE8" w14:textId="77777777">
        <w:trPr>
          <w:jc w:val="center"/>
        </w:trPr>
        <w:tc>
          <w:tcPr>
            <w:tcW w:w="0" w:type="auto"/>
            <w:gridSpan w:val="3"/>
            <w:shd w:val="clear" w:color="auto" w:fill="auto"/>
            <w:tcMar>
              <w:top w:w="40" w:type="dxa"/>
              <w:left w:w="20" w:type="dxa"/>
              <w:bottom w:w="40" w:type="dxa"/>
              <w:right w:w="20" w:type="dxa"/>
            </w:tcMar>
          </w:tcPr>
          <w:p w14:paraId="35D0BFE5" w14:textId="77777777" w:rsidR="00D42204" w:rsidRDefault="004E439D">
            <w:pPr>
              <w:textAlignment w:val="top"/>
            </w:pPr>
            <w:r>
              <w:rPr>
                <w:rFonts w:ascii="Times New Roman" w:eastAsia="宋体" w:hAnsi="Times New Roman"/>
                <w:color w:val="000000"/>
                <w:sz w:val="20"/>
                <w:szCs w:val="20"/>
              </w:rPr>
              <w:t>3.2</w:t>
            </w:r>
          </w:p>
        </w:tc>
        <w:tc>
          <w:tcPr>
            <w:tcW w:w="0" w:type="auto"/>
            <w:gridSpan w:val="3"/>
            <w:shd w:val="clear" w:color="auto" w:fill="auto"/>
            <w:tcMar>
              <w:top w:w="0" w:type="dxa"/>
              <w:left w:w="20" w:type="dxa"/>
              <w:bottom w:w="0" w:type="dxa"/>
              <w:right w:w="20" w:type="dxa"/>
            </w:tcMar>
            <w:vAlign w:val="bottom"/>
          </w:tcPr>
          <w:p w14:paraId="35D0BFE6"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BFE7" w14:textId="77777777" w:rsidR="00D42204" w:rsidRDefault="004E439D">
            <w:pPr>
              <w:textAlignment w:val="top"/>
            </w:pPr>
            <w:hyperlink r:id="rId162" w:history="1">
              <w:r>
                <w:rPr>
                  <w:rStyle w:val="a5"/>
                  <w:rFonts w:ascii="Times New Roman" w:eastAsia="宋体" w:hAnsi="Times New Roman"/>
                  <w:sz w:val="20"/>
                  <w:szCs w:val="20"/>
                </w:rPr>
                <w:t>Amended and Restated Bylaws of the Company dated July 23, 2019 are incorporated herein by reference to Exhibit 3.1 to the Report on Form 8-K filed by t</w:t>
              </w:r>
              <w:r>
                <w:rPr>
                  <w:rStyle w:val="a5"/>
                  <w:rFonts w:ascii="Times New Roman" w:eastAsia="宋体" w:hAnsi="Times New Roman"/>
                  <w:sz w:val="20"/>
                  <w:szCs w:val="20"/>
                </w:rPr>
                <w:t>he Company on July 26, 2019</w:t>
              </w:r>
            </w:hyperlink>
          </w:p>
        </w:tc>
      </w:tr>
      <w:tr w:rsidR="00D42204" w14:paraId="35D0BFEB" w14:textId="77777777">
        <w:trPr>
          <w:trHeight w:val="60"/>
          <w:jc w:val="center"/>
        </w:trPr>
        <w:tc>
          <w:tcPr>
            <w:tcW w:w="0" w:type="auto"/>
            <w:gridSpan w:val="3"/>
            <w:shd w:val="clear" w:color="auto" w:fill="auto"/>
            <w:tcMar>
              <w:top w:w="0" w:type="dxa"/>
              <w:left w:w="20" w:type="dxa"/>
              <w:bottom w:w="0" w:type="dxa"/>
              <w:right w:w="20" w:type="dxa"/>
            </w:tcMar>
            <w:vAlign w:val="bottom"/>
          </w:tcPr>
          <w:p w14:paraId="35D0BFE9"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BFEA" w14:textId="77777777" w:rsidR="00D42204" w:rsidRDefault="00D42204">
            <w:pPr>
              <w:rPr>
                <w:rFonts w:ascii="宋体"/>
              </w:rPr>
            </w:pPr>
          </w:p>
        </w:tc>
      </w:tr>
      <w:tr w:rsidR="00D42204" w14:paraId="35D0BFEF" w14:textId="77777777">
        <w:trPr>
          <w:jc w:val="center"/>
        </w:trPr>
        <w:tc>
          <w:tcPr>
            <w:tcW w:w="0" w:type="auto"/>
            <w:gridSpan w:val="3"/>
            <w:shd w:val="clear" w:color="auto" w:fill="auto"/>
            <w:tcMar>
              <w:top w:w="40" w:type="dxa"/>
              <w:left w:w="20" w:type="dxa"/>
              <w:bottom w:w="40" w:type="dxa"/>
              <w:right w:w="20" w:type="dxa"/>
            </w:tcMar>
          </w:tcPr>
          <w:p w14:paraId="35D0BFEC" w14:textId="77777777" w:rsidR="00D42204" w:rsidRDefault="004E439D">
            <w:pPr>
              <w:textAlignment w:val="top"/>
            </w:pPr>
            <w:r>
              <w:rPr>
                <w:rFonts w:ascii="Times New Roman" w:eastAsia="宋体" w:hAnsi="Times New Roman"/>
                <w:color w:val="000000"/>
                <w:sz w:val="20"/>
                <w:szCs w:val="20"/>
              </w:rPr>
              <w:t>4.1</w:t>
            </w:r>
          </w:p>
        </w:tc>
        <w:tc>
          <w:tcPr>
            <w:tcW w:w="0" w:type="auto"/>
            <w:gridSpan w:val="3"/>
            <w:shd w:val="clear" w:color="auto" w:fill="auto"/>
            <w:tcMar>
              <w:top w:w="0" w:type="dxa"/>
              <w:left w:w="20" w:type="dxa"/>
              <w:bottom w:w="0" w:type="dxa"/>
              <w:right w:w="20" w:type="dxa"/>
            </w:tcMar>
            <w:vAlign w:val="bottom"/>
          </w:tcPr>
          <w:p w14:paraId="35D0BFED"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BFEE" w14:textId="77777777" w:rsidR="00D42204" w:rsidRDefault="004E439D">
            <w:pPr>
              <w:textAlignment w:val="top"/>
            </w:pPr>
            <w:r>
              <w:rPr>
                <w:rFonts w:ascii="Times New Roman" w:eastAsia="宋体" w:hAnsi="Times New Roman"/>
                <w:color w:val="000000"/>
                <w:sz w:val="20"/>
                <w:szCs w:val="20"/>
              </w:rPr>
              <w:t>Indenture dated as of April 1, 1991, between the Company and J.P. Morgan Trust Company, National Association, as successor trustee to Bank One Trust Company, NA, as successor trustee to The First National Bank of Chicago, Trustee, is incorporated herein by</w:t>
            </w:r>
            <w:r>
              <w:rPr>
                <w:rFonts w:ascii="Times New Roman" w:eastAsia="宋体" w:hAnsi="Times New Roman"/>
                <w:color w:val="000000"/>
                <w:sz w:val="20"/>
                <w:szCs w:val="20"/>
              </w:rPr>
              <w:t xml:space="preserve"> reference to Exhibit 4(a) to Registration Statement on Form S-3 (File Number 33-51344) </w:t>
            </w:r>
            <w:r>
              <w:rPr>
                <w:rFonts w:ascii="Times New Roman" w:eastAsia="宋体" w:hAnsi="Times New Roman"/>
                <w:color w:val="000000"/>
                <w:sz w:val="13"/>
                <w:szCs w:val="13"/>
              </w:rPr>
              <w:t>(P)</w:t>
            </w:r>
          </w:p>
        </w:tc>
      </w:tr>
      <w:tr w:rsidR="00D42204" w14:paraId="35D0BFF2" w14:textId="77777777">
        <w:trPr>
          <w:trHeight w:val="60"/>
          <w:jc w:val="center"/>
        </w:trPr>
        <w:tc>
          <w:tcPr>
            <w:tcW w:w="0" w:type="auto"/>
            <w:gridSpan w:val="3"/>
            <w:shd w:val="clear" w:color="auto" w:fill="auto"/>
            <w:tcMar>
              <w:top w:w="0" w:type="dxa"/>
              <w:left w:w="20" w:type="dxa"/>
              <w:bottom w:w="0" w:type="dxa"/>
              <w:right w:w="20" w:type="dxa"/>
            </w:tcMar>
            <w:vAlign w:val="bottom"/>
          </w:tcPr>
          <w:p w14:paraId="35D0BFF0"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BFF1" w14:textId="77777777" w:rsidR="00D42204" w:rsidRDefault="00D42204">
            <w:pPr>
              <w:rPr>
                <w:rFonts w:ascii="宋体"/>
              </w:rPr>
            </w:pPr>
          </w:p>
        </w:tc>
      </w:tr>
      <w:tr w:rsidR="00D42204" w14:paraId="35D0BFF6" w14:textId="77777777">
        <w:trPr>
          <w:jc w:val="center"/>
        </w:trPr>
        <w:tc>
          <w:tcPr>
            <w:tcW w:w="0" w:type="auto"/>
            <w:gridSpan w:val="3"/>
            <w:shd w:val="clear" w:color="auto" w:fill="auto"/>
            <w:tcMar>
              <w:top w:w="40" w:type="dxa"/>
              <w:left w:w="20" w:type="dxa"/>
              <w:bottom w:w="40" w:type="dxa"/>
              <w:right w:w="20" w:type="dxa"/>
            </w:tcMar>
          </w:tcPr>
          <w:p w14:paraId="35D0BFF3" w14:textId="77777777" w:rsidR="00D42204" w:rsidRDefault="004E439D">
            <w:pPr>
              <w:textAlignment w:val="top"/>
            </w:pPr>
            <w:r>
              <w:rPr>
                <w:rFonts w:ascii="Times New Roman" w:eastAsia="宋体" w:hAnsi="Times New Roman"/>
                <w:color w:val="000000"/>
                <w:sz w:val="20"/>
                <w:szCs w:val="20"/>
              </w:rPr>
              <w:t>4.2</w:t>
            </w:r>
          </w:p>
        </w:tc>
        <w:tc>
          <w:tcPr>
            <w:tcW w:w="0" w:type="auto"/>
            <w:gridSpan w:val="3"/>
            <w:shd w:val="clear" w:color="auto" w:fill="auto"/>
            <w:tcMar>
              <w:top w:w="0" w:type="dxa"/>
              <w:left w:w="20" w:type="dxa"/>
              <w:bottom w:w="0" w:type="dxa"/>
              <w:right w:w="20" w:type="dxa"/>
            </w:tcMar>
            <w:vAlign w:val="bottom"/>
          </w:tcPr>
          <w:p w14:paraId="35D0BFF4"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BFF5" w14:textId="77777777" w:rsidR="00D42204" w:rsidRDefault="004E439D">
            <w:pPr>
              <w:textAlignment w:val="top"/>
            </w:pPr>
            <w:r>
              <w:rPr>
                <w:rFonts w:ascii="Times New Roman" w:eastAsia="宋体" w:hAnsi="Times New Roman"/>
                <w:color w:val="000000"/>
                <w:sz w:val="20"/>
                <w:szCs w:val="20"/>
              </w:rPr>
              <w:t>First Supplemental Indenture dated as of September 9, 1992, to the Indenture dated as of April 1, 1991, between the Company and J.P. Morgan Trust Company, National Association, as successor trustee to Bank One Trust Company, NA, as successor trustee to The</w:t>
            </w:r>
            <w:r>
              <w:rPr>
                <w:rFonts w:ascii="Times New Roman" w:eastAsia="宋体" w:hAnsi="Times New Roman"/>
                <w:color w:val="000000"/>
                <w:sz w:val="20"/>
                <w:szCs w:val="20"/>
              </w:rPr>
              <w:t xml:space="preserve"> First National Bank of Chicago, Trustee, is incorporated herein by reference to Exhibit 4(b) to Registration Statement on Form S-3 (File Number 33-51344) </w:t>
            </w:r>
            <w:r>
              <w:rPr>
                <w:rFonts w:ascii="Times New Roman" w:eastAsia="宋体" w:hAnsi="Times New Roman"/>
                <w:color w:val="000000"/>
                <w:sz w:val="13"/>
                <w:szCs w:val="13"/>
              </w:rPr>
              <w:t>(P)</w:t>
            </w:r>
          </w:p>
        </w:tc>
      </w:tr>
      <w:tr w:rsidR="00D42204" w14:paraId="35D0BFF9" w14:textId="77777777">
        <w:trPr>
          <w:trHeight w:val="60"/>
          <w:jc w:val="center"/>
        </w:trPr>
        <w:tc>
          <w:tcPr>
            <w:tcW w:w="0" w:type="auto"/>
            <w:gridSpan w:val="3"/>
            <w:shd w:val="clear" w:color="auto" w:fill="auto"/>
            <w:tcMar>
              <w:top w:w="0" w:type="dxa"/>
              <w:left w:w="20" w:type="dxa"/>
              <w:bottom w:w="0" w:type="dxa"/>
              <w:right w:w="20" w:type="dxa"/>
            </w:tcMar>
            <w:vAlign w:val="bottom"/>
          </w:tcPr>
          <w:p w14:paraId="35D0BFF7"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BFF8" w14:textId="77777777" w:rsidR="00D42204" w:rsidRDefault="00D42204">
            <w:pPr>
              <w:rPr>
                <w:rFonts w:ascii="宋体"/>
              </w:rPr>
            </w:pPr>
          </w:p>
        </w:tc>
      </w:tr>
      <w:tr w:rsidR="00D42204" w14:paraId="35D0BFFD" w14:textId="77777777">
        <w:trPr>
          <w:jc w:val="center"/>
        </w:trPr>
        <w:tc>
          <w:tcPr>
            <w:tcW w:w="0" w:type="auto"/>
            <w:gridSpan w:val="3"/>
            <w:shd w:val="clear" w:color="auto" w:fill="auto"/>
            <w:tcMar>
              <w:top w:w="40" w:type="dxa"/>
              <w:left w:w="20" w:type="dxa"/>
              <w:bottom w:w="40" w:type="dxa"/>
              <w:right w:w="20" w:type="dxa"/>
            </w:tcMar>
          </w:tcPr>
          <w:p w14:paraId="35D0BFFA" w14:textId="77777777" w:rsidR="00D42204" w:rsidRDefault="004E439D">
            <w:pPr>
              <w:textAlignment w:val="top"/>
            </w:pPr>
            <w:r>
              <w:rPr>
                <w:rFonts w:ascii="Times New Roman" w:eastAsia="宋体" w:hAnsi="Times New Roman"/>
                <w:color w:val="000000"/>
                <w:sz w:val="20"/>
                <w:szCs w:val="20"/>
              </w:rPr>
              <w:t>4.3</w:t>
            </w:r>
          </w:p>
        </w:tc>
        <w:tc>
          <w:tcPr>
            <w:tcW w:w="0" w:type="auto"/>
            <w:gridSpan w:val="3"/>
            <w:shd w:val="clear" w:color="auto" w:fill="auto"/>
            <w:tcMar>
              <w:top w:w="0" w:type="dxa"/>
              <w:left w:w="20" w:type="dxa"/>
              <w:bottom w:w="0" w:type="dxa"/>
              <w:right w:w="20" w:type="dxa"/>
            </w:tcMar>
            <w:vAlign w:val="bottom"/>
          </w:tcPr>
          <w:p w14:paraId="35D0BFFB"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BFFC" w14:textId="77777777" w:rsidR="00D42204" w:rsidRDefault="004E439D">
            <w:pPr>
              <w:textAlignment w:val="top"/>
            </w:pPr>
            <w:hyperlink r:id="rId163" w:history="1">
              <w:r>
                <w:rPr>
                  <w:rStyle w:val="a5"/>
                  <w:rFonts w:ascii="Times New Roman" w:eastAsia="宋体" w:hAnsi="Times New Roman"/>
                  <w:sz w:val="20"/>
                  <w:szCs w:val="20"/>
                </w:rPr>
                <w:t>Indenture dated as of December 11, 2002, between the Company and J.P. Morgan Trust Company, National Association, as successor trustee to Bank One Trust Company, NA, is</w:t>
              </w:r>
              <w:r>
                <w:rPr>
                  <w:rStyle w:val="a5"/>
                  <w:rFonts w:ascii="Times New Roman" w:eastAsia="宋体" w:hAnsi="Times New Roman"/>
                  <w:sz w:val="20"/>
                  <w:szCs w:val="20"/>
                </w:rPr>
                <w:t xml:space="preserve"> incorporated by reference to Exhibit 4.5 to Registration Statement on Form S-3 (File Number 333-101847)</w:t>
              </w:r>
            </w:hyperlink>
          </w:p>
        </w:tc>
      </w:tr>
      <w:tr w:rsidR="00D42204" w14:paraId="35D0C001" w14:textId="77777777">
        <w:trPr>
          <w:trHeight w:val="60"/>
          <w:jc w:val="center"/>
        </w:trPr>
        <w:tc>
          <w:tcPr>
            <w:tcW w:w="0" w:type="auto"/>
            <w:gridSpan w:val="3"/>
            <w:shd w:val="clear" w:color="auto" w:fill="auto"/>
            <w:tcMar>
              <w:top w:w="0" w:type="dxa"/>
              <w:left w:w="20" w:type="dxa"/>
              <w:bottom w:w="0" w:type="dxa"/>
              <w:right w:w="20" w:type="dxa"/>
            </w:tcMar>
            <w:vAlign w:val="bottom"/>
          </w:tcPr>
          <w:p w14:paraId="35D0BFFE"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BFFF"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00" w14:textId="77777777" w:rsidR="00D42204" w:rsidRDefault="00D42204">
            <w:pPr>
              <w:rPr>
                <w:rFonts w:ascii="宋体"/>
              </w:rPr>
            </w:pPr>
          </w:p>
        </w:tc>
      </w:tr>
      <w:tr w:rsidR="00D42204" w14:paraId="35D0C005" w14:textId="77777777">
        <w:trPr>
          <w:jc w:val="center"/>
        </w:trPr>
        <w:tc>
          <w:tcPr>
            <w:tcW w:w="0" w:type="auto"/>
            <w:gridSpan w:val="3"/>
            <w:shd w:val="clear" w:color="auto" w:fill="auto"/>
            <w:tcMar>
              <w:top w:w="40" w:type="dxa"/>
              <w:left w:w="20" w:type="dxa"/>
              <w:bottom w:w="40" w:type="dxa"/>
              <w:right w:w="20" w:type="dxa"/>
            </w:tcMar>
          </w:tcPr>
          <w:p w14:paraId="35D0C002" w14:textId="77777777" w:rsidR="00D42204" w:rsidRDefault="004E439D">
            <w:pPr>
              <w:textAlignment w:val="top"/>
            </w:pPr>
            <w:r>
              <w:rPr>
                <w:rFonts w:ascii="Times New Roman" w:eastAsia="宋体" w:hAnsi="Times New Roman"/>
                <w:color w:val="000000"/>
                <w:sz w:val="20"/>
                <w:szCs w:val="20"/>
              </w:rPr>
              <w:t>4.4</w:t>
            </w:r>
          </w:p>
        </w:tc>
        <w:tc>
          <w:tcPr>
            <w:tcW w:w="0" w:type="auto"/>
            <w:gridSpan w:val="3"/>
            <w:shd w:val="clear" w:color="auto" w:fill="auto"/>
            <w:tcMar>
              <w:top w:w="0" w:type="dxa"/>
              <w:left w:w="20" w:type="dxa"/>
              <w:bottom w:w="0" w:type="dxa"/>
              <w:right w:w="20" w:type="dxa"/>
            </w:tcMar>
            <w:vAlign w:val="bottom"/>
          </w:tcPr>
          <w:p w14:paraId="35D0C003"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04" w14:textId="77777777" w:rsidR="00D42204" w:rsidRDefault="004E439D">
            <w:pPr>
              <w:textAlignment w:val="top"/>
            </w:pPr>
            <w:hyperlink r:id="rId164" w:history="1">
              <w:r>
                <w:rPr>
                  <w:rStyle w:val="a5"/>
                  <w:rFonts w:ascii="Times New Roman" w:eastAsia="宋体" w:hAnsi="Times New Roman"/>
                  <w:sz w:val="20"/>
                  <w:szCs w:val="20"/>
                </w:rPr>
                <w:t>Indenture dated as of July 19, 2005, between the Company and J.P. Morgan Trust Company, National Association is incorporated by reference to Exhibit 4.5 to Registration</w:t>
              </w:r>
              <w:r>
                <w:rPr>
                  <w:rStyle w:val="a5"/>
                  <w:rFonts w:ascii="Times New Roman" w:eastAsia="宋体" w:hAnsi="Times New Roman"/>
                  <w:sz w:val="20"/>
                  <w:szCs w:val="20"/>
                </w:rPr>
                <w:t xml:space="preserve"> Statement on Form S-3 (File Number 333-126512)</w:t>
              </w:r>
            </w:hyperlink>
          </w:p>
        </w:tc>
      </w:tr>
      <w:tr w:rsidR="00D42204" w14:paraId="35D0C008"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06"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007" w14:textId="77777777" w:rsidR="00D42204" w:rsidRDefault="00D42204">
            <w:pPr>
              <w:rPr>
                <w:rFonts w:ascii="宋体"/>
              </w:rPr>
            </w:pPr>
          </w:p>
        </w:tc>
      </w:tr>
      <w:tr w:rsidR="00D42204" w14:paraId="35D0C00C" w14:textId="77777777">
        <w:trPr>
          <w:jc w:val="center"/>
        </w:trPr>
        <w:tc>
          <w:tcPr>
            <w:tcW w:w="0" w:type="auto"/>
            <w:gridSpan w:val="3"/>
            <w:shd w:val="clear" w:color="auto" w:fill="auto"/>
            <w:tcMar>
              <w:top w:w="40" w:type="dxa"/>
              <w:left w:w="20" w:type="dxa"/>
              <w:bottom w:w="40" w:type="dxa"/>
              <w:right w:w="20" w:type="dxa"/>
            </w:tcMar>
          </w:tcPr>
          <w:p w14:paraId="35D0C009" w14:textId="77777777" w:rsidR="00D42204" w:rsidRDefault="004E439D">
            <w:pPr>
              <w:textAlignment w:val="top"/>
            </w:pPr>
            <w:r>
              <w:rPr>
                <w:rFonts w:ascii="Times New Roman" w:eastAsia="宋体" w:hAnsi="Times New Roman"/>
                <w:color w:val="000000"/>
                <w:sz w:val="20"/>
                <w:szCs w:val="20"/>
              </w:rPr>
              <w:t>4.5</w:t>
            </w:r>
          </w:p>
        </w:tc>
        <w:tc>
          <w:tcPr>
            <w:tcW w:w="0" w:type="auto"/>
            <w:gridSpan w:val="3"/>
            <w:shd w:val="clear" w:color="auto" w:fill="auto"/>
            <w:tcMar>
              <w:top w:w="0" w:type="dxa"/>
              <w:left w:w="20" w:type="dxa"/>
              <w:bottom w:w="0" w:type="dxa"/>
              <w:right w:w="20" w:type="dxa"/>
            </w:tcMar>
            <w:vAlign w:val="bottom"/>
          </w:tcPr>
          <w:p w14:paraId="35D0C00A"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0B" w14:textId="77777777" w:rsidR="00D42204" w:rsidRDefault="004E439D">
            <w:pPr>
              <w:textAlignment w:val="top"/>
            </w:pPr>
            <w:hyperlink r:id="rId165" w:history="1">
              <w:r>
                <w:rPr>
                  <w:rStyle w:val="a5"/>
                  <w:rFonts w:ascii="Times New Roman" w:eastAsia="宋体" w:hAnsi="Times New Roman"/>
                  <w:sz w:val="20"/>
                  <w:szCs w:val="20"/>
                </w:rPr>
                <w:t xml:space="preserve">First Supplemental Indenture, dated December 1, 2006, between the Company and The Bank of New York </w:t>
              </w:r>
              <w:r>
                <w:rPr>
                  <w:rStyle w:val="a5"/>
                  <w:rFonts w:ascii="Times New Roman" w:eastAsia="宋体" w:hAnsi="Times New Roman"/>
                  <w:sz w:val="20"/>
                  <w:szCs w:val="20"/>
                </w:rPr>
                <w:t>Trust Company, N.A., as successor-in-interest to J.P. Morgan Trust Company, National Association, as Trustee, under the Indenture, dated as of July 19, 2005, between the Company and J.P. Morgan Trust Company, National Association, as Trustee, is incorporat</w:t>
              </w:r>
              <w:r>
                <w:rPr>
                  <w:rStyle w:val="a5"/>
                  <w:rFonts w:ascii="Times New Roman" w:eastAsia="宋体" w:hAnsi="Times New Roman"/>
                  <w:sz w:val="20"/>
                  <w:szCs w:val="20"/>
                </w:rPr>
                <w:t>ed herein by reference to Exhibit 4.6 to Post-Effective Amendment No. 1 to Registration Statement on Form S-3 (File Number 333-130569)</w:t>
              </w:r>
            </w:hyperlink>
          </w:p>
        </w:tc>
      </w:tr>
      <w:tr w:rsidR="00D42204" w14:paraId="35D0C010"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0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0E"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0F" w14:textId="77777777" w:rsidR="00D42204" w:rsidRDefault="00D42204">
            <w:pPr>
              <w:rPr>
                <w:rFonts w:ascii="宋体"/>
              </w:rPr>
            </w:pPr>
          </w:p>
        </w:tc>
      </w:tr>
      <w:tr w:rsidR="00D42204" w14:paraId="35D0C014" w14:textId="77777777">
        <w:trPr>
          <w:jc w:val="center"/>
        </w:trPr>
        <w:tc>
          <w:tcPr>
            <w:tcW w:w="0" w:type="auto"/>
            <w:gridSpan w:val="3"/>
            <w:shd w:val="clear" w:color="auto" w:fill="auto"/>
            <w:tcMar>
              <w:top w:w="40" w:type="dxa"/>
              <w:left w:w="20" w:type="dxa"/>
              <w:bottom w:w="40" w:type="dxa"/>
              <w:right w:w="20" w:type="dxa"/>
            </w:tcMar>
          </w:tcPr>
          <w:p w14:paraId="35D0C011" w14:textId="77777777" w:rsidR="00D42204" w:rsidRDefault="004E439D">
            <w:pPr>
              <w:textAlignment w:val="top"/>
            </w:pPr>
            <w:r>
              <w:rPr>
                <w:rFonts w:ascii="Times New Roman" w:eastAsia="宋体" w:hAnsi="Times New Roman"/>
                <w:color w:val="000000"/>
                <w:sz w:val="20"/>
                <w:szCs w:val="20"/>
              </w:rPr>
              <w:t>4.6</w:t>
            </w:r>
          </w:p>
        </w:tc>
        <w:tc>
          <w:tcPr>
            <w:tcW w:w="0" w:type="auto"/>
            <w:gridSpan w:val="3"/>
            <w:shd w:val="clear" w:color="auto" w:fill="auto"/>
            <w:tcMar>
              <w:top w:w="0" w:type="dxa"/>
              <w:left w:w="20" w:type="dxa"/>
              <w:bottom w:w="0" w:type="dxa"/>
              <w:right w:w="20" w:type="dxa"/>
            </w:tcMar>
            <w:vAlign w:val="bottom"/>
          </w:tcPr>
          <w:p w14:paraId="35D0C012"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13" w14:textId="77777777" w:rsidR="00D42204" w:rsidRDefault="004E439D">
            <w:pPr>
              <w:textAlignment w:val="top"/>
            </w:pPr>
            <w:hyperlink r:id="rId166" w:history="1">
              <w:r>
                <w:rPr>
                  <w:rStyle w:val="a5"/>
                  <w:rFonts w:ascii="Times New Roman" w:eastAsia="宋体" w:hAnsi="Times New Roman"/>
                  <w:sz w:val="20"/>
                  <w:szCs w:val="20"/>
                </w:rPr>
                <w:t>Second Supplemental Indenture, dated December 19, 2014, between the Company and The Bank of New York Trust Company, N.A., as successor-in-interest to J.P. Morgan</w:t>
              </w:r>
              <w:r>
                <w:rPr>
                  <w:rStyle w:val="a5"/>
                  <w:rFonts w:ascii="Times New Roman" w:eastAsia="宋体" w:hAnsi="Times New Roman"/>
                  <w:sz w:val="20"/>
                  <w:szCs w:val="20"/>
                </w:rPr>
                <w:t xml:space="preserve"> Trust Company, National Association, as Trustee, under the Indenture, dated as of July 19, 2005, between the Company and J.P. Morgan Trust Company, National Association, as Trustee, is incorporated herein by reference to Exhibit 4.3 to Registration Statem</w:t>
              </w:r>
              <w:r>
                <w:rPr>
                  <w:rStyle w:val="a5"/>
                  <w:rFonts w:ascii="Times New Roman" w:eastAsia="宋体" w:hAnsi="Times New Roman"/>
                  <w:sz w:val="20"/>
                  <w:szCs w:val="20"/>
                </w:rPr>
                <w:t>ent on Form S-3 (File Number 333-201074)</w:t>
              </w:r>
            </w:hyperlink>
          </w:p>
        </w:tc>
      </w:tr>
      <w:tr w:rsidR="00D42204" w14:paraId="35D0C018"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15"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16"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17" w14:textId="77777777" w:rsidR="00D42204" w:rsidRDefault="00D42204">
            <w:pPr>
              <w:rPr>
                <w:rFonts w:ascii="宋体"/>
              </w:rPr>
            </w:pPr>
          </w:p>
        </w:tc>
      </w:tr>
      <w:tr w:rsidR="00D42204" w14:paraId="35D0C01C" w14:textId="77777777">
        <w:trPr>
          <w:jc w:val="center"/>
        </w:trPr>
        <w:tc>
          <w:tcPr>
            <w:tcW w:w="0" w:type="auto"/>
            <w:gridSpan w:val="3"/>
            <w:shd w:val="clear" w:color="auto" w:fill="auto"/>
            <w:tcMar>
              <w:top w:w="40" w:type="dxa"/>
              <w:left w:w="20" w:type="dxa"/>
              <w:bottom w:w="40" w:type="dxa"/>
              <w:right w:w="20" w:type="dxa"/>
            </w:tcMar>
          </w:tcPr>
          <w:p w14:paraId="35D0C019" w14:textId="77777777" w:rsidR="00D42204" w:rsidRDefault="004E439D">
            <w:pPr>
              <w:textAlignment w:val="top"/>
            </w:pPr>
            <w:r>
              <w:rPr>
                <w:rFonts w:ascii="Times New Roman" w:eastAsia="宋体" w:hAnsi="Times New Roman"/>
                <w:color w:val="000000"/>
                <w:sz w:val="20"/>
                <w:szCs w:val="20"/>
              </w:rPr>
              <w:t>4.7</w:t>
            </w:r>
          </w:p>
        </w:tc>
        <w:tc>
          <w:tcPr>
            <w:tcW w:w="0" w:type="auto"/>
            <w:gridSpan w:val="3"/>
            <w:shd w:val="clear" w:color="auto" w:fill="auto"/>
            <w:tcMar>
              <w:top w:w="0" w:type="dxa"/>
              <w:left w:w="20" w:type="dxa"/>
              <w:bottom w:w="0" w:type="dxa"/>
              <w:right w:w="20" w:type="dxa"/>
            </w:tcMar>
            <w:vAlign w:val="bottom"/>
          </w:tcPr>
          <w:p w14:paraId="35D0C01A"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1B" w14:textId="77777777" w:rsidR="00D42204" w:rsidRDefault="004E439D">
            <w:pPr>
              <w:textAlignment w:val="top"/>
            </w:pPr>
            <w:hyperlink r:id="rId167" w:history="1">
              <w:r>
                <w:rPr>
                  <w:rStyle w:val="a5"/>
                  <w:rFonts w:ascii="Times New Roman" w:eastAsia="宋体" w:hAnsi="Times New Roman"/>
                  <w:sz w:val="20"/>
                  <w:szCs w:val="20"/>
                </w:rPr>
                <w:t xml:space="preserve">Third Supplemental Indenture, dated June 26, 2018, between the Company and The Bank of New York Trust </w:t>
              </w:r>
              <w:r>
                <w:rPr>
                  <w:rStyle w:val="a5"/>
                  <w:rFonts w:ascii="Times New Roman" w:eastAsia="宋体" w:hAnsi="Times New Roman"/>
                  <w:sz w:val="20"/>
                  <w:szCs w:val="20"/>
                </w:rPr>
                <w:t>Company, N.A., as successor-in-interest to J.P. Morgan Trust Company, National Association, as Trustee, under the Indenture, dated as of July 19, 2005, between the Company and J.P. Morgan Trust Company, National Association, as Trustee, is incorporated her</w:t>
              </w:r>
              <w:r>
                <w:rPr>
                  <w:rStyle w:val="a5"/>
                  <w:rFonts w:ascii="Times New Roman" w:eastAsia="宋体" w:hAnsi="Times New Roman"/>
                  <w:sz w:val="20"/>
                  <w:szCs w:val="20"/>
                </w:rPr>
                <w:t>ein by reference to Exhibit 4(S) to Current Report on Form 8-K filed on June 26, 2018</w:t>
              </w:r>
            </w:hyperlink>
          </w:p>
        </w:tc>
      </w:tr>
      <w:tr w:rsidR="00D42204" w14:paraId="35D0C020"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1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1E"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1F" w14:textId="77777777" w:rsidR="00D42204" w:rsidRDefault="00D42204">
            <w:pPr>
              <w:rPr>
                <w:rFonts w:ascii="宋体"/>
              </w:rPr>
            </w:pPr>
          </w:p>
        </w:tc>
      </w:tr>
      <w:tr w:rsidR="00D42204" w14:paraId="35D0C024" w14:textId="77777777">
        <w:trPr>
          <w:jc w:val="center"/>
        </w:trPr>
        <w:tc>
          <w:tcPr>
            <w:tcW w:w="0" w:type="auto"/>
            <w:gridSpan w:val="3"/>
            <w:shd w:val="clear" w:color="auto" w:fill="auto"/>
            <w:tcMar>
              <w:top w:w="40" w:type="dxa"/>
              <w:left w:w="20" w:type="dxa"/>
              <w:bottom w:w="40" w:type="dxa"/>
              <w:right w:w="20" w:type="dxa"/>
            </w:tcMar>
          </w:tcPr>
          <w:p w14:paraId="35D0C021" w14:textId="77777777" w:rsidR="00D42204" w:rsidRDefault="004E439D">
            <w:pPr>
              <w:textAlignment w:val="top"/>
            </w:pPr>
            <w:r>
              <w:rPr>
                <w:rFonts w:ascii="Times New Roman" w:eastAsia="宋体" w:hAnsi="Times New Roman"/>
                <w:color w:val="000000"/>
                <w:sz w:val="20"/>
                <w:szCs w:val="20"/>
              </w:rPr>
              <w:t>4.8</w:t>
            </w:r>
          </w:p>
        </w:tc>
        <w:tc>
          <w:tcPr>
            <w:tcW w:w="0" w:type="auto"/>
            <w:gridSpan w:val="3"/>
            <w:shd w:val="clear" w:color="auto" w:fill="auto"/>
            <w:tcMar>
              <w:top w:w="0" w:type="dxa"/>
              <w:left w:w="20" w:type="dxa"/>
              <w:bottom w:w="0" w:type="dxa"/>
              <w:right w:w="20" w:type="dxa"/>
            </w:tcMar>
            <w:vAlign w:val="bottom"/>
          </w:tcPr>
          <w:p w14:paraId="35D0C022"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23" w14:textId="77777777" w:rsidR="00D42204" w:rsidRDefault="004E439D">
            <w:pPr>
              <w:textAlignment w:val="top"/>
            </w:pPr>
            <w:hyperlink r:id="rId168" w:history="1">
              <w:r>
                <w:rPr>
                  <w:rStyle w:val="a5"/>
                  <w:rFonts w:ascii="Times New Roman" w:eastAsia="宋体" w:hAnsi="Times New Roman"/>
                  <w:sz w:val="20"/>
                  <w:szCs w:val="20"/>
                </w:rPr>
                <w:t>Description of Registrant's Securities is incorporated herein by reference to Exhibit 4.8 to the Annual Report on Form 10-K filed on March 20, 2020</w:t>
              </w:r>
            </w:hyperlink>
          </w:p>
        </w:tc>
      </w:tr>
    </w:tbl>
    <w:p w14:paraId="35D0C025" w14:textId="77777777" w:rsidR="00D42204" w:rsidRDefault="004E439D">
      <w:pPr>
        <w:jc w:val="center"/>
      </w:pPr>
      <w:r>
        <w:rPr>
          <w:rFonts w:ascii="Times New Roman" w:eastAsia="宋体" w:hAnsi="Times New Roman"/>
          <w:color w:val="000000"/>
          <w:sz w:val="20"/>
          <w:szCs w:val="20"/>
        </w:rPr>
        <w:t>82</w:t>
      </w:r>
    </w:p>
    <w:p w14:paraId="35D0C026" w14:textId="77777777" w:rsidR="00D42204" w:rsidRDefault="004E439D">
      <w:r>
        <w:pict w14:anchorId="35D0C3AD">
          <v:rect id="_x0000_i1106" style="width:415.3pt;height:1.5pt" o:hralign="center" o:hrstd="t" o:hr="t" fillcolor="#a0a0a0" stroked="f"/>
        </w:pict>
      </w:r>
    </w:p>
    <w:p w14:paraId="35D0C027" w14:textId="77777777" w:rsidR="00D42204" w:rsidRDefault="00D42204"/>
    <w:p w14:paraId="35D0C028" w14:textId="77777777" w:rsidR="00D42204" w:rsidRDefault="00D42204">
      <w:pPr>
        <w:spacing w:before="100"/>
        <w:jc w:val="center"/>
      </w:pPr>
    </w:p>
    <w:tbl>
      <w:tblPr>
        <w:tblW w:w="4985" w:type="pct"/>
        <w:jc w:val="center"/>
        <w:tblCellMar>
          <w:top w:w="15" w:type="dxa"/>
          <w:left w:w="15" w:type="dxa"/>
          <w:bottom w:w="15" w:type="dxa"/>
          <w:right w:w="15" w:type="dxa"/>
        </w:tblCellMar>
        <w:tblLook w:val="04A0" w:firstRow="1" w:lastRow="0" w:firstColumn="1" w:lastColumn="0" w:noHBand="0" w:noVBand="1"/>
      </w:tblPr>
      <w:tblGrid>
        <w:gridCol w:w="60"/>
        <w:gridCol w:w="860"/>
        <w:gridCol w:w="36"/>
        <w:gridCol w:w="36"/>
        <w:gridCol w:w="36"/>
        <w:gridCol w:w="36"/>
        <w:gridCol w:w="45"/>
        <w:gridCol w:w="7164"/>
        <w:gridCol w:w="38"/>
      </w:tblGrid>
      <w:tr w:rsidR="00D42204" w14:paraId="35D0C032" w14:textId="77777777">
        <w:trPr>
          <w:jc w:val="center"/>
        </w:trPr>
        <w:tc>
          <w:tcPr>
            <w:tcW w:w="50" w:type="pct"/>
            <w:shd w:val="clear" w:color="auto" w:fill="auto"/>
            <w:vAlign w:val="bottom"/>
          </w:tcPr>
          <w:p w14:paraId="35D0C029" w14:textId="77777777" w:rsidR="00D42204" w:rsidRDefault="00D42204">
            <w:pPr>
              <w:rPr>
                <w:rFonts w:ascii="宋体"/>
              </w:rPr>
            </w:pPr>
          </w:p>
        </w:tc>
        <w:tc>
          <w:tcPr>
            <w:tcW w:w="531" w:type="pct"/>
            <w:shd w:val="clear" w:color="auto" w:fill="auto"/>
            <w:vAlign w:val="bottom"/>
          </w:tcPr>
          <w:p w14:paraId="35D0C02A" w14:textId="77777777" w:rsidR="00D42204" w:rsidRDefault="00D42204">
            <w:pPr>
              <w:rPr>
                <w:rFonts w:ascii="宋体"/>
              </w:rPr>
            </w:pPr>
          </w:p>
        </w:tc>
        <w:tc>
          <w:tcPr>
            <w:tcW w:w="5" w:type="pct"/>
            <w:shd w:val="clear" w:color="auto" w:fill="auto"/>
            <w:vAlign w:val="bottom"/>
          </w:tcPr>
          <w:p w14:paraId="35D0C02B" w14:textId="77777777" w:rsidR="00D42204" w:rsidRDefault="00D42204">
            <w:pPr>
              <w:rPr>
                <w:rFonts w:ascii="宋体"/>
              </w:rPr>
            </w:pPr>
          </w:p>
        </w:tc>
        <w:tc>
          <w:tcPr>
            <w:tcW w:w="5" w:type="pct"/>
            <w:shd w:val="clear" w:color="auto" w:fill="auto"/>
            <w:vAlign w:val="bottom"/>
          </w:tcPr>
          <w:p w14:paraId="35D0C02C" w14:textId="77777777" w:rsidR="00D42204" w:rsidRDefault="00D42204">
            <w:pPr>
              <w:rPr>
                <w:rFonts w:ascii="宋体"/>
              </w:rPr>
            </w:pPr>
          </w:p>
        </w:tc>
        <w:tc>
          <w:tcPr>
            <w:tcW w:w="26" w:type="pct"/>
            <w:shd w:val="clear" w:color="auto" w:fill="auto"/>
            <w:vAlign w:val="bottom"/>
          </w:tcPr>
          <w:p w14:paraId="35D0C02D" w14:textId="77777777" w:rsidR="00D42204" w:rsidRDefault="00D42204">
            <w:pPr>
              <w:rPr>
                <w:rFonts w:ascii="宋体"/>
              </w:rPr>
            </w:pPr>
          </w:p>
        </w:tc>
        <w:tc>
          <w:tcPr>
            <w:tcW w:w="5" w:type="pct"/>
            <w:shd w:val="clear" w:color="auto" w:fill="auto"/>
            <w:vAlign w:val="bottom"/>
          </w:tcPr>
          <w:p w14:paraId="35D0C02E" w14:textId="77777777" w:rsidR="00D42204" w:rsidRDefault="00D42204">
            <w:pPr>
              <w:rPr>
                <w:rFonts w:ascii="宋体"/>
              </w:rPr>
            </w:pPr>
          </w:p>
        </w:tc>
        <w:tc>
          <w:tcPr>
            <w:tcW w:w="50" w:type="pct"/>
            <w:shd w:val="clear" w:color="auto" w:fill="auto"/>
            <w:vAlign w:val="bottom"/>
          </w:tcPr>
          <w:p w14:paraId="35D0C02F" w14:textId="77777777" w:rsidR="00D42204" w:rsidRDefault="00D42204">
            <w:pPr>
              <w:rPr>
                <w:rFonts w:ascii="宋体"/>
              </w:rPr>
            </w:pPr>
          </w:p>
        </w:tc>
        <w:tc>
          <w:tcPr>
            <w:tcW w:w="4321" w:type="pct"/>
            <w:shd w:val="clear" w:color="auto" w:fill="auto"/>
            <w:vAlign w:val="bottom"/>
          </w:tcPr>
          <w:p w14:paraId="35D0C030" w14:textId="77777777" w:rsidR="00D42204" w:rsidRDefault="00D42204">
            <w:pPr>
              <w:rPr>
                <w:rFonts w:ascii="宋体"/>
              </w:rPr>
            </w:pPr>
          </w:p>
        </w:tc>
        <w:tc>
          <w:tcPr>
            <w:tcW w:w="5" w:type="pct"/>
            <w:shd w:val="clear" w:color="auto" w:fill="auto"/>
            <w:vAlign w:val="bottom"/>
          </w:tcPr>
          <w:p w14:paraId="35D0C031" w14:textId="77777777" w:rsidR="00D42204" w:rsidRDefault="00D42204">
            <w:pPr>
              <w:rPr>
                <w:rFonts w:ascii="宋体"/>
              </w:rPr>
            </w:pPr>
          </w:p>
        </w:tc>
      </w:tr>
      <w:tr w:rsidR="00D42204" w14:paraId="35D0C036" w14:textId="77777777">
        <w:trPr>
          <w:jc w:val="center"/>
        </w:trPr>
        <w:tc>
          <w:tcPr>
            <w:tcW w:w="0" w:type="auto"/>
            <w:gridSpan w:val="3"/>
            <w:shd w:val="clear" w:color="auto" w:fill="auto"/>
            <w:tcMar>
              <w:top w:w="40" w:type="dxa"/>
              <w:left w:w="20" w:type="dxa"/>
              <w:bottom w:w="40" w:type="dxa"/>
              <w:right w:w="20" w:type="dxa"/>
            </w:tcMar>
          </w:tcPr>
          <w:p w14:paraId="35D0C033" w14:textId="77777777" w:rsidR="00D42204" w:rsidRDefault="004E439D">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35D0C034"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35" w14:textId="77777777" w:rsidR="00D42204" w:rsidRDefault="004E439D">
            <w:pPr>
              <w:textAlignment w:val="top"/>
            </w:pPr>
            <w:hyperlink r:id="rId169" w:history="1">
              <w:r>
                <w:rPr>
                  <w:rStyle w:val="a5"/>
                  <w:rFonts w:ascii="Times New Roman" w:eastAsia="宋体" w:hAnsi="Times New Roman"/>
                  <w:sz w:val="20"/>
                  <w:szCs w:val="20"/>
                </w:rPr>
                <w:t>Walmart Deferred Compensation Matching Plan, as amended and restated effective November 11, 2021</w:t>
              </w:r>
            </w:hyperlink>
            <w:r>
              <w:rPr>
                <w:rFonts w:ascii="Times New Roman" w:eastAsia="宋体" w:hAnsi="Times New Roman"/>
                <w:color w:val="000000"/>
                <w:sz w:val="13"/>
                <w:szCs w:val="13"/>
              </w:rPr>
              <w:t xml:space="preserve"> (C)</w:t>
            </w:r>
          </w:p>
        </w:tc>
      </w:tr>
      <w:tr w:rsidR="00D42204" w14:paraId="35D0C03A"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37"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38"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39" w14:textId="77777777" w:rsidR="00D42204" w:rsidRDefault="00D42204">
            <w:pPr>
              <w:rPr>
                <w:rFonts w:ascii="宋体"/>
              </w:rPr>
            </w:pPr>
          </w:p>
        </w:tc>
      </w:tr>
      <w:tr w:rsidR="00D42204" w14:paraId="35D0C03E" w14:textId="77777777">
        <w:trPr>
          <w:jc w:val="center"/>
        </w:trPr>
        <w:tc>
          <w:tcPr>
            <w:tcW w:w="0" w:type="auto"/>
            <w:gridSpan w:val="3"/>
            <w:shd w:val="clear" w:color="auto" w:fill="auto"/>
            <w:tcMar>
              <w:top w:w="40" w:type="dxa"/>
              <w:left w:w="20" w:type="dxa"/>
              <w:bottom w:w="40" w:type="dxa"/>
              <w:right w:w="20" w:type="dxa"/>
            </w:tcMar>
          </w:tcPr>
          <w:p w14:paraId="35D0C03B" w14:textId="77777777" w:rsidR="00D42204" w:rsidRDefault="004E439D">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35D0C03C"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3D" w14:textId="77777777" w:rsidR="00D42204" w:rsidRDefault="004E439D">
            <w:pPr>
              <w:textAlignment w:val="top"/>
            </w:pPr>
            <w:hyperlink r:id="rId170" w:history="1">
              <w:r>
                <w:rPr>
                  <w:rStyle w:val="a5"/>
                  <w:rFonts w:ascii="Times New Roman" w:eastAsia="宋体" w:hAnsi="Times New Roman"/>
                  <w:sz w:val="20"/>
                  <w:szCs w:val="20"/>
                </w:rPr>
                <w:t>Walmart Inc. Management Incentive Plan, as amended effective February 1, 2018 is incorporated by reference to Exhibit 10(b) to the Annual Report on Form 10-K of th</w:t>
              </w:r>
              <w:r>
                <w:rPr>
                  <w:rStyle w:val="a5"/>
                  <w:rFonts w:ascii="Times New Roman" w:eastAsia="宋体" w:hAnsi="Times New Roman"/>
                  <w:sz w:val="20"/>
                  <w:szCs w:val="20"/>
                </w:rPr>
                <w:t>e Company for the fiscal year ended January 31, 2018, filed on March 30, 2018</w:t>
              </w:r>
            </w:hyperlink>
            <w:r>
              <w:rPr>
                <w:rFonts w:ascii="Times New Roman" w:eastAsia="宋体" w:hAnsi="Times New Roman"/>
                <w:color w:val="000000"/>
                <w:sz w:val="13"/>
                <w:szCs w:val="13"/>
              </w:rPr>
              <w:t xml:space="preserve"> (C)</w:t>
            </w:r>
          </w:p>
        </w:tc>
      </w:tr>
      <w:tr w:rsidR="00D42204" w14:paraId="35D0C042"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3F"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40"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41" w14:textId="77777777" w:rsidR="00D42204" w:rsidRDefault="00D42204">
            <w:pPr>
              <w:rPr>
                <w:rFonts w:ascii="宋体"/>
              </w:rPr>
            </w:pPr>
          </w:p>
        </w:tc>
      </w:tr>
      <w:tr w:rsidR="00D42204" w14:paraId="35D0C046" w14:textId="77777777">
        <w:trPr>
          <w:jc w:val="center"/>
        </w:trPr>
        <w:tc>
          <w:tcPr>
            <w:tcW w:w="0" w:type="auto"/>
            <w:gridSpan w:val="3"/>
            <w:shd w:val="clear" w:color="auto" w:fill="auto"/>
            <w:tcMar>
              <w:top w:w="40" w:type="dxa"/>
              <w:left w:w="20" w:type="dxa"/>
              <w:bottom w:w="40" w:type="dxa"/>
              <w:right w:w="20" w:type="dxa"/>
            </w:tcMar>
          </w:tcPr>
          <w:p w14:paraId="35D0C043" w14:textId="77777777" w:rsidR="00D42204" w:rsidRDefault="004E439D">
            <w:pPr>
              <w:textAlignment w:val="top"/>
            </w:pPr>
            <w:r>
              <w:rPr>
                <w:rFonts w:ascii="Times New Roman" w:eastAsia="宋体" w:hAnsi="Times New Roman"/>
                <w:color w:val="000000"/>
                <w:sz w:val="20"/>
                <w:szCs w:val="20"/>
              </w:rPr>
              <w:t>10.3</w:t>
            </w:r>
          </w:p>
        </w:tc>
        <w:tc>
          <w:tcPr>
            <w:tcW w:w="0" w:type="auto"/>
            <w:gridSpan w:val="3"/>
            <w:shd w:val="clear" w:color="auto" w:fill="auto"/>
            <w:tcMar>
              <w:top w:w="0" w:type="dxa"/>
              <w:left w:w="20" w:type="dxa"/>
              <w:bottom w:w="0" w:type="dxa"/>
              <w:right w:w="20" w:type="dxa"/>
            </w:tcMar>
            <w:vAlign w:val="bottom"/>
          </w:tcPr>
          <w:p w14:paraId="35D0C044"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45" w14:textId="77777777" w:rsidR="00D42204" w:rsidRDefault="004E439D">
            <w:pPr>
              <w:textAlignment w:val="top"/>
            </w:pPr>
            <w:hyperlink r:id="rId171" w:history="1">
              <w:r>
                <w:rPr>
                  <w:rStyle w:val="a5"/>
                  <w:rFonts w:ascii="Times New Roman" w:eastAsia="宋体" w:hAnsi="Times New Roman"/>
                  <w:sz w:val="20"/>
                  <w:szCs w:val="20"/>
                </w:rPr>
                <w:t>Walmart Inc. 2016 Associate Stock Purchase Plan, as amended effective February 1, 2018 is incorporated by reference to Exhibit 10(c) to the Annual Report on Form 1</w:t>
              </w:r>
              <w:r>
                <w:rPr>
                  <w:rStyle w:val="a5"/>
                  <w:rFonts w:ascii="Times New Roman" w:eastAsia="宋体" w:hAnsi="Times New Roman"/>
                  <w:sz w:val="20"/>
                  <w:szCs w:val="20"/>
                </w:rPr>
                <w:t>0-K of the Company for the fiscal year ended January 31, 2018, filed on March 30, 2018</w:t>
              </w:r>
            </w:hyperlink>
            <w:r>
              <w:rPr>
                <w:rFonts w:ascii="Times New Roman" w:eastAsia="宋体" w:hAnsi="Times New Roman"/>
                <w:color w:val="000000"/>
                <w:sz w:val="13"/>
                <w:szCs w:val="13"/>
              </w:rPr>
              <w:t xml:space="preserve"> (C)</w:t>
            </w:r>
          </w:p>
        </w:tc>
      </w:tr>
      <w:tr w:rsidR="00D42204" w14:paraId="35D0C049"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47"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048" w14:textId="77777777" w:rsidR="00D42204" w:rsidRDefault="00D42204">
            <w:pPr>
              <w:rPr>
                <w:rFonts w:ascii="宋体"/>
              </w:rPr>
            </w:pPr>
          </w:p>
        </w:tc>
      </w:tr>
      <w:tr w:rsidR="00D42204" w14:paraId="35D0C04D" w14:textId="77777777">
        <w:trPr>
          <w:jc w:val="center"/>
        </w:trPr>
        <w:tc>
          <w:tcPr>
            <w:tcW w:w="0" w:type="auto"/>
            <w:gridSpan w:val="3"/>
            <w:shd w:val="clear" w:color="auto" w:fill="auto"/>
            <w:tcMar>
              <w:top w:w="40" w:type="dxa"/>
              <w:left w:w="20" w:type="dxa"/>
              <w:bottom w:w="40" w:type="dxa"/>
              <w:right w:w="20" w:type="dxa"/>
            </w:tcMar>
          </w:tcPr>
          <w:p w14:paraId="35D0C04A" w14:textId="77777777" w:rsidR="00D42204" w:rsidRDefault="004E439D">
            <w:pPr>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14:paraId="35D0C04B"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4C" w14:textId="77777777" w:rsidR="00D42204" w:rsidRDefault="004E439D">
            <w:pPr>
              <w:textAlignment w:val="top"/>
            </w:pPr>
            <w:hyperlink r:id="rId172" w:history="1">
              <w:r>
                <w:rPr>
                  <w:rStyle w:val="a5"/>
                  <w:rFonts w:ascii="Times New Roman" w:eastAsia="宋体" w:hAnsi="Times New Roman"/>
                  <w:sz w:val="20"/>
                  <w:szCs w:val="20"/>
                </w:rPr>
                <w:t>Walmart Inc. Stock Incentive Plan of 2015, as amended effective February 1, 2018 is incorporated by reference to Exhibit 10(d) to the Annual Report on Form 10-K of</w:t>
              </w:r>
              <w:r>
                <w:rPr>
                  <w:rStyle w:val="a5"/>
                  <w:rFonts w:ascii="Times New Roman" w:eastAsia="宋体" w:hAnsi="Times New Roman"/>
                  <w:sz w:val="20"/>
                  <w:szCs w:val="20"/>
                </w:rPr>
                <w:t xml:space="preserve"> the Company for the fiscal year ended January 31, 2018, filed on March 30, 2018</w:t>
              </w:r>
            </w:hyperlink>
            <w:r>
              <w:rPr>
                <w:rFonts w:ascii="Times New Roman" w:eastAsia="宋体" w:hAnsi="Times New Roman"/>
                <w:color w:val="000000"/>
                <w:sz w:val="13"/>
                <w:szCs w:val="13"/>
              </w:rPr>
              <w:t xml:space="preserve"> (C)</w:t>
            </w:r>
          </w:p>
        </w:tc>
      </w:tr>
      <w:tr w:rsidR="00D42204" w14:paraId="35D0C050"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4E"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04F" w14:textId="77777777" w:rsidR="00D42204" w:rsidRDefault="00D42204">
            <w:pPr>
              <w:rPr>
                <w:rFonts w:ascii="宋体"/>
              </w:rPr>
            </w:pPr>
          </w:p>
        </w:tc>
      </w:tr>
      <w:tr w:rsidR="00D42204" w14:paraId="35D0C054" w14:textId="77777777">
        <w:trPr>
          <w:jc w:val="center"/>
        </w:trPr>
        <w:tc>
          <w:tcPr>
            <w:tcW w:w="0" w:type="auto"/>
            <w:gridSpan w:val="3"/>
            <w:shd w:val="clear" w:color="auto" w:fill="auto"/>
            <w:tcMar>
              <w:top w:w="40" w:type="dxa"/>
              <w:left w:w="20" w:type="dxa"/>
              <w:bottom w:w="40" w:type="dxa"/>
              <w:right w:w="20" w:type="dxa"/>
            </w:tcMar>
          </w:tcPr>
          <w:p w14:paraId="35D0C051" w14:textId="77777777" w:rsidR="00D42204" w:rsidRDefault="004E439D">
            <w:pPr>
              <w:textAlignment w:val="top"/>
            </w:pPr>
            <w:r>
              <w:rPr>
                <w:rFonts w:ascii="Times New Roman" w:eastAsia="宋体" w:hAnsi="Times New Roman"/>
                <w:color w:val="000000"/>
                <w:sz w:val="20"/>
                <w:szCs w:val="20"/>
              </w:rPr>
              <w:t>10.5</w:t>
            </w:r>
          </w:p>
        </w:tc>
        <w:tc>
          <w:tcPr>
            <w:tcW w:w="0" w:type="auto"/>
            <w:gridSpan w:val="3"/>
            <w:shd w:val="clear" w:color="auto" w:fill="auto"/>
            <w:tcMar>
              <w:top w:w="0" w:type="dxa"/>
              <w:left w:w="20" w:type="dxa"/>
              <w:bottom w:w="0" w:type="dxa"/>
              <w:right w:w="20" w:type="dxa"/>
            </w:tcMar>
            <w:vAlign w:val="bottom"/>
          </w:tcPr>
          <w:p w14:paraId="35D0C052"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53" w14:textId="77777777" w:rsidR="00D42204" w:rsidRDefault="004E439D">
            <w:pPr>
              <w:textAlignment w:val="top"/>
            </w:pPr>
            <w:hyperlink r:id="rId173" w:history="1">
              <w:r>
                <w:rPr>
                  <w:rStyle w:val="a5"/>
                  <w:rFonts w:ascii="Times New Roman" w:eastAsia="宋体" w:hAnsi="Times New Roman"/>
                  <w:sz w:val="20"/>
                  <w:szCs w:val="20"/>
                </w:rPr>
                <w:t>Walmart Inc. Supplemental Executive Retirement Plan, as amended effective February 1, 2018</w:t>
              </w:r>
            </w:hyperlink>
            <w:hyperlink r:id="rId174" w:history="1">
              <w:r>
                <w:rPr>
                  <w:rStyle w:val="a5"/>
                  <w:rFonts w:ascii="Times New Roman" w:eastAsia="宋体" w:hAnsi="Times New Roman"/>
                  <w:sz w:val="20"/>
                  <w:szCs w:val="20"/>
                </w:rPr>
                <w:t xml:space="preserve"> is incorporated by reference to Exhibit 10(e) to the Annual Report on Form 10-K of the Company for the fiscal year ended January 31, 2018, filed on March 30, 2018</w:t>
              </w:r>
            </w:hyperlink>
            <w:r>
              <w:rPr>
                <w:rFonts w:ascii="Times New Roman" w:eastAsia="宋体" w:hAnsi="Times New Roman"/>
                <w:color w:val="000000"/>
                <w:sz w:val="13"/>
                <w:szCs w:val="13"/>
              </w:rPr>
              <w:t xml:space="preserve"> (C)</w:t>
            </w:r>
          </w:p>
        </w:tc>
      </w:tr>
      <w:tr w:rsidR="00D42204" w14:paraId="35D0C058"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55"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56"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57" w14:textId="77777777" w:rsidR="00D42204" w:rsidRDefault="00D42204">
            <w:pPr>
              <w:rPr>
                <w:rFonts w:ascii="宋体"/>
              </w:rPr>
            </w:pPr>
          </w:p>
        </w:tc>
      </w:tr>
      <w:tr w:rsidR="00D42204" w14:paraId="35D0C05C" w14:textId="77777777">
        <w:trPr>
          <w:jc w:val="center"/>
        </w:trPr>
        <w:tc>
          <w:tcPr>
            <w:tcW w:w="0" w:type="auto"/>
            <w:gridSpan w:val="3"/>
            <w:shd w:val="clear" w:color="auto" w:fill="auto"/>
            <w:tcMar>
              <w:top w:w="40" w:type="dxa"/>
              <w:left w:w="20" w:type="dxa"/>
              <w:bottom w:w="40" w:type="dxa"/>
              <w:right w:w="20" w:type="dxa"/>
            </w:tcMar>
          </w:tcPr>
          <w:p w14:paraId="35D0C059" w14:textId="77777777" w:rsidR="00D42204" w:rsidRDefault="004E439D">
            <w:pPr>
              <w:textAlignment w:val="top"/>
            </w:pPr>
            <w:r>
              <w:rPr>
                <w:rFonts w:ascii="Times New Roman" w:eastAsia="宋体" w:hAnsi="Times New Roman"/>
                <w:color w:val="000000"/>
                <w:sz w:val="20"/>
                <w:szCs w:val="20"/>
              </w:rPr>
              <w:t>10.6</w:t>
            </w:r>
          </w:p>
        </w:tc>
        <w:tc>
          <w:tcPr>
            <w:tcW w:w="0" w:type="auto"/>
            <w:gridSpan w:val="3"/>
            <w:shd w:val="clear" w:color="auto" w:fill="auto"/>
            <w:tcMar>
              <w:top w:w="0" w:type="dxa"/>
              <w:left w:w="20" w:type="dxa"/>
              <w:bottom w:w="0" w:type="dxa"/>
              <w:right w:w="20" w:type="dxa"/>
            </w:tcMar>
            <w:vAlign w:val="bottom"/>
          </w:tcPr>
          <w:p w14:paraId="35D0C05A"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5B" w14:textId="77777777" w:rsidR="00D42204" w:rsidRDefault="004E439D">
            <w:pPr>
              <w:textAlignment w:val="top"/>
            </w:pPr>
            <w:hyperlink r:id="rId175" w:history="1">
              <w:r>
                <w:rPr>
                  <w:rStyle w:val="a5"/>
                  <w:rFonts w:ascii="Times New Roman" w:eastAsia="宋体" w:hAnsi="Times New Roman"/>
                  <w:sz w:val="20"/>
                  <w:szCs w:val="20"/>
                </w:rPr>
                <w:t xml:space="preserve">Walmart Inc. Director Compensation Deferral Plan, as amended effective February 1, 2018 is incorporated by reference to Exhibit 10(f) to the Annual Report on Form </w:t>
              </w:r>
              <w:r>
                <w:rPr>
                  <w:rStyle w:val="a5"/>
                  <w:rFonts w:ascii="Times New Roman" w:eastAsia="宋体" w:hAnsi="Times New Roman"/>
                  <w:sz w:val="20"/>
                  <w:szCs w:val="20"/>
                </w:rPr>
                <w:t>10-K of the Company for the fiscal year ended January 31, 2018, filed on March 30, 2018</w:t>
              </w:r>
            </w:hyperlink>
            <w:r>
              <w:rPr>
                <w:rFonts w:ascii="Times New Roman" w:eastAsia="宋体" w:hAnsi="Times New Roman"/>
                <w:color w:val="000000"/>
                <w:sz w:val="13"/>
                <w:szCs w:val="13"/>
              </w:rPr>
              <w:t xml:space="preserve"> (C)</w:t>
            </w:r>
          </w:p>
        </w:tc>
      </w:tr>
      <w:tr w:rsidR="00D42204" w14:paraId="35D0C05F"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5D"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05E" w14:textId="77777777" w:rsidR="00D42204" w:rsidRDefault="00D42204">
            <w:pPr>
              <w:rPr>
                <w:rFonts w:ascii="宋体"/>
              </w:rPr>
            </w:pPr>
          </w:p>
        </w:tc>
      </w:tr>
      <w:tr w:rsidR="00D42204" w14:paraId="35D0C063" w14:textId="77777777">
        <w:trPr>
          <w:jc w:val="center"/>
        </w:trPr>
        <w:tc>
          <w:tcPr>
            <w:tcW w:w="0" w:type="auto"/>
            <w:gridSpan w:val="3"/>
            <w:shd w:val="clear" w:color="auto" w:fill="auto"/>
            <w:tcMar>
              <w:top w:w="40" w:type="dxa"/>
              <w:left w:w="20" w:type="dxa"/>
              <w:bottom w:w="40" w:type="dxa"/>
              <w:right w:w="20" w:type="dxa"/>
            </w:tcMar>
          </w:tcPr>
          <w:p w14:paraId="35D0C060" w14:textId="77777777" w:rsidR="00D42204" w:rsidRDefault="004E439D">
            <w:pPr>
              <w:textAlignment w:val="top"/>
            </w:pPr>
            <w:r>
              <w:rPr>
                <w:rFonts w:ascii="Times New Roman" w:eastAsia="宋体" w:hAnsi="Times New Roman"/>
                <w:color w:val="000000"/>
                <w:sz w:val="20"/>
                <w:szCs w:val="20"/>
              </w:rPr>
              <w:t>10.7</w:t>
            </w:r>
          </w:p>
        </w:tc>
        <w:tc>
          <w:tcPr>
            <w:tcW w:w="0" w:type="auto"/>
            <w:gridSpan w:val="3"/>
            <w:shd w:val="clear" w:color="auto" w:fill="auto"/>
            <w:tcMar>
              <w:top w:w="0" w:type="dxa"/>
              <w:left w:w="20" w:type="dxa"/>
              <w:bottom w:w="0" w:type="dxa"/>
              <w:right w:w="20" w:type="dxa"/>
            </w:tcMar>
            <w:vAlign w:val="bottom"/>
          </w:tcPr>
          <w:p w14:paraId="35D0C06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62" w14:textId="77777777" w:rsidR="00D42204" w:rsidRDefault="004E439D">
            <w:pPr>
              <w:textAlignment w:val="top"/>
            </w:pPr>
            <w:hyperlink r:id="rId176" w:history="1">
              <w:r>
                <w:rPr>
                  <w:rStyle w:val="a5"/>
                  <w:rFonts w:ascii="Times New Roman" w:eastAsia="宋体" w:hAnsi="Times New Roman"/>
                  <w:sz w:val="20"/>
                  <w:szCs w:val="20"/>
                </w:rPr>
                <w:t>Form of Post-Termination Agreement and Covenant Not to Compete</w:t>
              </w:r>
              <w:r>
                <w:rPr>
                  <w:rStyle w:val="a5"/>
                  <w:rFonts w:ascii="Times New Roman" w:eastAsia="宋体" w:hAnsi="Times New Roman"/>
                  <w:sz w:val="20"/>
                  <w:szCs w:val="20"/>
                </w:rPr>
                <w:t xml:space="preserve"> with attached Schedule of Executive Officers who have executed a Post-Termination Agreement and Covenant Not to Compete is incorporated by reference to Exhibit 10(p) to the Annual Report on Form 10-K of the Company for the fiscal year ended January 31, 20</w:t>
              </w:r>
              <w:r>
                <w:rPr>
                  <w:rStyle w:val="a5"/>
                  <w:rFonts w:ascii="Times New Roman" w:eastAsia="宋体" w:hAnsi="Times New Roman"/>
                  <w:sz w:val="20"/>
                  <w:szCs w:val="20"/>
                </w:rPr>
                <w:t>11, filed on March 30, 2011</w:t>
              </w:r>
            </w:hyperlink>
            <w:r>
              <w:rPr>
                <w:rFonts w:ascii="Times New Roman" w:eastAsia="宋体" w:hAnsi="Times New Roman"/>
                <w:color w:val="000000"/>
                <w:sz w:val="20"/>
                <w:szCs w:val="20"/>
              </w:rPr>
              <w:t xml:space="preserve"> </w:t>
            </w:r>
            <w:r>
              <w:rPr>
                <w:rFonts w:ascii="Times New Roman" w:eastAsia="宋体" w:hAnsi="Times New Roman"/>
                <w:color w:val="000000"/>
                <w:sz w:val="13"/>
                <w:szCs w:val="13"/>
              </w:rPr>
              <w:t>(C)</w:t>
            </w:r>
          </w:p>
        </w:tc>
      </w:tr>
      <w:tr w:rsidR="00D42204" w14:paraId="35D0C067"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64"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65"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66" w14:textId="77777777" w:rsidR="00D42204" w:rsidRDefault="00D42204">
            <w:pPr>
              <w:rPr>
                <w:rFonts w:ascii="宋体"/>
              </w:rPr>
            </w:pPr>
          </w:p>
        </w:tc>
      </w:tr>
      <w:tr w:rsidR="00D42204" w14:paraId="35D0C06B" w14:textId="77777777">
        <w:trPr>
          <w:jc w:val="center"/>
        </w:trPr>
        <w:tc>
          <w:tcPr>
            <w:tcW w:w="0" w:type="auto"/>
            <w:gridSpan w:val="3"/>
            <w:shd w:val="clear" w:color="auto" w:fill="auto"/>
            <w:tcMar>
              <w:top w:w="40" w:type="dxa"/>
              <w:left w:w="20" w:type="dxa"/>
              <w:bottom w:w="40" w:type="dxa"/>
              <w:right w:w="20" w:type="dxa"/>
            </w:tcMar>
          </w:tcPr>
          <w:p w14:paraId="35D0C068" w14:textId="77777777" w:rsidR="00D42204" w:rsidRDefault="004E439D">
            <w:pPr>
              <w:textAlignment w:val="top"/>
            </w:pPr>
            <w:r>
              <w:rPr>
                <w:rFonts w:ascii="Times New Roman" w:eastAsia="宋体" w:hAnsi="Times New Roman"/>
                <w:color w:val="000000"/>
                <w:sz w:val="20"/>
                <w:szCs w:val="20"/>
              </w:rPr>
              <w:t>10.7(a)</w:t>
            </w:r>
          </w:p>
        </w:tc>
        <w:tc>
          <w:tcPr>
            <w:tcW w:w="0" w:type="auto"/>
            <w:gridSpan w:val="3"/>
            <w:shd w:val="clear" w:color="auto" w:fill="auto"/>
            <w:tcMar>
              <w:top w:w="0" w:type="dxa"/>
              <w:left w:w="20" w:type="dxa"/>
              <w:bottom w:w="0" w:type="dxa"/>
              <w:right w:w="20" w:type="dxa"/>
            </w:tcMar>
            <w:vAlign w:val="bottom"/>
          </w:tcPr>
          <w:p w14:paraId="35D0C069"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6A" w14:textId="77777777" w:rsidR="00D42204" w:rsidRDefault="004E439D">
            <w:pPr>
              <w:textAlignment w:val="top"/>
            </w:pPr>
            <w:hyperlink r:id="rId177" w:history="1">
              <w:r>
                <w:rPr>
                  <w:rStyle w:val="a5"/>
                  <w:rFonts w:ascii="Times New Roman" w:eastAsia="宋体" w:hAnsi="Times New Roman"/>
                  <w:sz w:val="20"/>
                  <w:szCs w:val="20"/>
                </w:rPr>
                <w:t xml:space="preserve">Amended Schedule of Executive Officers who have executed a Post-Termination Agreement and Covenant Not to </w:t>
              </w:r>
              <w:r>
                <w:rPr>
                  <w:rStyle w:val="a5"/>
                  <w:rFonts w:ascii="Times New Roman" w:eastAsia="宋体" w:hAnsi="Times New Roman"/>
                  <w:sz w:val="20"/>
                  <w:szCs w:val="20"/>
                </w:rPr>
                <w:t>Compete in the form filed as Exhibit 10(p) to the Annual Report on Form 10-K of the Company for the fiscal year ended January 31, 2011 is incorporated herein by reference to Exhibit 10.7(a) to the Annual Report on Form 10-K for the fiscal year ended Januar</w:t>
              </w:r>
              <w:r>
                <w:rPr>
                  <w:rStyle w:val="a5"/>
                  <w:rFonts w:ascii="Times New Roman" w:eastAsia="宋体" w:hAnsi="Times New Roman"/>
                  <w:sz w:val="20"/>
                  <w:szCs w:val="20"/>
                </w:rPr>
                <w:t>y 31, 2020 filed on March 20, 2020</w:t>
              </w:r>
            </w:hyperlink>
            <w:r>
              <w:rPr>
                <w:rFonts w:ascii="Times New Roman" w:eastAsia="宋体" w:hAnsi="Times New Roman"/>
                <w:color w:val="000000"/>
                <w:sz w:val="13"/>
                <w:szCs w:val="13"/>
              </w:rPr>
              <w:t xml:space="preserve"> (C)</w:t>
            </w:r>
          </w:p>
        </w:tc>
      </w:tr>
      <w:tr w:rsidR="00D42204" w14:paraId="35D0C06F"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6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6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6E" w14:textId="77777777" w:rsidR="00D42204" w:rsidRDefault="00D42204">
            <w:pPr>
              <w:rPr>
                <w:rFonts w:ascii="宋体"/>
              </w:rPr>
            </w:pPr>
          </w:p>
        </w:tc>
      </w:tr>
      <w:tr w:rsidR="00D42204" w14:paraId="35D0C073" w14:textId="77777777">
        <w:trPr>
          <w:jc w:val="center"/>
        </w:trPr>
        <w:tc>
          <w:tcPr>
            <w:tcW w:w="0" w:type="auto"/>
            <w:gridSpan w:val="3"/>
            <w:shd w:val="clear" w:color="auto" w:fill="auto"/>
            <w:tcMar>
              <w:top w:w="40" w:type="dxa"/>
              <w:left w:w="20" w:type="dxa"/>
              <w:bottom w:w="40" w:type="dxa"/>
              <w:right w:w="20" w:type="dxa"/>
            </w:tcMar>
          </w:tcPr>
          <w:p w14:paraId="35D0C070" w14:textId="77777777" w:rsidR="00D42204" w:rsidRDefault="004E439D">
            <w:pPr>
              <w:textAlignment w:val="top"/>
            </w:pPr>
            <w:r>
              <w:rPr>
                <w:rFonts w:ascii="Times New Roman" w:eastAsia="宋体" w:hAnsi="Times New Roman"/>
                <w:color w:val="000000"/>
                <w:sz w:val="20"/>
                <w:szCs w:val="20"/>
              </w:rPr>
              <w:t>10.8*</w:t>
            </w:r>
          </w:p>
        </w:tc>
        <w:tc>
          <w:tcPr>
            <w:tcW w:w="0" w:type="auto"/>
            <w:gridSpan w:val="3"/>
            <w:shd w:val="clear" w:color="auto" w:fill="auto"/>
            <w:tcMar>
              <w:top w:w="0" w:type="dxa"/>
              <w:left w:w="20" w:type="dxa"/>
              <w:bottom w:w="0" w:type="dxa"/>
              <w:right w:w="20" w:type="dxa"/>
            </w:tcMar>
            <w:vAlign w:val="bottom"/>
          </w:tcPr>
          <w:p w14:paraId="35D0C07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72" w14:textId="77777777" w:rsidR="00D42204" w:rsidRDefault="004E439D">
            <w:pPr>
              <w:textAlignment w:val="top"/>
            </w:pPr>
            <w:hyperlink r:id="rId178" w:history="1">
              <w:r>
                <w:rPr>
                  <w:rStyle w:val="a5"/>
                  <w:rFonts w:ascii="Times New Roman" w:eastAsia="宋体" w:hAnsi="Times New Roman"/>
                  <w:sz w:val="20"/>
                  <w:szCs w:val="20"/>
                </w:rPr>
                <w:t>Form of Walmart Inc. Stock Incentive Plan of 2015 Restricted Stock Notification of Award and Terms and Conditions of Award</w:t>
              </w:r>
            </w:hyperlink>
            <w:r>
              <w:rPr>
                <w:rFonts w:ascii="Times New Roman" w:eastAsia="宋体" w:hAnsi="Times New Roman"/>
                <w:color w:val="000000"/>
                <w:sz w:val="13"/>
                <w:szCs w:val="13"/>
              </w:rPr>
              <w:t xml:space="preserve"> (C)</w:t>
            </w:r>
          </w:p>
        </w:tc>
      </w:tr>
      <w:tr w:rsidR="00D42204" w14:paraId="35D0C077"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74"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75"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76" w14:textId="77777777" w:rsidR="00D42204" w:rsidRDefault="00D42204">
            <w:pPr>
              <w:rPr>
                <w:rFonts w:ascii="宋体"/>
              </w:rPr>
            </w:pPr>
          </w:p>
        </w:tc>
      </w:tr>
      <w:tr w:rsidR="00D42204" w14:paraId="35D0C07B" w14:textId="77777777">
        <w:trPr>
          <w:jc w:val="center"/>
        </w:trPr>
        <w:tc>
          <w:tcPr>
            <w:tcW w:w="0" w:type="auto"/>
            <w:gridSpan w:val="3"/>
            <w:shd w:val="clear" w:color="auto" w:fill="auto"/>
            <w:tcMar>
              <w:top w:w="40" w:type="dxa"/>
              <w:left w:w="20" w:type="dxa"/>
              <w:bottom w:w="40" w:type="dxa"/>
              <w:right w:w="20" w:type="dxa"/>
            </w:tcMar>
          </w:tcPr>
          <w:p w14:paraId="35D0C078" w14:textId="77777777" w:rsidR="00D42204" w:rsidRDefault="004E439D">
            <w:pPr>
              <w:textAlignment w:val="top"/>
            </w:pPr>
            <w:r>
              <w:rPr>
                <w:rFonts w:ascii="Times New Roman" w:eastAsia="宋体" w:hAnsi="Times New Roman"/>
                <w:color w:val="000000"/>
                <w:sz w:val="20"/>
                <w:szCs w:val="20"/>
              </w:rPr>
              <w:t>10.9*</w:t>
            </w:r>
          </w:p>
        </w:tc>
        <w:tc>
          <w:tcPr>
            <w:tcW w:w="0" w:type="auto"/>
            <w:gridSpan w:val="3"/>
            <w:shd w:val="clear" w:color="auto" w:fill="auto"/>
            <w:tcMar>
              <w:top w:w="0" w:type="dxa"/>
              <w:left w:w="20" w:type="dxa"/>
              <w:bottom w:w="0" w:type="dxa"/>
              <w:right w:w="20" w:type="dxa"/>
            </w:tcMar>
            <w:vAlign w:val="bottom"/>
          </w:tcPr>
          <w:p w14:paraId="35D0C079"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7A" w14:textId="77777777" w:rsidR="00D42204" w:rsidRDefault="004E439D">
            <w:pPr>
              <w:textAlignment w:val="top"/>
            </w:pPr>
            <w:hyperlink r:id="rId179" w:history="1">
              <w:r>
                <w:rPr>
                  <w:rStyle w:val="a5"/>
                  <w:rFonts w:ascii="Times New Roman" w:eastAsia="宋体" w:hAnsi="Times New Roman"/>
                  <w:sz w:val="20"/>
                  <w:szCs w:val="20"/>
                </w:rPr>
                <w:t>Form of Walmart Inc. Stock Incentive Plan of 2015 Global Share-Settled Performance-Based Restricted Stock Unit Notification and Terms and Conditions</w:t>
              </w:r>
            </w:hyperlink>
            <w:r>
              <w:rPr>
                <w:rFonts w:ascii="Times New Roman" w:eastAsia="宋体" w:hAnsi="Times New Roman"/>
                <w:color w:val="000000"/>
                <w:sz w:val="20"/>
                <w:szCs w:val="20"/>
              </w:rPr>
              <w:t xml:space="preserve"> </w:t>
            </w:r>
            <w:r>
              <w:rPr>
                <w:rFonts w:ascii="Times New Roman" w:eastAsia="宋体" w:hAnsi="Times New Roman"/>
                <w:color w:val="000000"/>
                <w:sz w:val="13"/>
                <w:szCs w:val="13"/>
              </w:rPr>
              <w:t>(C)</w:t>
            </w:r>
          </w:p>
        </w:tc>
      </w:tr>
      <w:tr w:rsidR="00D42204" w14:paraId="35D0C07F"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7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7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7E" w14:textId="77777777" w:rsidR="00D42204" w:rsidRDefault="00D42204">
            <w:pPr>
              <w:rPr>
                <w:rFonts w:ascii="宋体"/>
              </w:rPr>
            </w:pPr>
          </w:p>
        </w:tc>
      </w:tr>
      <w:tr w:rsidR="00D42204" w14:paraId="35D0C083" w14:textId="77777777">
        <w:trPr>
          <w:jc w:val="center"/>
        </w:trPr>
        <w:tc>
          <w:tcPr>
            <w:tcW w:w="0" w:type="auto"/>
            <w:gridSpan w:val="3"/>
            <w:shd w:val="clear" w:color="auto" w:fill="auto"/>
            <w:tcMar>
              <w:top w:w="40" w:type="dxa"/>
              <w:left w:w="20" w:type="dxa"/>
              <w:bottom w:w="40" w:type="dxa"/>
              <w:right w:w="20" w:type="dxa"/>
            </w:tcMar>
          </w:tcPr>
          <w:p w14:paraId="35D0C080" w14:textId="77777777" w:rsidR="00D42204" w:rsidRDefault="004E439D">
            <w:pPr>
              <w:textAlignment w:val="top"/>
            </w:pPr>
            <w:r>
              <w:rPr>
                <w:rFonts w:ascii="Times New Roman" w:eastAsia="宋体" w:hAnsi="Times New Roman"/>
                <w:color w:val="000000"/>
                <w:sz w:val="20"/>
                <w:szCs w:val="20"/>
              </w:rPr>
              <w:t>10.10</w:t>
            </w:r>
          </w:p>
        </w:tc>
        <w:tc>
          <w:tcPr>
            <w:tcW w:w="0" w:type="auto"/>
            <w:gridSpan w:val="3"/>
            <w:shd w:val="clear" w:color="auto" w:fill="auto"/>
            <w:tcMar>
              <w:top w:w="0" w:type="dxa"/>
              <w:left w:w="20" w:type="dxa"/>
              <w:bottom w:w="0" w:type="dxa"/>
              <w:right w:w="20" w:type="dxa"/>
            </w:tcMar>
            <w:vAlign w:val="bottom"/>
          </w:tcPr>
          <w:p w14:paraId="35D0C08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82" w14:textId="77777777" w:rsidR="00D42204" w:rsidRDefault="004E439D">
            <w:pPr>
              <w:textAlignment w:val="top"/>
            </w:pPr>
            <w:hyperlink r:id="rId180" w:history="1">
              <w:r>
                <w:rPr>
                  <w:rStyle w:val="a5"/>
                  <w:rFonts w:ascii="Times New Roman" w:eastAsia="宋体" w:hAnsi="Times New Roman"/>
                  <w:sz w:val="20"/>
                  <w:szCs w:val="20"/>
                </w:rPr>
                <w:t xml:space="preserve">Walmart Officer Deferred Compensation Plan, as amended effective February 1, 2018 is incorporated by reference to Exhibit 10(a) of the Annual Report on Form 10-K of the Company for the fiscal year ended January 31, 2018 filed on March 30, 2018 </w:t>
              </w:r>
            </w:hyperlink>
            <w:r>
              <w:rPr>
                <w:rFonts w:ascii="Times New Roman" w:eastAsia="宋体" w:hAnsi="Times New Roman"/>
                <w:color w:val="000000"/>
                <w:sz w:val="13"/>
                <w:szCs w:val="13"/>
              </w:rPr>
              <w:t>(C)</w:t>
            </w:r>
          </w:p>
        </w:tc>
      </w:tr>
      <w:tr w:rsidR="00D42204" w14:paraId="35D0C087"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84"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85"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86" w14:textId="77777777" w:rsidR="00D42204" w:rsidRDefault="00D42204">
            <w:pPr>
              <w:rPr>
                <w:rFonts w:ascii="宋体"/>
              </w:rPr>
            </w:pPr>
          </w:p>
        </w:tc>
      </w:tr>
      <w:tr w:rsidR="00D42204" w14:paraId="35D0C08B" w14:textId="77777777">
        <w:trPr>
          <w:jc w:val="center"/>
        </w:trPr>
        <w:tc>
          <w:tcPr>
            <w:tcW w:w="0" w:type="auto"/>
            <w:gridSpan w:val="3"/>
            <w:shd w:val="clear" w:color="auto" w:fill="auto"/>
            <w:tcMar>
              <w:top w:w="40" w:type="dxa"/>
              <w:left w:w="20" w:type="dxa"/>
              <w:bottom w:w="40" w:type="dxa"/>
              <w:right w:w="20" w:type="dxa"/>
            </w:tcMar>
          </w:tcPr>
          <w:p w14:paraId="35D0C088" w14:textId="77777777" w:rsidR="00D42204" w:rsidRDefault="004E439D">
            <w:pPr>
              <w:textAlignment w:val="top"/>
            </w:pPr>
            <w:r>
              <w:rPr>
                <w:rFonts w:ascii="Times New Roman" w:eastAsia="宋体" w:hAnsi="Times New Roman"/>
                <w:color w:val="000000"/>
                <w:sz w:val="20"/>
                <w:szCs w:val="20"/>
              </w:rPr>
              <w:t>10.11</w:t>
            </w:r>
          </w:p>
        </w:tc>
        <w:tc>
          <w:tcPr>
            <w:tcW w:w="0" w:type="auto"/>
            <w:gridSpan w:val="3"/>
            <w:shd w:val="clear" w:color="auto" w:fill="auto"/>
            <w:tcMar>
              <w:top w:w="0" w:type="dxa"/>
              <w:left w:w="20" w:type="dxa"/>
              <w:bottom w:w="0" w:type="dxa"/>
              <w:right w:w="20" w:type="dxa"/>
            </w:tcMar>
            <w:vAlign w:val="bottom"/>
          </w:tcPr>
          <w:p w14:paraId="35D0C089"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8A" w14:textId="77777777" w:rsidR="00D42204" w:rsidRDefault="004E439D">
            <w:pPr>
              <w:textAlignment w:val="top"/>
            </w:pPr>
            <w:hyperlink r:id="rId181" w:history="1">
              <w:r>
                <w:rPr>
                  <w:rStyle w:val="a5"/>
                  <w:rFonts w:ascii="Times New Roman" w:eastAsia="宋体" w:hAnsi="Times New Roman"/>
                  <w:sz w:val="20"/>
                  <w:szCs w:val="20"/>
                </w:rPr>
                <w:t xml:space="preserve">Form of Share Settled Restricted Stock Unit Notification and Terms and Conditions Awarded to Suresh Kumar on July 9, 2019 is incorporated by reference </w:t>
              </w:r>
              <w:r>
                <w:rPr>
                  <w:rStyle w:val="a5"/>
                  <w:rFonts w:ascii="Times New Roman" w:eastAsia="宋体" w:hAnsi="Times New Roman"/>
                  <w:sz w:val="20"/>
                  <w:szCs w:val="20"/>
                </w:rPr>
                <w:t>to Exhibit 10.2 to the Quarterly Report of the Company for the fiscal quarter ended July 31, 2019 filed on September 6, 2019</w:t>
              </w:r>
            </w:hyperlink>
            <w:r>
              <w:rPr>
                <w:rFonts w:ascii="Times New Roman" w:eastAsia="宋体" w:hAnsi="Times New Roman"/>
                <w:color w:val="000000"/>
                <w:sz w:val="13"/>
                <w:szCs w:val="13"/>
              </w:rPr>
              <w:t xml:space="preserve"> (C)</w:t>
            </w:r>
          </w:p>
        </w:tc>
      </w:tr>
      <w:tr w:rsidR="00D42204" w14:paraId="35D0C08F"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8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8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8E" w14:textId="77777777" w:rsidR="00D42204" w:rsidRDefault="00D42204">
            <w:pPr>
              <w:rPr>
                <w:rFonts w:ascii="宋体"/>
              </w:rPr>
            </w:pPr>
          </w:p>
        </w:tc>
      </w:tr>
      <w:tr w:rsidR="00D42204" w14:paraId="35D0C093" w14:textId="77777777">
        <w:trPr>
          <w:jc w:val="center"/>
        </w:trPr>
        <w:tc>
          <w:tcPr>
            <w:tcW w:w="0" w:type="auto"/>
            <w:gridSpan w:val="3"/>
            <w:shd w:val="clear" w:color="auto" w:fill="auto"/>
            <w:tcMar>
              <w:top w:w="40" w:type="dxa"/>
              <w:left w:w="20" w:type="dxa"/>
              <w:bottom w:w="40" w:type="dxa"/>
              <w:right w:w="20" w:type="dxa"/>
            </w:tcMar>
          </w:tcPr>
          <w:p w14:paraId="35D0C090" w14:textId="77777777" w:rsidR="00D42204" w:rsidRDefault="004E439D">
            <w:pPr>
              <w:textAlignment w:val="top"/>
            </w:pPr>
            <w:r>
              <w:rPr>
                <w:rFonts w:ascii="Times New Roman" w:eastAsia="宋体" w:hAnsi="Times New Roman"/>
                <w:color w:val="000000"/>
                <w:sz w:val="20"/>
                <w:szCs w:val="20"/>
              </w:rPr>
              <w:t>10.12</w:t>
            </w:r>
          </w:p>
        </w:tc>
        <w:tc>
          <w:tcPr>
            <w:tcW w:w="0" w:type="auto"/>
            <w:gridSpan w:val="3"/>
            <w:shd w:val="clear" w:color="auto" w:fill="auto"/>
            <w:tcMar>
              <w:top w:w="0" w:type="dxa"/>
              <w:left w:w="20" w:type="dxa"/>
              <w:bottom w:w="0" w:type="dxa"/>
              <w:right w:w="20" w:type="dxa"/>
            </w:tcMar>
            <w:vAlign w:val="bottom"/>
          </w:tcPr>
          <w:p w14:paraId="35D0C09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92" w14:textId="77777777" w:rsidR="00D42204" w:rsidRDefault="004E439D">
            <w:pPr>
              <w:textAlignment w:val="top"/>
            </w:pPr>
            <w:hyperlink r:id="rId182" w:history="1">
              <w:r>
                <w:rPr>
                  <w:rStyle w:val="a5"/>
                  <w:rFonts w:ascii="Times New Roman" w:eastAsia="宋体" w:hAnsi="Times New Roman"/>
                  <w:sz w:val="20"/>
                  <w:szCs w:val="20"/>
                </w:rPr>
                <w:t>Post Termination Agreement and Covenant Not to Compete between the Company and Suresh Kumar dated June 6, 2019 is incorporated herein by reference to Exhibit 10.</w:t>
              </w:r>
              <w:r>
                <w:rPr>
                  <w:rStyle w:val="a5"/>
                  <w:rFonts w:ascii="Times New Roman" w:eastAsia="宋体" w:hAnsi="Times New Roman"/>
                  <w:sz w:val="20"/>
                  <w:szCs w:val="20"/>
                </w:rPr>
                <w:t>16 to the Annual Report on Form 10-K for the fiscal year ended January 31, 2020 filed on March 20, 2020</w:t>
              </w:r>
            </w:hyperlink>
            <w:r>
              <w:rPr>
                <w:rFonts w:ascii="Times New Roman" w:eastAsia="宋体" w:hAnsi="Times New Roman"/>
                <w:color w:val="000000"/>
                <w:sz w:val="20"/>
                <w:szCs w:val="20"/>
              </w:rPr>
              <w:t xml:space="preserve"> </w:t>
            </w:r>
            <w:r>
              <w:rPr>
                <w:rFonts w:ascii="Times New Roman" w:eastAsia="宋体" w:hAnsi="Times New Roman"/>
                <w:color w:val="000000"/>
                <w:sz w:val="13"/>
                <w:szCs w:val="13"/>
              </w:rPr>
              <w:t>(C)</w:t>
            </w:r>
          </w:p>
        </w:tc>
      </w:tr>
      <w:tr w:rsidR="00D42204" w14:paraId="35D0C097"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94"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95"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96" w14:textId="77777777" w:rsidR="00D42204" w:rsidRDefault="00D42204">
            <w:pPr>
              <w:rPr>
                <w:rFonts w:ascii="宋体"/>
              </w:rPr>
            </w:pPr>
          </w:p>
        </w:tc>
      </w:tr>
      <w:tr w:rsidR="00D42204" w14:paraId="35D0C09B" w14:textId="77777777">
        <w:trPr>
          <w:jc w:val="center"/>
        </w:trPr>
        <w:tc>
          <w:tcPr>
            <w:tcW w:w="0" w:type="auto"/>
            <w:gridSpan w:val="3"/>
            <w:shd w:val="clear" w:color="auto" w:fill="auto"/>
            <w:tcMar>
              <w:top w:w="40" w:type="dxa"/>
              <w:left w:w="20" w:type="dxa"/>
              <w:bottom w:w="40" w:type="dxa"/>
              <w:right w:w="20" w:type="dxa"/>
            </w:tcMar>
          </w:tcPr>
          <w:p w14:paraId="35D0C098" w14:textId="77777777" w:rsidR="00D42204" w:rsidRDefault="004E439D">
            <w:pPr>
              <w:textAlignment w:val="top"/>
            </w:pPr>
            <w:r>
              <w:rPr>
                <w:rFonts w:ascii="Times New Roman" w:eastAsia="宋体" w:hAnsi="Times New Roman"/>
                <w:color w:val="000000"/>
                <w:sz w:val="20"/>
                <w:szCs w:val="20"/>
              </w:rPr>
              <w:t>10.13</w:t>
            </w:r>
          </w:p>
        </w:tc>
        <w:tc>
          <w:tcPr>
            <w:tcW w:w="0" w:type="auto"/>
            <w:gridSpan w:val="3"/>
            <w:shd w:val="clear" w:color="auto" w:fill="auto"/>
            <w:tcMar>
              <w:top w:w="0" w:type="dxa"/>
              <w:left w:w="20" w:type="dxa"/>
              <w:bottom w:w="0" w:type="dxa"/>
              <w:right w:w="20" w:type="dxa"/>
            </w:tcMar>
            <w:vAlign w:val="bottom"/>
          </w:tcPr>
          <w:p w14:paraId="35D0C099"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9A" w14:textId="77777777" w:rsidR="00D42204" w:rsidRDefault="004E439D">
            <w:pPr>
              <w:textAlignment w:val="top"/>
            </w:pPr>
            <w:hyperlink r:id="rId183" w:history="1">
              <w:r>
                <w:rPr>
                  <w:rStyle w:val="a5"/>
                  <w:rFonts w:ascii="Times New Roman" w:eastAsia="宋体" w:hAnsi="Times New Roman"/>
                  <w:sz w:val="20"/>
                  <w:szCs w:val="20"/>
                </w:rPr>
                <w:t>Separation Agreement between the Company and Marc Lore dated January 26, 2021 is incorporated herein by reference to Exhibit 10.18 to the Annual Rep</w:t>
              </w:r>
              <w:r>
                <w:rPr>
                  <w:rStyle w:val="a5"/>
                  <w:rFonts w:ascii="Times New Roman" w:eastAsia="宋体" w:hAnsi="Times New Roman"/>
                  <w:sz w:val="20"/>
                  <w:szCs w:val="20"/>
                </w:rPr>
                <w:t>ort on Form 10-K for the fiscal year ended January 31, 2021 filed on March 19, 2021</w:t>
              </w:r>
            </w:hyperlink>
            <w:r>
              <w:rPr>
                <w:rFonts w:ascii="Times New Roman" w:eastAsia="宋体" w:hAnsi="Times New Roman"/>
                <w:color w:val="000000"/>
                <w:sz w:val="20"/>
                <w:szCs w:val="20"/>
              </w:rPr>
              <w:t xml:space="preserve"> </w:t>
            </w:r>
            <w:r>
              <w:rPr>
                <w:rFonts w:ascii="Times New Roman" w:eastAsia="宋体" w:hAnsi="Times New Roman"/>
                <w:color w:val="000000"/>
                <w:sz w:val="13"/>
                <w:szCs w:val="13"/>
              </w:rPr>
              <w:t>(C)</w:t>
            </w:r>
          </w:p>
        </w:tc>
      </w:tr>
      <w:tr w:rsidR="00D42204" w14:paraId="35D0C09F"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9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9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9E" w14:textId="77777777" w:rsidR="00D42204" w:rsidRDefault="00D42204">
            <w:pPr>
              <w:rPr>
                <w:rFonts w:ascii="宋体"/>
              </w:rPr>
            </w:pPr>
          </w:p>
        </w:tc>
      </w:tr>
      <w:tr w:rsidR="00D42204" w14:paraId="35D0C0A3" w14:textId="77777777">
        <w:trPr>
          <w:jc w:val="center"/>
        </w:trPr>
        <w:tc>
          <w:tcPr>
            <w:tcW w:w="0" w:type="auto"/>
            <w:gridSpan w:val="3"/>
            <w:shd w:val="clear" w:color="auto" w:fill="auto"/>
            <w:tcMar>
              <w:top w:w="40" w:type="dxa"/>
              <w:left w:w="20" w:type="dxa"/>
              <w:bottom w:w="40" w:type="dxa"/>
              <w:right w:w="20" w:type="dxa"/>
            </w:tcMar>
          </w:tcPr>
          <w:p w14:paraId="35D0C0A0" w14:textId="77777777" w:rsidR="00D42204" w:rsidRDefault="004E439D">
            <w:pPr>
              <w:textAlignment w:val="top"/>
            </w:pPr>
            <w:r>
              <w:rPr>
                <w:rFonts w:ascii="Times New Roman" w:eastAsia="宋体" w:hAnsi="Times New Roman"/>
                <w:color w:val="000000"/>
                <w:sz w:val="20"/>
                <w:szCs w:val="20"/>
              </w:rPr>
              <w:t>10.14</w:t>
            </w:r>
          </w:p>
        </w:tc>
        <w:tc>
          <w:tcPr>
            <w:tcW w:w="0" w:type="auto"/>
            <w:gridSpan w:val="3"/>
            <w:shd w:val="clear" w:color="auto" w:fill="auto"/>
            <w:tcMar>
              <w:top w:w="0" w:type="dxa"/>
              <w:left w:w="20" w:type="dxa"/>
              <w:bottom w:w="0" w:type="dxa"/>
              <w:right w:w="20" w:type="dxa"/>
            </w:tcMar>
            <w:vAlign w:val="bottom"/>
          </w:tcPr>
          <w:p w14:paraId="35D0C0A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A2" w14:textId="77777777" w:rsidR="00D42204" w:rsidRDefault="004E439D">
            <w:pPr>
              <w:textAlignment w:val="top"/>
            </w:pPr>
            <w:hyperlink r:id="rId184" w:history="1">
              <w:r>
                <w:rPr>
                  <w:rStyle w:val="a5"/>
                  <w:rFonts w:ascii="Times New Roman" w:eastAsia="宋体" w:hAnsi="Times New Roman"/>
                  <w:sz w:val="20"/>
                  <w:szCs w:val="20"/>
                </w:rPr>
                <w:t>Retirement Agreement between the Company and M. Brett Biggs dated November 29, 2021 is incorporated herein by reference to Exhibit 10.1 to the Current</w:t>
              </w:r>
              <w:r>
                <w:rPr>
                  <w:rStyle w:val="a5"/>
                  <w:rFonts w:ascii="Times New Roman" w:eastAsia="宋体" w:hAnsi="Times New Roman"/>
                  <w:sz w:val="20"/>
                  <w:szCs w:val="20"/>
                </w:rPr>
                <w:t xml:space="preserve"> Report on Form 8-K filed on November 29, 2021</w:t>
              </w:r>
            </w:hyperlink>
            <w:r>
              <w:rPr>
                <w:rFonts w:ascii="Times New Roman" w:eastAsia="宋体" w:hAnsi="Times New Roman"/>
                <w:color w:val="000000"/>
                <w:sz w:val="20"/>
                <w:szCs w:val="20"/>
              </w:rPr>
              <w:t xml:space="preserve"> </w:t>
            </w:r>
            <w:r>
              <w:rPr>
                <w:rFonts w:ascii="Times New Roman" w:eastAsia="宋体" w:hAnsi="Times New Roman"/>
                <w:color w:val="000000"/>
                <w:sz w:val="13"/>
                <w:szCs w:val="13"/>
              </w:rPr>
              <w:t>(C)</w:t>
            </w:r>
          </w:p>
        </w:tc>
      </w:tr>
      <w:tr w:rsidR="00D42204" w14:paraId="35D0C0A7"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A4"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A5"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A6" w14:textId="77777777" w:rsidR="00D42204" w:rsidRDefault="00D42204">
            <w:pPr>
              <w:rPr>
                <w:rFonts w:ascii="宋体"/>
              </w:rPr>
            </w:pPr>
          </w:p>
        </w:tc>
      </w:tr>
      <w:tr w:rsidR="00D42204" w14:paraId="35D0C0AB" w14:textId="77777777">
        <w:trPr>
          <w:jc w:val="center"/>
        </w:trPr>
        <w:tc>
          <w:tcPr>
            <w:tcW w:w="0" w:type="auto"/>
            <w:gridSpan w:val="3"/>
            <w:shd w:val="clear" w:color="auto" w:fill="auto"/>
            <w:tcMar>
              <w:top w:w="40" w:type="dxa"/>
              <w:left w:w="20" w:type="dxa"/>
              <w:bottom w:w="40" w:type="dxa"/>
              <w:right w:w="20" w:type="dxa"/>
            </w:tcMar>
          </w:tcPr>
          <w:p w14:paraId="35D0C0A8" w14:textId="77777777" w:rsidR="00D42204" w:rsidRDefault="004E439D">
            <w:pPr>
              <w:textAlignment w:val="top"/>
            </w:pPr>
            <w:r>
              <w:rPr>
                <w:rFonts w:ascii="Times New Roman" w:eastAsia="宋体" w:hAnsi="Times New Roman"/>
                <w:color w:val="000000"/>
                <w:sz w:val="20"/>
                <w:szCs w:val="20"/>
              </w:rPr>
              <w:t>10.15</w:t>
            </w:r>
          </w:p>
        </w:tc>
        <w:tc>
          <w:tcPr>
            <w:tcW w:w="0" w:type="auto"/>
            <w:gridSpan w:val="3"/>
            <w:shd w:val="clear" w:color="auto" w:fill="auto"/>
            <w:tcMar>
              <w:top w:w="0" w:type="dxa"/>
              <w:left w:w="20" w:type="dxa"/>
              <w:bottom w:w="0" w:type="dxa"/>
              <w:right w:w="20" w:type="dxa"/>
            </w:tcMar>
            <w:vAlign w:val="bottom"/>
          </w:tcPr>
          <w:p w14:paraId="35D0C0A9"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AA" w14:textId="77777777" w:rsidR="00D42204" w:rsidRDefault="004E439D">
            <w:pPr>
              <w:textAlignment w:val="top"/>
            </w:pPr>
            <w:hyperlink r:id="rId185" w:history="1">
              <w:r>
                <w:rPr>
                  <w:rStyle w:val="a5"/>
                  <w:rFonts w:ascii="Times New Roman" w:eastAsia="宋体" w:hAnsi="Times New Roman"/>
                  <w:sz w:val="20"/>
                  <w:szCs w:val="20"/>
                </w:rPr>
                <w:t>Share Issuance and Acquisition Agreement by and Between Flipkart Private Limited and Walmart Inc. dated as of May 9, 2018</w:t>
              </w:r>
            </w:hyperlink>
            <w:hyperlink r:id="rId186" w:history="1">
              <w:r>
                <w:rPr>
                  <w:rStyle w:val="a5"/>
                  <w:rFonts w:ascii="Times New Roman" w:eastAsia="宋体" w:hAnsi="Times New Roman"/>
                  <w:sz w:val="20"/>
                  <w:szCs w:val="20"/>
                </w:rPr>
                <w:t xml:space="preserve"> is incorporated herein by reference to Exhibit 10.1</w:t>
              </w:r>
            </w:hyperlink>
            <w:hyperlink r:id="rId187" w:history="1">
              <w:r>
                <w:rPr>
                  <w:rStyle w:val="a5"/>
                  <w:rFonts w:ascii="Times New Roman" w:eastAsia="宋体" w:hAnsi="Times New Roman"/>
                  <w:sz w:val="20"/>
                  <w:szCs w:val="20"/>
                </w:rPr>
                <w:t xml:space="preserve"> to the Q</w:t>
              </w:r>
              <w:r>
                <w:rPr>
                  <w:rStyle w:val="a5"/>
                  <w:rFonts w:ascii="Times New Roman" w:eastAsia="宋体" w:hAnsi="Times New Roman"/>
                  <w:sz w:val="20"/>
                  <w:szCs w:val="20"/>
                </w:rPr>
                <w:t>uarterly Report of the Company for the fiscal quarter ended July 31, 2018 filed on September 6, 2018 (</w:t>
              </w:r>
            </w:hyperlink>
            <w:hyperlink r:id="rId188" w:history="1">
              <w:r>
                <w:rPr>
                  <w:rStyle w:val="a5"/>
                  <w:rFonts w:ascii="Times New Roman" w:eastAsia="宋体" w:hAnsi="Times New Roman"/>
                  <w:sz w:val="20"/>
                  <w:szCs w:val="20"/>
                </w:rPr>
                <w:t>p</w:t>
              </w:r>
            </w:hyperlink>
            <w:hyperlink r:id="rId189" w:history="1">
              <w:r>
                <w:rPr>
                  <w:rStyle w:val="a5"/>
                  <w:rFonts w:ascii="Times New Roman" w:eastAsia="宋体" w:hAnsi="Times New Roman"/>
                  <w:sz w:val="20"/>
                  <w:szCs w:val="20"/>
                </w:rPr>
                <w:t>ortions of this exhibit have been omitted and filed separately with the SEC pursuant to a request for confidential treatment.)</w:t>
              </w:r>
            </w:hyperlink>
          </w:p>
        </w:tc>
      </w:tr>
      <w:tr w:rsidR="00D42204" w14:paraId="35D0C0AF"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A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A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AE" w14:textId="77777777" w:rsidR="00D42204" w:rsidRDefault="00D42204">
            <w:pPr>
              <w:rPr>
                <w:rFonts w:ascii="宋体"/>
              </w:rPr>
            </w:pPr>
          </w:p>
        </w:tc>
      </w:tr>
    </w:tbl>
    <w:p w14:paraId="35D0C0B0" w14:textId="77777777" w:rsidR="00D42204" w:rsidRDefault="004E439D">
      <w:pPr>
        <w:jc w:val="center"/>
      </w:pPr>
      <w:r>
        <w:rPr>
          <w:rFonts w:ascii="Times New Roman" w:eastAsia="宋体" w:hAnsi="Times New Roman"/>
          <w:color w:val="000000"/>
          <w:sz w:val="20"/>
          <w:szCs w:val="20"/>
        </w:rPr>
        <w:t>83</w:t>
      </w:r>
    </w:p>
    <w:p w14:paraId="35D0C0B1" w14:textId="77777777" w:rsidR="00D42204" w:rsidRDefault="004E439D">
      <w:r>
        <w:pict w14:anchorId="35D0C3AE">
          <v:rect id="_x0000_i1107" style="width:415.3pt;height:1.5pt" o:hralign="center" o:hrstd="t" o:hr="t" fillcolor="#a0a0a0" stroked="f"/>
        </w:pict>
      </w:r>
    </w:p>
    <w:p w14:paraId="35D0C0B2" w14:textId="77777777" w:rsidR="00D42204" w:rsidRDefault="00D42204"/>
    <w:tbl>
      <w:tblPr>
        <w:tblW w:w="4985" w:type="pct"/>
        <w:jc w:val="center"/>
        <w:tblCellMar>
          <w:top w:w="15" w:type="dxa"/>
          <w:left w:w="15" w:type="dxa"/>
          <w:bottom w:w="15" w:type="dxa"/>
          <w:right w:w="15" w:type="dxa"/>
        </w:tblCellMar>
        <w:tblLook w:val="04A0" w:firstRow="1" w:lastRow="0" w:firstColumn="1" w:lastColumn="0" w:noHBand="0" w:noVBand="1"/>
      </w:tblPr>
      <w:tblGrid>
        <w:gridCol w:w="60"/>
        <w:gridCol w:w="861"/>
        <w:gridCol w:w="36"/>
        <w:gridCol w:w="36"/>
        <w:gridCol w:w="36"/>
        <w:gridCol w:w="36"/>
        <w:gridCol w:w="46"/>
        <w:gridCol w:w="7164"/>
        <w:gridCol w:w="36"/>
      </w:tblGrid>
      <w:tr w:rsidR="00D42204" w14:paraId="35D0C0BC" w14:textId="77777777">
        <w:trPr>
          <w:jc w:val="center"/>
        </w:trPr>
        <w:tc>
          <w:tcPr>
            <w:tcW w:w="50" w:type="pct"/>
            <w:shd w:val="clear" w:color="auto" w:fill="auto"/>
            <w:vAlign w:val="bottom"/>
          </w:tcPr>
          <w:p w14:paraId="35D0C0B3" w14:textId="77777777" w:rsidR="00D42204" w:rsidRDefault="00D42204">
            <w:pPr>
              <w:rPr>
                <w:rFonts w:ascii="宋体"/>
              </w:rPr>
            </w:pPr>
          </w:p>
        </w:tc>
        <w:tc>
          <w:tcPr>
            <w:tcW w:w="531" w:type="pct"/>
            <w:shd w:val="clear" w:color="auto" w:fill="auto"/>
            <w:vAlign w:val="bottom"/>
          </w:tcPr>
          <w:p w14:paraId="35D0C0B4" w14:textId="77777777" w:rsidR="00D42204" w:rsidRDefault="00D42204">
            <w:pPr>
              <w:rPr>
                <w:rFonts w:ascii="宋体"/>
              </w:rPr>
            </w:pPr>
          </w:p>
        </w:tc>
        <w:tc>
          <w:tcPr>
            <w:tcW w:w="5" w:type="pct"/>
            <w:shd w:val="clear" w:color="auto" w:fill="auto"/>
            <w:vAlign w:val="bottom"/>
          </w:tcPr>
          <w:p w14:paraId="35D0C0B5" w14:textId="77777777" w:rsidR="00D42204" w:rsidRDefault="00D42204">
            <w:pPr>
              <w:rPr>
                <w:rFonts w:ascii="宋体"/>
              </w:rPr>
            </w:pPr>
          </w:p>
        </w:tc>
        <w:tc>
          <w:tcPr>
            <w:tcW w:w="5" w:type="pct"/>
            <w:shd w:val="clear" w:color="auto" w:fill="auto"/>
            <w:vAlign w:val="bottom"/>
          </w:tcPr>
          <w:p w14:paraId="35D0C0B6" w14:textId="77777777" w:rsidR="00D42204" w:rsidRDefault="00D42204">
            <w:pPr>
              <w:rPr>
                <w:rFonts w:ascii="宋体"/>
              </w:rPr>
            </w:pPr>
          </w:p>
        </w:tc>
        <w:tc>
          <w:tcPr>
            <w:tcW w:w="26" w:type="pct"/>
            <w:shd w:val="clear" w:color="auto" w:fill="auto"/>
            <w:vAlign w:val="bottom"/>
          </w:tcPr>
          <w:p w14:paraId="35D0C0B7" w14:textId="77777777" w:rsidR="00D42204" w:rsidRDefault="00D42204">
            <w:pPr>
              <w:rPr>
                <w:rFonts w:ascii="宋体"/>
              </w:rPr>
            </w:pPr>
          </w:p>
        </w:tc>
        <w:tc>
          <w:tcPr>
            <w:tcW w:w="5" w:type="pct"/>
            <w:shd w:val="clear" w:color="auto" w:fill="auto"/>
            <w:vAlign w:val="bottom"/>
          </w:tcPr>
          <w:p w14:paraId="35D0C0B8" w14:textId="77777777" w:rsidR="00D42204" w:rsidRDefault="00D42204">
            <w:pPr>
              <w:rPr>
                <w:rFonts w:ascii="宋体"/>
              </w:rPr>
            </w:pPr>
          </w:p>
        </w:tc>
        <w:tc>
          <w:tcPr>
            <w:tcW w:w="50" w:type="pct"/>
            <w:shd w:val="clear" w:color="auto" w:fill="auto"/>
            <w:vAlign w:val="bottom"/>
          </w:tcPr>
          <w:p w14:paraId="35D0C0B9" w14:textId="77777777" w:rsidR="00D42204" w:rsidRDefault="00D42204">
            <w:pPr>
              <w:rPr>
                <w:rFonts w:ascii="宋体"/>
              </w:rPr>
            </w:pPr>
          </w:p>
        </w:tc>
        <w:tc>
          <w:tcPr>
            <w:tcW w:w="4321" w:type="pct"/>
            <w:shd w:val="clear" w:color="auto" w:fill="auto"/>
            <w:vAlign w:val="bottom"/>
          </w:tcPr>
          <w:p w14:paraId="35D0C0BA" w14:textId="77777777" w:rsidR="00D42204" w:rsidRDefault="00D42204">
            <w:pPr>
              <w:rPr>
                <w:rFonts w:ascii="宋体"/>
              </w:rPr>
            </w:pPr>
          </w:p>
        </w:tc>
        <w:tc>
          <w:tcPr>
            <w:tcW w:w="5" w:type="pct"/>
            <w:shd w:val="clear" w:color="auto" w:fill="auto"/>
            <w:vAlign w:val="bottom"/>
          </w:tcPr>
          <w:p w14:paraId="35D0C0BB" w14:textId="77777777" w:rsidR="00D42204" w:rsidRDefault="00D42204">
            <w:pPr>
              <w:rPr>
                <w:rFonts w:ascii="宋体"/>
              </w:rPr>
            </w:pPr>
          </w:p>
        </w:tc>
      </w:tr>
      <w:tr w:rsidR="00D42204" w14:paraId="35D0C0C0" w14:textId="77777777">
        <w:trPr>
          <w:jc w:val="center"/>
        </w:trPr>
        <w:tc>
          <w:tcPr>
            <w:tcW w:w="0" w:type="auto"/>
            <w:gridSpan w:val="3"/>
            <w:shd w:val="clear" w:color="auto" w:fill="auto"/>
            <w:tcMar>
              <w:top w:w="40" w:type="dxa"/>
              <w:left w:w="20" w:type="dxa"/>
              <w:bottom w:w="40" w:type="dxa"/>
              <w:right w:w="20" w:type="dxa"/>
            </w:tcMar>
          </w:tcPr>
          <w:p w14:paraId="35D0C0BD" w14:textId="77777777" w:rsidR="00D42204" w:rsidRDefault="004E439D">
            <w:pPr>
              <w:textAlignment w:val="top"/>
            </w:pPr>
            <w:r>
              <w:rPr>
                <w:rFonts w:ascii="Times New Roman" w:eastAsia="宋体" w:hAnsi="Times New Roman"/>
                <w:color w:val="000000"/>
                <w:sz w:val="20"/>
                <w:szCs w:val="20"/>
              </w:rPr>
              <w:t>10.16</w:t>
            </w:r>
          </w:p>
        </w:tc>
        <w:tc>
          <w:tcPr>
            <w:tcW w:w="0" w:type="auto"/>
            <w:gridSpan w:val="3"/>
            <w:shd w:val="clear" w:color="auto" w:fill="auto"/>
            <w:tcMar>
              <w:top w:w="0" w:type="dxa"/>
              <w:left w:w="20" w:type="dxa"/>
              <w:bottom w:w="0" w:type="dxa"/>
              <w:right w:w="20" w:type="dxa"/>
            </w:tcMar>
            <w:vAlign w:val="bottom"/>
          </w:tcPr>
          <w:p w14:paraId="35D0C0BE"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BF" w14:textId="77777777" w:rsidR="00D42204" w:rsidRDefault="004E439D">
            <w:pPr>
              <w:textAlignment w:val="top"/>
            </w:pPr>
            <w:hyperlink r:id="rId190" w:history="1">
              <w:r>
                <w:rPr>
                  <w:rStyle w:val="a5"/>
                  <w:rFonts w:ascii="Times New Roman" w:eastAsia="宋体" w:hAnsi="Times New Roman"/>
                  <w:sz w:val="20"/>
                  <w:szCs w:val="20"/>
                </w:rPr>
                <w:t>Counterpart Form of Share Purchase Agreement by and Among Wal-Mart International Holdings, Inc.</w:t>
              </w:r>
            </w:hyperlink>
            <w:hyperlink r:id="rId191" w:history="1">
              <w:r>
                <w:rPr>
                  <w:rStyle w:val="a5"/>
                  <w:rFonts w:ascii="Times New Roman" w:eastAsia="宋体" w:hAnsi="Times New Roman"/>
                  <w:sz w:val="20"/>
                  <w:szCs w:val="20"/>
                </w:rPr>
                <w:t>,</w:t>
              </w:r>
            </w:hyperlink>
            <w:hyperlink r:id="rId192" w:history="1">
              <w:r>
                <w:rPr>
                  <w:rStyle w:val="a5"/>
                  <w:rFonts w:ascii="Times New Roman" w:eastAsia="宋体" w:hAnsi="Times New Roman"/>
                  <w:sz w:val="20"/>
                  <w:szCs w:val="20"/>
                </w:rPr>
                <w:t xml:space="preserve"> the shareholders of Flipkart Private Limited identified on Schedule I thereto, Fortis Ad</w:t>
              </w:r>
              <w:r>
                <w:rPr>
                  <w:rStyle w:val="a5"/>
                  <w:rFonts w:ascii="Times New Roman" w:eastAsia="宋体" w:hAnsi="Times New Roman"/>
                  <w:sz w:val="20"/>
                  <w:szCs w:val="20"/>
                </w:rPr>
                <w:t>visors LLC and Walmart Inc. dated as of May 9, 2018 is incorporated herein by reference to Exhibit 10.2</w:t>
              </w:r>
            </w:hyperlink>
            <w:hyperlink r:id="rId193" w:history="1">
              <w:r>
                <w:rPr>
                  <w:rStyle w:val="a5"/>
                  <w:rFonts w:ascii="Times New Roman" w:eastAsia="宋体" w:hAnsi="Times New Roman"/>
                  <w:sz w:val="20"/>
                  <w:szCs w:val="20"/>
                </w:rPr>
                <w:t xml:space="preserve"> to the Quarterly Report of the Company for</w:t>
              </w:r>
              <w:r>
                <w:rPr>
                  <w:rStyle w:val="a5"/>
                  <w:rFonts w:ascii="Times New Roman" w:eastAsia="宋体" w:hAnsi="Times New Roman"/>
                  <w:sz w:val="20"/>
                  <w:szCs w:val="20"/>
                </w:rPr>
                <w:t xml:space="preserve"> the fiscal quarter ended July 31, 2018 filed on September 6, 2018 (</w:t>
              </w:r>
            </w:hyperlink>
            <w:hyperlink r:id="rId194" w:history="1">
              <w:r>
                <w:rPr>
                  <w:rStyle w:val="a5"/>
                  <w:rFonts w:ascii="Times New Roman" w:eastAsia="宋体" w:hAnsi="Times New Roman"/>
                  <w:sz w:val="20"/>
                  <w:szCs w:val="20"/>
                </w:rPr>
                <w:t>p</w:t>
              </w:r>
            </w:hyperlink>
            <w:hyperlink r:id="rId195" w:history="1">
              <w:r>
                <w:rPr>
                  <w:rStyle w:val="a5"/>
                  <w:rFonts w:ascii="Times New Roman" w:eastAsia="宋体" w:hAnsi="Times New Roman"/>
                  <w:sz w:val="20"/>
                  <w:szCs w:val="20"/>
                </w:rPr>
                <w:t>ortions of this exhibit have been omitted and filed separately with the SEC pursuant to a request for confidential treatment.)</w:t>
              </w:r>
            </w:hyperlink>
          </w:p>
        </w:tc>
      </w:tr>
    </w:tbl>
    <w:p w14:paraId="35D0C0C1" w14:textId="77777777" w:rsidR="00D42204" w:rsidRDefault="00D42204">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76"/>
        <w:gridCol w:w="845"/>
        <w:gridCol w:w="36"/>
        <w:gridCol w:w="36"/>
        <w:gridCol w:w="36"/>
        <w:gridCol w:w="36"/>
        <w:gridCol w:w="46"/>
        <w:gridCol w:w="7164"/>
        <w:gridCol w:w="36"/>
      </w:tblGrid>
      <w:tr w:rsidR="00D42204" w14:paraId="35D0C0CB" w14:textId="77777777">
        <w:trPr>
          <w:jc w:val="center"/>
        </w:trPr>
        <w:tc>
          <w:tcPr>
            <w:tcW w:w="50" w:type="pct"/>
            <w:shd w:val="clear" w:color="auto" w:fill="auto"/>
            <w:vAlign w:val="bottom"/>
          </w:tcPr>
          <w:p w14:paraId="35D0C0C2" w14:textId="77777777" w:rsidR="00D42204" w:rsidRDefault="00D42204">
            <w:pPr>
              <w:rPr>
                <w:rFonts w:ascii="宋体"/>
              </w:rPr>
            </w:pPr>
          </w:p>
        </w:tc>
        <w:tc>
          <w:tcPr>
            <w:tcW w:w="531" w:type="pct"/>
            <w:shd w:val="clear" w:color="auto" w:fill="auto"/>
            <w:vAlign w:val="bottom"/>
          </w:tcPr>
          <w:p w14:paraId="35D0C0C3" w14:textId="77777777" w:rsidR="00D42204" w:rsidRDefault="00D42204">
            <w:pPr>
              <w:rPr>
                <w:rFonts w:ascii="宋体"/>
              </w:rPr>
            </w:pPr>
          </w:p>
        </w:tc>
        <w:tc>
          <w:tcPr>
            <w:tcW w:w="5" w:type="pct"/>
            <w:shd w:val="clear" w:color="auto" w:fill="auto"/>
            <w:vAlign w:val="bottom"/>
          </w:tcPr>
          <w:p w14:paraId="35D0C0C4" w14:textId="77777777" w:rsidR="00D42204" w:rsidRDefault="00D42204">
            <w:pPr>
              <w:rPr>
                <w:rFonts w:ascii="宋体"/>
              </w:rPr>
            </w:pPr>
          </w:p>
        </w:tc>
        <w:tc>
          <w:tcPr>
            <w:tcW w:w="5" w:type="pct"/>
            <w:shd w:val="clear" w:color="auto" w:fill="auto"/>
            <w:vAlign w:val="bottom"/>
          </w:tcPr>
          <w:p w14:paraId="35D0C0C5" w14:textId="77777777" w:rsidR="00D42204" w:rsidRDefault="00D42204">
            <w:pPr>
              <w:rPr>
                <w:rFonts w:ascii="宋体"/>
              </w:rPr>
            </w:pPr>
          </w:p>
        </w:tc>
        <w:tc>
          <w:tcPr>
            <w:tcW w:w="26" w:type="pct"/>
            <w:shd w:val="clear" w:color="auto" w:fill="auto"/>
            <w:vAlign w:val="bottom"/>
          </w:tcPr>
          <w:p w14:paraId="35D0C0C6" w14:textId="77777777" w:rsidR="00D42204" w:rsidRDefault="00D42204">
            <w:pPr>
              <w:rPr>
                <w:rFonts w:ascii="宋体"/>
              </w:rPr>
            </w:pPr>
          </w:p>
        </w:tc>
        <w:tc>
          <w:tcPr>
            <w:tcW w:w="5" w:type="pct"/>
            <w:shd w:val="clear" w:color="auto" w:fill="auto"/>
            <w:vAlign w:val="bottom"/>
          </w:tcPr>
          <w:p w14:paraId="35D0C0C7" w14:textId="77777777" w:rsidR="00D42204" w:rsidRDefault="00D42204">
            <w:pPr>
              <w:rPr>
                <w:rFonts w:ascii="宋体"/>
              </w:rPr>
            </w:pPr>
          </w:p>
        </w:tc>
        <w:tc>
          <w:tcPr>
            <w:tcW w:w="50" w:type="pct"/>
            <w:shd w:val="clear" w:color="auto" w:fill="auto"/>
            <w:vAlign w:val="bottom"/>
          </w:tcPr>
          <w:p w14:paraId="35D0C0C8" w14:textId="77777777" w:rsidR="00D42204" w:rsidRDefault="00D42204">
            <w:pPr>
              <w:rPr>
                <w:rFonts w:ascii="宋体"/>
              </w:rPr>
            </w:pPr>
          </w:p>
        </w:tc>
        <w:tc>
          <w:tcPr>
            <w:tcW w:w="4321" w:type="pct"/>
            <w:shd w:val="clear" w:color="auto" w:fill="auto"/>
            <w:vAlign w:val="bottom"/>
          </w:tcPr>
          <w:p w14:paraId="35D0C0C9" w14:textId="77777777" w:rsidR="00D42204" w:rsidRDefault="00D42204">
            <w:pPr>
              <w:rPr>
                <w:rFonts w:ascii="宋体"/>
              </w:rPr>
            </w:pPr>
          </w:p>
        </w:tc>
        <w:tc>
          <w:tcPr>
            <w:tcW w:w="5" w:type="pct"/>
            <w:shd w:val="clear" w:color="auto" w:fill="auto"/>
            <w:vAlign w:val="bottom"/>
          </w:tcPr>
          <w:p w14:paraId="35D0C0CA" w14:textId="77777777" w:rsidR="00D42204" w:rsidRDefault="00D42204">
            <w:pPr>
              <w:rPr>
                <w:rFonts w:ascii="宋体"/>
              </w:rPr>
            </w:pPr>
          </w:p>
        </w:tc>
      </w:tr>
      <w:tr w:rsidR="00D42204" w14:paraId="35D0C0CF"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C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C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CE" w14:textId="77777777" w:rsidR="00D42204" w:rsidRDefault="00D42204">
            <w:pPr>
              <w:rPr>
                <w:rFonts w:ascii="宋体"/>
              </w:rPr>
            </w:pPr>
          </w:p>
        </w:tc>
      </w:tr>
      <w:tr w:rsidR="00D42204" w14:paraId="35D0C0D3" w14:textId="77777777">
        <w:trPr>
          <w:jc w:val="center"/>
        </w:trPr>
        <w:tc>
          <w:tcPr>
            <w:tcW w:w="0" w:type="auto"/>
            <w:gridSpan w:val="3"/>
            <w:shd w:val="clear" w:color="auto" w:fill="auto"/>
            <w:tcMar>
              <w:top w:w="40" w:type="dxa"/>
              <w:left w:w="20" w:type="dxa"/>
              <w:bottom w:w="40" w:type="dxa"/>
              <w:right w:w="20" w:type="dxa"/>
            </w:tcMar>
          </w:tcPr>
          <w:p w14:paraId="35D0C0D0" w14:textId="77777777" w:rsidR="00D42204" w:rsidRDefault="004E439D">
            <w:pPr>
              <w:textAlignment w:val="top"/>
            </w:pPr>
            <w:r>
              <w:rPr>
                <w:rFonts w:ascii="Times New Roman" w:eastAsia="宋体" w:hAnsi="Times New Roman"/>
                <w:color w:val="000000"/>
                <w:sz w:val="20"/>
                <w:szCs w:val="20"/>
              </w:rPr>
              <w:t>21*   </w:t>
            </w:r>
          </w:p>
        </w:tc>
        <w:tc>
          <w:tcPr>
            <w:tcW w:w="0" w:type="auto"/>
            <w:gridSpan w:val="3"/>
            <w:shd w:val="clear" w:color="auto" w:fill="auto"/>
            <w:tcMar>
              <w:top w:w="0" w:type="dxa"/>
              <w:left w:w="20" w:type="dxa"/>
              <w:bottom w:w="0" w:type="dxa"/>
              <w:right w:w="20" w:type="dxa"/>
            </w:tcMar>
            <w:vAlign w:val="bottom"/>
          </w:tcPr>
          <w:p w14:paraId="35D0C0D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D2" w14:textId="77777777" w:rsidR="00D42204" w:rsidRDefault="004E439D">
            <w:pPr>
              <w:textAlignment w:val="top"/>
            </w:pPr>
            <w:hyperlink r:id="rId196" w:history="1">
              <w:r>
                <w:rPr>
                  <w:rStyle w:val="a5"/>
                  <w:rFonts w:ascii="Times New Roman" w:eastAsia="宋体" w:hAnsi="Times New Roman"/>
                  <w:sz w:val="20"/>
                  <w:szCs w:val="20"/>
                </w:rPr>
                <w:t>List of the Company's Significant Subsidiaries</w:t>
              </w:r>
            </w:hyperlink>
          </w:p>
        </w:tc>
      </w:tr>
      <w:tr w:rsidR="00D42204" w14:paraId="35D0C0D6"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D4"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0D5" w14:textId="77777777" w:rsidR="00D42204" w:rsidRDefault="00D42204">
            <w:pPr>
              <w:rPr>
                <w:rFonts w:ascii="宋体"/>
              </w:rPr>
            </w:pPr>
          </w:p>
        </w:tc>
      </w:tr>
      <w:tr w:rsidR="00D42204" w14:paraId="35D0C0DA" w14:textId="77777777">
        <w:trPr>
          <w:jc w:val="center"/>
        </w:trPr>
        <w:tc>
          <w:tcPr>
            <w:tcW w:w="0" w:type="auto"/>
            <w:gridSpan w:val="3"/>
            <w:shd w:val="clear" w:color="auto" w:fill="auto"/>
            <w:tcMar>
              <w:top w:w="40" w:type="dxa"/>
              <w:left w:w="20" w:type="dxa"/>
              <w:bottom w:w="40" w:type="dxa"/>
              <w:right w:w="20" w:type="dxa"/>
            </w:tcMar>
          </w:tcPr>
          <w:p w14:paraId="35D0C0D7" w14:textId="77777777" w:rsidR="00D42204" w:rsidRDefault="004E439D">
            <w:pPr>
              <w:textAlignment w:val="top"/>
            </w:pPr>
            <w:r>
              <w:rPr>
                <w:rFonts w:ascii="Times New Roman" w:eastAsia="宋体" w:hAnsi="Times New Roman"/>
                <w:color w:val="000000"/>
                <w:sz w:val="20"/>
                <w:szCs w:val="20"/>
              </w:rPr>
              <w:t>23*    </w:t>
            </w:r>
          </w:p>
        </w:tc>
        <w:tc>
          <w:tcPr>
            <w:tcW w:w="0" w:type="auto"/>
            <w:gridSpan w:val="3"/>
            <w:shd w:val="clear" w:color="auto" w:fill="auto"/>
            <w:tcMar>
              <w:top w:w="0" w:type="dxa"/>
              <w:left w:w="20" w:type="dxa"/>
              <w:bottom w:w="0" w:type="dxa"/>
              <w:right w:w="20" w:type="dxa"/>
            </w:tcMar>
            <w:vAlign w:val="bottom"/>
          </w:tcPr>
          <w:p w14:paraId="35D0C0D8"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D9" w14:textId="77777777" w:rsidR="00D42204" w:rsidRDefault="004E439D">
            <w:pPr>
              <w:textAlignment w:val="top"/>
            </w:pPr>
            <w:hyperlink r:id="rId197" w:history="1">
              <w:r>
                <w:rPr>
                  <w:rStyle w:val="a5"/>
                  <w:rFonts w:ascii="Times New Roman" w:eastAsia="宋体" w:hAnsi="Times New Roman"/>
                  <w:sz w:val="20"/>
                  <w:szCs w:val="20"/>
                </w:rPr>
                <w:t>Consent of Independent Registered Public Accounting Firm</w:t>
              </w:r>
            </w:hyperlink>
          </w:p>
        </w:tc>
      </w:tr>
      <w:tr w:rsidR="00D42204" w14:paraId="35D0C0DD"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DB"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0DC" w14:textId="77777777" w:rsidR="00D42204" w:rsidRDefault="00D42204">
            <w:pPr>
              <w:rPr>
                <w:rFonts w:ascii="宋体"/>
              </w:rPr>
            </w:pPr>
          </w:p>
        </w:tc>
      </w:tr>
      <w:tr w:rsidR="00D42204" w14:paraId="35D0C0E1" w14:textId="77777777">
        <w:trPr>
          <w:jc w:val="center"/>
        </w:trPr>
        <w:tc>
          <w:tcPr>
            <w:tcW w:w="0" w:type="auto"/>
            <w:gridSpan w:val="3"/>
            <w:shd w:val="clear" w:color="auto" w:fill="auto"/>
            <w:tcMar>
              <w:top w:w="40" w:type="dxa"/>
              <w:left w:w="20" w:type="dxa"/>
              <w:bottom w:w="40" w:type="dxa"/>
              <w:right w:w="20" w:type="dxa"/>
            </w:tcMar>
          </w:tcPr>
          <w:p w14:paraId="35D0C0DE" w14:textId="77777777" w:rsidR="00D42204" w:rsidRDefault="004E439D">
            <w:pPr>
              <w:textAlignment w:val="top"/>
            </w:pPr>
            <w:r>
              <w:rPr>
                <w:rFonts w:ascii="Times New Roman" w:eastAsia="宋体" w:hAnsi="Times New Roman"/>
                <w:color w:val="000000"/>
                <w:sz w:val="20"/>
                <w:szCs w:val="20"/>
              </w:rPr>
              <w:t>31.1* </w:t>
            </w:r>
          </w:p>
        </w:tc>
        <w:tc>
          <w:tcPr>
            <w:tcW w:w="0" w:type="auto"/>
            <w:gridSpan w:val="3"/>
            <w:shd w:val="clear" w:color="auto" w:fill="auto"/>
            <w:tcMar>
              <w:top w:w="0" w:type="dxa"/>
              <w:left w:w="20" w:type="dxa"/>
              <w:bottom w:w="0" w:type="dxa"/>
              <w:right w:w="20" w:type="dxa"/>
            </w:tcMar>
            <w:vAlign w:val="bottom"/>
          </w:tcPr>
          <w:p w14:paraId="35D0C0DF"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E0" w14:textId="77777777" w:rsidR="00D42204" w:rsidRDefault="004E439D">
            <w:pPr>
              <w:textAlignment w:val="top"/>
            </w:pPr>
            <w:hyperlink r:id="rId198" w:history="1">
              <w:r>
                <w:rPr>
                  <w:rStyle w:val="a5"/>
                  <w:rFonts w:ascii="Times New Roman" w:eastAsia="宋体" w:hAnsi="Times New Roman"/>
                  <w:sz w:val="20"/>
                  <w:szCs w:val="20"/>
                </w:rPr>
                <w:t>Chief Executive Officer Section 302 Certification</w:t>
              </w:r>
            </w:hyperlink>
          </w:p>
        </w:tc>
      </w:tr>
      <w:tr w:rsidR="00D42204" w14:paraId="35D0C0E4"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E2"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0E3" w14:textId="77777777" w:rsidR="00D42204" w:rsidRDefault="00D42204">
            <w:pPr>
              <w:rPr>
                <w:rFonts w:ascii="宋体"/>
              </w:rPr>
            </w:pPr>
          </w:p>
        </w:tc>
      </w:tr>
      <w:tr w:rsidR="00D42204" w14:paraId="35D0C0E8" w14:textId="77777777">
        <w:trPr>
          <w:jc w:val="center"/>
        </w:trPr>
        <w:tc>
          <w:tcPr>
            <w:tcW w:w="0" w:type="auto"/>
            <w:gridSpan w:val="3"/>
            <w:shd w:val="clear" w:color="auto" w:fill="auto"/>
            <w:tcMar>
              <w:top w:w="40" w:type="dxa"/>
              <w:left w:w="20" w:type="dxa"/>
              <w:bottom w:w="40" w:type="dxa"/>
              <w:right w:w="20" w:type="dxa"/>
            </w:tcMar>
          </w:tcPr>
          <w:p w14:paraId="35D0C0E5" w14:textId="77777777" w:rsidR="00D42204" w:rsidRDefault="004E439D">
            <w:pPr>
              <w:textAlignment w:val="top"/>
            </w:pPr>
            <w:r>
              <w:rPr>
                <w:rFonts w:ascii="Times New Roman" w:eastAsia="宋体" w:hAnsi="Times New Roman"/>
                <w:color w:val="000000"/>
                <w:sz w:val="20"/>
                <w:szCs w:val="20"/>
              </w:rPr>
              <w:t>31.2* </w:t>
            </w:r>
          </w:p>
        </w:tc>
        <w:tc>
          <w:tcPr>
            <w:tcW w:w="0" w:type="auto"/>
            <w:gridSpan w:val="3"/>
            <w:shd w:val="clear" w:color="auto" w:fill="auto"/>
            <w:tcMar>
              <w:top w:w="0" w:type="dxa"/>
              <w:left w:w="20" w:type="dxa"/>
              <w:bottom w:w="0" w:type="dxa"/>
              <w:right w:w="20" w:type="dxa"/>
            </w:tcMar>
            <w:vAlign w:val="bottom"/>
          </w:tcPr>
          <w:p w14:paraId="35D0C0E6"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E7" w14:textId="77777777" w:rsidR="00D42204" w:rsidRDefault="004E439D">
            <w:pPr>
              <w:textAlignment w:val="top"/>
            </w:pPr>
            <w:hyperlink r:id="rId199" w:history="1">
              <w:r>
                <w:rPr>
                  <w:rStyle w:val="a5"/>
                  <w:rFonts w:ascii="Times New Roman" w:eastAsia="宋体" w:hAnsi="Times New Roman"/>
                  <w:sz w:val="20"/>
                  <w:szCs w:val="20"/>
                </w:rPr>
                <w:t>Chief Financial Officer Section 302 Certification</w:t>
              </w:r>
            </w:hyperlink>
          </w:p>
        </w:tc>
      </w:tr>
      <w:tr w:rsidR="00D42204" w14:paraId="35D0C0EB"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E9"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0EA" w14:textId="77777777" w:rsidR="00D42204" w:rsidRDefault="00D42204">
            <w:pPr>
              <w:rPr>
                <w:rFonts w:ascii="宋体"/>
              </w:rPr>
            </w:pPr>
          </w:p>
        </w:tc>
      </w:tr>
      <w:tr w:rsidR="00D42204" w14:paraId="35D0C0EF" w14:textId="77777777">
        <w:trPr>
          <w:jc w:val="center"/>
        </w:trPr>
        <w:tc>
          <w:tcPr>
            <w:tcW w:w="0" w:type="auto"/>
            <w:gridSpan w:val="3"/>
            <w:shd w:val="clear" w:color="auto" w:fill="auto"/>
            <w:tcMar>
              <w:top w:w="40" w:type="dxa"/>
              <w:left w:w="20" w:type="dxa"/>
              <w:bottom w:w="40" w:type="dxa"/>
              <w:right w:w="20" w:type="dxa"/>
            </w:tcMar>
          </w:tcPr>
          <w:p w14:paraId="35D0C0EC" w14:textId="77777777" w:rsidR="00D42204" w:rsidRDefault="004E439D">
            <w:pPr>
              <w:textAlignment w:val="top"/>
            </w:pPr>
            <w:r>
              <w:rPr>
                <w:rFonts w:ascii="Times New Roman" w:eastAsia="宋体" w:hAnsi="Times New Roman"/>
                <w:color w:val="000000"/>
                <w:sz w:val="20"/>
                <w:szCs w:val="20"/>
              </w:rPr>
              <w:t>32.1** </w:t>
            </w:r>
          </w:p>
        </w:tc>
        <w:tc>
          <w:tcPr>
            <w:tcW w:w="0" w:type="auto"/>
            <w:gridSpan w:val="3"/>
            <w:shd w:val="clear" w:color="auto" w:fill="auto"/>
            <w:tcMar>
              <w:top w:w="0" w:type="dxa"/>
              <w:left w:w="20" w:type="dxa"/>
              <w:bottom w:w="0" w:type="dxa"/>
              <w:right w:w="20" w:type="dxa"/>
            </w:tcMar>
            <w:vAlign w:val="bottom"/>
          </w:tcPr>
          <w:p w14:paraId="35D0C0ED"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EE" w14:textId="77777777" w:rsidR="00D42204" w:rsidRDefault="004E439D">
            <w:pPr>
              <w:textAlignment w:val="top"/>
            </w:pPr>
            <w:hyperlink r:id="rId200" w:history="1">
              <w:r>
                <w:rPr>
                  <w:rStyle w:val="a5"/>
                  <w:rFonts w:ascii="Times New Roman" w:eastAsia="宋体" w:hAnsi="Times New Roman"/>
                  <w:sz w:val="20"/>
                  <w:szCs w:val="20"/>
                </w:rPr>
                <w:t>Chief Executive Officer Section 906 Certification</w:t>
              </w:r>
            </w:hyperlink>
          </w:p>
        </w:tc>
      </w:tr>
      <w:tr w:rsidR="00D42204" w14:paraId="35D0C0F2"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F0"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0F1" w14:textId="77777777" w:rsidR="00D42204" w:rsidRDefault="00D42204">
            <w:pPr>
              <w:rPr>
                <w:rFonts w:ascii="宋体"/>
              </w:rPr>
            </w:pPr>
          </w:p>
        </w:tc>
      </w:tr>
      <w:tr w:rsidR="00D42204" w14:paraId="35D0C0F6" w14:textId="77777777">
        <w:trPr>
          <w:jc w:val="center"/>
        </w:trPr>
        <w:tc>
          <w:tcPr>
            <w:tcW w:w="0" w:type="auto"/>
            <w:gridSpan w:val="3"/>
            <w:shd w:val="clear" w:color="auto" w:fill="auto"/>
            <w:tcMar>
              <w:top w:w="40" w:type="dxa"/>
              <w:left w:w="20" w:type="dxa"/>
              <w:bottom w:w="40" w:type="dxa"/>
              <w:right w:w="20" w:type="dxa"/>
            </w:tcMar>
          </w:tcPr>
          <w:p w14:paraId="35D0C0F3" w14:textId="77777777" w:rsidR="00D42204" w:rsidRDefault="004E439D">
            <w:pPr>
              <w:textAlignment w:val="top"/>
            </w:pPr>
            <w:r>
              <w:rPr>
                <w:rFonts w:ascii="Times New Roman" w:eastAsia="宋体" w:hAnsi="Times New Roman"/>
                <w:color w:val="000000"/>
                <w:sz w:val="20"/>
                <w:szCs w:val="20"/>
              </w:rPr>
              <w:t>32.2** </w:t>
            </w:r>
          </w:p>
        </w:tc>
        <w:tc>
          <w:tcPr>
            <w:tcW w:w="0" w:type="auto"/>
            <w:gridSpan w:val="3"/>
            <w:shd w:val="clear" w:color="auto" w:fill="auto"/>
            <w:tcMar>
              <w:top w:w="0" w:type="dxa"/>
              <w:left w:w="20" w:type="dxa"/>
              <w:bottom w:w="0" w:type="dxa"/>
              <w:right w:w="20" w:type="dxa"/>
            </w:tcMar>
            <w:vAlign w:val="bottom"/>
          </w:tcPr>
          <w:p w14:paraId="35D0C0F4"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F5" w14:textId="77777777" w:rsidR="00D42204" w:rsidRDefault="004E439D">
            <w:pPr>
              <w:textAlignment w:val="top"/>
            </w:pPr>
            <w:hyperlink r:id="rId201" w:history="1">
              <w:r>
                <w:rPr>
                  <w:rStyle w:val="a5"/>
                  <w:rFonts w:ascii="Times New Roman" w:eastAsia="宋体" w:hAnsi="Times New Roman"/>
                  <w:sz w:val="20"/>
                  <w:szCs w:val="20"/>
                </w:rPr>
                <w:t>Chief Financial Officer Section 906 Certification</w:t>
              </w:r>
            </w:hyperlink>
          </w:p>
        </w:tc>
      </w:tr>
      <w:tr w:rsidR="00D42204" w14:paraId="35D0C0FA"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F7"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F8"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0F9" w14:textId="77777777" w:rsidR="00D42204" w:rsidRDefault="00D42204">
            <w:pPr>
              <w:rPr>
                <w:rFonts w:ascii="宋体"/>
              </w:rPr>
            </w:pPr>
          </w:p>
        </w:tc>
      </w:tr>
      <w:tr w:rsidR="00D42204" w14:paraId="35D0C0FE" w14:textId="77777777">
        <w:trPr>
          <w:jc w:val="center"/>
        </w:trPr>
        <w:tc>
          <w:tcPr>
            <w:tcW w:w="0" w:type="auto"/>
            <w:gridSpan w:val="3"/>
            <w:shd w:val="clear" w:color="auto" w:fill="auto"/>
            <w:tcMar>
              <w:top w:w="40" w:type="dxa"/>
              <w:left w:w="20" w:type="dxa"/>
              <w:bottom w:w="40" w:type="dxa"/>
              <w:right w:w="20" w:type="dxa"/>
            </w:tcMar>
          </w:tcPr>
          <w:p w14:paraId="35D0C0FB" w14:textId="77777777" w:rsidR="00D42204" w:rsidRDefault="004E439D">
            <w:pPr>
              <w:textAlignment w:val="top"/>
            </w:pPr>
            <w:r>
              <w:rPr>
                <w:rFonts w:ascii="Times New Roman" w:eastAsia="宋体" w:hAnsi="Times New Roman"/>
                <w:color w:val="000000"/>
                <w:sz w:val="20"/>
                <w:szCs w:val="20"/>
              </w:rPr>
              <w:t>99.1*</w:t>
            </w:r>
          </w:p>
        </w:tc>
        <w:tc>
          <w:tcPr>
            <w:tcW w:w="0" w:type="auto"/>
            <w:gridSpan w:val="3"/>
            <w:shd w:val="clear" w:color="auto" w:fill="auto"/>
            <w:tcMar>
              <w:top w:w="0" w:type="dxa"/>
              <w:left w:w="20" w:type="dxa"/>
              <w:bottom w:w="0" w:type="dxa"/>
              <w:right w:w="20" w:type="dxa"/>
            </w:tcMar>
            <w:vAlign w:val="bottom"/>
          </w:tcPr>
          <w:p w14:paraId="35D0C0FC"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0FD" w14:textId="77777777" w:rsidR="00D42204" w:rsidRDefault="004E439D">
            <w:pPr>
              <w:textAlignment w:val="top"/>
            </w:pPr>
            <w:hyperlink r:id="rId202" w:history="1">
              <w:r>
                <w:rPr>
                  <w:rStyle w:val="a5"/>
                  <w:rFonts w:ascii="Times New Roman" w:eastAsia="宋体" w:hAnsi="Times New Roman"/>
                  <w:sz w:val="20"/>
                  <w:szCs w:val="20"/>
                </w:rPr>
                <w:t>State Court Opioids Litigation Case Citations and Currently Scheduled Trial Dates</w:t>
              </w:r>
            </w:hyperlink>
          </w:p>
        </w:tc>
      </w:tr>
      <w:tr w:rsidR="00D42204" w14:paraId="35D0C101"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0FF"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100" w14:textId="77777777" w:rsidR="00D42204" w:rsidRDefault="00D42204">
            <w:pPr>
              <w:rPr>
                <w:rFonts w:ascii="宋体"/>
              </w:rPr>
            </w:pPr>
          </w:p>
        </w:tc>
      </w:tr>
      <w:tr w:rsidR="00D42204" w14:paraId="35D0C105" w14:textId="77777777">
        <w:trPr>
          <w:jc w:val="center"/>
        </w:trPr>
        <w:tc>
          <w:tcPr>
            <w:tcW w:w="0" w:type="auto"/>
            <w:gridSpan w:val="3"/>
            <w:shd w:val="clear" w:color="auto" w:fill="auto"/>
            <w:tcMar>
              <w:top w:w="40" w:type="dxa"/>
              <w:left w:w="20" w:type="dxa"/>
              <w:bottom w:w="40" w:type="dxa"/>
              <w:right w:w="20" w:type="dxa"/>
            </w:tcMar>
          </w:tcPr>
          <w:p w14:paraId="35D0C102" w14:textId="77777777" w:rsidR="00D42204" w:rsidRDefault="004E439D">
            <w:pPr>
              <w:textAlignment w:val="top"/>
            </w:pPr>
            <w:r>
              <w:rPr>
                <w:rFonts w:ascii="Times New Roman" w:eastAsia="宋体" w:hAnsi="Times New Roman"/>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35D0C103"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104" w14:textId="77777777" w:rsidR="00D42204" w:rsidRDefault="004E439D">
            <w:pPr>
              <w:textAlignment w:val="top"/>
            </w:pPr>
            <w:r>
              <w:rPr>
                <w:rFonts w:ascii="Times New Roman" w:eastAsia="宋体" w:hAnsi="Times New Roman"/>
                <w:color w:val="000000"/>
                <w:sz w:val="20"/>
                <w:szCs w:val="20"/>
              </w:rPr>
              <w:t>Inline XBRL Instance Document</w:t>
            </w:r>
          </w:p>
        </w:tc>
      </w:tr>
      <w:tr w:rsidR="00D42204" w14:paraId="35D0C108"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106"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107" w14:textId="77777777" w:rsidR="00D42204" w:rsidRDefault="00D42204">
            <w:pPr>
              <w:rPr>
                <w:rFonts w:ascii="宋体"/>
              </w:rPr>
            </w:pPr>
          </w:p>
        </w:tc>
      </w:tr>
      <w:tr w:rsidR="00D42204" w14:paraId="35D0C10C" w14:textId="77777777">
        <w:trPr>
          <w:jc w:val="center"/>
        </w:trPr>
        <w:tc>
          <w:tcPr>
            <w:tcW w:w="0" w:type="auto"/>
            <w:gridSpan w:val="3"/>
            <w:shd w:val="clear" w:color="auto" w:fill="auto"/>
            <w:tcMar>
              <w:top w:w="40" w:type="dxa"/>
              <w:left w:w="20" w:type="dxa"/>
              <w:bottom w:w="40" w:type="dxa"/>
              <w:right w:w="20" w:type="dxa"/>
            </w:tcMar>
          </w:tcPr>
          <w:p w14:paraId="35D0C109" w14:textId="77777777" w:rsidR="00D42204" w:rsidRDefault="004E439D">
            <w:pPr>
              <w:textAlignment w:val="top"/>
            </w:pPr>
            <w:r>
              <w:rPr>
                <w:rFonts w:ascii="Times New Roman" w:eastAsia="宋体" w:hAnsi="Times New Roman"/>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35D0C10A"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10B" w14:textId="77777777" w:rsidR="00D42204" w:rsidRDefault="004E439D">
            <w:pPr>
              <w:textAlignment w:val="top"/>
            </w:pPr>
            <w:r>
              <w:rPr>
                <w:rFonts w:ascii="Times New Roman" w:eastAsia="宋体" w:hAnsi="Times New Roman"/>
                <w:color w:val="000000"/>
                <w:sz w:val="20"/>
                <w:szCs w:val="20"/>
              </w:rPr>
              <w:t>Inline XBRL Taxonomy Extension Schema Document</w:t>
            </w:r>
          </w:p>
        </w:tc>
      </w:tr>
      <w:tr w:rsidR="00D42204" w14:paraId="35D0C10F"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10D"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10E" w14:textId="77777777" w:rsidR="00D42204" w:rsidRDefault="00D42204">
            <w:pPr>
              <w:rPr>
                <w:rFonts w:ascii="宋体"/>
              </w:rPr>
            </w:pPr>
          </w:p>
        </w:tc>
      </w:tr>
      <w:tr w:rsidR="00D42204" w14:paraId="35D0C113" w14:textId="77777777">
        <w:trPr>
          <w:jc w:val="center"/>
        </w:trPr>
        <w:tc>
          <w:tcPr>
            <w:tcW w:w="0" w:type="auto"/>
            <w:gridSpan w:val="3"/>
            <w:shd w:val="clear" w:color="auto" w:fill="auto"/>
            <w:tcMar>
              <w:top w:w="40" w:type="dxa"/>
              <w:left w:w="20" w:type="dxa"/>
              <w:bottom w:w="40" w:type="dxa"/>
              <w:right w:w="20" w:type="dxa"/>
            </w:tcMar>
          </w:tcPr>
          <w:p w14:paraId="35D0C110" w14:textId="77777777" w:rsidR="00D42204" w:rsidRDefault="004E439D">
            <w:pPr>
              <w:textAlignment w:val="top"/>
            </w:pPr>
            <w:r>
              <w:rPr>
                <w:rFonts w:ascii="Times New Roman" w:eastAsia="宋体" w:hAnsi="Times New Roman"/>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35D0C11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112" w14:textId="77777777" w:rsidR="00D42204" w:rsidRDefault="004E439D">
            <w:pPr>
              <w:textAlignment w:val="top"/>
            </w:pPr>
            <w:r>
              <w:rPr>
                <w:rFonts w:ascii="Times New Roman" w:eastAsia="宋体" w:hAnsi="Times New Roman"/>
                <w:color w:val="000000"/>
                <w:sz w:val="20"/>
                <w:szCs w:val="20"/>
              </w:rPr>
              <w:t>Inline XBRL Taxonomy Extension Calculation Linkbase Document</w:t>
            </w:r>
          </w:p>
        </w:tc>
      </w:tr>
      <w:tr w:rsidR="00D42204" w14:paraId="35D0C116"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114"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115" w14:textId="77777777" w:rsidR="00D42204" w:rsidRDefault="00D42204">
            <w:pPr>
              <w:rPr>
                <w:rFonts w:ascii="宋体"/>
              </w:rPr>
            </w:pPr>
          </w:p>
        </w:tc>
      </w:tr>
      <w:tr w:rsidR="00D42204" w14:paraId="35D0C11A" w14:textId="77777777">
        <w:trPr>
          <w:jc w:val="center"/>
        </w:trPr>
        <w:tc>
          <w:tcPr>
            <w:tcW w:w="0" w:type="auto"/>
            <w:gridSpan w:val="3"/>
            <w:shd w:val="clear" w:color="auto" w:fill="auto"/>
            <w:tcMar>
              <w:top w:w="40" w:type="dxa"/>
              <w:left w:w="20" w:type="dxa"/>
              <w:bottom w:w="40" w:type="dxa"/>
              <w:right w:w="20" w:type="dxa"/>
            </w:tcMar>
          </w:tcPr>
          <w:p w14:paraId="35D0C117" w14:textId="77777777" w:rsidR="00D42204" w:rsidRDefault="004E439D">
            <w:pPr>
              <w:textAlignment w:val="top"/>
            </w:pPr>
            <w:r>
              <w:rPr>
                <w:rFonts w:ascii="Times New Roman" w:eastAsia="宋体" w:hAnsi="Times New Roman"/>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35D0C118"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119" w14:textId="77777777" w:rsidR="00D42204" w:rsidRDefault="004E439D">
            <w:pPr>
              <w:textAlignment w:val="top"/>
            </w:pPr>
            <w:r>
              <w:rPr>
                <w:rFonts w:ascii="Times New Roman" w:eastAsia="宋体" w:hAnsi="Times New Roman"/>
                <w:color w:val="000000"/>
                <w:sz w:val="20"/>
                <w:szCs w:val="20"/>
              </w:rPr>
              <w:t>Inline XBRL Taxonomy Extension Definition Linkbase Document</w:t>
            </w:r>
          </w:p>
        </w:tc>
      </w:tr>
      <w:tr w:rsidR="00D42204" w14:paraId="35D0C11D"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11B"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11C" w14:textId="77777777" w:rsidR="00D42204" w:rsidRDefault="00D42204">
            <w:pPr>
              <w:rPr>
                <w:rFonts w:ascii="宋体"/>
              </w:rPr>
            </w:pPr>
          </w:p>
        </w:tc>
      </w:tr>
      <w:tr w:rsidR="00D42204" w14:paraId="35D0C121" w14:textId="77777777">
        <w:trPr>
          <w:jc w:val="center"/>
        </w:trPr>
        <w:tc>
          <w:tcPr>
            <w:tcW w:w="0" w:type="auto"/>
            <w:gridSpan w:val="3"/>
            <w:shd w:val="clear" w:color="auto" w:fill="auto"/>
            <w:tcMar>
              <w:top w:w="40" w:type="dxa"/>
              <w:left w:w="20" w:type="dxa"/>
              <w:bottom w:w="40" w:type="dxa"/>
              <w:right w:w="20" w:type="dxa"/>
            </w:tcMar>
          </w:tcPr>
          <w:p w14:paraId="35D0C11E" w14:textId="77777777" w:rsidR="00D42204" w:rsidRDefault="004E439D">
            <w:pPr>
              <w:textAlignment w:val="top"/>
            </w:pPr>
            <w:r>
              <w:rPr>
                <w:rFonts w:ascii="Times New Roman" w:eastAsia="宋体" w:hAnsi="Times New Roman"/>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35D0C11F"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120" w14:textId="77777777" w:rsidR="00D42204" w:rsidRDefault="004E439D">
            <w:pPr>
              <w:textAlignment w:val="top"/>
            </w:pPr>
            <w:r>
              <w:rPr>
                <w:rFonts w:ascii="Times New Roman" w:eastAsia="宋体" w:hAnsi="Times New Roman"/>
                <w:color w:val="000000"/>
                <w:sz w:val="20"/>
                <w:szCs w:val="20"/>
              </w:rPr>
              <w:t xml:space="preserve">Inline XBRL Taxonomy Extension Label </w:t>
            </w:r>
            <w:r>
              <w:rPr>
                <w:rFonts w:ascii="Times New Roman" w:eastAsia="宋体" w:hAnsi="Times New Roman"/>
                <w:color w:val="000000"/>
                <w:sz w:val="20"/>
                <w:szCs w:val="20"/>
              </w:rPr>
              <w:t>Linkbase Document</w:t>
            </w:r>
          </w:p>
        </w:tc>
      </w:tr>
      <w:tr w:rsidR="00D42204" w14:paraId="35D0C124"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122"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123" w14:textId="77777777" w:rsidR="00D42204" w:rsidRDefault="00D42204">
            <w:pPr>
              <w:rPr>
                <w:rFonts w:ascii="宋体"/>
              </w:rPr>
            </w:pPr>
          </w:p>
        </w:tc>
      </w:tr>
      <w:tr w:rsidR="00D42204" w14:paraId="35D0C128" w14:textId="77777777">
        <w:trPr>
          <w:jc w:val="center"/>
        </w:trPr>
        <w:tc>
          <w:tcPr>
            <w:tcW w:w="0" w:type="auto"/>
            <w:gridSpan w:val="3"/>
            <w:shd w:val="clear" w:color="auto" w:fill="auto"/>
            <w:tcMar>
              <w:top w:w="40" w:type="dxa"/>
              <w:left w:w="20" w:type="dxa"/>
              <w:bottom w:w="40" w:type="dxa"/>
              <w:right w:w="20" w:type="dxa"/>
            </w:tcMar>
          </w:tcPr>
          <w:p w14:paraId="35D0C125" w14:textId="77777777" w:rsidR="00D42204" w:rsidRDefault="004E439D">
            <w:pPr>
              <w:textAlignment w:val="top"/>
            </w:pPr>
            <w:r>
              <w:rPr>
                <w:rFonts w:ascii="Times New Roman" w:eastAsia="宋体" w:hAnsi="Times New Roman"/>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35D0C126"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127" w14:textId="77777777" w:rsidR="00D42204" w:rsidRDefault="004E439D">
            <w:pPr>
              <w:textAlignment w:val="top"/>
            </w:pPr>
            <w:r>
              <w:rPr>
                <w:rFonts w:ascii="Times New Roman" w:eastAsia="宋体" w:hAnsi="Times New Roman"/>
                <w:color w:val="000000"/>
                <w:sz w:val="20"/>
                <w:szCs w:val="20"/>
              </w:rPr>
              <w:t>Inline XBRL Taxonomy Extension Presentation Linkbase Document</w:t>
            </w:r>
          </w:p>
        </w:tc>
      </w:tr>
      <w:tr w:rsidR="00D42204" w14:paraId="35D0C12C" w14:textId="77777777">
        <w:trPr>
          <w:trHeight w:val="60"/>
          <w:jc w:val="center"/>
        </w:trPr>
        <w:tc>
          <w:tcPr>
            <w:tcW w:w="0" w:type="auto"/>
            <w:gridSpan w:val="3"/>
            <w:shd w:val="clear" w:color="auto" w:fill="auto"/>
            <w:tcMar>
              <w:top w:w="0" w:type="dxa"/>
              <w:left w:w="20" w:type="dxa"/>
              <w:bottom w:w="0" w:type="dxa"/>
              <w:right w:w="20" w:type="dxa"/>
            </w:tcMar>
            <w:vAlign w:val="bottom"/>
          </w:tcPr>
          <w:p w14:paraId="35D0C129"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12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12B" w14:textId="77777777" w:rsidR="00D42204" w:rsidRDefault="00D42204">
            <w:pPr>
              <w:rPr>
                <w:rFonts w:ascii="宋体"/>
              </w:rPr>
            </w:pPr>
          </w:p>
        </w:tc>
      </w:tr>
      <w:tr w:rsidR="00D42204" w14:paraId="35D0C130" w14:textId="77777777">
        <w:trPr>
          <w:jc w:val="center"/>
        </w:trPr>
        <w:tc>
          <w:tcPr>
            <w:tcW w:w="0" w:type="auto"/>
            <w:gridSpan w:val="3"/>
            <w:shd w:val="clear" w:color="auto" w:fill="auto"/>
            <w:tcMar>
              <w:top w:w="40" w:type="dxa"/>
              <w:left w:w="20" w:type="dxa"/>
              <w:bottom w:w="40" w:type="dxa"/>
              <w:right w:w="20" w:type="dxa"/>
            </w:tcMar>
          </w:tcPr>
          <w:p w14:paraId="35D0C12D" w14:textId="77777777" w:rsidR="00D42204" w:rsidRDefault="004E439D">
            <w:pPr>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14:paraId="35D0C12E"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12F" w14:textId="77777777" w:rsidR="00D42204" w:rsidRDefault="004E439D">
            <w:pPr>
              <w:textAlignment w:val="top"/>
            </w:pPr>
            <w:r>
              <w:rPr>
                <w:rFonts w:ascii="Times New Roman" w:eastAsia="宋体" w:hAnsi="Times New Roman"/>
                <w:color w:val="000000"/>
                <w:sz w:val="20"/>
                <w:szCs w:val="20"/>
              </w:rPr>
              <w:t>Cover Page Interactive Data File (formatted as Inline XBRL and contained in Exhibit 101)</w:t>
            </w:r>
          </w:p>
        </w:tc>
      </w:tr>
    </w:tbl>
    <w:p w14:paraId="35D0C131" w14:textId="77777777" w:rsidR="00D42204" w:rsidRDefault="00D42204">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73"/>
        <w:gridCol w:w="174"/>
        <w:gridCol w:w="36"/>
        <w:gridCol w:w="36"/>
        <w:gridCol w:w="36"/>
        <w:gridCol w:w="36"/>
        <w:gridCol w:w="40"/>
        <w:gridCol w:w="7841"/>
        <w:gridCol w:w="39"/>
      </w:tblGrid>
      <w:tr w:rsidR="00D42204" w14:paraId="35D0C13B" w14:textId="77777777">
        <w:trPr>
          <w:jc w:val="center"/>
        </w:trPr>
        <w:tc>
          <w:tcPr>
            <w:tcW w:w="50" w:type="pct"/>
            <w:shd w:val="clear" w:color="auto" w:fill="auto"/>
            <w:vAlign w:val="bottom"/>
          </w:tcPr>
          <w:p w14:paraId="35D0C132" w14:textId="77777777" w:rsidR="00D42204" w:rsidRDefault="00D42204">
            <w:pPr>
              <w:rPr>
                <w:rFonts w:ascii="宋体"/>
              </w:rPr>
            </w:pPr>
          </w:p>
        </w:tc>
        <w:tc>
          <w:tcPr>
            <w:tcW w:w="120" w:type="pct"/>
            <w:shd w:val="clear" w:color="auto" w:fill="auto"/>
            <w:vAlign w:val="bottom"/>
          </w:tcPr>
          <w:p w14:paraId="35D0C133" w14:textId="77777777" w:rsidR="00D42204" w:rsidRDefault="00D42204">
            <w:pPr>
              <w:rPr>
                <w:rFonts w:ascii="宋体"/>
              </w:rPr>
            </w:pPr>
          </w:p>
        </w:tc>
        <w:tc>
          <w:tcPr>
            <w:tcW w:w="5" w:type="pct"/>
            <w:shd w:val="clear" w:color="auto" w:fill="auto"/>
            <w:vAlign w:val="bottom"/>
          </w:tcPr>
          <w:p w14:paraId="35D0C134" w14:textId="77777777" w:rsidR="00D42204" w:rsidRDefault="00D42204">
            <w:pPr>
              <w:rPr>
                <w:rFonts w:ascii="宋体"/>
              </w:rPr>
            </w:pPr>
          </w:p>
        </w:tc>
        <w:tc>
          <w:tcPr>
            <w:tcW w:w="5" w:type="pct"/>
            <w:shd w:val="clear" w:color="auto" w:fill="auto"/>
            <w:vAlign w:val="bottom"/>
          </w:tcPr>
          <w:p w14:paraId="35D0C135" w14:textId="77777777" w:rsidR="00D42204" w:rsidRDefault="00D42204">
            <w:pPr>
              <w:rPr>
                <w:rFonts w:ascii="宋体"/>
              </w:rPr>
            </w:pPr>
          </w:p>
        </w:tc>
        <w:tc>
          <w:tcPr>
            <w:tcW w:w="26" w:type="pct"/>
            <w:shd w:val="clear" w:color="auto" w:fill="auto"/>
            <w:vAlign w:val="bottom"/>
          </w:tcPr>
          <w:p w14:paraId="35D0C136" w14:textId="77777777" w:rsidR="00D42204" w:rsidRDefault="00D42204">
            <w:pPr>
              <w:rPr>
                <w:rFonts w:ascii="宋体"/>
              </w:rPr>
            </w:pPr>
          </w:p>
        </w:tc>
        <w:tc>
          <w:tcPr>
            <w:tcW w:w="5" w:type="pct"/>
            <w:shd w:val="clear" w:color="auto" w:fill="auto"/>
            <w:vAlign w:val="bottom"/>
          </w:tcPr>
          <w:p w14:paraId="35D0C137" w14:textId="77777777" w:rsidR="00D42204" w:rsidRDefault="00D42204">
            <w:pPr>
              <w:rPr>
                <w:rFonts w:ascii="宋体"/>
              </w:rPr>
            </w:pPr>
          </w:p>
        </w:tc>
        <w:tc>
          <w:tcPr>
            <w:tcW w:w="50" w:type="pct"/>
            <w:shd w:val="clear" w:color="auto" w:fill="auto"/>
            <w:vAlign w:val="bottom"/>
          </w:tcPr>
          <w:p w14:paraId="35D0C138" w14:textId="77777777" w:rsidR="00D42204" w:rsidRDefault="00D42204">
            <w:pPr>
              <w:rPr>
                <w:rFonts w:ascii="宋体"/>
              </w:rPr>
            </w:pPr>
          </w:p>
        </w:tc>
        <w:tc>
          <w:tcPr>
            <w:tcW w:w="4732" w:type="pct"/>
            <w:shd w:val="clear" w:color="auto" w:fill="auto"/>
            <w:vAlign w:val="bottom"/>
          </w:tcPr>
          <w:p w14:paraId="35D0C139" w14:textId="77777777" w:rsidR="00D42204" w:rsidRDefault="00D42204">
            <w:pPr>
              <w:rPr>
                <w:rFonts w:ascii="宋体"/>
              </w:rPr>
            </w:pPr>
          </w:p>
        </w:tc>
        <w:tc>
          <w:tcPr>
            <w:tcW w:w="5" w:type="pct"/>
            <w:shd w:val="clear" w:color="auto" w:fill="auto"/>
            <w:vAlign w:val="bottom"/>
          </w:tcPr>
          <w:p w14:paraId="35D0C13A" w14:textId="77777777" w:rsidR="00D42204" w:rsidRDefault="00D42204">
            <w:pPr>
              <w:rPr>
                <w:rFonts w:ascii="宋体"/>
              </w:rPr>
            </w:pPr>
          </w:p>
        </w:tc>
      </w:tr>
      <w:tr w:rsidR="00D42204" w14:paraId="35D0C13F" w14:textId="77777777">
        <w:trPr>
          <w:jc w:val="center"/>
        </w:trPr>
        <w:tc>
          <w:tcPr>
            <w:tcW w:w="0" w:type="auto"/>
            <w:gridSpan w:val="3"/>
            <w:shd w:val="clear" w:color="auto" w:fill="auto"/>
            <w:tcMar>
              <w:top w:w="40" w:type="dxa"/>
              <w:left w:w="20" w:type="dxa"/>
              <w:bottom w:w="40" w:type="dxa"/>
              <w:right w:w="20" w:type="dxa"/>
            </w:tcMar>
          </w:tcPr>
          <w:p w14:paraId="35D0C13C" w14:textId="77777777" w:rsidR="00D42204" w:rsidRDefault="004E439D">
            <w:pPr>
              <w:textAlignment w:val="top"/>
            </w:pPr>
            <w:r>
              <w:rPr>
                <w:rFonts w:ascii="Times New Roman" w:eastAsia="宋体" w:hAnsi="Times New Roman"/>
                <w:color w:val="000000"/>
                <w:sz w:val="16"/>
                <w:szCs w:val="16"/>
              </w:rPr>
              <w:t>*</w:t>
            </w:r>
          </w:p>
        </w:tc>
        <w:tc>
          <w:tcPr>
            <w:tcW w:w="0" w:type="auto"/>
            <w:gridSpan w:val="3"/>
            <w:shd w:val="clear" w:color="auto" w:fill="auto"/>
            <w:tcMar>
              <w:top w:w="0" w:type="dxa"/>
              <w:left w:w="20" w:type="dxa"/>
              <w:bottom w:w="0" w:type="dxa"/>
              <w:right w:w="20" w:type="dxa"/>
            </w:tcMar>
            <w:vAlign w:val="bottom"/>
          </w:tcPr>
          <w:p w14:paraId="35D0C13D"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13E" w14:textId="77777777" w:rsidR="00D42204" w:rsidRDefault="004E439D">
            <w:pPr>
              <w:textAlignment w:val="top"/>
            </w:pPr>
            <w:r>
              <w:rPr>
                <w:rFonts w:ascii="Times New Roman" w:eastAsia="宋体" w:hAnsi="Times New Roman"/>
                <w:color w:val="000000"/>
                <w:sz w:val="16"/>
                <w:szCs w:val="16"/>
              </w:rPr>
              <w:t>Filed herewith as an Exhibit.</w:t>
            </w:r>
          </w:p>
        </w:tc>
      </w:tr>
      <w:tr w:rsidR="00D42204" w14:paraId="35D0C143" w14:textId="77777777">
        <w:trPr>
          <w:jc w:val="center"/>
        </w:trPr>
        <w:tc>
          <w:tcPr>
            <w:tcW w:w="0" w:type="auto"/>
            <w:gridSpan w:val="3"/>
            <w:shd w:val="clear" w:color="auto" w:fill="auto"/>
            <w:tcMar>
              <w:top w:w="40" w:type="dxa"/>
              <w:left w:w="20" w:type="dxa"/>
              <w:bottom w:w="40" w:type="dxa"/>
              <w:right w:w="20" w:type="dxa"/>
            </w:tcMar>
          </w:tcPr>
          <w:p w14:paraId="35D0C140" w14:textId="77777777" w:rsidR="00D42204" w:rsidRDefault="004E439D">
            <w:pPr>
              <w:textAlignment w:val="top"/>
            </w:pPr>
            <w:r>
              <w:rPr>
                <w:rFonts w:ascii="Times New Roman" w:eastAsia="宋体" w:hAnsi="Times New Roman"/>
                <w:color w:val="000000"/>
                <w:sz w:val="16"/>
                <w:szCs w:val="16"/>
              </w:rPr>
              <w:t>**</w:t>
            </w:r>
          </w:p>
        </w:tc>
        <w:tc>
          <w:tcPr>
            <w:tcW w:w="0" w:type="auto"/>
            <w:gridSpan w:val="3"/>
            <w:shd w:val="clear" w:color="auto" w:fill="auto"/>
            <w:tcMar>
              <w:top w:w="0" w:type="dxa"/>
              <w:left w:w="20" w:type="dxa"/>
              <w:bottom w:w="0" w:type="dxa"/>
              <w:right w:w="20" w:type="dxa"/>
            </w:tcMar>
            <w:vAlign w:val="bottom"/>
          </w:tcPr>
          <w:p w14:paraId="35D0C14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142" w14:textId="77777777" w:rsidR="00D42204" w:rsidRDefault="004E439D">
            <w:pPr>
              <w:textAlignment w:val="top"/>
            </w:pPr>
            <w:r>
              <w:rPr>
                <w:rFonts w:ascii="Times New Roman" w:eastAsia="宋体" w:hAnsi="Times New Roman"/>
                <w:color w:val="000000"/>
                <w:sz w:val="16"/>
                <w:szCs w:val="16"/>
              </w:rPr>
              <w:t>Furnished herewith as an Exhibit.</w:t>
            </w:r>
          </w:p>
        </w:tc>
      </w:tr>
      <w:tr w:rsidR="00D42204" w14:paraId="35D0C147" w14:textId="77777777">
        <w:trPr>
          <w:jc w:val="center"/>
        </w:trPr>
        <w:tc>
          <w:tcPr>
            <w:tcW w:w="0" w:type="auto"/>
            <w:gridSpan w:val="3"/>
            <w:shd w:val="clear" w:color="auto" w:fill="auto"/>
            <w:tcMar>
              <w:top w:w="40" w:type="dxa"/>
              <w:left w:w="20" w:type="dxa"/>
              <w:bottom w:w="40" w:type="dxa"/>
              <w:right w:w="20" w:type="dxa"/>
            </w:tcMar>
          </w:tcPr>
          <w:p w14:paraId="35D0C144" w14:textId="77777777" w:rsidR="00D42204" w:rsidRDefault="004E439D">
            <w:pPr>
              <w:textAlignment w:val="top"/>
            </w:pPr>
            <w:r>
              <w:rPr>
                <w:rFonts w:ascii="Times New Roman" w:eastAsia="宋体" w:hAnsi="Times New Roman"/>
                <w:color w:val="000000"/>
                <w:sz w:val="16"/>
                <w:szCs w:val="16"/>
              </w:rPr>
              <w:t>(C)</w:t>
            </w:r>
          </w:p>
        </w:tc>
        <w:tc>
          <w:tcPr>
            <w:tcW w:w="0" w:type="auto"/>
            <w:gridSpan w:val="3"/>
            <w:shd w:val="clear" w:color="auto" w:fill="auto"/>
            <w:tcMar>
              <w:top w:w="0" w:type="dxa"/>
              <w:left w:w="20" w:type="dxa"/>
              <w:bottom w:w="0" w:type="dxa"/>
              <w:right w:w="20" w:type="dxa"/>
            </w:tcMar>
            <w:vAlign w:val="bottom"/>
          </w:tcPr>
          <w:p w14:paraId="35D0C145"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146" w14:textId="77777777" w:rsidR="00D42204" w:rsidRDefault="004E439D">
            <w:pPr>
              <w:textAlignment w:val="top"/>
            </w:pPr>
            <w:r>
              <w:rPr>
                <w:rFonts w:ascii="Times New Roman" w:eastAsia="宋体" w:hAnsi="Times New Roman"/>
                <w:color w:val="000000"/>
                <w:sz w:val="16"/>
                <w:szCs w:val="16"/>
              </w:rPr>
              <w:t>This Exhibit is a management contract or compensatory plan or arrangement</w:t>
            </w:r>
          </w:p>
        </w:tc>
      </w:tr>
      <w:tr w:rsidR="00D42204" w14:paraId="35D0C14B" w14:textId="77777777">
        <w:trPr>
          <w:jc w:val="center"/>
        </w:trPr>
        <w:tc>
          <w:tcPr>
            <w:tcW w:w="0" w:type="auto"/>
            <w:gridSpan w:val="3"/>
            <w:shd w:val="clear" w:color="auto" w:fill="auto"/>
            <w:tcMar>
              <w:top w:w="40" w:type="dxa"/>
              <w:left w:w="20" w:type="dxa"/>
              <w:bottom w:w="40" w:type="dxa"/>
              <w:right w:w="20" w:type="dxa"/>
            </w:tcMar>
          </w:tcPr>
          <w:p w14:paraId="35D0C148" w14:textId="77777777" w:rsidR="00D42204" w:rsidRDefault="004E439D">
            <w:pPr>
              <w:textAlignment w:val="top"/>
            </w:pPr>
            <w:r>
              <w:rPr>
                <w:rFonts w:ascii="Times New Roman" w:eastAsia="宋体" w:hAnsi="Times New Roman"/>
                <w:color w:val="000000"/>
                <w:sz w:val="16"/>
                <w:szCs w:val="16"/>
              </w:rPr>
              <w:t>(P)</w:t>
            </w:r>
          </w:p>
        </w:tc>
        <w:tc>
          <w:tcPr>
            <w:tcW w:w="0" w:type="auto"/>
            <w:gridSpan w:val="3"/>
            <w:shd w:val="clear" w:color="auto" w:fill="auto"/>
            <w:tcMar>
              <w:top w:w="0" w:type="dxa"/>
              <w:left w:w="20" w:type="dxa"/>
              <w:bottom w:w="0" w:type="dxa"/>
              <w:right w:w="20" w:type="dxa"/>
            </w:tcMar>
            <w:vAlign w:val="bottom"/>
          </w:tcPr>
          <w:p w14:paraId="35D0C149"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14A" w14:textId="77777777" w:rsidR="00D42204" w:rsidRDefault="004E439D">
            <w:pPr>
              <w:textAlignment w:val="top"/>
            </w:pPr>
            <w:r>
              <w:rPr>
                <w:rFonts w:ascii="Times New Roman" w:eastAsia="宋体" w:hAnsi="Times New Roman"/>
                <w:color w:val="000000"/>
                <w:sz w:val="16"/>
                <w:szCs w:val="16"/>
              </w:rPr>
              <w:t>This Exhibit was originally filed in paper format. Accordingly, a hyperlink has not been provided.</w:t>
            </w:r>
          </w:p>
        </w:tc>
      </w:tr>
      <w:tr w:rsidR="00D42204" w14:paraId="35D0C14F" w14:textId="77777777">
        <w:trPr>
          <w:jc w:val="center"/>
        </w:trPr>
        <w:tc>
          <w:tcPr>
            <w:tcW w:w="0" w:type="auto"/>
            <w:gridSpan w:val="3"/>
            <w:shd w:val="clear" w:color="auto" w:fill="auto"/>
            <w:tcMar>
              <w:top w:w="40" w:type="dxa"/>
              <w:left w:w="20" w:type="dxa"/>
              <w:bottom w:w="40" w:type="dxa"/>
              <w:right w:w="20" w:type="dxa"/>
            </w:tcMar>
          </w:tcPr>
          <w:p w14:paraId="35D0C14C" w14:textId="77777777" w:rsidR="00D42204" w:rsidRDefault="004E439D">
            <w:pPr>
              <w:textAlignment w:val="top"/>
            </w:pPr>
            <w:r>
              <w:rPr>
                <w:rFonts w:ascii="Times New Roman" w:eastAsia="宋体" w:hAnsi="Times New Roman"/>
                <w:color w:val="000000"/>
                <w:sz w:val="16"/>
                <w:szCs w:val="16"/>
              </w:rPr>
              <w:t>(1)</w:t>
            </w:r>
          </w:p>
        </w:tc>
        <w:tc>
          <w:tcPr>
            <w:tcW w:w="0" w:type="auto"/>
            <w:gridSpan w:val="3"/>
            <w:shd w:val="clear" w:color="auto" w:fill="auto"/>
            <w:tcMar>
              <w:top w:w="0" w:type="dxa"/>
              <w:left w:w="20" w:type="dxa"/>
              <w:bottom w:w="0" w:type="dxa"/>
              <w:right w:w="20" w:type="dxa"/>
            </w:tcMar>
            <w:vAlign w:val="bottom"/>
          </w:tcPr>
          <w:p w14:paraId="35D0C14D"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tcPr>
          <w:p w14:paraId="35D0C14E" w14:textId="77777777" w:rsidR="00D42204" w:rsidRDefault="004E439D">
            <w:pPr>
              <w:textAlignment w:val="top"/>
            </w:pPr>
            <w:r>
              <w:rPr>
                <w:rFonts w:ascii="Times New Roman" w:eastAsia="宋体" w:hAnsi="Times New Roman"/>
                <w:color w:val="000000"/>
                <w:sz w:val="16"/>
                <w:szCs w:val="16"/>
              </w:rPr>
              <w:t xml:space="preserve">Certain instruments </w:t>
            </w:r>
            <w:r>
              <w:rPr>
                <w:rFonts w:ascii="Times New Roman" w:eastAsia="宋体" w:hAnsi="Times New Roman"/>
                <w:color w:val="000000"/>
                <w:sz w:val="16"/>
                <w:szCs w:val="16"/>
              </w:rPr>
              <w:t>defining the rights of holders of long-term debt securities of the Registrant are omitted pursuant to Item601(b)(4)(iii) of Regulation S-K. The Company hereby undertakes to furnish to the SEC, upon request, copies of any such instruments.</w:t>
            </w:r>
          </w:p>
        </w:tc>
      </w:tr>
    </w:tbl>
    <w:p w14:paraId="35D0C150" w14:textId="77777777" w:rsidR="00D42204" w:rsidRDefault="004E439D">
      <w:r>
        <w:rPr>
          <w:rFonts w:ascii="Times New Roman" w:eastAsia="宋体" w:hAnsi="Times New Roman"/>
          <w:color w:val="000000"/>
          <w:sz w:val="20"/>
          <w:szCs w:val="20"/>
        </w:rPr>
        <w:t>(c)    Financial</w:t>
      </w:r>
      <w:r>
        <w:rPr>
          <w:rFonts w:ascii="Times New Roman" w:eastAsia="宋体" w:hAnsi="Times New Roman"/>
          <w:color w:val="000000"/>
          <w:sz w:val="20"/>
          <w:szCs w:val="20"/>
        </w:rPr>
        <w:t xml:space="preserve"> Statement Schedules: None.</w:t>
      </w:r>
    </w:p>
    <w:tbl>
      <w:tblPr>
        <w:tblW w:w="4993" w:type="pct"/>
        <w:tblCellMar>
          <w:top w:w="15" w:type="dxa"/>
          <w:left w:w="15" w:type="dxa"/>
          <w:bottom w:w="15" w:type="dxa"/>
          <w:right w:w="15" w:type="dxa"/>
        </w:tblCellMar>
        <w:tblLook w:val="04A0" w:firstRow="1" w:lastRow="0" w:firstColumn="1" w:lastColumn="0" w:noHBand="0" w:noVBand="1"/>
      </w:tblPr>
      <w:tblGrid>
        <w:gridCol w:w="80"/>
        <w:gridCol w:w="797"/>
        <w:gridCol w:w="36"/>
        <w:gridCol w:w="70"/>
        <w:gridCol w:w="7305"/>
        <w:gridCol w:w="36"/>
      </w:tblGrid>
      <w:tr w:rsidR="00D42204" w14:paraId="35D0C157" w14:textId="77777777">
        <w:tc>
          <w:tcPr>
            <w:tcW w:w="50" w:type="pct"/>
            <w:shd w:val="clear" w:color="auto" w:fill="auto"/>
            <w:vAlign w:val="bottom"/>
          </w:tcPr>
          <w:p w14:paraId="35D0C151" w14:textId="77777777" w:rsidR="00D42204" w:rsidRDefault="00D42204">
            <w:pPr>
              <w:rPr>
                <w:rFonts w:ascii="宋体"/>
              </w:rPr>
            </w:pPr>
          </w:p>
        </w:tc>
        <w:tc>
          <w:tcPr>
            <w:tcW w:w="494" w:type="pct"/>
            <w:shd w:val="clear" w:color="auto" w:fill="auto"/>
            <w:vAlign w:val="bottom"/>
          </w:tcPr>
          <w:p w14:paraId="35D0C152" w14:textId="77777777" w:rsidR="00D42204" w:rsidRDefault="00D42204">
            <w:pPr>
              <w:rPr>
                <w:rFonts w:ascii="宋体"/>
              </w:rPr>
            </w:pPr>
          </w:p>
        </w:tc>
        <w:tc>
          <w:tcPr>
            <w:tcW w:w="5" w:type="pct"/>
            <w:shd w:val="clear" w:color="auto" w:fill="auto"/>
            <w:vAlign w:val="bottom"/>
          </w:tcPr>
          <w:p w14:paraId="35D0C153" w14:textId="77777777" w:rsidR="00D42204" w:rsidRDefault="00D42204">
            <w:pPr>
              <w:rPr>
                <w:rFonts w:ascii="宋体"/>
              </w:rPr>
            </w:pPr>
          </w:p>
        </w:tc>
        <w:tc>
          <w:tcPr>
            <w:tcW w:w="50" w:type="pct"/>
            <w:shd w:val="clear" w:color="auto" w:fill="auto"/>
            <w:vAlign w:val="bottom"/>
          </w:tcPr>
          <w:p w14:paraId="35D0C154" w14:textId="77777777" w:rsidR="00D42204" w:rsidRDefault="00D42204">
            <w:pPr>
              <w:rPr>
                <w:rFonts w:ascii="宋体"/>
              </w:rPr>
            </w:pPr>
          </w:p>
        </w:tc>
        <w:tc>
          <w:tcPr>
            <w:tcW w:w="4396" w:type="pct"/>
            <w:shd w:val="clear" w:color="auto" w:fill="auto"/>
            <w:vAlign w:val="bottom"/>
          </w:tcPr>
          <w:p w14:paraId="35D0C155" w14:textId="77777777" w:rsidR="00D42204" w:rsidRDefault="00D42204">
            <w:pPr>
              <w:rPr>
                <w:rFonts w:ascii="宋体"/>
              </w:rPr>
            </w:pPr>
          </w:p>
        </w:tc>
        <w:tc>
          <w:tcPr>
            <w:tcW w:w="5" w:type="pct"/>
            <w:shd w:val="clear" w:color="auto" w:fill="auto"/>
            <w:vAlign w:val="bottom"/>
          </w:tcPr>
          <w:p w14:paraId="35D0C156" w14:textId="77777777" w:rsidR="00D42204" w:rsidRDefault="00D42204">
            <w:pPr>
              <w:rPr>
                <w:rFonts w:ascii="宋体"/>
              </w:rPr>
            </w:pPr>
          </w:p>
        </w:tc>
      </w:tr>
      <w:tr w:rsidR="00D42204" w14:paraId="35D0C15A" w14:textId="77777777">
        <w:tc>
          <w:tcPr>
            <w:tcW w:w="0" w:type="auto"/>
            <w:gridSpan w:val="3"/>
            <w:shd w:val="clear" w:color="auto" w:fill="auto"/>
            <w:tcMar>
              <w:top w:w="40" w:type="dxa"/>
              <w:left w:w="20" w:type="dxa"/>
              <w:bottom w:w="40" w:type="dxa"/>
              <w:right w:w="20" w:type="dxa"/>
            </w:tcMar>
          </w:tcPr>
          <w:p w14:paraId="35D0C158" w14:textId="77777777" w:rsidR="00D42204" w:rsidRDefault="004E439D">
            <w:pPr>
              <w:textAlignment w:val="top"/>
            </w:pPr>
            <w:r>
              <w:rPr>
                <w:rFonts w:ascii="Times New Roman" w:eastAsia="宋体" w:hAnsi="Times New Roman"/>
                <w:b/>
                <w:bCs/>
                <w:color w:val="000000"/>
                <w:sz w:val="20"/>
                <w:szCs w:val="20"/>
                <w:u w:val="single"/>
              </w:rPr>
              <w:t>ITEM 16.</w:t>
            </w:r>
          </w:p>
        </w:tc>
        <w:tc>
          <w:tcPr>
            <w:tcW w:w="0" w:type="auto"/>
            <w:gridSpan w:val="3"/>
            <w:shd w:val="clear" w:color="auto" w:fill="auto"/>
            <w:tcMar>
              <w:top w:w="40" w:type="dxa"/>
              <w:left w:w="20" w:type="dxa"/>
              <w:bottom w:w="40" w:type="dxa"/>
              <w:right w:w="20" w:type="dxa"/>
            </w:tcMar>
          </w:tcPr>
          <w:p w14:paraId="35D0C159" w14:textId="77777777" w:rsidR="00D42204" w:rsidRDefault="004E439D">
            <w:pPr>
              <w:textAlignment w:val="top"/>
            </w:pPr>
            <w:r>
              <w:rPr>
                <w:rFonts w:ascii="Times New Roman" w:eastAsia="宋体" w:hAnsi="Times New Roman"/>
                <w:b/>
                <w:bCs/>
                <w:color w:val="000000"/>
                <w:sz w:val="20"/>
                <w:szCs w:val="20"/>
                <w:u w:val="single"/>
              </w:rPr>
              <w:t>FORM 10-K SUMMARY</w:t>
            </w:r>
          </w:p>
        </w:tc>
      </w:tr>
    </w:tbl>
    <w:p w14:paraId="35D0C15B" w14:textId="77777777" w:rsidR="00D42204" w:rsidRDefault="00D42204"/>
    <w:p w14:paraId="35D0C15C" w14:textId="77777777" w:rsidR="00D42204" w:rsidRDefault="004E439D">
      <w:r>
        <w:rPr>
          <w:rFonts w:ascii="Times New Roman" w:eastAsia="宋体" w:hAnsi="Times New Roman"/>
          <w:color w:val="000000"/>
          <w:sz w:val="20"/>
          <w:szCs w:val="20"/>
        </w:rPr>
        <w:t>None.</w:t>
      </w:r>
    </w:p>
    <w:p w14:paraId="35D0C15D" w14:textId="77777777" w:rsidR="00D42204" w:rsidRDefault="004E439D">
      <w:pPr>
        <w:jc w:val="center"/>
      </w:pPr>
      <w:r>
        <w:rPr>
          <w:rFonts w:ascii="Times New Roman" w:eastAsia="宋体" w:hAnsi="Times New Roman"/>
          <w:color w:val="000000"/>
          <w:sz w:val="20"/>
          <w:szCs w:val="20"/>
        </w:rPr>
        <w:t>84</w:t>
      </w:r>
    </w:p>
    <w:p w14:paraId="35D0C15E" w14:textId="77777777" w:rsidR="00D42204" w:rsidRDefault="004E439D">
      <w:r>
        <w:pict w14:anchorId="35D0C3AF">
          <v:rect id="_x0000_i1108" style="width:415.3pt;height:1.5pt" o:hralign="center" o:hrstd="t" o:hr="t" fillcolor="#a0a0a0" stroked="f"/>
        </w:pict>
      </w:r>
    </w:p>
    <w:p w14:paraId="35D0C15F" w14:textId="77777777" w:rsidR="00D42204" w:rsidRDefault="00D42204"/>
    <w:p w14:paraId="35D0C160" w14:textId="77777777" w:rsidR="00D42204" w:rsidRDefault="004E439D">
      <w:pPr>
        <w:spacing w:before="180"/>
        <w:jc w:val="center"/>
      </w:pPr>
      <w:r>
        <w:rPr>
          <w:rFonts w:ascii="Times New Roman" w:eastAsia="宋体" w:hAnsi="Times New Roman"/>
          <w:b/>
          <w:bCs/>
          <w:color w:val="000000"/>
          <w:sz w:val="20"/>
          <w:szCs w:val="20"/>
          <w:u w:val="single"/>
        </w:rPr>
        <w:t>SIGNATURES</w:t>
      </w:r>
    </w:p>
    <w:p w14:paraId="35D0C161" w14:textId="77777777" w:rsidR="00D42204" w:rsidRDefault="004E439D">
      <w:pPr>
        <w:spacing w:before="100"/>
      </w:pPr>
      <w:r>
        <w:rPr>
          <w:rFonts w:ascii="Times New Roman" w:eastAsia="宋体" w:hAnsi="Times New Roman"/>
          <w:color w:val="000000"/>
          <w:sz w:val="20"/>
          <w:szCs w:val="20"/>
        </w:rPr>
        <w:t xml:space="preserve">Pursuant to the requirements of Section 13 or 15(d) of the Securities Exchange Act of 1934, the registrant has duly caused this report to be signed on its behalf by </w:t>
      </w:r>
      <w:r>
        <w:rPr>
          <w:rFonts w:ascii="Times New Roman" w:eastAsia="宋体" w:hAnsi="Times New Roman"/>
          <w:color w:val="000000"/>
          <w:sz w:val="20"/>
          <w:szCs w:val="20"/>
        </w:rPr>
        <w:t>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58"/>
        <w:gridCol w:w="2309"/>
        <w:gridCol w:w="36"/>
        <w:gridCol w:w="36"/>
        <w:gridCol w:w="56"/>
        <w:gridCol w:w="36"/>
        <w:gridCol w:w="79"/>
        <w:gridCol w:w="188"/>
        <w:gridCol w:w="37"/>
        <w:gridCol w:w="36"/>
        <w:gridCol w:w="36"/>
        <w:gridCol w:w="36"/>
        <w:gridCol w:w="47"/>
        <w:gridCol w:w="5309"/>
        <w:gridCol w:w="37"/>
      </w:tblGrid>
      <w:tr w:rsidR="00D42204" w14:paraId="35D0C171" w14:textId="77777777">
        <w:tc>
          <w:tcPr>
            <w:tcW w:w="50" w:type="pct"/>
            <w:shd w:val="clear" w:color="auto" w:fill="auto"/>
            <w:vAlign w:val="bottom"/>
          </w:tcPr>
          <w:p w14:paraId="35D0C162" w14:textId="77777777" w:rsidR="00D42204" w:rsidRDefault="00D42204">
            <w:pPr>
              <w:rPr>
                <w:rFonts w:ascii="宋体"/>
              </w:rPr>
            </w:pPr>
          </w:p>
        </w:tc>
        <w:tc>
          <w:tcPr>
            <w:tcW w:w="1399" w:type="pct"/>
            <w:shd w:val="clear" w:color="auto" w:fill="auto"/>
            <w:vAlign w:val="bottom"/>
          </w:tcPr>
          <w:p w14:paraId="35D0C163" w14:textId="77777777" w:rsidR="00D42204" w:rsidRDefault="00D42204">
            <w:pPr>
              <w:rPr>
                <w:rFonts w:ascii="宋体"/>
              </w:rPr>
            </w:pPr>
          </w:p>
        </w:tc>
        <w:tc>
          <w:tcPr>
            <w:tcW w:w="5" w:type="pct"/>
            <w:shd w:val="clear" w:color="auto" w:fill="auto"/>
            <w:vAlign w:val="bottom"/>
          </w:tcPr>
          <w:p w14:paraId="35D0C164" w14:textId="77777777" w:rsidR="00D42204" w:rsidRDefault="00D42204">
            <w:pPr>
              <w:rPr>
                <w:rFonts w:ascii="宋体"/>
              </w:rPr>
            </w:pPr>
          </w:p>
        </w:tc>
        <w:tc>
          <w:tcPr>
            <w:tcW w:w="5" w:type="pct"/>
            <w:shd w:val="clear" w:color="auto" w:fill="auto"/>
            <w:vAlign w:val="bottom"/>
          </w:tcPr>
          <w:p w14:paraId="35D0C165" w14:textId="77777777" w:rsidR="00D42204" w:rsidRDefault="00D42204">
            <w:pPr>
              <w:rPr>
                <w:rFonts w:ascii="宋体"/>
              </w:rPr>
            </w:pPr>
          </w:p>
        </w:tc>
        <w:tc>
          <w:tcPr>
            <w:tcW w:w="48" w:type="pct"/>
            <w:shd w:val="clear" w:color="auto" w:fill="auto"/>
            <w:vAlign w:val="bottom"/>
          </w:tcPr>
          <w:p w14:paraId="35D0C166" w14:textId="77777777" w:rsidR="00D42204" w:rsidRDefault="00D42204">
            <w:pPr>
              <w:rPr>
                <w:rFonts w:ascii="宋体"/>
              </w:rPr>
            </w:pPr>
          </w:p>
        </w:tc>
        <w:tc>
          <w:tcPr>
            <w:tcW w:w="5" w:type="pct"/>
            <w:shd w:val="clear" w:color="auto" w:fill="auto"/>
            <w:vAlign w:val="bottom"/>
          </w:tcPr>
          <w:p w14:paraId="35D0C167" w14:textId="77777777" w:rsidR="00D42204" w:rsidRDefault="00D42204">
            <w:pPr>
              <w:rPr>
                <w:rFonts w:ascii="宋体"/>
              </w:rPr>
            </w:pPr>
          </w:p>
        </w:tc>
        <w:tc>
          <w:tcPr>
            <w:tcW w:w="50" w:type="pct"/>
            <w:shd w:val="clear" w:color="auto" w:fill="auto"/>
            <w:vAlign w:val="bottom"/>
          </w:tcPr>
          <w:p w14:paraId="35D0C168" w14:textId="77777777" w:rsidR="00D42204" w:rsidRDefault="00D42204">
            <w:pPr>
              <w:rPr>
                <w:rFonts w:ascii="宋体"/>
              </w:rPr>
            </w:pPr>
          </w:p>
        </w:tc>
        <w:tc>
          <w:tcPr>
            <w:tcW w:w="120" w:type="pct"/>
            <w:shd w:val="clear" w:color="auto" w:fill="auto"/>
            <w:vAlign w:val="bottom"/>
          </w:tcPr>
          <w:p w14:paraId="35D0C169" w14:textId="77777777" w:rsidR="00D42204" w:rsidRDefault="00D42204">
            <w:pPr>
              <w:rPr>
                <w:rFonts w:ascii="宋体"/>
              </w:rPr>
            </w:pPr>
          </w:p>
        </w:tc>
        <w:tc>
          <w:tcPr>
            <w:tcW w:w="5" w:type="pct"/>
            <w:shd w:val="clear" w:color="auto" w:fill="auto"/>
            <w:vAlign w:val="bottom"/>
          </w:tcPr>
          <w:p w14:paraId="35D0C16A" w14:textId="77777777" w:rsidR="00D42204" w:rsidRDefault="00D42204">
            <w:pPr>
              <w:rPr>
                <w:rFonts w:ascii="宋体"/>
              </w:rPr>
            </w:pPr>
          </w:p>
        </w:tc>
        <w:tc>
          <w:tcPr>
            <w:tcW w:w="5" w:type="pct"/>
            <w:shd w:val="clear" w:color="auto" w:fill="auto"/>
            <w:vAlign w:val="bottom"/>
          </w:tcPr>
          <w:p w14:paraId="35D0C16B" w14:textId="77777777" w:rsidR="00D42204" w:rsidRDefault="00D42204">
            <w:pPr>
              <w:rPr>
                <w:rFonts w:ascii="宋体"/>
              </w:rPr>
            </w:pPr>
          </w:p>
        </w:tc>
        <w:tc>
          <w:tcPr>
            <w:tcW w:w="48" w:type="pct"/>
            <w:shd w:val="clear" w:color="auto" w:fill="auto"/>
            <w:vAlign w:val="bottom"/>
          </w:tcPr>
          <w:p w14:paraId="35D0C16C" w14:textId="77777777" w:rsidR="00D42204" w:rsidRDefault="00D42204">
            <w:pPr>
              <w:rPr>
                <w:rFonts w:ascii="宋体"/>
              </w:rPr>
            </w:pPr>
          </w:p>
        </w:tc>
        <w:tc>
          <w:tcPr>
            <w:tcW w:w="5" w:type="pct"/>
            <w:shd w:val="clear" w:color="auto" w:fill="auto"/>
            <w:vAlign w:val="bottom"/>
          </w:tcPr>
          <w:p w14:paraId="35D0C16D" w14:textId="77777777" w:rsidR="00D42204" w:rsidRDefault="00D42204">
            <w:pPr>
              <w:rPr>
                <w:rFonts w:ascii="宋体"/>
              </w:rPr>
            </w:pPr>
          </w:p>
        </w:tc>
        <w:tc>
          <w:tcPr>
            <w:tcW w:w="50" w:type="pct"/>
            <w:shd w:val="clear" w:color="auto" w:fill="auto"/>
            <w:vAlign w:val="bottom"/>
          </w:tcPr>
          <w:p w14:paraId="35D0C16E" w14:textId="77777777" w:rsidR="00D42204" w:rsidRDefault="00D42204">
            <w:pPr>
              <w:rPr>
                <w:rFonts w:ascii="宋体"/>
              </w:rPr>
            </w:pPr>
          </w:p>
        </w:tc>
        <w:tc>
          <w:tcPr>
            <w:tcW w:w="3198" w:type="pct"/>
            <w:shd w:val="clear" w:color="auto" w:fill="auto"/>
            <w:vAlign w:val="bottom"/>
          </w:tcPr>
          <w:p w14:paraId="35D0C16F" w14:textId="77777777" w:rsidR="00D42204" w:rsidRDefault="00D42204">
            <w:pPr>
              <w:rPr>
                <w:rFonts w:ascii="宋体"/>
              </w:rPr>
            </w:pPr>
          </w:p>
        </w:tc>
        <w:tc>
          <w:tcPr>
            <w:tcW w:w="5" w:type="pct"/>
            <w:shd w:val="clear" w:color="auto" w:fill="auto"/>
            <w:vAlign w:val="bottom"/>
          </w:tcPr>
          <w:p w14:paraId="35D0C170" w14:textId="77777777" w:rsidR="00D42204" w:rsidRDefault="00D42204">
            <w:pPr>
              <w:rPr>
                <w:rFonts w:ascii="宋体"/>
              </w:rPr>
            </w:pPr>
          </w:p>
        </w:tc>
      </w:tr>
      <w:tr w:rsidR="00D42204" w14:paraId="35D0C175" w14:textId="77777777">
        <w:tc>
          <w:tcPr>
            <w:tcW w:w="0" w:type="auto"/>
            <w:gridSpan w:val="3"/>
            <w:shd w:val="clear" w:color="auto" w:fill="auto"/>
            <w:tcMar>
              <w:top w:w="0" w:type="dxa"/>
              <w:left w:w="20" w:type="dxa"/>
              <w:bottom w:w="0" w:type="dxa"/>
              <w:right w:w="20" w:type="dxa"/>
            </w:tcMar>
            <w:vAlign w:val="bottom"/>
          </w:tcPr>
          <w:p w14:paraId="35D0C172"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73" w14:textId="77777777" w:rsidR="00D42204" w:rsidRDefault="004E439D">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35D0C174" w14:textId="77777777" w:rsidR="00D42204" w:rsidRDefault="004E439D">
            <w:pPr>
              <w:textAlignment w:val="bottom"/>
            </w:pPr>
            <w:r>
              <w:rPr>
                <w:rFonts w:ascii="Times New Roman" w:eastAsia="宋体" w:hAnsi="Times New Roman"/>
                <w:color w:val="000000"/>
                <w:sz w:val="20"/>
                <w:szCs w:val="20"/>
              </w:rPr>
              <w:t>Walmart Inc.</w:t>
            </w:r>
          </w:p>
        </w:tc>
      </w:tr>
      <w:tr w:rsidR="00D42204" w14:paraId="35D0C17B" w14:textId="77777777">
        <w:trPr>
          <w:trHeight w:val="280"/>
        </w:trPr>
        <w:tc>
          <w:tcPr>
            <w:tcW w:w="0" w:type="auto"/>
            <w:gridSpan w:val="3"/>
            <w:shd w:val="clear" w:color="auto" w:fill="auto"/>
            <w:tcMar>
              <w:top w:w="0" w:type="dxa"/>
              <w:left w:w="20" w:type="dxa"/>
              <w:bottom w:w="0" w:type="dxa"/>
              <w:right w:w="20" w:type="dxa"/>
            </w:tcMar>
            <w:vAlign w:val="bottom"/>
          </w:tcPr>
          <w:p w14:paraId="35D0C176"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177"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178"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179"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17A" w14:textId="77777777" w:rsidR="00D42204" w:rsidRDefault="00D42204">
            <w:pPr>
              <w:rPr>
                <w:rFonts w:ascii="宋体"/>
              </w:rPr>
            </w:pPr>
          </w:p>
        </w:tc>
      </w:tr>
      <w:tr w:rsidR="00D42204" w14:paraId="35D0C181" w14:textId="77777777">
        <w:tc>
          <w:tcPr>
            <w:tcW w:w="0" w:type="auto"/>
            <w:gridSpan w:val="3"/>
            <w:shd w:val="clear" w:color="auto" w:fill="auto"/>
            <w:tcMar>
              <w:top w:w="40" w:type="dxa"/>
              <w:left w:w="20" w:type="dxa"/>
              <w:bottom w:w="40" w:type="dxa"/>
              <w:right w:w="20" w:type="dxa"/>
            </w:tcMar>
            <w:vAlign w:val="bottom"/>
          </w:tcPr>
          <w:p w14:paraId="35D0C17C" w14:textId="77777777" w:rsidR="00D42204" w:rsidRDefault="004E439D">
            <w:pPr>
              <w:textAlignment w:val="bottom"/>
            </w:pPr>
            <w:r>
              <w:rPr>
                <w:rFonts w:ascii="Times New Roman" w:eastAsia="宋体" w:hAnsi="Times New Roman"/>
                <w:color w:val="000000"/>
                <w:sz w:val="20"/>
                <w:szCs w:val="20"/>
              </w:rPr>
              <w:t>Date: March 18, 2022</w:t>
            </w:r>
          </w:p>
        </w:tc>
        <w:tc>
          <w:tcPr>
            <w:tcW w:w="0" w:type="auto"/>
            <w:gridSpan w:val="3"/>
            <w:shd w:val="clear" w:color="auto" w:fill="auto"/>
            <w:tcMar>
              <w:top w:w="40" w:type="dxa"/>
              <w:left w:w="20" w:type="dxa"/>
              <w:bottom w:w="40" w:type="dxa"/>
              <w:right w:w="20" w:type="dxa"/>
            </w:tcMar>
            <w:vAlign w:val="bottom"/>
          </w:tcPr>
          <w:p w14:paraId="35D0C17D"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17E" w14:textId="77777777" w:rsidR="00D42204" w:rsidRDefault="004E439D">
            <w:pPr>
              <w:textAlignment w:val="bottom"/>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35D0C17F"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180" w14:textId="77777777" w:rsidR="00D42204" w:rsidRDefault="004E439D">
            <w:pPr>
              <w:textAlignment w:val="bottom"/>
            </w:pPr>
            <w:r>
              <w:rPr>
                <w:rFonts w:ascii="Times New Roman" w:eastAsia="宋体" w:hAnsi="Times New Roman"/>
                <w:color w:val="000000"/>
                <w:sz w:val="20"/>
                <w:szCs w:val="20"/>
              </w:rPr>
              <w:t>/s/ C. Douglas McMillon</w:t>
            </w:r>
          </w:p>
        </w:tc>
      </w:tr>
      <w:tr w:rsidR="00D42204" w14:paraId="35D0C187" w14:textId="77777777">
        <w:tc>
          <w:tcPr>
            <w:tcW w:w="0" w:type="auto"/>
            <w:gridSpan w:val="3"/>
            <w:shd w:val="clear" w:color="auto" w:fill="auto"/>
            <w:tcMar>
              <w:top w:w="0" w:type="dxa"/>
              <w:left w:w="20" w:type="dxa"/>
              <w:bottom w:w="0" w:type="dxa"/>
              <w:right w:w="20" w:type="dxa"/>
            </w:tcMar>
            <w:vAlign w:val="bottom"/>
          </w:tcPr>
          <w:p w14:paraId="35D0C182"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83"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C184"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85" w14:textId="77777777" w:rsidR="00D42204" w:rsidRDefault="004E439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C186" w14:textId="77777777" w:rsidR="00D42204" w:rsidRDefault="004E439D">
            <w:pPr>
              <w:textAlignment w:val="bottom"/>
            </w:pPr>
            <w:r>
              <w:rPr>
                <w:rFonts w:ascii="Times New Roman" w:eastAsia="宋体" w:hAnsi="Times New Roman"/>
                <w:color w:val="000000"/>
                <w:sz w:val="20"/>
                <w:szCs w:val="20"/>
              </w:rPr>
              <w:t>C. Douglas McMillon</w:t>
            </w:r>
          </w:p>
        </w:tc>
      </w:tr>
      <w:tr w:rsidR="00D42204" w14:paraId="35D0C18D" w14:textId="77777777">
        <w:tc>
          <w:tcPr>
            <w:tcW w:w="0" w:type="auto"/>
            <w:gridSpan w:val="3"/>
            <w:shd w:val="clear" w:color="auto" w:fill="auto"/>
            <w:tcMar>
              <w:top w:w="0" w:type="dxa"/>
              <w:left w:w="20" w:type="dxa"/>
              <w:bottom w:w="0" w:type="dxa"/>
              <w:right w:w="20" w:type="dxa"/>
            </w:tcMar>
            <w:vAlign w:val="bottom"/>
          </w:tcPr>
          <w:p w14:paraId="35D0C188"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89"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C18A"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8B"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18C" w14:textId="77777777" w:rsidR="00D42204" w:rsidRDefault="004E439D">
            <w:pPr>
              <w:textAlignment w:val="bottom"/>
            </w:pPr>
            <w:r>
              <w:rPr>
                <w:rFonts w:ascii="Times New Roman" w:eastAsia="宋体" w:hAnsi="Times New Roman"/>
                <w:color w:val="000000"/>
                <w:sz w:val="20"/>
                <w:szCs w:val="20"/>
              </w:rPr>
              <w:t>President and Chief Executive Officer</w:t>
            </w:r>
          </w:p>
        </w:tc>
      </w:tr>
    </w:tbl>
    <w:p w14:paraId="35D0C18E" w14:textId="77777777" w:rsidR="00D42204" w:rsidRDefault="004E439D">
      <w:pPr>
        <w:spacing w:before="80"/>
      </w:pPr>
      <w:r>
        <w:rPr>
          <w:rFonts w:ascii="Times New Roman" w:eastAsia="宋体" w:hAnsi="Times New Roman"/>
          <w:color w:val="000000"/>
          <w:sz w:val="20"/>
          <w:szCs w:val="20"/>
        </w:rPr>
        <w:t xml:space="preserve">Pursuant to the requirements of the </w:t>
      </w:r>
      <w:r>
        <w:rPr>
          <w:rFonts w:ascii="Times New Roman" w:eastAsia="宋体" w:hAnsi="Times New Roman"/>
          <w:color w:val="000000"/>
          <w:sz w:val="20"/>
          <w:szCs w:val="20"/>
        </w:rPr>
        <w:t>Securities Exchange Act of 1934, this report has been signed below by the following persons on behalf of the registrant and in the capacities and on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58"/>
        <w:gridCol w:w="2310"/>
        <w:gridCol w:w="36"/>
        <w:gridCol w:w="36"/>
        <w:gridCol w:w="56"/>
        <w:gridCol w:w="36"/>
        <w:gridCol w:w="79"/>
        <w:gridCol w:w="188"/>
        <w:gridCol w:w="36"/>
        <w:gridCol w:w="36"/>
        <w:gridCol w:w="36"/>
        <w:gridCol w:w="36"/>
        <w:gridCol w:w="47"/>
        <w:gridCol w:w="5309"/>
        <w:gridCol w:w="37"/>
      </w:tblGrid>
      <w:tr w:rsidR="00D42204" w14:paraId="35D0C19E" w14:textId="77777777">
        <w:tc>
          <w:tcPr>
            <w:tcW w:w="50" w:type="pct"/>
            <w:shd w:val="clear" w:color="auto" w:fill="auto"/>
            <w:vAlign w:val="bottom"/>
          </w:tcPr>
          <w:p w14:paraId="35D0C18F" w14:textId="77777777" w:rsidR="00D42204" w:rsidRDefault="00D42204">
            <w:pPr>
              <w:rPr>
                <w:rFonts w:ascii="宋体"/>
              </w:rPr>
            </w:pPr>
          </w:p>
        </w:tc>
        <w:tc>
          <w:tcPr>
            <w:tcW w:w="1399" w:type="pct"/>
            <w:shd w:val="clear" w:color="auto" w:fill="auto"/>
            <w:vAlign w:val="bottom"/>
          </w:tcPr>
          <w:p w14:paraId="35D0C190" w14:textId="77777777" w:rsidR="00D42204" w:rsidRDefault="00D42204">
            <w:pPr>
              <w:rPr>
                <w:rFonts w:ascii="宋体"/>
              </w:rPr>
            </w:pPr>
          </w:p>
        </w:tc>
        <w:tc>
          <w:tcPr>
            <w:tcW w:w="5" w:type="pct"/>
            <w:shd w:val="clear" w:color="auto" w:fill="auto"/>
            <w:vAlign w:val="bottom"/>
          </w:tcPr>
          <w:p w14:paraId="35D0C191" w14:textId="77777777" w:rsidR="00D42204" w:rsidRDefault="00D42204">
            <w:pPr>
              <w:rPr>
                <w:rFonts w:ascii="宋体"/>
              </w:rPr>
            </w:pPr>
          </w:p>
        </w:tc>
        <w:tc>
          <w:tcPr>
            <w:tcW w:w="5" w:type="pct"/>
            <w:shd w:val="clear" w:color="auto" w:fill="auto"/>
            <w:vAlign w:val="bottom"/>
          </w:tcPr>
          <w:p w14:paraId="35D0C192" w14:textId="77777777" w:rsidR="00D42204" w:rsidRDefault="00D42204">
            <w:pPr>
              <w:rPr>
                <w:rFonts w:ascii="宋体"/>
              </w:rPr>
            </w:pPr>
          </w:p>
        </w:tc>
        <w:tc>
          <w:tcPr>
            <w:tcW w:w="48" w:type="pct"/>
            <w:shd w:val="clear" w:color="auto" w:fill="auto"/>
            <w:vAlign w:val="bottom"/>
          </w:tcPr>
          <w:p w14:paraId="35D0C193" w14:textId="77777777" w:rsidR="00D42204" w:rsidRDefault="00D42204">
            <w:pPr>
              <w:rPr>
                <w:rFonts w:ascii="宋体"/>
              </w:rPr>
            </w:pPr>
          </w:p>
        </w:tc>
        <w:tc>
          <w:tcPr>
            <w:tcW w:w="5" w:type="pct"/>
            <w:shd w:val="clear" w:color="auto" w:fill="auto"/>
            <w:vAlign w:val="bottom"/>
          </w:tcPr>
          <w:p w14:paraId="35D0C194" w14:textId="77777777" w:rsidR="00D42204" w:rsidRDefault="00D42204">
            <w:pPr>
              <w:rPr>
                <w:rFonts w:ascii="宋体"/>
              </w:rPr>
            </w:pPr>
          </w:p>
        </w:tc>
        <w:tc>
          <w:tcPr>
            <w:tcW w:w="50" w:type="pct"/>
            <w:shd w:val="clear" w:color="auto" w:fill="auto"/>
            <w:vAlign w:val="bottom"/>
          </w:tcPr>
          <w:p w14:paraId="35D0C195" w14:textId="77777777" w:rsidR="00D42204" w:rsidRDefault="00D42204">
            <w:pPr>
              <w:rPr>
                <w:rFonts w:ascii="宋体"/>
              </w:rPr>
            </w:pPr>
          </w:p>
        </w:tc>
        <w:tc>
          <w:tcPr>
            <w:tcW w:w="120" w:type="pct"/>
            <w:shd w:val="clear" w:color="auto" w:fill="auto"/>
            <w:vAlign w:val="bottom"/>
          </w:tcPr>
          <w:p w14:paraId="35D0C196" w14:textId="77777777" w:rsidR="00D42204" w:rsidRDefault="00D42204">
            <w:pPr>
              <w:rPr>
                <w:rFonts w:ascii="宋体"/>
              </w:rPr>
            </w:pPr>
          </w:p>
        </w:tc>
        <w:tc>
          <w:tcPr>
            <w:tcW w:w="5" w:type="pct"/>
            <w:shd w:val="clear" w:color="auto" w:fill="auto"/>
            <w:vAlign w:val="bottom"/>
          </w:tcPr>
          <w:p w14:paraId="35D0C197" w14:textId="77777777" w:rsidR="00D42204" w:rsidRDefault="00D42204">
            <w:pPr>
              <w:rPr>
                <w:rFonts w:ascii="宋体"/>
              </w:rPr>
            </w:pPr>
          </w:p>
        </w:tc>
        <w:tc>
          <w:tcPr>
            <w:tcW w:w="5" w:type="pct"/>
            <w:shd w:val="clear" w:color="auto" w:fill="auto"/>
            <w:vAlign w:val="bottom"/>
          </w:tcPr>
          <w:p w14:paraId="35D0C198" w14:textId="77777777" w:rsidR="00D42204" w:rsidRDefault="00D42204">
            <w:pPr>
              <w:rPr>
                <w:rFonts w:ascii="宋体"/>
              </w:rPr>
            </w:pPr>
          </w:p>
        </w:tc>
        <w:tc>
          <w:tcPr>
            <w:tcW w:w="48" w:type="pct"/>
            <w:shd w:val="clear" w:color="auto" w:fill="auto"/>
            <w:vAlign w:val="bottom"/>
          </w:tcPr>
          <w:p w14:paraId="35D0C199" w14:textId="77777777" w:rsidR="00D42204" w:rsidRDefault="00D42204">
            <w:pPr>
              <w:rPr>
                <w:rFonts w:ascii="宋体"/>
              </w:rPr>
            </w:pPr>
          </w:p>
        </w:tc>
        <w:tc>
          <w:tcPr>
            <w:tcW w:w="5" w:type="pct"/>
            <w:shd w:val="clear" w:color="auto" w:fill="auto"/>
            <w:vAlign w:val="bottom"/>
          </w:tcPr>
          <w:p w14:paraId="35D0C19A" w14:textId="77777777" w:rsidR="00D42204" w:rsidRDefault="00D42204">
            <w:pPr>
              <w:rPr>
                <w:rFonts w:ascii="宋体"/>
              </w:rPr>
            </w:pPr>
          </w:p>
        </w:tc>
        <w:tc>
          <w:tcPr>
            <w:tcW w:w="50" w:type="pct"/>
            <w:shd w:val="clear" w:color="auto" w:fill="auto"/>
            <w:vAlign w:val="bottom"/>
          </w:tcPr>
          <w:p w14:paraId="35D0C19B" w14:textId="77777777" w:rsidR="00D42204" w:rsidRDefault="00D42204">
            <w:pPr>
              <w:rPr>
                <w:rFonts w:ascii="宋体"/>
              </w:rPr>
            </w:pPr>
          </w:p>
        </w:tc>
        <w:tc>
          <w:tcPr>
            <w:tcW w:w="3198" w:type="pct"/>
            <w:shd w:val="clear" w:color="auto" w:fill="auto"/>
            <w:vAlign w:val="bottom"/>
          </w:tcPr>
          <w:p w14:paraId="35D0C19C" w14:textId="77777777" w:rsidR="00D42204" w:rsidRDefault="00D42204">
            <w:pPr>
              <w:rPr>
                <w:rFonts w:ascii="宋体"/>
              </w:rPr>
            </w:pPr>
          </w:p>
        </w:tc>
        <w:tc>
          <w:tcPr>
            <w:tcW w:w="5" w:type="pct"/>
            <w:shd w:val="clear" w:color="auto" w:fill="auto"/>
            <w:vAlign w:val="bottom"/>
          </w:tcPr>
          <w:p w14:paraId="35D0C19D" w14:textId="77777777" w:rsidR="00D42204" w:rsidRDefault="00D42204">
            <w:pPr>
              <w:rPr>
                <w:rFonts w:ascii="宋体"/>
              </w:rPr>
            </w:pPr>
          </w:p>
        </w:tc>
      </w:tr>
      <w:tr w:rsidR="00D42204" w14:paraId="35D0C1A4" w14:textId="77777777">
        <w:trPr>
          <w:trHeight w:val="120"/>
        </w:trPr>
        <w:tc>
          <w:tcPr>
            <w:tcW w:w="0" w:type="auto"/>
            <w:gridSpan w:val="3"/>
            <w:shd w:val="clear" w:color="auto" w:fill="auto"/>
            <w:tcMar>
              <w:top w:w="0" w:type="dxa"/>
              <w:left w:w="20" w:type="dxa"/>
              <w:bottom w:w="0" w:type="dxa"/>
              <w:right w:w="20" w:type="dxa"/>
            </w:tcMar>
            <w:vAlign w:val="bottom"/>
          </w:tcPr>
          <w:p w14:paraId="35D0C19F"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1A0"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1A1"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1A2"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1A3" w14:textId="77777777" w:rsidR="00D42204" w:rsidRDefault="00D42204">
            <w:pPr>
              <w:rPr>
                <w:rFonts w:ascii="宋体"/>
              </w:rPr>
            </w:pPr>
          </w:p>
        </w:tc>
      </w:tr>
      <w:tr w:rsidR="00D42204" w14:paraId="35D0C1AA" w14:textId="77777777">
        <w:tc>
          <w:tcPr>
            <w:tcW w:w="0" w:type="auto"/>
            <w:gridSpan w:val="3"/>
            <w:shd w:val="clear" w:color="auto" w:fill="auto"/>
            <w:tcMar>
              <w:top w:w="40" w:type="dxa"/>
              <w:left w:w="20" w:type="dxa"/>
              <w:bottom w:w="40" w:type="dxa"/>
              <w:right w:w="20" w:type="dxa"/>
            </w:tcMar>
            <w:vAlign w:val="bottom"/>
          </w:tcPr>
          <w:p w14:paraId="35D0C1A5" w14:textId="77777777" w:rsidR="00D42204" w:rsidRDefault="004E439D">
            <w:pPr>
              <w:textAlignment w:val="bottom"/>
            </w:pPr>
            <w:r>
              <w:rPr>
                <w:rFonts w:ascii="Times New Roman" w:eastAsia="宋体" w:hAnsi="Times New Roman"/>
                <w:color w:val="000000"/>
                <w:sz w:val="20"/>
                <w:szCs w:val="20"/>
              </w:rPr>
              <w:t>Date: March 18, 2022</w:t>
            </w:r>
          </w:p>
        </w:tc>
        <w:tc>
          <w:tcPr>
            <w:tcW w:w="0" w:type="auto"/>
            <w:gridSpan w:val="3"/>
            <w:shd w:val="clear" w:color="auto" w:fill="auto"/>
            <w:tcMar>
              <w:top w:w="40" w:type="dxa"/>
              <w:left w:w="20" w:type="dxa"/>
              <w:bottom w:w="40" w:type="dxa"/>
              <w:right w:w="20" w:type="dxa"/>
            </w:tcMar>
            <w:vAlign w:val="bottom"/>
          </w:tcPr>
          <w:p w14:paraId="35D0C1A6"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1A7" w14:textId="77777777" w:rsidR="00D42204" w:rsidRDefault="004E439D">
            <w:pPr>
              <w:textAlignment w:val="bottom"/>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35D0C1A8"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1A9" w14:textId="77777777" w:rsidR="00D42204" w:rsidRDefault="004E439D">
            <w:pPr>
              <w:textAlignment w:val="bottom"/>
            </w:pPr>
            <w:r>
              <w:rPr>
                <w:rFonts w:ascii="Times New Roman" w:eastAsia="宋体" w:hAnsi="Times New Roman"/>
                <w:color w:val="000000"/>
                <w:sz w:val="20"/>
                <w:szCs w:val="20"/>
              </w:rPr>
              <w:t>/s/ C. Douglas McMillon</w:t>
            </w:r>
          </w:p>
        </w:tc>
      </w:tr>
      <w:tr w:rsidR="00D42204" w14:paraId="35D0C1B0" w14:textId="77777777">
        <w:tc>
          <w:tcPr>
            <w:tcW w:w="0" w:type="auto"/>
            <w:gridSpan w:val="3"/>
            <w:shd w:val="clear" w:color="auto" w:fill="auto"/>
            <w:tcMar>
              <w:top w:w="0" w:type="dxa"/>
              <w:left w:w="20" w:type="dxa"/>
              <w:bottom w:w="0" w:type="dxa"/>
              <w:right w:w="20" w:type="dxa"/>
            </w:tcMar>
            <w:vAlign w:val="bottom"/>
          </w:tcPr>
          <w:p w14:paraId="35D0C1AB"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AC"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C1AD"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AE" w14:textId="77777777" w:rsidR="00D42204" w:rsidRDefault="004E439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C1AF" w14:textId="77777777" w:rsidR="00D42204" w:rsidRDefault="004E439D">
            <w:pPr>
              <w:textAlignment w:val="bottom"/>
            </w:pPr>
            <w:r>
              <w:rPr>
                <w:rFonts w:ascii="Times New Roman" w:eastAsia="宋体" w:hAnsi="Times New Roman"/>
                <w:color w:val="000000"/>
                <w:sz w:val="20"/>
                <w:szCs w:val="20"/>
              </w:rPr>
              <w:t xml:space="preserve">C. </w:t>
            </w:r>
            <w:r>
              <w:rPr>
                <w:rFonts w:ascii="Times New Roman" w:eastAsia="宋体" w:hAnsi="Times New Roman"/>
                <w:color w:val="000000"/>
                <w:sz w:val="20"/>
                <w:szCs w:val="20"/>
              </w:rPr>
              <w:t>Douglas McMillon</w:t>
            </w:r>
          </w:p>
        </w:tc>
      </w:tr>
      <w:tr w:rsidR="00D42204" w14:paraId="35D0C1B6" w14:textId="77777777">
        <w:tc>
          <w:tcPr>
            <w:tcW w:w="0" w:type="auto"/>
            <w:gridSpan w:val="3"/>
            <w:shd w:val="clear" w:color="auto" w:fill="auto"/>
            <w:tcMar>
              <w:top w:w="0" w:type="dxa"/>
              <w:left w:w="20" w:type="dxa"/>
              <w:bottom w:w="0" w:type="dxa"/>
              <w:right w:w="20" w:type="dxa"/>
            </w:tcMar>
            <w:vAlign w:val="bottom"/>
          </w:tcPr>
          <w:p w14:paraId="35D0C1B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B2"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C1B3"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B4"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1B5" w14:textId="77777777" w:rsidR="00D42204" w:rsidRDefault="004E439D">
            <w:pPr>
              <w:textAlignment w:val="bottom"/>
            </w:pPr>
            <w:r>
              <w:rPr>
                <w:rFonts w:ascii="Times New Roman" w:eastAsia="宋体" w:hAnsi="Times New Roman"/>
                <w:color w:val="000000"/>
                <w:sz w:val="20"/>
                <w:szCs w:val="20"/>
              </w:rPr>
              <w:t>President and Chief Executive Officer and Director</w:t>
            </w:r>
          </w:p>
        </w:tc>
      </w:tr>
      <w:tr w:rsidR="00D42204" w14:paraId="35D0C1BC" w14:textId="77777777">
        <w:tc>
          <w:tcPr>
            <w:tcW w:w="0" w:type="auto"/>
            <w:gridSpan w:val="3"/>
            <w:shd w:val="clear" w:color="auto" w:fill="auto"/>
            <w:tcMar>
              <w:top w:w="0" w:type="dxa"/>
              <w:left w:w="20" w:type="dxa"/>
              <w:bottom w:w="0" w:type="dxa"/>
              <w:right w:w="20" w:type="dxa"/>
            </w:tcMar>
            <w:vAlign w:val="bottom"/>
          </w:tcPr>
          <w:p w14:paraId="35D0C1B7"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B8"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C1B9"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BA"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1BB" w14:textId="77777777" w:rsidR="00D42204" w:rsidRDefault="004E439D">
            <w:pPr>
              <w:textAlignment w:val="bottom"/>
            </w:pPr>
            <w:r>
              <w:rPr>
                <w:rFonts w:ascii="Times New Roman" w:eastAsia="宋体" w:hAnsi="Times New Roman"/>
                <w:color w:val="000000"/>
                <w:sz w:val="20"/>
                <w:szCs w:val="20"/>
              </w:rPr>
              <w:t>(Principal Executive Officer)</w:t>
            </w:r>
          </w:p>
        </w:tc>
      </w:tr>
      <w:tr w:rsidR="00D42204" w14:paraId="35D0C1C0" w14:textId="77777777">
        <w:trPr>
          <w:trHeight w:val="160"/>
        </w:trPr>
        <w:tc>
          <w:tcPr>
            <w:tcW w:w="0" w:type="auto"/>
            <w:gridSpan w:val="3"/>
            <w:shd w:val="clear" w:color="auto" w:fill="auto"/>
            <w:tcMar>
              <w:top w:w="0" w:type="dxa"/>
              <w:left w:w="20" w:type="dxa"/>
              <w:bottom w:w="0" w:type="dxa"/>
              <w:right w:w="20" w:type="dxa"/>
            </w:tcMar>
            <w:vAlign w:val="bottom"/>
          </w:tcPr>
          <w:p w14:paraId="35D0C1BD"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1BE"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1BF" w14:textId="77777777" w:rsidR="00D42204" w:rsidRDefault="00D42204">
            <w:pPr>
              <w:rPr>
                <w:rFonts w:ascii="宋体"/>
              </w:rPr>
            </w:pPr>
          </w:p>
        </w:tc>
      </w:tr>
      <w:tr w:rsidR="00D42204" w14:paraId="35D0C1C6" w14:textId="77777777">
        <w:tc>
          <w:tcPr>
            <w:tcW w:w="0" w:type="auto"/>
            <w:gridSpan w:val="3"/>
            <w:shd w:val="clear" w:color="auto" w:fill="auto"/>
            <w:tcMar>
              <w:top w:w="40" w:type="dxa"/>
              <w:left w:w="20" w:type="dxa"/>
              <w:bottom w:w="40" w:type="dxa"/>
              <w:right w:w="20" w:type="dxa"/>
            </w:tcMar>
            <w:vAlign w:val="bottom"/>
          </w:tcPr>
          <w:p w14:paraId="35D0C1C1" w14:textId="77777777" w:rsidR="00D42204" w:rsidRDefault="004E439D">
            <w:pPr>
              <w:textAlignment w:val="bottom"/>
            </w:pPr>
            <w:r>
              <w:rPr>
                <w:rFonts w:ascii="Times New Roman" w:eastAsia="宋体" w:hAnsi="Times New Roman"/>
                <w:color w:val="000000"/>
                <w:sz w:val="20"/>
                <w:szCs w:val="20"/>
              </w:rPr>
              <w:t>Date: March 18, 2022</w:t>
            </w:r>
          </w:p>
        </w:tc>
        <w:tc>
          <w:tcPr>
            <w:tcW w:w="0" w:type="auto"/>
            <w:gridSpan w:val="3"/>
            <w:shd w:val="clear" w:color="auto" w:fill="auto"/>
            <w:tcMar>
              <w:top w:w="40" w:type="dxa"/>
              <w:left w:w="20" w:type="dxa"/>
              <w:bottom w:w="40" w:type="dxa"/>
              <w:right w:w="20" w:type="dxa"/>
            </w:tcMar>
            <w:vAlign w:val="bottom"/>
          </w:tcPr>
          <w:p w14:paraId="35D0C1C2"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1C3" w14:textId="77777777" w:rsidR="00D42204" w:rsidRDefault="004E439D">
            <w:pPr>
              <w:textAlignment w:val="bottom"/>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35D0C1C4"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1C5" w14:textId="77777777" w:rsidR="00D42204" w:rsidRDefault="004E439D">
            <w:pPr>
              <w:textAlignment w:val="bottom"/>
            </w:pPr>
            <w:r>
              <w:rPr>
                <w:rFonts w:ascii="Times New Roman" w:eastAsia="宋体" w:hAnsi="Times New Roman"/>
                <w:color w:val="000000"/>
                <w:sz w:val="20"/>
                <w:szCs w:val="20"/>
              </w:rPr>
              <w:t>/s/ Gregory B. Penner</w:t>
            </w:r>
          </w:p>
        </w:tc>
      </w:tr>
      <w:tr w:rsidR="00D42204" w14:paraId="35D0C1CC" w14:textId="77777777">
        <w:tc>
          <w:tcPr>
            <w:tcW w:w="0" w:type="auto"/>
            <w:gridSpan w:val="3"/>
            <w:shd w:val="clear" w:color="auto" w:fill="auto"/>
            <w:tcMar>
              <w:top w:w="0" w:type="dxa"/>
              <w:left w:w="20" w:type="dxa"/>
              <w:bottom w:w="0" w:type="dxa"/>
              <w:right w:w="20" w:type="dxa"/>
            </w:tcMar>
            <w:vAlign w:val="bottom"/>
          </w:tcPr>
          <w:p w14:paraId="35D0C1C7"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C8"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C1C9"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CA" w14:textId="77777777" w:rsidR="00D42204" w:rsidRDefault="004E439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C1CB" w14:textId="77777777" w:rsidR="00D42204" w:rsidRDefault="004E439D">
            <w:pPr>
              <w:textAlignment w:val="bottom"/>
            </w:pPr>
            <w:r>
              <w:rPr>
                <w:rFonts w:ascii="Times New Roman" w:eastAsia="宋体" w:hAnsi="Times New Roman"/>
                <w:color w:val="000000"/>
                <w:sz w:val="20"/>
                <w:szCs w:val="20"/>
              </w:rPr>
              <w:t>Gregory B. Penner</w:t>
            </w:r>
          </w:p>
        </w:tc>
      </w:tr>
      <w:tr w:rsidR="00D42204" w14:paraId="35D0C1D2" w14:textId="77777777">
        <w:tc>
          <w:tcPr>
            <w:tcW w:w="0" w:type="auto"/>
            <w:gridSpan w:val="3"/>
            <w:shd w:val="clear" w:color="auto" w:fill="auto"/>
            <w:tcMar>
              <w:top w:w="0" w:type="dxa"/>
              <w:left w:w="20" w:type="dxa"/>
              <w:bottom w:w="0" w:type="dxa"/>
              <w:right w:w="20" w:type="dxa"/>
            </w:tcMar>
            <w:vAlign w:val="bottom"/>
          </w:tcPr>
          <w:p w14:paraId="35D0C1CD"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CE"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C1CF"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D0"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1D1" w14:textId="77777777" w:rsidR="00D42204" w:rsidRDefault="004E439D">
            <w:pPr>
              <w:textAlignment w:val="bottom"/>
            </w:pPr>
            <w:r>
              <w:rPr>
                <w:rFonts w:ascii="Times New Roman" w:eastAsia="宋体" w:hAnsi="Times New Roman"/>
                <w:color w:val="000000"/>
                <w:sz w:val="20"/>
                <w:szCs w:val="20"/>
              </w:rPr>
              <w:t>Chairman of the Board and Director</w:t>
            </w:r>
          </w:p>
        </w:tc>
      </w:tr>
      <w:tr w:rsidR="00D42204" w14:paraId="35D0C1D6" w14:textId="77777777">
        <w:trPr>
          <w:trHeight w:val="160"/>
        </w:trPr>
        <w:tc>
          <w:tcPr>
            <w:tcW w:w="0" w:type="auto"/>
            <w:gridSpan w:val="3"/>
            <w:shd w:val="clear" w:color="auto" w:fill="auto"/>
            <w:tcMar>
              <w:top w:w="0" w:type="dxa"/>
              <w:left w:w="20" w:type="dxa"/>
              <w:bottom w:w="0" w:type="dxa"/>
              <w:right w:w="20" w:type="dxa"/>
            </w:tcMar>
            <w:vAlign w:val="bottom"/>
          </w:tcPr>
          <w:p w14:paraId="35D0C1D3"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1D4"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1D5" w14:textId="77777777" w:rsidR="00D42204" w:rsidRDefault="00D42204">
            <w:pPr>
              <w:rPr>
                <w:rFonts w:ascii="宋体"/>
              </w:rPr>
            </w:pPr>
          </w:p>
        </w:tc>
      </w:tr>
      <w:tr w:rsidR="00D42204" w14:paraId="35D0C1DC" w14:textId="77777777">
        <w:tc>
          <w:tcPr>
            <w:tcW w:w="0" w:type="auto"/>
            <w:gridSpan w:val="3"/>
            <w:shd w:val="clear" w:color="auto" w:fill="auto"/>
            <w:tcMar>
              <w:top w:w="40" w:type="dxa"/>
              <w:left w:w="20" w:type="dxa"/>
              <w:bottom w:w="40" w:type="dxa"/>
              <w:right w:w="20" w:type="dxa"/>
            </w:tcMar>
            <w:vAlign w:val="bottom"/>
          </w:tcPr>
          <w:p w14:paraId="35D0C1D7" w14:textId="77777777" w:rsidR="00D42204" w:rsidRDefault="004E439D">
            <w:pPr>
              <w:textAlignment w:val="bottom"/>
            </w:pPr>
            <w:r>
              <w:rPr>
                <w:rFonts w:ascii="Times New Roman" w:eastAsia="宋体" w:hAnsi="Times New Roman"/>
                <w:color w:val="000000"/>
                <w:sz w:val="20"/>
                <w:szCs w:val="20"/>
              </w:rPr>
              <w:t xml:space="preserve">Date: March </w:t>
            </w:r>
            <w:r>
              <w:rPr>
                <w:rFonts w:ascii="Times New Roman" w:eastAsia="宋体" w:hAnsi="Times New Roman"/>
                <w:color w:val="000000"/>
                <w:sz w:val="20"/>
                <w:szCs w:val="20"/>
              </w:rPr>
              <w:t>18, 2022</w:t>
            </w:r>
          </w:p>
        </w:tc>
        <w:tc>
          <w:tcPr>
            <w:tcW w:w="0" w:type="auto"/>
            <w:gridSpan w:val="3"/>
            <w:shd w:val="clear" w:color="auto" w:fill="auto"/>
            <w:tcMar>
              <w:top w:w="40" w:type="dxa"/>
              <w:left w:w="20" w:type="dxa"/>
              <w:bottom w:w="40" w:type="dxa"/>
              <w:right w:w="20" w:type="dxa"/>
            </w:tcMar>
            <w:vAlign w:val="bottom"/>
          </w:tcPr>
          <w:p w14:paraId="35D0C1D8"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1D9" w14:textId="77777777" w:rsidR="00D42204" w:rsidRDefault="004E439D">
            <w:pPr>
              <w:textAlignment w:val="bottom"/>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35D0C1DA"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1DB" w14:textId="77777777" w:rsidR="00D42204" w:rsidRDefault="004E439D">
            <w:pPr>
              <w:textAlignment w:val="bottom"/>
            </w:pPr>
            <w:r>
              <w:rPr>
                <w:rFonts w:ascii="Times New Roman" w:eastAsia="宋体" w:hAnsi="Times New Roman"/>
                <w:color w:val="000000"/>
                <w:sz w:val="20"/>
                <w:szCs w:val="20"/>
              </w:rPr>
              <w:t>/s/ M. Brett Biggs</w:t>
            </w:r>
          </w:p>
        </w:tc>
      </w:tr>
      <w:tr w:rsidR="00D42204" w14:paraId="35D0C1E2" w14:textId="77777777">
        <w:tc>
          <w:tcPr>
            <w:tcW w:w="0" w:type="auto"/>
            <w:gridSpan w:val="3"/>
            <w:shd w:val="clear" w:color="auto" w:fill="auto"/>
            <w:tcMar>
              <w:top w:w="0" w:type="dxa"/>
              <w:left w:w="20" w:type="dxa"/>
              <w:bottom w:w="0" w:type="dxa"/>
              <w:right w:w="20" w:type="dxa"/>
            </w:tcMar>
            <w:vAlign w:val="bottom"/>
          </w:tcPr>
          <w:p w14:paraId="35D0C1DD"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DE"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C1DF"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E0" w14:textId="77777777" w:rsidR="00D42204" w:rsidRDefault="004E439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C1E1" w14:textId="77777777" w:rsidR="00D42204" w:rsidRDefault="004E439D">
            <w:pPr>
              <w:textAlignment w:val="bottom"/>
            </w:pPr>
            <w:r>
              <w:rPr>
                <w:rFonts w:ascii="Times New Roman" w:eastAsia="宋体" w:hAnsi="Times New Roman"/>
                <w:color w:val="000000"/>
                <w:sz w:val="20"/>
                <w:szCs w:val="20"/>
              </w:rPr>
              <w:t>M. Brett Biggs</w:t>
            </w:r>
          </w:p>
        </w:tc>
      </w:tr>
      <w:tr w:rsidR="00D42204" w14:paraId="35D0C1E8" w14:textId="77777777">
        <w:tc>
          <w:tcPr>
            <w:tcW w:w="0" w:type="auto"/>
            <w:gridSpan w:val="3"/>
            <w:shd w:val="clear" w:color="auto" w:fill="auto"/>
            <w:tcMar>
              <w:top w:w="0" w:type="dxa"/>
              <w:left w:w="20" w:type="dxa"/>
              <w:bottom w:w="0" w:type="dxa"/>
              <w:right w:w="20" w:type="dxa"/>
            </w:tcMar>
            <w:vAlign w:val="bottom"/>
          </w:tcPr>
          <w:p w14:paraId="35D0C1E3"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E4"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C1E5"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E6"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1E7" w14:textId="77777777" w:rsidR="00D42204" w:rsidRDefault="004E439D">
            <w:pPr>
              <w:textAlignment w:val="bottom"/>
            </w:pPr>
            <w:r>
              <w:rPr>
                <w:rFonts w:ascii="Times New Roman" w:eastAsia="宋体" w:hAnsi="Times New Roman"/>
                <w:color w:val="000000"/>
                <w:sz w:val="20"/>
                <w:szCs w:val="20"/>
              </w:rPr>
              <w:t>Executive Vice President and Chief Financial Officer</w:t>
            </w:r>
          </w:p>
        </w:tc>
      </w:tr>
      <w:tr w:rsidR="00D42204" w14:paraId="35D0C1EE" w14:textId="77777777">
        <w:tc>
          <w:tcPr>
            <w:tcW w:w="0" w:type="auto"/>
            <w:gridSpan w:val="3"/>
            <w:shd w:val="clear" w:color="auto" w:fill="auto"/>
            <w:tcMar>
              <w:top w:w="0" w:type="dxa"/>
              <w:left w:w="20" w:type="dxa"/>
              <w:bottom w:w="0" w:type="dxa"/>
              <w:right w:w="20" w:type="dxa"/>
            </w:tcMar>
            <w:vAlign w:val="bottom"/>
          </w:tcPr>
          <w:p w14:paraId="35D0C1E9"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1E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1E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1EC"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ED" w14:textId="77777777" w:rsidR="00D42204" w:rsidRDefault="004E439D">
            <w:pPr>
              <w:spacing w:after="20"/>
              <w:textAlignment w:val="bottom"/>
            </w:pPr>
            <w:r>
              <w:rPr>
                <w:rFonts w:ascii="Times New Roman" w:eastAsia="宋体" w:hAnsi="Times New Roman"/>
                <w:color w:val="000000"/>
                <w:sz w:val="20"/>
                <w:szCs w:val="20"/>
              </w:rPr>
              <w:t>(Principal Financial Officer)</w:t>
            </w:r>
          </w:p>
        </w:tc>
      </w:tr>
      <w:tr w:rsidR="00D42204" w14:paraId="35D0C1F2" w14:textId="77777777">
        <w:trPr>
          <w:trHeight w:val="160"/>
        </w:trPr>
        <w:tc>
          <w:tcPr>
            <w:tcW w:w="0" w:type="auto"/>
            <w:gridSpan w:val="3"/>
            <w:shd w:val="clear" w:color="auto" w:fill="auto"/>
            <w:tcMar>
              <w:top w:w="0" w:type="dxa"/>
              <w:left w:w="20" w:type="dxa"/>
              <w:bottom w:w="0" w:type="dxa"/>
              <w:right w:w="20" w:type="dxa"/>
            </w:tcMar>
            <w:vAlign w:val="bottom"/>
          </w:tcPr>
          <w:p w14:paraId="35D0C1EF"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1F0" w14:textId="77777777" w:rsidR="00D42204" w:rsidRDefault="00D42204">
            <w:pPr>
              <w:rPr>
                <w:rFonts w:ascii="宋体"/>
              </w:rPr>
            </w:pPr>
          </w:p>
        </w:tc>
        <w:tc>
          <w:tcPr>
            <w:tcW w:w="0" w:type="auto"/>
            <w:gridSpan w:val="6"/>
            <w:shd w:val="clear" w:color="auto" w:fill="auto"/>
            <w:tcMar>
              <w:top w:w="0" w:type="dxa"/>
              <w:left w:w="20" w:type="dxa"/>
              <w:bottom w:w="0" w:type="dxa"/>
              <w:right w:w="20" w:type="dxa"/>
            </w:tcMar>
            <w:vAlign w:val="bottom"/>
          </w:tcPr>
          <w:p w14:paraId="35D0C1F1" w14:textId="77777777" w:rsidR="00D42204" w:rsidRDefault="00D42204">
            <w:pPr>
              <w:rPr>
                <w:rFonts w:ascii="宋体"/>
              </w:rPr>
            </w:pPr>
          </w:p>
        </w:tc>
      </w:tr>
      <w:tr w:rsidR="00D42204" w14:paraId="35D0C1F8" w14:textId="77777777">
        <w:tc>
          <w:tcPr>
            <w:tcW w:w="0" w:type="auto"/>
            <w:gridSpan w:val="3"/>
            <w:shd w:val="clear" w:color="auto" w:fill="auto"/>
            <w:tcMar>
              <w:top w:w="40" w:type="dxa"/>
              <w:left w:w="20" w:type="dxa"/>
              <w:bottom w:w="40" w:type="dxa"/>
              <w:right w:w="20" w:type="dxa"/>
            </w:tcMar>
            <w:vAlign w:val="bottom"/>
          </w:tcPr>
          <w:p w14:paraId="35D0C1F3" w14:textId="77777777" w:rsidR="00D42204" w:rsidRDefault="004E439D">
            <w:pPr>
              <w:textAlignment w:val="bottom"/>
            </w:pPr>
            <w:r>
              <w:rPr>
                <w:rFonts w:ascii="Times New Roman" w:eastAsia="宋体" w:hAnsi="Times New Roman"/>
                <w:color w:val="000000"/>
                <w:sz w:val="20"/>
                <w:szCs w:val="20"/>
              </w:rPr>
              <w:t>Date: March 18, 2022</w:t>
            </w:r>
          </w:p>
        </w:tc>
        <w:tc>
          <w:tcPr>
            <w:tcW w:w="0" w:type="auto"/>
            <w:gridSpan w:val="3"/>
            <w:shd w:val="clear" w:color="auto" w:fill="auto"/>
            <w:tcMar>
              <w:top w:w="40" w:type="dxa"/>
              <w:left w:w="20" w:type="dxa"/>
              <w:bottom w:w="40" w:type="dxa"/>
              <w:right w:w="20" w:type="dxa"/>
            </w:tcMar>
            <w:vAlign w:val="bottom"/>
          </w:tcPr>
          <w:p w14:paraId="35D0C1F4"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1F5" w14:textId="77777777" w:rsidR="00D42204" w:rsidRDefault="004E439D">
            <w:pPr>
              <w:textAlignment w:val="bottom"/>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35D0C1F6"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1F7" w14:textId="77777777" w:rsidR="00D42204" w:rsidRDefault="004E439D">
            <w:pPr>
              <w:textAlignment w:val="bottom"/>
            </w:pPr>
            <w:r>
              <w:rPr>
                <w:rFonts w:ascii="Times New Roman" w:eastAsia="宋体" w:hAnsi="Times New Roman"/>
                <w:color w:val="000000"/>
                <w:sz w:val="20"/>
                <w:szCs w:val="20"/>
              </w:rPr>
              <w:t>/s/ David M. Chojnowski</w:t>
            </w:r>
          </w:p>
        </w:tc>
      </w:tr>
      <w:tr w:rsidR="00D42204" w14:paraId="35D0C1FE" w14:textId="77777777">
        <w:tc>
          <w:tcPr>
            <w:tcW w:w="0" w:type="auto"/>
            <w:gridSpan w:val="3"/>
            <w:shd w:val="clear" w:color="auto" w:fill="auto"/>
            <w:tcMar>
              <w:top w:w="0" w:type="dxa"/>
              <w:left w:w="20" w:type="dxa"/>
              <w:bottom w:w="0" w:type="dxa"/>
              <w:right w:w="20" w:type="dxa"/>
            </w:tcMar>
            <w:vAlign w:val="bottom"/>
          </w:tcPr>
          <w:p w14:paraId="35D0C1F9"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FA"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C1FB"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1FC" w14:textId="77777777" w:rsidR="00D42204" w:rsidRDefault="004E439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C1FD" w14:textId="77777777" w:rsidR="00D42204" w:rsidRDefault="004E439D">
            <w:pPr>
              <w:textAlignment w:val="bottom"/>
            </w:pPr>
            <w:r>
              <w:rPr>
                <w:rFonts w:ascii="Times New Roman" w:eastAsia="宋体" w:hAnsi="Times New Roman"/>
                <w:color w:val="000000"/>
                <w:sz w:val="20"/>
                <w:szCs w:val="20"/>
              </w:rPr>
              <w:t>David M. Chojnowski</w:t>
            </w:r>
          </w:p>
        </w:tc>
      </w:tr>
      <w:tr w:rsidR="00D42204" w14:paraId="35D0C204" w14:textId="77777777">
        <w:tc>
          <w:tcPr>
            <w:tcW w:w="0" w:type="auto"/>
            <w:gridSpan w:val="3"/>
            <w:shd w:val="clear" w:color="auto" w:fill="auto"/>
            <w:tcMar>
              <w:top w:w="0" w:type="dxa"/>
              <w:left w:w="20" w:type="dxa"/>
              <w:bottom w:w="0" w:type="dxa"/>
              <w:right w:w="20" w:type="dxa"/>
            </w:tcMar>
            <w:vAlign w:val="bottom"/>
          </w:tcPr>
          <w:p w14:paraId="35D0C1FF"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00"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C20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02"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203" w14:textId="77777777" w:rsidR="00D42204" w:rsidRDefault="004E439D">
            <w:pPr>
              <w:textAlignment w:val="bottom"/>
            </w:pPr>
            <w:r>
              <w:rPr>
                <w:rFonts w:ascii="Times New Roman" w:eastAsia="宋体" w:hAnsi="Times New Roman"/>
                <w:color w:val="000000"/>
                <w:sz w:val="20"/>
                <w:szCs w:val="20"/>
              </w:rPr>
              <w:t xml:space="preserve">Senior </w:t>
            </w:r>
            <w:r>
              <w:rPr>
                <w:rFonts w:ascii="Times New Roman" w:eastAsia="宋体" w:hAnsi="Times New Roman"/>
                <w:color w:val="000000"/>
                <w:sz w:val="20"/>
                <w:szCs w:val="20"/>
              </w:rPr>
              <w:t>Vice President and Controller</w:t>
            </w:r>
          </w:p>
        </w:tc>
      </w:tr>
      <w:tr w:rsidR="00D42204" w14:paraId="35D0C20A" w14:textId="77777777">
        <w:tc>
          <w:tcPr>
            <w:tcW w:w="0" w:type="auto"/>
            <w:gridSpan w:val="3"/>
            <w:shd w:val="clear" w:color="auto" w:fill="auto"/>
            <w:tcMar>
              <w:top w:w="0" w:type="dxa"/>
              <w:left w:w="20" w:type="dxa"/>
              <w:bottom w:w="0" w:type="dxa"/>
              <w:right w:w="20" w:type="dxa"/>
            </w:tcMar>
            <w:vAlign w:val="bottom"/>
          </w:tcPr>
          <w:p w14:paraId="35D0C205"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06"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07"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08"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09" w14:textId="77777777" w:rsidR="00D42204" w:rsidRDefault="004E439D">
            <w:pPr>
              <w:spacing w:after="20"/>
              <w:textAlignment w:val="bottom"/>
            </w:pPr>
            <w:r>
              <w:rPr>
                <w:rFonts w:ascii="Times New Roman" w:eastAsia="宋体" w:hAnsi="Times New Roman"/>
                <w:color w:val="000000"/>
                <w:sz w:val="20"/>
                <w:szCs w:val="20"/>
              </w:rPr>
              <w:t>(Principal Accounting Officer)</w:t>
            </w:r>
          </w:p>
        </w:tc>
      </w:tr>
    </w:tbl>
    <w:p w14:paraId="35D0C20B" w14:textId="77777777" w:rsidR="00D42204" w:rsidRDefault="004E439D">
      <w:pPr>
        <w:spacing w:before="80"/>
        <w:jc w:val="center"/>
      </w:pPr>
      <w:r>
        <w:rPr>
          <w:rFonts w:ascii="Times New Roman" w:eastAsia="宋体" w:hAnsi="Times New Roman"/>
          <w:color w:val="000000"/>
          <w:sz w:val="20"/>
          <w:szCs w:val="20"/>
        </w:rPr>
        <w:t>Signature Page to Walmart Inc.</w:t>
      </w:r>
    </w:p>
    <w:p w14:paraId="35D0C20C" w14:textId="77777777" w:rsidR="00D42204" w:rsidRDefault="004E439D">
      <w:pPr>
        <w:jc w:val="center"/>
      </w:pPr>
      <w:r>
        <w:rPr>
          <w:rFonts w:ascii="Times New Roman" w:eastAsia="宋体" w:hAnsi="Times New Roman"/>
          <w:color w:val="000000"/>
          <w:sz w:val="20"/>
          <w:szCs w:val="20"/>
        </w:rPr>
        <w:t xml:space="preserve">Form 10-K for the Fiscal Year Ended January 31, 2022 </w:t>
      </w:r>
    </w:p>
    <w:p w14:paraId="35D0C20D" w14:textId="77777777" w:rsidR="00D42204" w:rsidRDefault="004E439D">
      <w:pPr>
        <w:jc w:val="center"/>
      </w:pPr>
      <w:r>
        <w:rPr>
          <w:rFonts w:ascii="Times New Roman" w:eastAsia="宋体" w:hAnsi="Times New Roman"/>
          <w:color w:val="000000"/>
          <w:sz w:val="20"/>
          <w:szCs w:val="20"/>
        </w:rPr>
        <w:t>85</w:t>
      </w:r>
    </w:p>
    <w:p w14:paraId="35D0C20E" w14:textId="77777777" w:rsidR="00D42204" w:rsidRDefault="004E439D">
      <w:r>
        <w:pict w14:anchorId="35D0C3B0">
          <v:rect id="_x0000_i1109" style="width:415.3pt;height:1.5pt" o:hralign="center" o:hrstd="t" o:hr="t" fillcolor="#a0a0a0" stroked="f"/>
        </w:pict>
      </w:r>
    </w:p>
    <w:p w14:paraId="35D0C20F" w14:textId="77777777" w:rsidR="00D42204" w:rsidRDefault="00D42204"/>
    <w:tbl>
      <w:tblPr>
        <w:tblW w:w="5000" w:type="pct"/>
        <w:tblCellMar>
          <w:top w:w="15" w:type="dxa"/>
          <w:left w:w="15" w:type="dxa"/>
          <w:bottom w:w="15" w:type="dxa"/>
          <w:right w:w="15" w:type="dxa"/>
        </w:tblCellMar>
        <w:tblLook w:val="04A0" w:firstRow="1" w:lastRow="0" w:firstColumn="1" w:lastColumn="0" w:noHBand="0" w:noVBand="1"/>
      </w:tblPr>
      <w:tblGrid>
        <w:gridCol w:w="58"/>
        <w:gridCol w:w="2309"/>
        <w:gridCol w:w="36"/>
        <w:gridCol w:w="36"/>
        <w:gridCol w:w="56"/>
        <w:gridCol w:w="36"/>
        <w:gridCol w:w="79"/>
        <w:gridCol w:w="188"/>
        <w:gridCol w:w="36"/>
        <w:gridCol w:w="36"/>
        <w:gridCol w:w="36"/>
        <w:gridCol w:w="36"/>
        <w:gridCol w:w="47"/>
        <w:gridCol w:w="5309"/>
        <w:gridCol w:w="38"/>
      </w:tblGrid>
      <w:tr w:rsidR="00D42204" w14:paraId="35D0C21F" w14:textId="77777777">
        <w:tc>
          <w:tcPr>
            <w:tcW w:w="50" w:type="pct"/>
            <w:shd w:val="clear" w:color="auto" w:fill="auto"/>
            <w:vAlign w:val="bottom"/>
          </w:tcPr>
          <w:p w14:paraId="35D0C210" w14:textId="77777777" w:rsidR="00D42204" w:rsidRDefault="00D42204">
            <w:pPr>
              <w:rPr>
                <w:rFonts w:ascii="宋体"/>
              </w:rPr>
            </w:pPr>
          </w:p>
        </w:tc>
        <w:tc>
          <w:tcPr>
            <w:tcW w:w="1399" w:type="pct"/>
            <w:shd w:val="clear" w:color="auto" w:fill="auto"/>
            <w:vAlign w:val="bottom"/>
          </w:tcPr>
          <w:p w14:paraId="35D0C211" w14:textId="77777777" w:rsidR="00D42204" w:rsidRDefault="00D42204">
            <w:pPr>
              <w:rPr>
                <w:rFonts w:ascii="宋体"/>
              </w:rPr>
            </w:pPr>
          </w:p>
        </w:tc>
        <w:tc>
          <w:tcPr>
            <w:tcW w:w="5" w:type="pct"/>
            <w:shd w:val="clear" w:color="auto" w:fill="auto"/>
            <w:vAlign w:val="bottom"/>
          </w:tcPr>
          <w:p w14:paraId="35D0C212" w14:textId="77777777" w:rsidR="00D42204" w:rsidRDefault="00D42204">
            <w:pPr>
              <w:rPr>
                <w:rFonts w:ascii="宋体"/>
              </w:rPr>
            </w:pPr>
          </w:p>
        </w:tc>
        <w:tc>
          <w:tcPr>
            <w:tcW w:w="5" w:type="pct"/>
            <w:shd w:val="clear" w:color="auto" w:fill="auto"/>
            <w:vAlign w:val="bottom"/>
          </w:tcPr>
          <w:p w14:paraId="35D0C213" w14:textId="77777777" w:rsidR="00D42204" w:rsidRDefault="00D42204">
            <w:pPr>
              <w:rPr>
                <w:rFonts w:ascii="宋体"/>
              </w:rPr>
            </w:pPr>
          </w:p>
        </w:tc>
        <w:tc>
          <w:tcPr>
            <w:tcW w:w="48" w:type="pct"/>
            <w:shd w:val="clear" w:color="auto" w:fill="auto"/>
            <w:vAlign w:val="bottom"/>
          </w:tcPr>
          <w:p w14:paraId="35D0C214" w14:textId="77777777" w:rsidR="00D42204" w:rsidRDefault="00D42204">
            <w:pPr>
              <w:rPr>
                <w:rFonts w:ascii="宋体"/>
              </w:rPr>
            </w:pPr>
          </w:p>
        </w:tc>
        <w:tc>
          <w:tcPr>
            <w:tcW w:w="5" w:type="pct"/>
            <w:shd w:val="clear" w:color="auto" w:fill="auto"/>
            <w:vAlign w:val="bottom"/>
          </w:tcPr>
          <w:p w14:paraId="35D0C215" w14:textId="77777777" w:rsidR="00D42204" w:rsidRDefault="00D42204">
            <w:pPr>
              <w:rPr>
                <w:rFonts w:ascii="宋体"/>
              </w:rPr>
            </w:pPr>
          </w:p>
        </w:tc>
        <w:tc>
          <w:tcPr>
            <w:tcW w:w="50" w:type="pct"/>
            <w:shd w:val="clear" w:color="auto" w:fill="auto"/>
            <w:vAlign w:val="bottom"/>
          </w:tcPr>
          <w:p w14:paraId="35D0C216" w14:textId="77777777" w:rsidR="00D42204" w:rsidRDefault="00D42204">
            <w:pPr>
              <w:rPr>
                <w:rFonts w:ascii="宋体"/>
              </w:rPr>
            </w:pPr>
          </w:p>
        </w:tc>
        <w:tc>
          <w:tcPr>
            <w:tcW w:w="120" w:type="pct"/>
            <w:shd w:val="clear" w:color="auto" w:fill="auto"/>
            <w:vAlign w:val="bottom"/>
          </w:tcPr>
          <w:p w14:paraId="35D0C217" w14:textId="77777777" w:rsidR="00D42204" w:rsidRDefault="00D42204">
            <w:pPr>
              <w:rPr>
                <w:rFonts w:ascii="宋体"/>
              </w:rPr>
            </w:pPr>
          </w:p>
        </w:tc>
        <w:tc>
          <w:tcPr>
            <w:tcW w:w="5" w:type="pct"/>
            <w:shd w:val="clear" w:color="auto" w:fill="auto"/>
            <w:vAlign w:val="bottom"/>
          </w:tcPr>
          <w:p w14:paraId="35D0C218" w14:textId="77777777" w:rsidR="00D42204" w:rsidRDefault="00D42204">
            <w:pPr>
              <w:rPr>
                <w:rFonts w:ascii="宋体"/>
              </w:rPr>
            </w:pPr>
          </w:p>
        </w:tc>
        <w:tc>
          <w:tcPr>
            <w:tcW w:w="5" w:type="pct"/>
            <w:shd w:val="clear" w:color="auto" w:fill="auto"/>
            <w:vAlign w:val="bottom"/>
          </w:tcPr>
          <w:p w14:paraId="35D0C219" w14:textId="77777777" w:rsidR="00D42204" w:rsidRDefault="00D42204">
            <w:pPr>
              <w:rPr>
                <w:rFonts w:ascii="宋体"/>
              </w:rPr>
            </w:pPr>
          </w:p>
        </w:tc>
        <w:tc>
          <w:tcPr>
            <w:tcW w:w="48" w:type="pct"/>
            <w:shd w:val="clear" w:color="auto" w:fill="auto"/>
            <w:vAlign w:val="bottom"/>
          </w:tcPr>
          <w:p w14:paraId="35D0C21A" w14:textId="77777777" w:rsidR="00D42204" w:rsidRDefault="00D42204">
            <w:pPr>
              <w:rPr>
                <w:rFonts w:ascii="宋体"/>
              </w:rPr>
            </w:pPr>
          </w:p>
        </w:tc>
        <w:tc>
          <w:tcPr>
            <w:tcW w:w="5" w:type="pct"/>
            <w:shd w:val="clear" w:color="auto" w:fill="auto"/>
            <w:vAlign w:val="bottom"/>
          </w:tcPr>
          <w:p w14:paraId="35D0C21B" w14:textId="77777777" w:rsidR="00D42204" w:rsidRDefault="00D42204">
            <w:pPr>
              <w:rPr>
                <w:rFonts w:ascii="宋体"/>
              </w:rPr>
            </w:pPr>
          </w:p>
        </w:tc>
        <w:tc>
          <w:tcPr>
            <w:tcW w:w="50" w:type="pct"/>
            <w:shd w:val="clear" w:color="auto" w:fill="auto"/>
            <w:vAlign w:val="bottom"/>
          </w:tcPr>
          <w:p w14:paraId="35D0C21C" w14:textId="77777777" w:rsidR="00D42204" w:rsidRDefault="00D42204">
            <w:pPr>
              <w:rPr>
                <w:rFonts w:ascii="宋体"/>
              </w:rPr>
            </w:pPr>
          </w:p>
        </w:tc>
        <w:tc>
          <w:tcPr>
            <w:tcW w:w="3198" w:type="pct"/>
            <w:shd w:val="clear" w:color="auto" w:fill="auto"/>
            <w:vAlign w:val="bottom"/>
          </w:tcPr>
          <w:p w14:paraId="35D0C21D" w14:textId="77777777" w:rsidR="00D42204" w:rsidRDefault="00D42204">
            <w:pPr>
              <w:rPr>
                <w:rFonts w:ascii="宋体"/>
              </w:rPr>
            </w:pPr>
          </w:p>
        </w:tc>
        <w:tc>
          <w:tcPr>
            <w:tcW w:w="5" w:type="pct"/>
            <w:shd w:val="clear" w:color="auto" w:fill="auto"/>
            <w:vAlign w:val="bottom"/>
          </w:tcPr>
          <w:p w14:paraId="35D0C21E" w14:textId="77777777" w:rsidR="00D42204" w:rsidRDefault="00D42204">
            <w:pPr>
              <w:rPr>
                <w:rFonts w:ascii="宋体"/>
              </w:rPr>
            </w:pPr>
          </w:p>
        </w:tc>
      </w:tr>
      <w:tr w:rsidR="00D42204" w14:paraId="35D0C225" w14:textId="77777777">
        <w:trPr>
          <w:trHeight w:val="280"/>
        </w:trPr>
        <w:tc>
          <w:tcPr>
            <w:tcW w:w="0" w:type="auto"/>
            <w:gridSpan w:val="3"/>
            <w:shd w:val="clear" w:color="auto" w:fill="auto"/>
            <w:tcMar>
              <w:top w:w="0" w:type="dxa"/>
              <w:left w:w="20" w:type="dxa"/>
              <w:bottom w:w="0" w:type="dxa"/>
              <w:right w:w="20" w:type="dxa"/>
            </w:tcMar>
            <w:vAlign w:val="bottom"/>
          </w:tcPr>
          <w:p w14:paraId="35D0C220"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21"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22"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23"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24" w14:textId="77777777" w:rsidR="00D42204" w:rsidRDefault="00D42204">
            <w:pPr>
              <w:rPr>
                <w:rFonts w:ascii="宋体"/>
              </w:rPr>
            </w:pPr>
          </w:p>
        </w:tc>
      </w:tr>
      <w:tr w:rsidR="00D42204" w14:paraId="35D0C22B" w14:textId="77777777">
        <w:tc>
          <w:tcPr>
            <w:tcW w:w="0" w:type="auto"/>
            <w:gridSpan w:val="3"/>
            <w:shd w:val="clear" w:color="auto" w:fill="auto"/>
            <w:tcMar>
              <w:top w:w="40" w:type="dxa"/>
              <w:left w:w="20" w:type="dxa"/>
              <w:bottom w:w="40" w:type="dxa"/>
              <w:right w:w="20" w:type="dxa"/>
            </w:tcMar>
            <w:vAlign w:val="bottom"/>
          </w:tcPr>
          <w:p w14:paraId="35D0C226" w14:textId="77777777" w:rsidR="00D42204" w:rsidRDefault="004E439D">
            <w:pPr>
              <w:textAlignment w:val="bottom"/>
            </w:pPr>
            <w:r>
              <w:rPr>
                <w:rFonts w:ascii="Times New Roman" w:eastAsia="宋体" w:hAnsi="Times New Roman"/>
                <w:color w:val="000000"/>
                <w:sz w:val="20"/>
                <w:szCs w:val="20"/>
              </w:rPr>
              <w:t>Date: March 18, 2022</w:t>
            </w:r>
          </w:p>
        </w:tc>
        <w:tc>
          <w:tcPr>
            <w:tcW w:w="0" w:type="auto"/>
            <w:gridSpan w:val="3"/>
            <w:shd w:val="clear" w:color="auto" w:fill="auto"/>
            <w:tcMar>
              <w:top w:w="40" w:type="dxa"/>
              <w:left w:w="20" w:type="dxa"/>
              <w:bottom w:w="40" w:type="dxa"/>
              <w:right w:w="20" w:type="dxa"/>
            </w:tcMar>
            <w:vAlign w:val="bottom"/>
          </w:tcPr>
          <w:p w14:paraId="35D0C227"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228" w14:textId="77777777" w:rsidR="00D42204" w:rsidRDefault="004E439D">
            <w:pPr>
              <w:textAlignment w:val="bottom"/>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35D0C229"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35D0C22A" w14:textId="77777777" w:rsidR="00D42204" w:rsidRDefault="004E439D">
            <w:pPr>
              <w:textAlignment w:val="top"/>
            </w:pPr>
            <w:r>
              <w:rPr>
                <w:rFonts w:ascii="Times New Roman" w:eastAsia="宋体" w:hAnsi="Times New Roman"/>
                <w:color w:val="000000"/>
                <w:sz w:val="20"/>
                <w:szCs w:val="20"/>
              </w:rPr>
              <w:t>/s/ Cesar Conde</w:t>
            </w:r>
          </w:p>
        </w:tc>
      </w:tr>
      <w:tr w:rsidR="00D42204" w14:paraId="35D0C231" w14:textId="77777777">
        <w:tc>
          <w:tcPr>
            <w:tcW w:w="0" w:type="auto"/>
            <w:gridSpan w:val="3"/>
            <w:shd w:val="clear" w:color="auto" w:fill="auto"/>
            <w:tcMar>
              <w:top w:w="0" w:type="dxa"/>
              <w:left w:w="20" w:type="dxa"/>
              <w:bottom w:w="0" w:type="dxa"/>
              <w:right w:w="20" w:type="dxa"/>
            </w:tcMar>
            <w:vAlign w:val="bottom"/>
          </w:tcPr>
          <w:p w14:paraId="35D0C22C"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2D"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C22E"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2F" w14:textId="77777777" w:rsidR="00D42204" w:rsidRDefault="004E439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35D0C230" w14:textId="77777777" w:rsidR="00D42204" w:rsidRDefault="004E439D">
            <w:pPr>
              <w:textAlignment w:val="top"/>
            </w:pPr>
            <w:r>
              <w:rPr>
                <w:rFonts w:ascii="Times New Roman" w:eastAsia="宋体" w:hAnsi="Times New Roman"/>
                <w:color w:val="000000"/>
                <w:sz w:val="20"/>
                <w:szCs w:val="20"/>
              </w:rPr>
              <w:t>Cesar Conde</w:t>
            </w:r>
          </w:p>
        </w:tc>
      </w:tr>
      <w:tr w:rsidR="00D42204" w14:paraId="35D0C237" w14:textId="77777777">
        <w:tc>
          <w:tcPr>
            <w:tcW w:w="0" w:type="auto"/>
            <w:gridSpan w:val="3"/>
            <w:shd w:val="clear" w:color="auto" w:fill="auto"/>
            <w:tcMar>
              <w:top w:w="0" w:type="dxa"/>
              <w:left w:w="20" w:type="dxa"/>
              <w:bottom w:w="0" w:type="dxa"/>
              <w:right w:w="20" w:type="dxa"/>
            </w:tcMar>
            <w:vAlign w:val="bottom"/>
          </w:tcPr>
          <w:p w14:paraId="35D0C232"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33"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C234"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35"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35D0C236" w14:textId="77777777" w:rsidR="00D42204" w:rsidRDefault="004E439D">
            <w:pPr>
              <w:textAlignment w:val="top"/>
            </w:pPr>
            <w:r>
              <w:rPr>
                <w:rFonts w:ascii="Times New Roman" w:eastAsia="宋体" w:hAnsi="Times New Roman"/>
                <w:color w:val="000000"/>
                <w:sz w:val="20"/>
                <w:szCs w:val="20"/>
              </w:rPr>
              <w:t>Director</w:t>
            </w:r>
          </w:p>
        </w:tc>
      </w:tr>
      <w:tr w:rsidR="00D42204" w14:paraId="35D0C23D" w14:textId="77777777">
        <w:trPr>
          <w:trHeight w:val="160"/>
        </w:trPr>
        <w:tc>
          <w:tcPr>
            <w:tcW w:w="0" w:type="auto"/>
            <w:gridSpan w:val="3"/>
            <w:shd w:val="clear" w:color="auto" w:fill="auto"/>
            <w:tcMar>
              <w:top w:w="0" w:type="dxa"/>
              <w:left w:w="20" w:type="dxa"/>
              <w:bottom w:w="0" w:type="dxa"/>
              <w:right w:w="20" w:type="dxa"/>
            </w:tcMar>
            <w:vAlign w:val="bottom"/>
          </w:tcPr>
          <w:p w14:paraId="35D0C238"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39"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3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3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3C" w14:textId="77777777" w:rsidR="00D42204" w:rsidRDefault="00D42204">
            <w:pPr>
              <w:rPr>
                <w:rFonts w:ascii="宋体"/>
              </w:rPr>
            </w:pPr>
          </w:p>
        </w:tc>
      </w:tr>
      <w:tr w:rsidR="00D42204" w14:paraId="35D0C243" w14:textId="77777777">
        <w:tc>
          <w:tcPr>
            <w:tcW w:w="0" w:type="auto"/>
            <w:gridSpan w:val="3"/>
            <w:shd w:val="clear" w:color="auto" w:fill="auto"/>
            <w:tcMar>
              <w:top w:w="40" w:type="dxa"/>
              <w:left w:w="20" w:type="dxa"/>
              <w:bottom w:w="40" w:type="dxa"/>
              <w:right w:w="20" w:type="dxa"/>
            </w:tcMar>
            <w:vAlign w:val="bottom"/>
          </w:tcPr>
          <w:p w14:paraId="35D0C23E" w14:textId="77777777" w:rsidR="00D42204" w:rsidRDefault="004E439D">
            <w:pPr>
              <w:textAlignment w:val="bottom"/>
            </w:pPr>
            <w:r>
              <w:rPr>
                <w:rFonts w:ascii="Times New Roman" w:eastAsia="宋体" w:hAnsi="Times New Roman"/>
                <w:color w:val="000000"/>
                <w:sz w:val="20"/>
                <w:szCs w:val="20"/>
              </w:rPr>
              <w:t>Date: March 18, 2022</w:t>
            </w:r>
          </w:p>
        </w:tc>
        <w:tc>
          <w:tcPr>
            <w:tcW w:w="0" w:type="auto"/>
            <w:gridSpan w:val="3"/>
            <w:shd w:val="clear" w:color="auto" w:fill="auto"/>
            <w:tcMar>
              <w:top w:w="0" w:type="dxa"/>
              <w:left w:w="20" w:type="dxa"/>
              <w:bottom w:w="0" w:type="dxa"/>
              <w:right w:w="20" w:type="dxa"/>
            </w:tcMar>
            <w:vAlign w:val="bottom"/>
          </w:tcPr>
          <w:p w14:paraId="35D0C23F"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40" w14:textId="77777777" w:rsidR="00D42204" w:rsidRDefault="004E439D">
            <w:pPr>
              <w:textAlignment w:val="bottom"/>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35D0C24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42" w14:textId="77777777" w:rsidR="00D42204" w:rsidRDefault="004E439D">
            <w:pPr>
              <w:textAlignment w:val="bottom"/>
            </w:pPr>
            <w:r>
              <w:rPr>
                <w:rFonts w:ascii="Times New Roman" w:eastAsia="宋体" w:hAnsi="Times New Roman"/>
                <w:color w:val="000000"/>
                <w:sz w:val="20"/>
                <w:szCs w:val="20"/>
              </w:rPr>
              <w:t>/s/ Timothy P. Flynn</w:t>
            </w:r>
          </w:p>
        </w:tc>
      </w:tr>
      <w:tr w:rsidR="00D42204" w14:paraId="35D0C249" w14:textId="77777777">
        <w:tc>
          <w:tcPr>
            <w:tcW w:w="0" w:type="auto"/>
            <w:gridSpan w:val="3"/>
            <w:shd w:val="clear" w:color="auto" w:fill="auto"/>
            <w:tcMar>
              <w:top w:w="0" w:type="dxa"/>
              <w:left w:w="20" w:type="dxa"/>
              <w:bottom w:w="0" w:type="dxa"/>
              <w:right w:w="20" w:type="dxa"/>
            </w:tcMar>
            <w:vAlign w:val="bottom"/>
          </w:tcPr>
          <w:p w14:paraId="35D0C244"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45"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46"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47"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C248" w14:textId="77777777" w:rsidR="00D42204" w:rsidRDefault="004E439D">
            <w:pPr>
              <w:textAlignment w:val="bottom"/>
            </w:pPr>
            <w:r>
              <w:rPr>
                <w:rFonts w:ascii="Times New Roman" w:eastAsia="宋体" w:hAnsi="Times New Roman"/>
                <w:color w:val="000000"/>
                <w:sz w:val="20"/>
                <w:szCs w:val="20"/>
              </w:rPr>
              <w:t>Timothy P. Flynn</w:t>
            </w:r>
          </w:p>
        </w:tc>
      </w:tr>
      <w:tr w:rsidR="00D42204" w14:paraId="35D0C24F" w14:textId="77777777">
        <w:tc>
          <w:tcPr>
            <w:tcW w:w="0" w:type="auto"/>
            <w:gridSpan w:val="3"/>
            <w:shd w:val="clear" w:color="auto" w:fill="auto"/>
            <w:tcMar>
              <w:top w:w="0" w:type="dxa"/>
              <w:left w:w="20" w:type="dxa"/>
              <w:bottom w:w="0" w:type="dxa"/>
              <w:right w:w="20" w:type="dxa"/>
            </w:tcMar>
            <w:vAlign w:val="bottom"/>
          </w:tcPr>
          <w:p w14:paraId="35D0C24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4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4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4D"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4E" w14:textId="77777777" w:rsidR="00D42204" w:rsidRDefault="004E439D">
            <w:pPr>
              <w:textAlignment w:val="bottom"/>
            </w:pPr>
            <w:r>
              <w:rPr>
                <w:rFonts w:ascii="Times New Roman" w:eastAsia="宋体" w:hAnsi="Times New Roman"/>
                <w:color w:val="000000"/>
                <w:sz w:val="20"/>
                <w:szCs w:val="20"/>
              </w:rPr>
              <w:t>Director</w:t>
            </w:r>
          </w:p>
        </w:tc>
      </w:tr>
      <w:tr w:rsidR="00D42204" w14:paraId="35D0C255" w14:textId="77777777">
        <w:trPr>
          <w:trHeight w:val="160"/>
        </w:trPr>
        <w:tc>
          <w:tcPr>
            <w:tcW w:w="0" w:type="auto"/>
            <w:gridSpan w:val="3"/>
            <w:shd w:val="clear" w:color="auto" w:fill="auto"/>
            <w:tcMar>
              <w:top w:w="0" w:type="dxa"/>
              <w:left w:w="20" w:type="dxa"/>
              <w:bottom w:w="0" w:type="dxa"/>
              <w:right w:w="20" w:type="dxa"/>
            </w:tcMar>
            <w:vAlign w:val="bottom"/>
          </w:tcPr>
          <w:p w14:paraId="35D0C250"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51"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52"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53"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54" w14:textId="77777777" w:rsidR="00D42204" w:rsidRDefault="00D42204">
            <w:pPr>
              <w:rPr>
                <w:rFonts w:ascii="宋体"/>
              </w:rPr>
            </w:pPr>
          </w:p>
        </w:tc>
      </w:tr>
      <w:tr w:rsidR="00D42204" w14:paraId="35D0C25B" w14:textId="77777777">
        <w:tc>
          <w:tcPr>
            <w:tcW w:w="0" w:type="auto"/>
            <w:gridSpan w:val="3"/>
            <w:shd w:val="clear" w:color="auto" w:fill="auto"/>
            <w:tcMar>
              <w:top w:w="40" w:type="dxa"/>
              <w:left w:w="20" w:type="dxa"/>
              <w:bottom w:w="40" w:type="dxa"/>
              <w:right w:w="20" w:type="dxa"/>
            </w:tcMar>
            <w:vAlign w:val="bottom"/>
          </w:tcPr>
          <w:p w14:paraId="35D0C256" w14:textId="77777777" w:rsidR="00D42204" w:rsidRDefault="004E439D">
            <w:pPr>
              <w:textAlignment w:val="bottom"/>
            </w:pPr>
            <w:r>
              <w:rPr>
                <w:rFonts w:ascii="Times New Roman" w:eastAsia="宋体" w:hAnsi="Times New Roman"/>
                <w:color w:val="000000"/>
                <w:sz w:val="20"/>
                <w:szCs w:val="20"/>
              </w:rPr>
              <w:t>Date: March 18, 2022</w:t>
            </w:r>
          </w:p>
        </w:tc>
        <w:tc>
          <w:tcPr>
            <w:tcW w:w="0" w:type="auto"/>
            <w:gridSpan w:val="3"/>
            <w:shd w:val="clear" w:color="auto" w:fill="auto"/>
            <w:tcMar>
              <w:top w:w="0" w:type="dxa"/>
              <w:left w:w="20" w:type="dxa"/>
              <w:bottom w:w="0" w:type="dxa"/>
              <w:right w:w="20" w:type="dxa"/>
            </w:tcMar>
            <w:vAlign w:val="bottom"/>
          </w:tcPr>
          <w:p w14:paraId="35D0C257"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58" w14:textId="77777777" w:rsidR="00D42204" w:rsidRDefault="004E439D">
            <w:pPr>
              <w:textAlignment w:val="bottom"/>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35D0C259"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5A" w14:textId="77777777" w:rsidR="00D42204" w:rsidRDefault="004E439D">
            <w:pPr>
              <w:textAlignment w:val="bottom"/>
            </w:pPr>
            <w:r>
              <w:rPr>
                <w:rFonts w:ascii="Times New Roman" w:eastAsia="宋体" w:hAnsi="Times New Roman"/>
                <w:color w:val="000000"/>
                <w:sz w:val="20"/>
                <w:szCs w:val="20"/>
              </w:rPr>
              <w:t>/s/ Sarah Friar</w:t>
            </w:r>
          </w:p>
        </w:tc>
      </w:tr>
      <w:tr w:rsidR="00D42204" w14:paraId="35D0C261" w14:textId="77777777">
        <w:tc>
          <w:tcPr>
            <w:tcW w:w="0" w:type="auto"/>
            <w:gridSpan w:val="3"/>
            <w:shd w:val="clear" w:color="auto" w:fill="auto"/>
            <w:tcMar>
              <w:top w:w="0" w:type="dxa"/>
              <w:left w:w="20" w:type="dxa"/>
              <w:bottom w:w="0" w:type="dxa"/>
              <w:right w:w="20" w:type="dxa"/>
            </w:tcMar>
            <w:vAlign w:val="bottom"/>
          </w:tcPr>
          <w:p w14:paraId="35D0C25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5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5E"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5F"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C260" w14:textId="77777777" w:rsidR="00D42204" w:rsidRDefault="004E439D">
            <w:pPr>
              <w:textAlignment w:val="bottom"/>
            </w:pPr>
            <w:r>
              <w:rPr>
                <w:rFonts w:ascii="Times New Roman" w:eastAsia="宋体" w:hAnsi="Times New Roman"/>
                <w:color w:val="000000"/>
                <w:sz w:val="20"/>
                <w:szCs w:val="20"/>
              </w:rPr>
              <w:t>Sarah Friar</w:t>
            </w:r>
          </w:p>
        </w:tc>
      </w:tr>
      <w:tr w:rsidR="00D42204" w14:paraId="35D0C267" w14:textId="77777777">
        <w:tc>
          <w:tcPr>
            <w:tcW w:w="0" w:type="auto"/>
            <w:gridSpan w:val="3"/>
            <w:shd w:val="clear" w:color="auto" w:fill="auto"/>
            <w:tcMar>
              <w:top w:w="0" w:type="dxa"/>
              <w:left w:w="20" w:type="dxa"/>
              <w:bottom w:w="0" w:type="dxa"/>
              <w:right w:w="20" w:type="dxa"/>
            </w:tcMar>
            <w:vAlign w:val="bottom"/>
          </w:tcPr>
          <w:p w14:paraId="35D0C262"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63"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64"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65"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66" w14:textId="77777777" w:rsidR="00D42204" w:rsidRDefault="004E439D">
            <w:pPr>
              <w:textAlignment w:val="bottom"/>
            </w:pPr>
            <w:r>
              <w:rPr>
                <w:rFonts w:ascii="Times New Roman" w:eastAsia="宋体" w:hAnsi="Times New Roman"/>
                <w:color w:val="000000"/>
                <w:sz w:val="20"/>
                <w:szCs w:val="20"/>
              </w:rPr>
              <w:t>Director</w:t>
            </w:r>
          </w:p>
        </w:tc>
      </w:tr>
      <w:tr w:rsidR="00D42204" w14:paraId="35D0C26D" w14:textId="77777777">
        <w:trPr>
          <w:trHeight w:val="160"/>
        </w:trPr>
        <w:tc>
          <w:tcPr>
            <w:tcW w:w="0" w:type="auto"/>
            <w:gridSpan w:val="3"/>
            <w:shd w:val="clear" w:color="auto" w:fill="auto"/>
            <w:tcMar>
              <w:top w:w="0" w:type="dxa"/>
              <w:left w:w="20" w:type="dxa"/>
              <w:bottom w:w="0" w:type="dxa"/>
              <w:right w:w="20" w:type="dxa"/>
            </w:tcMar>
            <w:vAlign w:val="bottom"/>
          </w:tcPr>
          <w:p w14:paraId="35D0C268"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69"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6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6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6C" w14:textId="77777777" w:rsidR="00D42204" w:rsidRDefault="00D42204">
            <w:pPr>
              <w:rPr>
                <w:rFonts w:ascii="宋体"/>
              </w:rPr>
            </w:pPr>
          </w:p>
        </w:tc>
      </w:tr>
      <w:tr w:rsidR="00D42204" w14:paraId="35D0C273" w14:textId="77777777">
        <w:tc>
          <w:tcPr>
            <w:tcW w:w="0" w:type="auto"/>
            <w:gridSpan w:val="3"/>
            <w:shd w:val="clear" w:color="auto" w:fill="auto"/>
            <w:tcMar>
              <w:top w:w="40" w:type="dxa"/>
              <w:left w:w="20" w:type="dxa"/>
              <w:bottom w:w="40" w:type="dxa"/>
              <w:right w:w="20" w:type="dxa"/>
            </w:tcMar>
            <w:vAlign w:val="bottom"/>
          </w:tcPr>
          <w:p w14:paraId="35D0C26E" w14:textId="77777777" w:rsidR="00D42204" w:rsidRDefault="004E439D">
            <w:pPr>
              <w:textAlignment w:val="bottom"/>
            </w:pPr>
            <w:r>
              <w:rPr>
                <w:rFonts w:ascii="Times New Roman" w:eastAsia="宋体" w:hAnsi="Times New Roman"/>
                <w:color w:val="000000"/>
                <w:sz w:val="20"/>
                <w:szCs w:val="20"/>
              </w:rPr>
              <w:t>Date: March 18, 2022</w:t>
            </w:r>
          </w:p>
        </w:tc>
        <w:tc>
          <w:tcPr>
            <w:tcW w:w="0" w:type="auto"/>
            <w:gridSpan w:val="3"/>
            <w:shd w:val="clear" w:color="auto" w:fill="auto"/>
            <w:tcMar>
              <w:top w:w="0" w:type="dxa"/>
              <w:left w:w="20" w:type="dxa"/>
              <w:bottom w:w="0" w:type="dxa"/>
              <w:right w:w="20" w:type="dxa"/>
            </w:tcMar>
            <w:vAlign w:val="bottom"/>
          </w:tcPr>
          <w:p w14:paraId="35D0C26F"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70" w14:textId="77777777" w:rsidR="00D42204" w:rsidRDefault="004E439D">
            <w:pPr>
              <w:textAlignment w:val="bottom"/>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35D0C27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72" w14:textId="77777777" w:rsidR="00D42204" w:rsidRDefault="004E439D">
            <w:pPr>
              <w:textAlignment w:val="bottom"/>
            </w:pPr>
            <w:r>
              <w:rPr>
                <w:rFonts w:ascii="Times New Roman" w:eastAsia="宋体" w:hAnsi="Times New Roman"/>
                <w:color w:val="000000"/>
                <w:sz w:val="20"/>
                <w:szCs w:val="20"/>
              </w:rPr>
              <w:t>/s/ Carla A. Harris</w:t>
            </w:r>
          </w:p>
        </w:tc>
      </w:tr>
      <w:tr w:rsidR="00D42204" w14:paraId="35D0C279" w14:textId="77777777">
        <w:tc>
          <w:tcPr>
            <w:tcW w:w="0" w:type="auto"/>
            <w:gridSpan w:val="3"/>
            <w:shd w:val="clear" w:color="auto" w:fill="auto"/>
            <w:tcMar>
              <w:top w:w="0" w:type="dxa"/>
              <w:left w:w="20" w:type="dxa"/>
              <w:bottom w:w="0" w:type="dxa"/>
              <w:right w:w="20" w:type="dxa"/>
            </w:tcMar>
            <w:vAlign w:val="bottom"/>
          </w:tcPr>
          <w:p w14:paraId="35D0C274"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75"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76"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77"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C278" w14:textId="77777777" w:rsidR="00D42204" w:rsidRDefault="004E439D">
            <w:pPr>
              <w:textAlignment w:val="bottom"/>
            </w:pPr>
            <w:r>
              <w:rPr>
                <w:rFonts w:ascii="Times New Roman" w:eastAsia="宋体" w:hAnsi="Times New Roman"/>
                <w:color w:val="000000"/>
                <w:sz w:val="20"/>
                <w:szCs w:val="20"/>
              </w:rPr>
              <w:t xml:space="preserve">Carla A. </w:t>
            </w:r>
            <w:r>
              <w:rPr>
                <w:rFonts w:ascii="Times New Roman" w:eastAsia="宋体" w:hAnsi="Times New Roman"/>
                <w:color w:val="000000"/>
                <w:sz w:val="20"/>
                <w:szCs w:val="20"/>
              </w:rPr>
              <w:t>Harris</w:t>
            </w:r>
          </w:p>
        </w:tc>
      </w:tr>
      <w:tr w:rsidR="00D42204" w14:paraId="35D0C27F" w14:textId="77777777">
        <w:tc>
          <w:tcPr>
            <w:tcW w:w="0" w:type="auto"/>
            <w:gridSpan w:val="3"/>
            <w:shd w:val="clear" w:color="auto" w:fill="auto"/>
            <w:tcMar>
              <w:top w:w="0" w:type="dxa"/>
              <w:left w:w="20" w:type="dxa"/>
              <w:bottom w:w="0" w:type="dxa"/>
              <w:right w:w="20" w:type="dxa"/>
            </w:tcMar>
            <w:vAlign w:val="bottom"/>
          </w:tcPr>
          <w:p w14:paraId="35D0C27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7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7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7D"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7E" w14:textId="77777777" w:rsidR="00D42204" w:rsidRDefault="004E439D">
            <w:pPr>
              <w:textAlignment w:val="bottom"/>
            </w:pPr>
            <w:r>
              <w:rPr>
                <w:rFonts w:ascii="Times New Roman" w:eastAsia="宋体" w:hAnsi="Times New Roman"/>
                <w:color w:val="000000"/>
                <w:sz w:val="20"/>
                <w:szCs w:val="20"/>
              </w:rPr>
              <w:t>Director</w:t>
            </w:r>
          </w:p>
        </w:tc>
      </w:tr>
      <w:tr w:rsidR="00D42204" w14:paraId="35D0C285" w14:textId="77777777">
        <w:trPr>
          <w:trHeight w:val="160"/>
        </w:trPr>
        <w:tc>
          <w:tcPr>
            <w:tcW w:w="0" w:type="auto"/>
            <w:gridSpan w:val="3"/>
            <w:shd w:val="clear" w:color="auto" w:fill="auto"/>
            <w:tcMar>
              <w:top w:w="0" w:type="dxa"/>
              <w:left w:w="20" w:type="dxa"/>
              <w:bottom w:w="0" w:type="dxa"/>
              <w:right w:w="20" w:type="dxa"/>
            </w:tcMar>
            <w:vAlign w:val="bottom"/>
          </w:tcPr>
          <w:p w14:paraId="35D0C280"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81"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82"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83"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84" w14:textId="77777777" w:rsidR="00D42204" w:rsidRDefault="00D42204">
            <w:pPr>
              <w:rPr>
                <w:rFonts w:ascii="宋体"/>
              </w:rPr>
            </w:pPr>
          </w:p>
        </w:tc>
      </w:tr>
      <w:tr w:rsidR="00D42204" w14:paraId="35D0C28B" w14:textId="77777777">
        <w:tc>
          <w:tcPr>
            <w:tcW w:w="0" w:type="auto"/>
            <w:gridSpan w:val="3"/>
            <w:shd w:val="clear" w:color="auto" w:fill="auto"/>
            <w:tcMar>
              <w:top w:w="40" w:type="dxa"/>
              <w:left w:w="20" w:type="dxa"/>
              <w:bottom w:w="40" w:type="dxa"/>
              <w:right w:w="20" w:type="dxa"/>
            </w:tcMar>
            <w:vAlign w:val="bottom"/>
          </w:tcPr>
          <w:p w14:paraId="35D0C286" w14:textId="77777777" w:rsidR="00D42204" w:rsidRDefault="004E439D">
            <w:pPr>
              <w:textAlignment w:val="bottom"/>
            </w:pPr>
            <w:r>
              <w:rPr>
                <w:rFonts w:ascii="Times New Roman" w:eastAsia="宋体" w:hAnsi="Times New Roman"/>
                <w:color w:val="000000"/>
                <w:sz w:val="20"/>
                <w:szCs w:val="20"/>
              </w:rPr>
              <w:t>Date: March 18, 2022</w:t>
            </w:r>
          </w:p>
        </w:tc>
        <w:tc>
          <w:tcPr>
            <w:tcW w:w="0" w:type="auto"/>
            <w:gridSpan w:val="3"/>
            <w:shd w:val="clear" w:color="auto" w:fill="auto"/>
            <w:tcMar>
              <w:top w:w="0" w:type="dxa"/>
              <w:left w:w="20" w:type="dxa"/>
              <w:bottom w:w="0" w:type="dxa"/>
              <w:right w:w="20" w:type="dxa"/>
            </w:tcMar>
            <w:vAlign w:val="bottom"/>
          </w:tcPr>
          <w:p w14:paraId="35D0C287"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88" w14:textId="77777777" w:rsidR="00D42204" w:rsidRDefault="004E439D">
            <w:pPr>
              <w:textAlignment w:val="bottom"/>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35D0C289"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8A" w14:textId="77777777" w:rsidR="00D42204" w:rsidRDefault="004E439D">
            <w:pPr>
              <w:textAlignment w:val="bottom"/>
            </w:pPr>
            <w:r>
              <w:rPr>
                <w:rFonts w:ascii="Times New Roman" w:eastAsia="宋体" w:hAnsi="Times New Roman"/>
                <w:color w:val="000000"/>
                <w:sz w:val="20"/>
                <w:szCs w:val="20"/>
              </w:rPr>
              <w:t>/s/ Thomas W. Horton</w:t>
            </w:r>
          </w:p>
        </w:tc>
      </w:tr>
      <w:tr w:rsidR="00D42204" w14:paraId="35D0C291" w14:textId="77777777">
        <w:tc>
          <w:tcPr>
            <w:tcW w:w="0" w:type="auto"/>
            <w:gridSpan w:val="3"/>
            <w:shd w:val="clear" w:color="auto" w:fill="auto"/>
            <w:tcMar>
              <w:top w:w="0" w:type="dxa"/>
              <w:left w:w="20" w:type="dxa"/>
              <w:bottom w:w="0" w:type="dxa"/>
              <w:right w:w="20" w:type="dxa"/>
            </w:tcMar>
            <w:vAlign w:val="bottom"/>
          </w:tcPr>
          <w:p w14:paraId="35D0C28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8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8E"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8F"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C290" w14:textId="77777777" w:rsidR="00D42204" w:rsidRDefault="004E439D">
            <w:pPr>
              <w:textAlignment w:val="bottom"/>
            </w:pPr>
            <w:r>
              <w:rPr>
                <w:rFonts w:ascii="Times New Roman" w:eastAsia="宋体" w:hAnsi="Times New Roman"/>
                <w:color w:val="000000"/>
                <w:sz w:val="20"/>
                <w:szCs w:val="20"/>
              </w:rPr>
              <w:t>Thomas W. Horton</w:t>
            </w:r>
          </w:p>
        </w:tc>
      </w:tr>
      <w:tr w:rsidR="00D42204" w14:paraId="35D0C297" w14:textId="77777777">
        <w:tc>
          <w:tcPr>
            <w:tcW w:w="0" w:type="auto"/>
            <w:gridSpan w:val="3"/>
            <w:shd w:val="clear" w:color="auto" w:fill="auto"/>
            <w:tcMar>
              <w:top w:w="0" w:type="dxa"/>
              <w:left w:w="20" w:type="dxa"/>
              <w:bottom w:w="0" w:type="dxa"/>
              <w:right w:w="20" w:type="dxa"/>
            </w:tcMar>
            <w:vAlign w:val="bottom"/>
          </w:tcPr>
          <w:p w14:paraId="35D0C292"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93"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94"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95"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96" w14:textId="77777777" w:rsidR="00D42204" w:rsidRDefault="004E439D">
            <w:pPr>
              <w:textAlignment w:val="bottom"/>
            </w:pPr>
            <w:r>
              <w:rPr>
                <w:rFonts w:ascii="Times New Roman" w:eastAsia="宋体" w:hAnsi="Times New Roman"/>
                <w:color w:val="000000"/>
                <w:sz w:val="20"/>
                <w:szCs w:val="20"/>
              </w:rPr>
              <w:t>Director</w:t>
            </w:r>
          </w:p>
        </w:tc>
      </w:tr>
      <w:tr w:rsidR="00D42204" w14:paraId="35D0C29D" w14:textId="77777777">
        <w:trPr>
          <w:trHeight w:val="160"/>
        </w:trPr>
        <w:tc>
          <w:tcPr>
            <w:tcW w:w="0" w:type="auto"/>
            <w:gridSpan w:val="3"/>
            <w:shd w:val="clear" w:color="auto" w:fill="auto"/>
            <w:tcMar>
              <w:top w:w="0" w:type="dxa"/>
              <w:left w:w="20" w:type="dxa"/>
              <w:bottom w:w="0" w:type="dxa"/>
              <w:right w:w="20" w:type="dxa"/>
            </w:tcMar>
            <w:vAlign w:val="bottom"/>
          </w:tcPr>
          <w:p w14:paraId="35D0C298"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99"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9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9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9C" w14:textId="77777777" w:rsidR="00D42204" w:rsidRDefault="00D42204">
            <w:pPr>
              <w:rPr>
                <w:rFonts w:ascii="宋体"/>
              </w:rPr>
            </w:pPr>
          </w:p>
        </w:tc>
      </w:tr>
      <w:tr w:rsidR="00D42204" w14:paraId="35D0C2A3" w14:textId="77777777">
        <w:tc>
          <w:tcPr>
            <w:tcW w:w="0" w:type="auto"/>
            <w:gridSpan w:val="3"/>
            <w:shd w:val="clear" w:color="auto" w:fill="auto"/>
            <w:tcMar>
              <w:top w:w="40" w:type="dxa"/>
              <w:left w:w="20" w:type="dxa"/>
              <w:bottom w:w="40" w:type="dxa"/>
              <w:right w:w="20" w:type="dxa"/>
            </w:tcMar>
          </w:tcPr>
          <w:p w14:paraId="35D0C29E" w14:textId="77777777" w:rsidR="00D42204" w:rsidRDefault="004E439D">
            <w:pPr>
              <w:textAlignment w:val="top"/>
            </w:pPr>
            <w:r>
              <w:rPr>
                <w:rFonts w:ascii="Times New Roman" w:eastAsia="宋体" w:hAnsi="Times New Roman"/>
                <w:color w:val="000000"/>
                <w:sz w:val="20"/>
                <w:szCs w:val="20"/>
              </w:rPr>
              <w:t>Date: March 18, 2022</w:t>
            </w:r>
          </w:p>
        </w:tc>
        <w:tc>
          <w:tcPr>
            <w:tcW w:w="0" w:type="auto"/>
            <w:gridSpan w:val="3"/>
            <w:shd w:val="clear" w:color="auto" w:fill="auto"/>
            <w:tcMar>
              <w:top w:w="0" w:type="dxa"/>
              <w:left w:w="20" w:type="dxa"/>
              <w:bottom w:w="0" w:type="dxa"/>
              <w:right w:w="20" w:type="dxa"/>
            </w:tcMar>
            <w:vAlign w:val="bottom"/>
          </w:tcPr>
          <w:p w14:paraId="35D0C29F"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A0" w14:textId="77777777" w:rsidR="00D42204" w:rsidRDefault="004E439D">
            <w:pPr>
              <w:textAlignment w:val="bottom"/>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35D0C2A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A2" w14:textId="77777777" w:rsidR="00D42204" w:rsidRDefault="004E439D">
            <w:pPr>
              <w:textAlignment w:val="bottom"/>
            </w:pPr>
            <w:r>
              <w:rPr>
                <w:rFonts w:ascii="Times New Roman" w:eastAsia="宋体" w:hAnsi="Times New Roman"/>
                <w:color w:val="000000"/>
                <w:sz w:val="20"/>
                <w:szCs w:val="20"/>
              </w:rPr>
              <w:t>/s/ Marissa A. Mayer</w:t>
            </w:r>
          </w:p>
        </w:tc>
      </w:tr>
      <w:tr w:rsidR="00D42204" w14:paraId="35D0C2A9" w14:textId="77777777">
        <w:tc>
          <w:tcPr>
            <w:tcW w:w="0" w:type="auto"/>
            <w:gridSpan w:val="3"/>
            <w:shd w:val="clear" w:color="auto" w:fill="auto"/>
            <w:tcMar>
              <w:top w:w="0" w:type="dxa"/>
              <w:left w:w="20" w:type="dxa"/>
              <w:bottom w:w="0" w:type="dxa"/>
              <w:right w:w="20" w:type="dxa"/>
            </w:tcMar>
            <w:vAlign w:val="bottom"/>
          </w:tcPr>
          <w:p w14:paraId="35D0C2A4"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A5"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A6"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A7"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C2A8" w14:textId="77777777" w:rsidR="00D42204" w:rsidRDefault="004E439D">
            <w:pPr>
              <w:textAlignment w:val="bottom"/>
            </w:pPr>
            <w:r>
              <w:rPr>
                <w:rFonts w:ascii="Times New Roman" w:eastAsia="宋体" w:hAnsi="Times New Roman"/>
                <w:color w:val="000000"/>
                <w:sz w:val="20"/>
                <w:szCs w:val="20"/>
              </w:rPr>
              <w:t>Marissa A. Mayer</w:t>
            </w:r>
          </w:p>
        </w:tc>
      </w:tr>
      <w:tr w:rsidR="00D42204" w14:paraId="35D0C2AF" w14:textId="77777777">
        <w:tc>
          <w:tcPr>
            <w:tcW w:w="0" w:type="auto"/>
            <w:gridSpan w:val="3"/>
            <w:shd w:val="clear" w:color="auto" w:fill="auto"/>
            <w:tcMar>
              <w:top w:w="0" w:type="dxa"/>
              <w:left w:w="20" w:type="dxa"/>
              <w:bottom w:w="0" w:type="dxa"/>
              <w:right w:w="20" w:type="dxa"/>
            </w:tcMar>
            <w:vAlign w:val="bottom"/>
          </w:tcPr>
          <w:p w14:paraId="35D0C2A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A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A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AD"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AE" w14:textId="77777777" w:rsidR="00D42204" w:rsidRDefault="004E439D">
            <w:pPr>
              <w:textAlignment w:val="bottom"/>
            </w:pPr>
            <w:r>
              <w:rPr>
                <w:rFonts w:ascii="Times New Roman" w:eastAsia="宋体" w:hAnsi="Times New Roman"/>
                <w:color w:val="000000"/>
                <w:sz w:val="20"/>
                <w:szCs w:val="20"/>
              </w:rPr>
              <w:t>Director</w:t>
            </w:r>
          </w:p>
        </w:tc>
      </w:tr>
      <w:tr w:rsidR="00D42204" w14:paraId="35D0C2B5" w14:textId="77777777">
        <w:trPr>
          <w:trHeight w:val="160"/>
        </w:trPr>
        <w:tc>
          <w:tcPr>
            <w:tcW w:w="0" w:type="auto"/>
            <w:gridSpan w:val="3"/>
            <w:shd w:val="clear" w:color="auto" w:fill="auto"/>
            <w:tcMar>
              <w:top w:w="0" w:type="dxa"/>
              <w:left w:w="20" w:type="dxa"/>
              <w:bottom w:w="0" w:type="dxa"/>
              <w:right w:w="20" w:type="dxa"/>
            </w:tcMar>
            <w:vAlign w:val="bottom"/>
          </w:tcPr>
          <w:p w14:paraId="35D0C2B0"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B1"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B2"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B3"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B4" w14:textId="77777777" w:rsidR="00D42204" w:rsidRDefault="00D42204">
            <w:pPr>
              <w:rPr>
                <w:rFonts w:ascii="宋体"/>
              </w:rPr>
            </w:pPr>
          </w:p>
        </w:tc>
      </w:tr>
      <w:tr w:rsidR="00D42204" w14:paraId="35D0C2BB" w14:textId="77777777">
        <w:tc>
          <w:tcPr>
            <w:tcW w:w="0" w:type="auto"/>
            <w:gridSpan w:val="3"/>
            <w:shd w:val="clear" w:color="auto" w:fill="auto"/>
            <w:tcMar>
              <w:top w:w="40" w:type="dxa"/>
              <w:left w:w="20" w:type="dxa"/>
              <w:bottom w:w="40" w:type="dxa"/>
              <w:right w:w="20" w:type="dxa"/>
            </w:tcMar>
          </w:tcPr>
          <w:p w14:paraId="35D0C2B6" w14:textId="77777777" w:rsidR="00D42204" w:rsidRDefault="004E439D">
            <w:pPr>
              <w:textAlignment w:val="top"/>
            </w:pPr>
            <w:r>
              <w:rPr>
                <w:rFonts w:ascii="Times New Roman" w:eastAsia="宋体" w:hAnsi="Times New Roman"/>
                <w:color w:val="000000"/>
                <w:sz w:val="20"/>
                <w:szCs w:val="20"/>
              </w:rPr>
              <w:t>Date: March 18, 2022</w:t>
            </w:r>
          </w:p>
        </w:tc>
        <w:tc>
          <w:tcPr>
            <w:tcW w:w="0" w:type="auto"/>
            <w:gridSpan w:val="3"/>
            <w:shd w:val="clear" w:color="auto" w:fill="auto"/>
            <w:tcMar>
              <w:top w:w="0" w:type="dxa"/>
              <w:left w:w="20" w:type="dxa"/>
              <w:bottom w:w="0" w:type="dxa"/>
              <w:right w:w="20" w:type="dxa"/>
            </w:tcMar>
            <w:vAlign w:val="bottom"/>
          </w:tcPr>
          <w:p w14:paraId="35D0C2B7"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B8" w14:textId="77777777" w:rsidR="00D42204" w:rsidRDefault="004E439D">
            <w:pPr>
              <w:textAlignment w:val="bottom"/>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35D0C2B9"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BA" w14:textId="77777777" w:rsidR="00D42204" w:rsidRDefault="004E439D">
            <w:pPr>
              <w:textAlignment w:val="bottom"/>
            </w:pPr>
            <w:r>
              <w:rPr>
                <w:rFonts w:ascii="Times New Roman" w:eastAsia="宋体" w:hAnsi="Times New Roman"/>
                <w:color w:val="000000"/>
                <w:sz w:val="20"/>
                <w:szCs w:val="20"/>
              </w:rPr>
              <w:t xml:space="preserve">/s/ Steven S </w:t>
            </w:r>
            <w:r>
              <w:rPr>
                <w:rFonts w:ascii="Times New Roman" w:eastAsia="宋体" w:hAnsi="Times New Roman"/>
                <w:color w:val="000000"/>
                <w:sz w:val="20"/>
                <w:szCs w:val="20"/>
              </w:rPr>
              <w:t>Reinemund</w:t>
            </w:r>
          </w:p>
        </w:tc>
      </w:tr>
      <w:tr w:rsidR="00D42204" w14:paraId="35D0C2C1" w14:textId="77777777">
        <w:tc>
          <w:tcPr>
            <w:tcW w:w="0" w:type="auto"/>
            <w:gridSpan w:val="3"/>
            <w:shd w:val="clear" w:color="auto" w:fill="auto"/>
            <w:tcMar>
              <w:top w:w="0" w:type="dxa"/>
              <w:left w:w="20" w:type="dxa"/>
              <w:bottom w:w="0" w:type="dxa"/>
              <w:right w:w="20" w:type="dxa"/>
            </w:tcMar>
            <w:vAlign w:val="bottom"/>
          </w:tcPr>
          <w:p w14:paraId="35D0C2B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BD"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BE"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BF"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C2C0" w14:textId="77777777" w:rsidR="00D42204" w:rsidRDefault="004E439D">
            <w:pPr>
              <w:textAlignment w:val="bottom"/>
            </w:pPr>
            <w:r>
              <w:rPr>
                <w:rFonts w:ascii="Times New Roman" w:eastAsia="宋体" w:hAnsi="Times New Roman"/>
                <w:color w:val="000000"/>
                <w:sz w:val="20"/>
                <w:szCs w:val="20"/>
              </w:rPr>
              <w:t>Steven S Reinemund</w:t>
            </w:r>
          </w:p>
        </w:tc>
      </w:tr>
      <w:tr w:rsidR="00D42204" w14:paraId="35D0C2C7" w14:textId="77777777">
        <w:tc>
          <w:tcPr>
            <w:tcW w:w="0" w:type="auto"/>
            <w:gridSpan w:val="3"/>
            <w:shd w:val="clear" w:color="auto" w:fill="auto"/>
            <w:tcMar>
              <w:top w:w="0" w:type="dxa"/>
              <w:left w:w="20" w:type="dxa"/>
              <w:bottom w:w="0" w:type="dxa"/>
              <w:right w:w="20" w:type="dxa"/>
            </w:tcMar>
            <w:vAlign w:val="bottom"/>
          </w:tcPr>
          <w:p w14:paraId="35D0C2C2"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C3"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C4"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C5"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C6" w14:textId="77777777" w:rsidR="00D42204" w:rsidRDefault="004E439D">
            <w:pPr>
              <w:textAlignment w:val="bottom"/>
            </w:pPr>
            <w:r>
              <w:rPr>
                <w:rFonts w:ascii="Times New Roman" w:eastAsia="宋体" w:hAnsi="Times New Roman"/>
                <w:color w:val="000000"/>
                <w:sz w:val="20"/>
                <w:szCs w:val="20"/>
              </w:rPr>
              <w:t>Director</w:t>
            </w:r>
          </w:p>
        </w:tc>
      </w:tr>
      <w:tr w:rsidR="00D42204" w14:paraId="35D0C2CD" w14:textId="77777777">
        <w:trPr>
          <w:trHeight w:val="160"/>
        </w:trPr>
        <w:tc>
          <w:tcPr>
            <w:tcW w:w="0" w:type="auto"/>
            <w:gridSpan w:val="3"/>
            <w:shd w:val="clear" w:color="auto" w:fill="auto"/>
            <w:tcMar>
              <w:top w:w="0" w:type="dxa"/>
              <w:left w:w="20" w:type="dxa"/>
              <w:bottom w:w="0" w:type="dxa"/>
              <w:right w:w="20" w:type="dxa"/>
            </w:tcMar>
            <w:vAlign w:val="bottom"/>
          </w:tcPr>
          <w:p w14:paraId="35D0C2C8"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C9"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C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C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CC" w14:textId="77777777" w:rsidR="00D42204" w:rsidRDefault="00D42204">
            <w:pPr>
              <w:rPr>
                <w:rFonts w:ascii="宋体"/>
              </w:rPr>
            </w:pPr>
          </w:p>
        </w:tc>
      </w:tr>
      <w:tr w:rsidR="00D42204" w14:paraId="35D0C2D3" w14:textId="77777777">
        <w:tc>
          <w:tcPr>
            <w:tcW w:w="0" w:type="auto"/>
            <w:gridSpan w:val="3"/>
            <w:shd w:val="clear" w:color="auto" w:fill="auto"/>
            <w:tcMar>
              <w:top w:w="40" w:type="dxa"/>
              <w:left w:w="20" w:type="dxa"/>
              <w:bottom w:w="40" w:type="dxa"/>
              <w:right w:w="20" w:type="dxa"/>
            </w:tcMar>
          </w:tcPr>
          <w:p w14:paraId="35D0C2CE" w14:textId="77777777" w:rsidR="00D42204" w:rsidRDefault="004E439D">
            <w:pPr>
              <w:textAlignment w:val="top"/>
            </w:pPr>
            <w:r>
              <w:rPr>
                <w:rFonts w:ascii="Times New Roman" w:eastAsia="宋体" w:hAnsi="Times New Roman"/>
                <w:color w:val="000000"/>
                <w:sz w:val="20"/>
                <w:szCs w:val="20"/>
              </w:rPr>
              <w:t>Date: March 18, 2022</w:t>
            </w:r>
          </w:p>
        </w:tc>
        <w:tc>
          <w:tcPr>
            <w:tcW w:w="0" w:type="auto"/>
            <w:gridSpan w:val="3"/>
            <w:shd w:val="clear" w:color="auto" w:fill="auto"/>
            <w:tcMar>
              <w:top w:w="0" w:type="dxa"/>
              <w:left w:w="20" w:type="dxa"/>
              <w:bottom w:w="0" w:type="dxa"/>
              <w:right w:w="20" w:type="dxa"/>
            </w:tcMar>
            <w:vAlign w:val="bottom"/>
          </w:tcPr>
          <w:p w14:paraId="35D0C2CF"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D0" w14:textId="77777777" w:rsidR="00D42204" w:rsidRDefault="004E439D">
            <w:pPr>
              <w:textAlignment w:val="bottom"/>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35D0C2D1"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D2" w14:textId="77777777" w:rsidR="00D42204" w:rsidRDefault="004E439D">
            <w:pPr>
              <w:textAlignment w:val="bottom"/>
            </w:pPr>
            <w:r>
              <w:rPr>
                <w:rFonts w:ascii="Times New Roman" w:eastAsia="宋体" w:hAnsi="Times New Roman"/>
                <w:color w:val="000000"/>
                <w:sz w:val="20"/>
                <w:szCs w:val="20"/>
              </w:rPr>
              <w:t>/s/ Randall L. Stephenson</w:t>
            </w:r>
          </w:p>
        </w:tc>
      </w:tr>
      <w:tr w:rsidR="00D42204" w14:paraId="35D0C2D9" w14:textId="77777777">
        <w:tc>
          <w:tcPr>
            <w:tcW w:w="0" w:type="auto"/>
            <w:gridSpan w:val="3"/>
            <w:shd w:val="clear" w:color="auto" w:fill="auto"/>
            <w:tcMar>
              <w:top w:w="0" w:type="dxa"/>
              <w:left w:w="20" w:type="dxa"/>
              <w:bottom w:w="0" w:type="dxa"/>
              <w:right w:w="20" w:type="dxa"/>
            </w:tcMar>
            <w:vAlign w:val="bottom"/>
          </w:tcPr>
          <w:p w14:paraId="35D0C2D4"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D5"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D6"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D7" w14:textId="77777777" w:rsidR="00D42204" w:rsidRDefault="00D4220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C2D8" w14:textId="77777777" w:rsidR="00D42204" w:rsidRDefault="004E439D">
            <w:pPr>
              <w:textAlignment w:val="bottom"/>
            </w:pPr>
            <w:r>
              <w:rPr>
                <w:rFonts w:ascii="Times New Roman" w:eastAsia="宋体" w:hAnsi="Times New Roman"/>
                <w:color w:val="000000"/>
                <w:sz w:val="20"/>
                <w:szCs w:val="20"/>
              </w:rPr>
              <w:t>Randall L. Stephenson</w:t>
            </w:r>
          </w:p>
        </w:tc>
      </w:tr>
      <w:tr w:rsidR="00D42204" w14:paraId="35D0C2DF" w14:textId="77777777">
        <w:tc>
          <w:tcPr>
            <w:tcW w:w="0" w:type="auto"/>
            <w:gridSpan w:val="3"/>
            <w:shd w:val="clear" w:color="auto" w:fill="auto"/>
            <w:tcMar>
              <w:top w:w="0" w:type="dxa"/>
              <w:left w:w="20" w:type="dxa"/>
              <w:bottom w:w="0" w:type="dxa"/>
              <w:right w:w="20" w:type="dxa"/>
            </w:tcMar>
            <w:vAlign w:val="bottom"/>
          </w:tcPr>
          <w:p w14:paraId="35D0C2D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D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DC"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DD"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DE" w14:textId="77777777" w:rsidR="00D42204" w:rsidRDefault="004E439D">
            <w:pPr>
              <w:textAlignment w:val="bottom"/>
            </w:pPr>
            <w:r>
              <w:rPr>
                <w:rFonts w:ascii="Times New Roman" w:eastAsia="宋体" w:hAnsi="Times New Roman"/>
                <w:color w:val="000000"/>
                <w:sz w:val="20"/>
                <w:szCs w:val="20"/>
              </w:rPr>
              <w:t>Director</w:t>
            </w:r>
          </w:p>
        </w:tc>
      </w:tr>
      <w:tr w:rsidR="00D42204" w14:paraId="35D0C2E5" w14:textId="77777777">
        <w:trPr>
          <w:trHeight w:val="160"/>
        </w:trPr>
        <w:tc>
          <w:tcPr>
            <w:tcW w:w="0" w:type="auto"/>
            <w:gridSpan w:val="3"/>
            <w:shd w:val="clear" w:color="auto" w:fill="auto"/>
            <w:tcMar>
              <w:top w:w="0" w:type="dxa"/>
              <w:left w:w="20" w:type="dxa"/>
              <w:bottom w:w="0" w:type="dxa"/>
              <w:right w:w="20" w:type="dxa"/>
            </w:tcMar>
            <w:vAlign w:val="bottom"/>
          </w:tcPr>
          <w:p w14:paraId="35D0C2E0"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E1"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E2"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E3"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E4" w14:textId="77777777" w:rsidR="00D42204" w:rsidRDefault="00D42204">
            <w:pPr>
              <w:rPr>
                <w:rFonts w:ascii="宋体"/>
              </w:rPr>
            </w:pPr>
          </w:p>
        </w:tc>
      </w:tr>
      <w:tr w:rsidR="00D42204" w14:paraId="35D0C2EB" w14:textId="77777777">
        <w:tc>
          <w:tcPr>
            <w:tcW w:w="0" w:type="auto"/>
            <w:gridSpan w:val="3"/>
            <w:shd w:val="clear" w:color="auto" w:fill="auto"/>
            <w:tcMar>
              <w:top w:w="40" w:type="dxa"/>
              <w:left w:w="20" w:type="dxa"/>
              <w:bottom w:w="40" w:type="dxa"/>
              <w:right w:w="20" w:type="dxa"/>
            </w:tcMar>
            <w:vAlign w:val="bottom"/>
          </w:tcPr>
          <w:p w14:paraId="35D0C2E6" w14:textId="77777777" w:rsidR="00D42204" w:rsidRDefault="004E439D">
            <w:pPr>
              <w:textAlignment w:val="bottom"/>
            </w:pPr>
            <w:r>
              <w:rPr>
                <w:rFonts w:ascii="Times New Roman" w:eastAsia="宋体" w:hAnsi="Times New Roman"/>
                <w:color w:val="000000"/>
                <w:sz w:val="20"/>
                <w:szCs w:val="20"/>
              </w:rPr>
              <w:t>Date: March 18, 2022</w:t>
            </w:r>
          </w:p>
        </w:tc>
        <w:tc>
          <w:tcPr>
            <w:tcW w:w="0" w:type="auto"/>
            <w:gridSpan w:val="3"/>
            <w:shd w:val="clear" w:color="auto" w:fill="auto"/>
            <w:tcMar>
              <w:top w:w="40" w:type="dxa"/>
              <w:left w:w="20" w:type="dxa"/>
              <w:bottom w:w="40" w:type="dxa"/>
              <w:right w:w="20" w:type="dxa"/>
            </w:tcMar>
            <w:vAlign w:val="bottom"/>
          </w:tcPr>
          <w:p w14:paraId="35D0C2E7"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2E8" w14:textId="77777777" w:rsidR="00D42204" w:rsidRDefault="004E439D">
            <w:pPr>
              <w:textAlignment w:val="bottom"/>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35D0C2E9"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2EA" w14:textId="77777777" w:rsidR="00D42204" w:rsidRDefault="004E439D">
            <w:pPr>
              <w:textAlignment w:val="bottom"/>
            </w:pPr>
            <w:r>
              <w:rPr>
                <w:rFonts w:ascii="Times New Roman" w:eastAsia="宋体" w:hAnsi="Times New Roman"/>
                <w:color w:val="000000"/>
                <w:sz w:val="20"/>
                <w:szCs w:val="20"/>
              </w:rPr>
              <w:t>/s/ S. Robson Walton</w:t>
            </w:r>
          </w:p>
        </w:tc>
      </w:tr>
      <w:tr w:rsidR="00D42204" w14:paraId="35D0C2F1" w14:textId="77777777">
        <w:tc>
          <w:tcPr>
            <w:tcW w:w="0" w:type="auto"/>
            <w:gridSpan w:val="3"/>
            <w:shd w:val="clear" w:color="auto" w:fill="auto"/>
            <w:tcMar>
              <w:top w:w="0" w:type="dxa"/>
              <w:left w:w="20" w:type="dxa"/>
              <w:bottom w:w="0" w:type="dxa"/>
              <w:right w:w="20" w:type="dxa"/>
            </w:tcMar>
            <w:vAlign w:val="bottom"/>
          </w:tcPr>
          <w:p w14:paraId="35D0C2EC"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ED"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C2EE"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EF" w14:textId="77777777" w:rsidR="00D42204" w:rsidRDefault="004E439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C2F0" w14:textId="77777777" w:rsidR="00D42204" w:rsidRDefault="004E439D">
            <w:pPr>
              <w:textAlignment w:val="bottom"/>
            </w:pPr>
            <w:r>
              <w:rPr>
                <w:rFonts w:ascii="Times New Roman" w:eastAsia="宋体" w:hAnsi="Times New Roman"/>
                <w:color w:val="000000"/>
                <w:sz w:val="20"/>
                <w:szCs w:val="20"/>
              </w:rPr>
              <w:t>S. Robson Walton</w:t>
            </w:r>
          </w:p>
        </w:tc>
      </w:tr>
      <w:tr w:rsidR="00D42204" w14:paraId="35D0C2F7" w14:textId="77777777">
        <w:tc>
          <w:tcPr>
            <w:tcW w:w="0" w:type="auto"/>
            <w:gridSpan w:val="3"/>
            <w:shd w:val="clear" w:color="auto" w:fill="auto"/>
            <w:tcMar>
              <w:top w:w="0" w:type="dxa"/>
              <w:left w:w="20" w:type="dxa"/>
              <w:bottom w:w="0" w:type="dxa"/>
              <w:right w:w="20" w:type="dxa"/>
            </w:tcMar>
            <w:vAlign w:val="bottom"/>
          </w:tcPr>
          <w:p w14:paraId="35D0C2F2"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F3"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C2F4"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2F5"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2F6" w14:textId="77777777" w:rsidR="00D42204" w:rsidRDefault="004E439D">
            <w:pPr>
              <w:textAlignment w:val="bottom"/>
            </w:pPr>
            <w:r>
              <w:rPr>
                <w:rFonts w:ascii="Times New Roman" w:eastAsia="宋体" w:hAnsi="Times New Roman"/>
                <w:color w:val="000000"/>
                <w:sz w:val="20"/>
                <w:szCs w:val="20"/>
              </w:rPr>
              <w:t>Director</w:t>
            </w:r>
          </w:p>
        </w:tc>
      </w:tr>
      <w:tr w:rsidR="00D42204" w14:paraId="35D0C2FD" w14:textId="77777777">
        <w:trPr>
          <w:trHeight w:val="160"/>
        </w:trPr>
        <w:tc>
          <w:tcPr>
            <w:tcW w:w="0" w:type="auto"/>
            <w:gridSpan w:val="3"/>
            <w:shd w:val="clear" w:color="auto" w:fill="auto"/>
            <w:tcMar>
              <w:top w:w="0" w:type="dxa"/>
              <w:left w:w="20" w:type="dxa"/>
              <w:bottom w:w="0" w:type="dxa"/>
              <w:right w:w="20" w:type="dxa"/>
            </w:tcMar>
            <w:vAlign w:val="bottom"/>
          </w:tcPr>
          <w:p w14:paraId="35D0C2F8"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F9"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FA"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FB" w14:textId="77777777" w:rsidR="00D42204" w:rsidRDefault="00D42204">
            <w:pPr>
              <w:rPr>
                <w:rFonts w:ascii="宋体"/>
              </w:rPr>
            </w:pPr>
          </w:p>
        </w:tc>
        <w:tc>
          <w:tcPr>
            <w:tcW w:w="0" w:type="auto"/>
            <w:gridSpan w:val="3"/>
            <w:shd w:val="clear" w:color="auto" w:fill="auto"/>
            <w:tcMar>
              <w:top w:w="0" w:type="dxa"/>
              <w:left w:w="20" w:type="dxa"/>
              <w:bottom w:w="0" w:type="dxa"/>
              <w:right w:w="20" w:type="dxa"/>
            </w:tcMar>
            <w:vAlign w:val="bottom"/>
          </w:tcPr>
          <w:p w14:paraId="35D0C2FC" w14:textId="77777777" w:rsidR="00D42204" w:rsidRDefault="00D42204">
            <w:pPr>
              <w:rPr>
                <w:rFonts w:ascii="宋体"/>
              </w:rPr>
            </w:pPr>
          </w:p>
        </w:tc>
      </w:tr>
      <w:tr w:rsidR="00D42204" w14:paraId="35D0C303" w14:textId="77777777">
        <w:tc>
          <w:tcPr>
            <w:tcW w:w="0" w:type="auto"/>
            <w:gridSpan w:val="3"/>
            <w:shd w:val="clear" w:color="auto" w:fill="auto"/>
            <w:tcMar>
              <w:top w:w="40" w:type="dxa"/>
              <w:left w:w="20" w:type="dxa"/>
              <w:bottom w:w="40" w:type="dxa"/>
              <w:right w:w="20" w:type="dxa"/>
            </w:tcMar>
            <w:vAlign w:val="bottom"/>
          </w:tcPr>
          <w:p w14:paraId="35D0C2FE" w14:textId="77777777" w:rsidR="00D42204" w:rsidRDefault="004E439D">
            <w:pPr>
              <w:textAlignment w:val="bottom"/>
            </w:pPr>
            <w:r>
              <w:rPr>
                <w:rFonts w:ascii="Times New Roman" w:eastAsia="宋体" w:hAnsi="Times New Roman"/>
                <w:color w:val="000000"/>
                <w:sz w:val="20"/>
                <w:szCs w:val="20"/>
              </w:rPr>
              <w:t>Date: March 18, 2022</w:t>
            </w:r>
          </w:p>
        </w:tc>
        <w:tc>
          <w:tcPr>
            <w:tcW w:w="0" w:type="auto"/>
            <w:gridSpan w:val="3"/>
            <w:shd w:val="clear" w:color="auto" w:fill="auto"/>
            <w:tcMar>
              <w:top w:w="40" w:type="dxa"/>
              <w:left w:w="20" w:type="dxa"/>
              <w:bottom w:w="40" w:type="dxa"/>
              <w:right w:w="20" w:type="dxa"/>
            </w:tcMar>
            <w:vAlign w:val="bottom"/>
          </w:tcPr>
          <w:p w14:paraId="35D0C2FF"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300" w14:textId="77777777" w:rsidR="00D42204" w:rsidRDefault="004E439D">
            <w:pPr>
              <w:textAlignment w:val="bottom"/>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35D0C301"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302" w14:textId="77777777" w:rsidR="00D42204" w:rsidRDefault="004E439D">
            <w:pPr>
              <w:textAlignment w:val="bottom"/>
            </w:pPr>
            <w:r>
              <w:rPr>
                <w:rFonts w:ascii="Times New Roman" w:eastAsia="宋体" w:hAnsi="Times New Roman"/>
                <w:color w:val="000000"/>
                <w:sz w:val="20"/>
                <w:szCs w:val="20"/>
              </w:rPr>
              <w:t>/s/ Steuart L. Walton</w:t>
            </w:r>
          </w:p>
        </w:tc>
      </w:tr>
      <w:tr w:rsidR="00D42204" w14:paraId="35D0C309" w14:textId="77777777">
        <w:tc>
          <w:tcPr>
            <w:tcW w:w="0" w:type="auto"/>
            <w:gridSpan w:val="3"/>
            <w:shd w:val="clear" w:color="auto" w:fill="auto"/>
            <w:tcMar>
              <w:top w:w="0" w:type="dxa"/>
              <w:left w:w="20" w:type="dxa"/>
              <w:bottom w:w="0" w:type="dxa"/>
              <w:right w:w="20" w:type="dxa"/>
            </w:tcMar>
            <w:vAlign w:val="bottom"/>
          </w:tcPr>
          <w:p w14:paraId="35D0C304"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305"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C306"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307" w14:textId="77777777" w:rsidR="00D42204" w:rsidRDefault="004E439D">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35D0C308" w14:textId="77777777" w:rsidR="00D42204" w:rsidRDefault="004E439D">
            <w:pPr>
              <w:textAlignment w:val="bottom"/>
            </w:pPr>
            <w:r>
              <w:rPr>
                <w:rFonts w:ascii="Times New Roman" w:eastAsia="宋体" w:hAnsi="Times New Roman"/>
                <w:color w:val="000000"/>
                <w:sz w:val="20"/>
                <w:szCs w:val="20"/>
              </w:rPr>
              <w:t>Steuart L. Walton</w:t>
            </w:r>
          </w:p>
        </w:tc>
      </w:tr>
      <w:tr w:rsidR="00D42204" w14:paraId="35D0C30F" w14:textId="77777777">
        <w:tc>
          <w:tcPr>
            <w:tcW w:w="0" w:type="auto"/>
            <w:gridSpan w:val="3"/>
            <w:shd w:val="clear" w:color="auto" w:fill="auto"/>
            <w:tcMar>
              <w:top w:w="0" w:type="dxa"/>
              <w:left w:w="20" w:type="dxa"/>
              <w:bottom w:w="0" w:type="dxa"/>
              <w:right w:w="20" w:type="dxa"/>
            </w:tcMar>
            <w:vAlign w:val="bottom"/>
          </w:tcPr>
          <w:p w14:paraId="35D0C30A"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30B"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35D0C30C" w14:textId="77777777" w:rsidR="00D42204" w:rsidRDefault="00D42204">
            <w:pPr>
              <w:rPr>
                <w:rFonts w:ascii="宋体"/>
              </w:rPr>
            </w:pPr>
          </w:p>
        </w:tc>
        <w:tc>
          <w:tcPr>
            <w:tcW w:w="0" w:type="auto"/>
            <w:gridSpan w:val="3"/>
            <w:shd w:val="clear" w:color="auto" w:fill="auto"/>
            <w:tcMar>
              <w:top w:w="40" w:type="dxa"/>
              <w:left w:w="20" w:type="dxa"/>
              <w:bottom w:w="40" w:type="dxa"/>
              <w:right w:w="20" w:type="dxa"/>
            </w:tcMar>
            <w:vAlign w:val="bottom"/>
          </w:tcPr>
          <w:p w14:paraId="35D0C30D" w14:textId="77777777" w:rsidR="00D42204" w:rsidRDefault="004E439D">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35D0C30E" w14:textId="77777777" w:rsidR="00D42204" w:rsidRDefault="004E439D">
            <w:pPr>
              <w:textAlignment w:val="bottom"/>
            </w:pPr>
            <w:r>
              <w:rPr>
                <w:rFonts w:ascii="Times New Roman" w:eastAsia="宋体" w:hAnsi="Times New Roman"/>
                <w:color w:val="000000"/>
                <w:sz w:val="20"/>
                <w:szCs w:val="20"/>
              </w:rPr>
              <w:t>Director</w:t>
            </w:r>
          </w:p>
        </w:tc>
      </w:tr>
    </w:tbl>
    <w:p w14:paraId="35D0C310" w14:textId="77777777" w:rsidR="00D42204" w:rsidRDefault="00D42204"/>
    <w:p w14:paraId="35D0C311" w14:textId="77777777" w:rsidR="00D42204" w:rsidRDefault="004E439D">
      <w:pPr>
        <w:jc w:val="center"/>
      </w:pPr>
      <w:r>
        <w:rPr>
          <w:rFonts w:ascii="Times New Roman" w:eastAsia="宋体" w:hAnsi="Times New Roman"/>
          <w:color w:val="000000"/>
          <w:sz w:val="20"/>
          <w:szCs w:val="20"/>
        </w:rPr>
        <w:t>Signature Page to Walmart Inc.</w:t>
      </w:r>
    </w:p>
    <w:p w14:paraId="35D0C312" w14:textId="77777777" w:rsidR="00D42204" w:rsidRDefault="004E439D">
      <w:pPr>
        <w:jc w:val="center"/>
      </w:pPr>
      <w:r>
        <w:rPr>
          <w:rFonts w:ascii="Times New Roman" w:eastAsia="宋体" w:hAnsi="Times New Roman"/>
          <w:color w:val="000000"/>
          <w:sz w:val="20"/>
          <w:szCs w:val="20"/>
        </w:rPr>
        <w:t xml:space="preserve">Form 10-K for the Fiscal Year Ended January 31, 2022 </w:t>
      </w:r>
    </w:p>
    <w:p w14:paraId="35D0C313" w14:textId="77777777" w:rsidR="00D42204" w:rsidRDefault="00D42204"/>
    <w:p w14:paraId="35D0C314" w14:textId="77777777" w:rsidR="00D42204" w:rsidRDefault="004E439D">
      <w:pPr>
        <w:jc w:val="center"/>
      </w:pPr>
      <w:r>
        <w:rPr>
          <w:rFonts w:ascii="Times New Roman" w:eastAsia="宋体" w:hAnsi="Times New Roman"/>
          <w:color w:val="000000"/>
          <w:sz w:val="20"/>
          <w:szCs w:val="20"/>
        </w:rPr>
        <w:t>86</w:t>
      </w:r>
    </w:p>
    <w:p w14:paraId="35D0C315" w14:textId="77777777" w:rsidR="00D42204" w:rsidRDefault="004E439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5D0C3B1" wp14:editId="35D0C3B2">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2204" w14:paraId="35D0C317" w14:textId="77777777">
        <w:trPr>
          <w:tblCellSpacing w:w="15" w:type="dxa"/>
        </w:trPr>
        <w:tc>
          <w:tcPr>
            <w:tcW w:w="0" w:type="auto"/>
            <w:shd w:val="clear" w:color="auto" w:fill="auto"/>
            <w:vAlign w:val="center"/>
          </w:tcPr>
          <w:p w14:paraId="35D0C316" w14:textId="77777777" w:rsidR="00D42204" w:rsidRDefault="00D42204">
            <w:pPr>
              <w:rPr>
                <w:rFonts w:ascii="宋体"/>
              </w:rPr>
            </w:pPr>
          </w:p>
        </w:tc>
      </w:tr>
    </w:tbl>
    <w:p w14:paraId="35D0C318" w14:textId="77777777" w:rsidR="00D42204" w:rsidRDefault="00D422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2204" w14:paraId="35D0C31A" w14:textId="77777777">
        <w:trPr>
          <w:tblCellSpacing w:w="15" w:type="dxa"/>
        </w:trPr>
        <w:tc>
          <w:tcPr>
            <w:tcW w:w="0" w:type="auto"/>
            <w:shd w:val="clear" w:color="auto" w:fill="auto"/>
            <w:vAlign w:val="center"/>
          </w:tcPr>
          <w:p w14:paraId="35D0C319" w14:textId="77777777" w:rsidR="00D42204" w:rsidRDefault="00D42204">
            <w:pPr>
              <w:rPr>
                <w:rFonts w:ascii="宋体"/>
              </w:rPr>
            </w:pPr>
          </w:p>
        </w:tc>
      </w:tr>
    </w:tbl>
    <w:p w14:paraId="35D0C31B" w14:textId="77777777" w:rsidR="00D42204" w:rsidRDefault="00D422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2204" w14:paraId="35D0C31D" w14:textId="77777777">
        <w:trPr>
          <w:tblCellSpacing w:w="15" w:type="dxa"/>
        </w:trPr>
        <w:tc>
          <w:tcPr>
            <w:tcW w:w="0" w:type="auto"/>
            <w:shd w:val="clear" w:color="auto" w:fill="auto"/>
            <w:vAlign w:val="center"/>
          </w:tcPr>
          <w:p w14:paraId="35D0C31C" w14:textId="77777777" w:rsidR="00D42204" w:rsidRDefault="00D42204">
            <w:pPr>
              <w:rPr>
                <w:rFonts w:ascii="宋体"/>
              </w:rPr>
            </w:pPr>
          </w:p>
        </w:tc>
      </w:tr>
    </w:tbl>
    <w:p w14:paraId="35D0C31E" w14:textId="77777777" w:rsidR="00D42204" w:rsidRDefault="00D422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2204" w14:paraId="35D0C320" w14:textId="77777777">
        <w:trPr>
          <w:tblCellSpacing w:w="15" w:type="dxa"/>
        </w:trPr>
        <w:tc>
          <w:tcPr>
            <w:tcW w:w="0" w:type="auto"/>
            <w:shd w:val="clear" w:color="auto" w:fill="auto"/>
            <w:vAlign w:val="center"/>
          </w:tcPr>
          <w:p w14:paraId="35D0C31F" w14:textId="77777777" w:rsidR="00D42204" w:rsidRDefault="00D42204">
            <w:pPr>
              <w:rPr>
                <w:rFonts w:ascii="宋体"/>
              </w:rPr>
            </w:pPr>
          </w:p>
        </w:tc>
      </w:tr>
    </w:tbl>
    <w:p w14:paraId="35D0C321" w14:textId="77777777" w:rsidR="00D42204" w:rsidRDefault="004E439D">
      <w:r>
        <w:rPr>
          <w:rFonts w:ascii="宋体" w:eastAsia="宋体" w:hAnsi="宋体" w:cs="宋体"/>
        </w:rPr>
        <w:t xml:space="preserve">Previous Next </w:t>
      </w:r>
    </w:p>
    <w:p w14:paraId="35D0C322" w14:textId="77777777" w:rsidR="00D42204" w:rsidRDefault="004E439D">
      <w:pPr>
        <w:pStyle w:val="a3"/>
      </w:pPr>
      <w:r>
        <w:t>Settings</w:t>
      </w:r>
    </w:p>
    <w:p w14:paraId="35D0C323" w14:textId="77777777" w:rsidR="00D42204" w:rsidRDefault="004E439D">
      <w:pPr>
        <w:pStyle w:val="Style4"/>
      </w:pPr>
      <w:r>
        <w:t>窗体顶端</w:t>
      </w:r>
    </w:p>
    <w:p w14:paraId="35D0C324" w14:textId="77777777" w:rsidR="00D42204" w:rsidRDefault="004E439D">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35D0C3B3" wp14:editId="35D0C3B4">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35D0C325" w14:textId="77777777" w:rsidR="00D42204" w:rsidRDefault="004E439D">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35D0C3B5" wp14:editId="35D0C3B6">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w:t>
      </w:r>
      <w:r>
        <w:rPr>
          <w:rFonts w:ascii="宋体" w:eastAsia="宋体" w:hAnsi="宋体" w:cs="宋体"/>
        </w:rPr>
        <w:t xml:space="preserve">r Safari. </w:t>
      </w:r>
    </w:p>
    <w:p w14:paraId="35D0C326" w14:textId="77777777" w:rsidR="00D42204" w:rsidRDefault="004E439D">
      <w:r>
        <w:pict w14:anchorId="35D0C3B7">
          <v:rect id="_x0000_i1110" style="width:415.3pt;height:1.5pt" o:hralign="center" o:hrstd="t" o:hr="t" fillcolor="#a0a0a0" stroked="f"/>
        </w:pict>
      </w:r>
    </w:p>
    <w:p w14:paraId="35D0C327" w14:textId="77777777" w:rsidR="00D42204" w:rsidRDefault="004E439D">
      <w:r>
        <w:rPr>
          <w:rFonts w:ascii="宋体" w:eastAsia="宋体" w:hAnsi="宋体" w:cs="宋体"/>
        </w:rPr>
        <w:t xml:space="preserve">Tagged Data </w:t>
      </w:r>
    </w:p>
    <w:p w14:paraId="35D0C328" w14:textId="77777777" w:rsidR="00D42204" w:rsidRDefault="004E439D">
      <w:r>
        <w:rPr>
          <w:rFonts w:ascii="monospace" w:eastAsia="monospace" w:hAnsi="monospace" w:cs="monospace"/>
          <w:noProof/>
        </w:rPr>
        <mc:AlternateContent>
          <mc:Choice Requires="wps">
            <w:drawing>
              <wp:inline distT="0" distB="0" distL="114300" distR="114300" wp14:anchorId="35D0C3B8" wp14:editId="35D0C3B9">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35D0C329" w14:textId="77777777" w:rsidR="00D42204" w:rsidRDefault="004E439D">
      <w:r>
        <w:rPr>
          <w:rFonts w:ascii="宋体" w:eastAsia="宋体" w:hAnsi="宋体" w:cs="宋体"/>
        </w:rPr>
        <w:t>Save</w:t>
      </w:r>
    </w:p>
    <w:p w14:paraId="35D0C32A" w14:textId="77777777" w:rsidR="00D42204" w:rsidRDefault="004E439D">
      <w:r>
        <w:rPr>
          <w:rFonts w:ascii="宋体" w:eastAsia="宋体" w:hAnsi="宋体" w:cs="宋体"/>
        </w:rPr>
        <w:t>Reset</w:t>
      </w:r>
    </w:p>
    <w:p w14:paraId="35D0C32B" w14:textId="77777777" w:rsidR="00D42204" w:rsidRDefault="004E439D">
      <w:r>
        <w:pict w14:anchorId="35D0C3BA">
          <v:rect id="_x0000_i1111" style="width:415.3pt;height:1.5pt" o:hralign="center" o:hrstd="t" o:hr="t" fillcolor="#a0a0a0" stroked="f"/>
        </w:pict>
      </w:r>
    </w:p>
    <w:p w14:paraId="35D0C32C" w14:textId="77777777" w:rsidR="00D42204" w:rsidRDefault="004E439D">
      <w:r>
        <w:rPr>
          <w:rFonts w:ascii="宋体" w:eastAsia="宋体" w:hAnsi="宋体" w:cs="宋体"/>
        </w:rPr>
        <w:t xml:space="preserve">Search Results </w:t>
      </w:r>
    </w:p>
    <w:p w14:paraId="35D0C32D" w14:textId="77777777" w:rsidR="00D42204" w:rsidRDefault="004E439D">
      <w:r>
        <w:rPr>
          <w:rFonts w:ascii="monospace" w:eastAsia="monospace" w:hAnsi="monospace" w:cs="monospace"/>
          <w:noProof/>
        </w:rPr>
        <mc:AlternateContent>
          <mc:Choice Requires="wps">
            <w:drawing>
              <wp:inline distT="0" distB="0" distL="114300" distR="114300" wp14:anchorId="35D0C3BB" wp14:editId="35D0C3BC">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35D0C32E" w14:textId="77777777" w:rsidR="00D42204" w:rsidRDefault="004E439D">
      <w:r>
        <w:rPr>
          <w:rFonts w:ascii="宋体" w:eastAsia="宋体" w:hAnsi="宋体" w:cs="宋体"/>
        </w:rPr>
        <w:t>Save</w:t>
      </w:r>
    </w:p>
    <w:p w14:paraId="35D0C32F" w14:textId="77777777" w:rsidR="00D42204" w:rsidRDefault="004E439D">
      <w:r>
        <w:rPr>
          <w:rFonts w:ascii="宋体" w:eastAsia="宋体" w:hAnsi="宋体" w:cs="宋体"/>
        </w:rPr>
        <w:t>Reset</w:t>
      </w:r>
    </w:p>
    <w:p w14:paraId="35D0C330" w14:textId="77777777" w:rsidR="00D42204" w:rsidRDefault="004E439D">
      <w:r>
        <w:pict w14:anchorId="35D0C3BD">
          <v:rect id="_x0000_i1112" style="width:415.3pt;height:1.5pt" o:hralign="center" o:hrstd="t" o:hr="t" fillcolor="#a0a0a0" stroked="f"/>
        </w:pict>
      </w:r>
    </w:p>
    <w:p w14:paraId="35D0C331" w14:textId="77777777" w:rsidR="00D42204" w:rsidRDefault="004E439D">
      <w:r>
        <w:rPr>
          <w:rFonts w:ascii="宋体" w:eastAsia="宋体" w:hAnsi="宋体" w:cs="宋体"/>
        </w:rPr>
        <w:t xml:space="preserve">Selected Fact </w:t>
      </w:r>
    </w:p>
    <w:p w14:paraId="35D0C332" w14:textId="77777777" w:rsidR="00D42204" w:rsidRDefault="004E439D">
      <w:r>
        <w:rPr>
          <w:rFonts w:ascii="monospace" w:eastAsia="monospace" w:hAnsi="monospace" w:cs="monospace"/>
          <w:noProof/>
        </w:rPr>
        <mc:AlternateContent>
          <mc:Choice Requires="wps">
            <w:drawing>
              <wp:inline distT="0" distB="0" distL="114300" distR="114300" wp14:anchorId="35D0C3BE" wp14:editId="35D0C3BF">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35D0C333" w14:textId="77777777" w:rsidR="00D42204" w:rsidRDefault="004E439D">
      <w:r>
        <w:rPr>
          <w:rFonts w:ascii="宋体" w:eastAsia="宋体" w:hAnsi="宋体" w:cs="宋体"/>
        </w:rPr>
        <w:t>Save</w:t>
      </w:r>
    </w:p>
    <w:p w14:paraId="35D0C334" w14:textId="77777777" w:rsidR="00D42204" w:rsidRDefault="004E439D">
      <w:r>
        <w:rPr>
          <w:rFonts w:ascii="宋体" w:eastAsia="宋体" w:hAnsi="宋体" w:cs="宋体"/>
        </w:rPr>
        <w:t>Reset</w:t>
      </w:r>
    </w:p>
    <w:p w14:paraId="35D0C335" w14:textId="77777777" w:rsidR="00D42204" w:rsidRDefault="004E439D">
      <w:r>
        <w:pict w14:anchorId="35D0C3C0">
          <v:rect id="_x0000_i1113" style="width:415.3pt;height:1.5pt" o:hralign="center" o:hrstd="t" o:hr="t" fillcolor="#a0a0a0" stroked="f"/>
        </w:pict>
      </w:r>
    </w:p>
    <w:p w14:paraId="35D0C336" w14:textId="77777777" w:rsidR="00D42204" w:rsidRDefault="004E439D">
      <w:r>
        <w:rPr>
          <w:rFonts w:ascii="宋体" w:eastAsia="宋体" w:hAnsi="宋体" w:cs="宋体"/>
        </w:rPr>
        <w:t xml:space="preserve">Tag Shading (hover) </w:t>
      </w:r>
    </w:p>
    <w:p w14:paraId="35D0C337" w14:textId="77777777" w:rsidR="00D42204" w:rsidRDefault="004E439D">
      <w:r>
        <w:rPr>
          <w:rFonts w:ascii="monospace" w:eastAsia="monospace" w:hAnsi="monospace" w:cs="monospace"/>
          <w:noProof/>
        </w:rPr>
        <mc:AlternateContent>
          <mc:Choice Requires="wps">
            <w:drawing>
              <wp:inline distT="0" distB="0" distL="114300" distR="114300" wp14:anchorId="35D0C3C1" wp14:editId="35D0C3C2">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35D0C338" w14:textId="77777777" w:rsidR="00D42204" w:rsidRDefault="004E439D">
      <w:r>
        <w:rPr>
          <w:rFonts w:ascii="宋体" w:eastAsia="宋体" w:hAnsi="宋体" w:cs="宋体"/>
        </w:rPr>
        <w:t>Save</w:t>
      </w:r>
    </w:p>
    <w:p w14:paraId="35D0C339" w14:textId="77777777" w:rsidR="00D42204" w:rsidRDefault="004E439D">
      <w:r>
        <w:rPr>
          <w:rFonts w:ascii="宋体" w:eastAsia="宋体" w:hAnsi="宋体" w:cs="宋体"/>
        </w:rPr>
        <w:t>Reset</w:t>
      </w:r>
    </w:p>
    <w:p w14:paraId="35D0C33A" w14:textId="77777777" w:rsidR="00D42204" w:rsidRDefault="004E439D">
      <w:pPr>
        <w:pStyle w:val="Style5"/>
      </w:pPr>
      <w:r>
        <w:t>窗体底端</w:t>
      </w:r>
    </w:p>
    <w:p w14:paraId="35D0C33B" w14:textId="77777777" w:rsidR="00D42204" w:rsidRDefault="004E439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5D0C3C3" wp14:editId="35D0C3C4">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2204" w14:paraId="35D0C33D" w14:textId="77777777">
        <w:trPr>
          <w:tblCellSpacing w:w="15" w:type="dxa"/>
        </w:trPr>
        <w:tc>
          <w:tcPr>
            <w:tcW w:w="0" w:type="auto"/>
            <w:shd w:val="clear" w:color="auto" w:fill="auto"/>
            <w:vAlign w:val="center"/>
          </w:tcPr>
          <w:p w14:paraId="35D0C33C" w14:textId="77777777" w:rsidR="00D42204" w:rsidRDefault="00D42204">
            <w:pPr>
              <w:rPr>
                <w:rFonts w:ascii="宋体"/>
              </w:rPr>
            </w:pPr>
          </w:p>
        </w:tc>
      </w:tr>
    </w:tbl>
    <w:p w14:paraId="35D0C33E" w14:textId="77777777" w:rsidR="00D42204" w:rsidRDefault="00D422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2204" w14:paraId="35D0C340" w14:textId="77777777">
        <w:trPr>
          <w:tblCellSpacing w:w="15" w:type="dxa"/>
        </w:trPr>
        <w:tc>
          <w:tcPr>
            <w:tcW w:w="0" w:type="auto"/>
            <w:shd w:val="clear" w:color="auto" w:fill="auto"/>
            <w:vAlign w:val="center"/>
          </w:tcPr>
          <w:p w14:paraId="35D0C33F" w14:textId="77777777" w:rsidR="00D42204" w:rsidRDefault="00D42204">
            <w:pPr>
              <w:rPr>
                <w:rFonts w:ascii="宋体"/>
              </w:rPr>
            </w:pPr>
          </w:p>
        </w:tc>
      </w:tr>
    </w:tbl>
    <w:p w14:paraId="35D0C341" w14:textId="77777777" w:rsidR="00D42204" w:rsidRDefault="00D422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2204" w14:paraId="35D0C343" w14:textId="77777777">
        <w:trPr>
          <w:tblCellSpacing w:w="15" w:type="dxa"/>
        </w:trPr>
        <w:tc>
          <w:tcPr>
            <w:tcW w:w="0" w:type="auto"/>
            <w:shd w:val="clear" w:color="auto" w:fill="auto"/>
            <w:vAlign w:val="center"/>
          </w:tcPr>
          <w:p w14:paraId="35D0C342" w14:textId="77777777" w:rsidR="00D42204" w:rsidRDefault="00D42204">
            <w:pPr>
              <w:rPr>
                <w:rFonts w:ascii="宋体"/>
              </w:rPr>
            </w:pPr>
          </w:p>
        </w:tc>
      </w:tr>
    </w:tbl>
    <w:p w14:paraId="35D0C344" w14:textId="77777777" w:rsidR="00D42204" w:rsidRDefault="00D422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2204" w14:paraId="35D0C346" w14:textId="77777777">
        <w:trPr>
          <w:tblCellSpacing w:w="15" w:type="dxa"/>
        </w:trPr>
        <w:tc>
          <w:tcPr>
            <w:tcW w:w="0" w:type="auto"/>
            <w:shd w:val="clear" w:color="auto" w:fill="auto"/>
            <w:vAlign w:val="center"/>
          </w:tcPr>
          <w:p w14:paraId="35D0C345" w14:textId="77777777" w:rsidR="00D42204" w:rsidRDefault="00D42204">
            <w:pPr>
              <w:rPr>
                <w:rFonts w:ascii="宋体"/>
              </w:rPr>
            </w:pPr>
          </w:p>
        </w:tc>
      </w:tr>
    </w:tbl>
    <w:p w14:paraId="35D0C347" w14:textId="77777777" w:rsidR="00D42204" w:rsidRDefault="004E439D">
      <w:r>
        <w:rPr>
          <w:rFonts w:ascii="宋体" w:eastAsia="宋体" w:hAnsi="宋体" w:cs="宋体"/>
        </w:rPr>
        <w:t xml:space="preserve">Previous Next </w:t>
      </w:r>
    </w:p>
    <w:p w14:paraId="35D0C348" w14:textId="77777777" w:rsidR="00D42204" w:rsidRDefault="004E439D">
      <w:pPr>
        <w:pStyle w:val="a3"/>
      </w:pPr>
      <w:r>
        <w:t xml:space="preserve">Nested Facts / </w:t>
      </w:r>
    </w:p>
    <w:p w14:paraId="35D0C349" w14:textId="77777777" w:rsidR="00D42204" w:rsidRDefault="004E439D">
      <w:r>
        <w:rPr>
          <w:rFonts w:ascii="宋体" w:eastAsia="宋体" w:hAnsi="宋体" w:cs="宋体"/>
        </w:rPr>
        <w:t xml:space="preserve">Previous Next </w:t>
      </w:r>
    </w:p>
    <w:p w14:paraId="35D0C34A" w14:textId="77777777" w:rsidR="00D42204" w:rsidRDefault="004E439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35D0C3C5" wp14:editId="35D0C3C6">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2204" w14:paraId="35D0C34C" w14:textId="77777777">
        <w:trPr>
          <w:tblCellSpacing w:w="15" w:type="dxa"/>
        </w:trPr>
        <w:tc>
          <w:tcPr>
            <w:tcW w:w="0" w:type="auto"/>
            <w:shd w:val="clear" w:color="auto" w:fill="auto"/>
            <w:vAlign w:val="center"/>
          </w:tcPr>
          <w:p w14:paraId="35D0C34B" w14:textId="77777777" w:rsidR="00D42204" w:rsidRDefault="00D42204">
            <w:pPr>
              <w:rPr>
                <w:rFonts w:ascii="宋体"/>
              </w:rPr>
            </w:pPr>
          </w:p>
        </w:tc>
      </w:tr>
    </w:tbl>
    <w:p w14:paraId="35D0C34D" w14:textId="77777777" w:rsidR="00D42204" w:rsidRDefault="00D422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2204" w14:paraId="35D0C34F" w14:textId="77777777">
        <w:trPr>
          <w:tblCellSpacing w:w="15" w:type="dxa"/>
        </w:trPr>
        <w:tc>
          <w:tcPr>
            <w:tcW w:w="0" w:type="auto"/>
            <w:shd w:val="clear" w:color="auto" w:fill="auto"/>
            <w:vAlign w:val="center"/>
          </w:tcPr>
          <w:p w14:paraId="35D0C34E" w14:textId="77777777" w:rsidR="00D42204" w:rsidRDefault="00D42204">
            <w:pPr>
              <w:rPr>
                <w:rFonts w:ascii="宋体"/>
              </w:rPr>
            </w:pPr>
          </w:p>
        </w:tc>
      </w:tr>
    </w:tbl>
    <w:p w14:paraId="35D0C350" w14:textId="77777777" w:rsidR="00D42204" w:rsidRDefault="00D422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2204" w14:paraId="35D0C352" w14:textId="77777777">
        <w:trPr>
          <w:tblCellSpacing w:w="15" w:type="dxa"/>
        </w:trPr>
        <w:tc>
          <w:tcPr>
            <w:tcW w:w="0" w:type="auto"/>
            <w:shd w:val="clear" w:color="auto" w:fill="auto"/>
            <w:vAlign w:val="center"/>
          </w:tcPr>
          <w:p w14:paraId="35D0C351" w14:textId="77777777" w:rsidR="00D42204" w:rsidRDefault="00D42204">
            <w:pPr>
              <w:rPr>
                <w:rFonts w:ascii="宋体"/>
              </w:rPr>
            </w:pPr>
          </w:p>
        </w:tc>
      </w:tr>
    </w:tbl>
    <w:p w14:paraId="35D0C353" w14:textId="77777777" w:rsidR="00D42204" w:rsidRDefault="00D4220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2204" w14:paraId="35D0C355" w14:textId="77777777">
        <w:trPr>
          <w:tblCellSpacing w:w="15" w:type="dxa"/>
        </w:trPr>
        <w:tc>
          <w:tcPr>
            <w:tcW w:w="0" w:type="auto"/>
            <w:shd w:val="clear" w:color="auto" w:fill="auto"/>
            <w:vAlign w:val="center"/>
          </w:tcPr>
          <w:p w14:paraId="35D0C354" w14:textId="77777777" w:rsidR="00D42204" w:rsidRDefault="00D42204">
            <w:pPr>
              <w:rPr>
                <w:rFonts w:ascii="宋体"/>
              </w:rPr>
            </w:pPr>
          </w:p>
        </w:tc>
      </w:tr>
    </w:tbl>
    <w:p w14:paraId="35D0C356" w14:textId="77777777" w:rsidR="00D42204" w:rsidRDefault="004E439D">
      <w:r>
        <w:rPr>
          <w:rFonts w:ascii="宋体" w:eastAsia="宋体" w:hAnsi="宋体" w:cs="宋体"/>
        </w:rPr>
        <w:t xml:space="preserve">Previous Next </w:t>
      </w:r>
    </w:p>
    <w:p w14:paraId="35D0C357" w14:textId="77777777" w:rsidR="00D42204" w:rsidRDefault="00D42204"/>
    <w:sectPr w:rsidR="00D42204">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A60A5" w14:textId="77777777" w:rsidR="004E439D" w:rsidRDefault="004E439D" w:rsidP="004E439D">
      <w:r>
        <w:separator/>
      </w:r>
    </w:p>
  </w:endnote>
  <w:endnote w:type="continuationSeparator" w:id="0">
    <w:p w14:paraId="6BAFDEF2" w14:textId="77777777" w:rsidR="004E439D" w:rsidRDefault="004E439D" w:rsidP="004E4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64DE1" w14:textId="77777777" w:rsidR="004E439D" w:rsidRDefault="004E439D" w:rsidP="004E439D">
      <w:r>
        <w:separator/>
      </w:r>
    </w:p>
  </w:footnote>
  <w:footnote w:type="continuationSeparator" w:id="0">
    <w:p w14:paraId="67D83011" w14:textId="77777777" w:rsidR="004E439D" w:rsidRDefault="004E439D" w:rsidP="004E43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2DF193C"/>
    <w:rsid w:val="E2DF193C"/>
    <w:rsid w:val="004E439D"/>
    <w:rsid w:val="00D42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D08D96"/>
  <w15:docId w15:val="{92C46744-B7B1-4DE8-95F4-5FD60F7A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4E439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E439D"/>
    <w:rPr>
      <w:rFonts w:asciiTheme="minorEastAsia" w:hAnsiTheme="minorEastAsia" w:cs="Times New Roman"/>
      <w:sz w:val="18"/>
      <w:szCs w:val="18"/>
    </w:rPr>
  </w:style>
  <w:style w:type="paragraph" w:styleId="a8">
    <w:name w:val="footer"/>
    <w:basedOn w:val="a"/>
    <w:link w:val="a9"/>
    <w:rsid w:val="004E439D"/>
    <w:pPr>
      <w:tabs>
        <w:tab w:val="center" w:pos="4153"/>
        <w:tab w:val="right" w:pos="8306"/>
      </w:tabs>
      <w:snapToGrid w:val="0"/>
    </w:pPr>
    <w:rPr>
      <w:sz w:val="18"/>
      <w:szCs w:val="18"/>
    </w:rPr>
  </w:style>
  <w:style w:type="character" w:customStyle="1" w:styleId="a9">
    <w:name w:val="页脚 字符"/>
    <w:basedOn w:val="a0"/>
    <w:link w:val="a8"/>
    <w:rsid w:val="004E439D"/>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104169/000010416922000012/wmt-20220131.htm" TargetMode="External"/><Relationship Id="rId21" Type="http://schemas.openxmlformats.org/officeDocument/2006/relationships/hyperlink" Target="https://www.sec.gov/ix?doc=/Archives/edgar/data/0000104169/000010416922000012/wmt-20220131.htm" TargetMode="External"/><Relationship Id="rId42" Type="http://schemas.openxmlformats.org/officeDocument/2006/relationships/hyperlink" Target="https://www.sec.gov/ix?doc=/Archives/edgar/data/0000104169/000010416922000012/wmt-20220131.htm" TargetMode="External"/><Relationship Id="rId63" Type="http://schemas.openxmlformats.org/officeDocument/2006/relationships/hyperlink" Target="https://www.sec.gov/ix?doc=/Archives/edgar/data/0000104169/000010416922000012/wmt-20220131.htm" TargetMode="External"/><Relationship Id="rId84" Type="http://schemas.openxmlformats.org/officeDocument/2006/relationships/hyperlink" Target="https://www.sec.gov/ix?doc=/Archives/edgar/data/0000104169/000010416922000012/wmt-20220131.htm" TargetMode="External"/><Relationship Id="rId138" Type="http://schemas.openxmlformats.org/officeDocument/2006/relationships/hyperlink" Target="https://www.sec.gov/ix?doc=/Archives/edgar/data/0000104169/000010416922000012/wmt-20220131.htm" TargetMode="External"/><Relationship Id="rId159" Type="http://schemas.openxmlformats.org/officeDocument/2006/relationships/hyperlink" Target="https://www.sec.gov/ix?doc=/Archives/edgar/data/0000104169/000010416922000012/wmt-20220131.htm" TargetMode="External"/><Relationship Id="rId170" Type="http://schemas.openxmlformats.org/officeDocument/2006/relationships/hyperlink" Target="http://www.sec.gov/Archives/edgar/data/104169/000010416918000028/exhibit10b.htm" TargetMode="External"/><Relationship Id="rId191" Type="http://schemas.openxmlformats.org/officeDocument/2006/relationships/hyperlink" Target="http://www.sec.gov/Archives/edgar/data/104169/000010416918000086/exhibit102sharepurchasea.htm" TargetMode="External"/><Relationship Id="rId107" Type="http://schemas.openxmlformats.org/officeDocument/2006/relationships/hyperlink" Target="https://www.sec.gov/ix?doc=/Archives/edgar/data/0000104169/000010416922000012/wmt-20220131.htm" TargetMode="External"/><Relationship Id="rId11" Type="http://schemas.openxmlformats.org/officeDocument/2006/relationships/hyperlink" Target="https://www.sec.gov/ix?doc=/Archives/edgar/data/0000104169/000010416922000012/wmt-20220131.htm" TargetMode="External"/><Relationship Id="rId32" Type="http://schemas.openxmlformats.org/officeDocument/2006/relationships/hyperlink" Target="https://www.sec.gov/ix?doc=/Archives/edgar/data/0000104169/000010416922000012/wmt-20220131.htm" TargetMode="External"/><Relationship Id="rId53" Type="http://schemas.openxmlformats.org/officeDocument/2006/relationships/hyperlink" Target="https://www.sec.gov/ix?doc=/Archives/edgar/data/0000104169/000010416922000012/wmt-20220131.htm" TargetMode="External"/><Relationship Id="rId74" Type="http://schemas.openxmlformats.org/officeDocument/2006/relationships/hyperlink" Target="https://www.sec.gov/ix?doc=/Archives/edgar/data/0000104169/000010416922000012/wmt-20220131.htm" TargetMode="External"/><Relationship Id="rId128" Type="http://schemas.openxmlformats.org/officeDocument/2006/relationships/hyperlink" Target="https://www.sec.gov/ix?doc=/Archives/edgar/data/0000104169/000010416922000012/wmt-20220131.htm" TargetMode="External"/><Relationship Id="rId149" Type="http://schemas.openxmlformats.org/officeDocument/2006/relationships/hyperlink" Target="https://www.sec.gov/ix?doc=/Archives/edgar/data/0000104169/000010416922000012/wmt-20220131.htm" TargetMode="External"/><Relationship Id="rId5" Type="http://schemas.openxmlformats.org/officeDocument/2006/relationships/endnotes" Target="endnotes.xml"/><Relationship Id="rId95" Type="http://schemas.openxmlformats.org/officeDocument/2006/relationships/hyperlink" Target="https://www.sec.gov/ix?doc=/Archives/edgar/data/0000104169/000010416922000012/wmt-20220131.htm" TargetMode="External"/><Relationship Id="rId160" Type="http://schemas.openxmlformats.org/officeDocument/2006/relationships/hyperlink" Target="https://www.sec.gov/ix?doc=/Archives/edgar/data/0000104169/000010416922000012/wmt-20220131.htm" TargetMode="External"/><Relationship Id="rId181" Type="http://schemas.openxmlformats.org/officeDocument/2006/relationships/hyperlink" Target="https://www.sec.gov/Archives/edgar/data/104169/000010416919000064/wmtexhibit102.htm" TargetMode="External"/><Relationship Id="rId22" Type="http://schemas.openxmlformats.org/officeDocument/2006/relationships/hyperlink" Target="https://www.sec.gov/ix?doc=/Archives/edgar/data/0000104169/000010416922000012/wmt-20220131.htm" TargetMode="External"/><Relationship Id="rId43" Type="http://schemas.openxmlformats.org/officeDocument/2006/relationships/hyperlink" Target="https://www.sec.gov/ix?doc=/Archives/edgar/data/0000104169/000010416922000012/wmt-20220131.htm" TargetMode="External"/><Relationship Id="rId64" Type="http://schemas.openxmlformats.org/officeDocument/2006/relationships/hyperlink" Target="https://www.sec.gov/ix?doc=/Archives/edgar/data/0000104169/000010416922000012/wmt-20220131.htm" TargetMode="External"/><Relationship Id="rId118" Type="http://schemas.openxmlformats.org/officeDocument/2006/relationships/hyperlink" Target="https://www.sec.gov/ix?doc=/Archives/edgar/data/0000104169/000010416922000012/wmt-20220131.htm" TargetMode="External"/><Relationship Id="rId139" Type="http://schemas.openxmlformats.org/officeDocument/2006/relationships/hyperlink" Target="https://www.sec.gov/ix?doc=/Archives/edgar/data/0000104169/000010416922000012/wmt-20220131.htm" TargetMode="External"/><Relationship Id="rId85" Type="http://schemas.openxmlformats.org/officeDocument/2006/relationships/hyperlink" Target="https://www.sec.gov/ix?doc=/Archives/edgar/data/0000104169/000010416922000012/wmt-20220131.htm" TargetMode="External"/><Relationship Id="rId150" Type="http://schemas.openxmlformats.org/officeDocument/2006/relationships/hyperlink" Target="https://www.sec.gov/ix?doc=/Archives/edgar/data/0000104169/000010416922000012/wmt-20220131.htm" TargetMode="External"/><Relationship Id="rId171" Type="http://schemas.openxmlformats.org/officeDocument/2006/relationships/hyperlink" Target="http://www.sec.gov/Archives/edgar/data/104169/000010416918000028/exhibit10c.htm" TargetMode="External"/><Relationship Id="rId192" Type="http://schemas.openxmlformats.org/officeDocument/2006/relationships/hyperlink" Target="http://www.sec.gov/Archives/edgar/data/104169/000010416918000086/exhibit102sharepurchasea.htm" TargetMode="External"/><Relationship Id="rId12" Type="http://schemas.openxmlformats.org/officeDocument/2006/relationships/hyperlink" Target="https://www.sec.gov/ix?doc=/Archives/edgar/data/0000104169/000010416922000012/wmt-20220131.htm" TargetMode="External"/><Relationship Id="rId33" Type="http://schemas.openxmlformats.org/officeDocument/2006/relationships/hyperlink" Target="https://www.sec.gov/ix?doc=/Archives/edgar/data/0000104169/000010416922000012/wmt-20220131.htm" TargetMode="External"/><Relationship Id="rId108" Type="http://schemas.openxmlformats.org/officeDocument/2006/relationships/hyperlink" Target="https://www.sec.gov/ix?doc=/Archives/edgar/data/0000104169/000010416922000012/wmt-20220131.htm" TargetMode="External"/><Relationship Id="rId129" Type="http://schemas.openxmlformats.org/officeDocument/2006/relationships/hyperlink" Target="https://www.sec.gov/ix?doc=/Archives/edgar/data/0000104169/000010416922000012/wmt-20220131.htm" TargetMode="External"/><Relationship Id="rId54" Type="http://schemas.openxmlformats.org/officeDocument/2006/relationships/hyperlink" Target="https://www.sec.gov/ix?doc=/Archives/edgar/data/0000104169/000010416922000012/wmt-20220131.htm" TargetMode="External"/><Relationship Id="rId75" Type="http://schemas.openxmlformats.org/officeDocument/2006/relationships/hyperlink" Target="https://www.sec.gov/ix?doc=/Archives/edgar/data/0000104169/000010416922000012/wmt-20220131.htm" TargetMode="External"/><Relationship Id="rId96" Type="http://schemas.openxmlformats.org/officeDocument/2006/relationships/hyperlink" Target="https://www.sec.gov/ix?doc=/Archives/edgar/data/0000104169/000010416922000012/wmt-20220131.htm" TargetMode="External"/><Relationship Id="rId140" Type="http://schemas.openxmlformats.org/officeDocument/2006/relationships/hyperlink" Target="https://www.sec.gov/ix?doc=/Archives/edgar/data/0000104169/000010416922000012/wmt-20220131.htm" TargetMode="External"/><Relationship Id="rId161" Type="http://schemas.openxmlformats.org/officeDocument/2006/relationships/hyperlink" Target="http://www.sec.gov/Archives/edgar/data/104169/000010416918000013/exhibit31-212018.htm" TargetMode="External"/><Relationship Id="rId182" Type="http://schemas.openxmlformats.org/officeDocument/2006/relationships/hyperlink" Target="https://www.sec.gov/Archives/edgar/data/104169/000010416920000011/exhibit1016.htm" TargetMode="External"/><Relationship Id="rId23" Type="http://schemas.openxmlformats.org/officeDocument/2006/relationships/hyperlink" Target="https://www.sec.gov/ix?doc=/Archives/edgar/data/0000104169/000010416922000012/wmt-20220131.htm" TargetMode="External"/><Relationship Id="rId119" Type="http://schemas.openxmlformats.org/officeDocument/2006/relationships/hyperlink" Target="https://www.sec.gov/ix?doc=/Archives/edgar/data/0000104169/000010416922000012/wmt-20220131.htm" TargetMode="External"/><Relationship Id="rId44" Type="http://schemas.openxmlformats.org/officeDocument/2006/relationships/hyperlink" Target="https://www.sec.gov/ix?doc=/Archives/edgar/data/0000104169/000010416922000012/wmt-20220131.htm" TargetMode="External"/><Relationship Id="rId65" Type="http://schemas.openxmlformats.org/officeDocument/2006/relationships/hyperlink" Target="https://www.sec.gov/ix?doc=/Archives/edgar/data/0000104169/000010416922000012/wmt-20220131.htm" TargetMode="External"/><Relationship Id="rId86" Type="http://schemas.openxmlformats.org/officeDocument/2006/relationships/hyperlink" Target="https://www.sec.gov/ix?doc=/Archives/edgar/data/0000104169/000010416922000012/wmt-20220131.htm" TargetMode="External"/><Relationship Id="rId130" Type="http://schemas.openxmlformats.org/officeDocument/2006/relationships/hyperlink" Target="https://www.sec.gov/ix?doc=/Archives/edgar/data/0000104169/000010416922000012/wmt-20220131.htm" TargetMode="External"/><Relationship Id="rId151" Type="http://schemas.openxmlformats.org/officeDocument/2006/relationships/hyperlink" Target="https://www.sec.gov/ix?doc=/Archives/edgar/data/0000104169/000010416922000012/wmt-20220131.htm" TargetMode="External"/><Relationship Id="rId172" Type="http://schemas.openxmlformats.org/officeDocument/2006/relationships/hyperlink" Target="http://www.sec.gov/Archives/edgar/data/104169/000010416918000028/exhibit10d.htm" TargetMode="External"/><Relationship Id="rId193" Type="http://schemas.openxmlformats.org/officeDocument/2006/relationships/hyperlink" Target="http://www.sec.gov/Archives/edgar/data/104169/000010416918000086/exhibit102sharepurchasea.htm" TargetMode="External"/><Relationship Id="rId13" Type="http://schemas.openxmlformats.org/officeDocument/2006/relationships/hyperlink" Target="https://www.sec.gov/ix?doc=/Archives/edgar/data/0000104169/000010416922000012/wmt-20220131.htm" TargetMode="External"/><Relationship Id="rId109" Type="http://schemas.openxmlformats.org/officeDocument/2006/relationships/hyperlink" Target="https://www.sec.gov/ix?doc=/Archives/edgar/data/0000104169/000010416922000012/wmt-20220131.htm" TargetMode="External"/><Relationship Id="rId34" Type="http://schemas.openxmlformats.org/officeDocument/2006/relationships/hyperlink" Target="https://www.sec.gov/ix?doc=/Archives/edgar/data/0000104169/000010416922000012/wmt-20220131.htm" TargetMode="External"/><Relationship Id="rId55" Type="http://schemas.openxmlformats.org/officeDocument/2006/relationships/hyperlink" Target="https://www.sec.gov/ix?doc=/Archives/edgar/data/0000104169/000010416922000012/wmt-20220131.htm" TargetMode="External"/><Relationship Id="rId76" Type="http://schemas.openxmlformats.org/officeDocument/2006/relationships/hyperlink" Target="https://www.sec.gov/ix?doc=/Archives/edgar/data/0000104169/000010416922000012/wmt-20220131.htm" TargetMode="External"/><Relationship Id="rId97" Type="http://schemas.openxmlformats.org/officeDocument/2006/relationships/hyperlink" Target="https://www.sec.gov/ix?doc=/Archives/edgar/data/0000104169/000010416922000012/wmt-20220131.htm" TargetMode="External"/><Relationship Id="rId120" Type="http://schemas.openxmlformats.org/officeDocument/2006/relationships/hyperlink" Target="https://www.sec.gov/ix?doc=/Archives/edgar/data/0000104169/000010416922000012/wmt-20220131.htm" TargetMode="External"/><Relationship Id="rId141" Type="http://schemas.openxmlformats.org/officeDocument/2006/relationships/hyperlink" Target="https://www.sec.gov/ix?doc=/Archives/edgar/data/0000104169/000010416922000012/wmt-20220131.htm" TargetMode="External"/><Relationship Id="rId7" Type="http://schemas.openxmlformats.org/officeDocument/2006/relationships/hyperlink" Target="https://www.sec.gov/ix?doc=/Archives/edgar/data/0000104169/000010416922000012/wmt-20220131.htm" TargetMode="External"/><Relationship Id="rId162" Type="http://schemas.openxmlformats.org/officeDocument/2006/relationships/hyperlink" Target="https://www.sec.gov/Archives/edgar/data/104169/000010416919000054/exhibit31dated7262019.htm" TargetMode="External"/><Relationship Id="rId183" Type="http://schemas.openxmlformats.org/officeDocument/2006/relationships/hyperlink" Target="https://www.sec.gov/Archives/edgar/data/0000104169/000010416921000033/wmtexhibit1018fy21q4.htm" TargetMode="External"/><Relationship Id="rId2" Type="http://schemas.openxmlformats.org/officeDocument/2006/relationships/settings" Target="settings.xml"/><Relationship Id="rId29" Type="http://schemas.openxmlformats.org/officeDocument/2006/relationships/hyperlink" Target="https://www.sec.gov/ix?doc=/Archives/edgar/data/0000104169/000010416922000012/wmt-20220131.htm" TargetMode="External"/><Relationship Id="rId24" Type="http://schemas.openxmlformats.org/officeDocument/2006/relationships/hyperlink" Target="https://www.sec.gov/ix?doc=/Archives/edgar/data/0000104169/000010416922000012/wmt-20220131.htm" TargetMode="External"/><Relationship Id="rId40" Type="http://schemas.openxmlformats.org/officeDocument/2006/relationships/hyperlink" Target="https://www.sec.gov/ix?doc=/Archives/edgar/data/0000104169/000010416922000012/wmt-20220131.htm" TargetMode="External"/><Relationship Id="rId45" Type="http://schemas.openxmlformats.org/officeDocument/2006/relationships/hyperlink" Target="https://www.sec.gov/ix?doc=/Archives/edgar/data/0000104169/000010416922000012/wmt-20220131.htm" TargetMode="External"/><Relationship Id="rId66" Type="http://schemas.openxmlformats.org/officeDocument/2006/relationships/hyperlink" Target="https://www.sec.gov/ix?doc=/Archives/edgar/data/0000104169/000010416922000012/wmt-20220131.htm" TargetMode="External"/><Relationship Id="rId87" Type="http://schemas.openxmlformats.org/officeDocument/2006/relationships/hyperlink" Target="https://www.sec.gov/ix?doc=/Archives/edgar/data/0000104169/000010416922000012/wmt-20220131.htm" TargetMode="External"/><Relationship Id="rId110" Type="http://schemas.openxmlformats.org/officeDocument/2006/relationships/hyperlink" Target="https://www.sec.gov/ix?doc=/Archives/edgar/data/0000104169/000010416922000012/wmt-20220131.htm" TargetMode="External"/><Relationship Id="rId115" Type="http://schemas.openxmlformats.org/officeDocument/2006/relationships/hyperlink" Target="https://www.sec.gov/ix?doc=/Archives/edgar/data/0000104169/000010416922000012/wmt-20220131.htm" TargetMode="External"/><Relationship Id="rId131" Type="http://schemas.openxmlformats.org/officeDocument/2006/relationships/hyperlink" Target="https://www.sec.gov/ix?doc=/Archives/edgar/data/0000104169/000010416922000012/wmt-20220131.htm" TargetMode="External"/><Relationship Id="rId136" Type="http://schemas.openxmlformats.org/officeDocument/2006/relationships/hyperlink" Target="https://www.sec.gov/ix?doc=/Archives/edgar/data/0000104169/000010416922000012/wmt-20220131.htm" TargetMode="External"/><Relationship Id="rId157" Type="http://schemas.openxmlformats.org/officeDocument/2006/relationships/hyperlink" Target="https://www.sec.gov/ix?doc=/Archives/edgar/data/0000104169/000010416922000012/wmt-20220131.htm" TargetMode="External"/><Relationship Id="rId178" Type="http://schemas.openxmlformats.org/officeDocument/2006/relationships/hyperlink" Target="https://www.sec.gov/Archives/edgar/data/0000104169/000010416922000012/wmtexhibit108fy22.htm" TargetMode="External"/><Relationship Id="rId61" Type="http://schemas.openxmlformats.org/officeDocument/2006/relationships/hyperlink" Target="https://www.sec.gov/ix?doc=/Archives/edgar/data/0000104169/000010416922000012/wmt-20220131.htm" TargetMode="External"/><Relationship Id="rId82" Type="http://schemas.openxmlformats.org/officeDocument/2006/relationships/hyperlink" Target="https://www.sec.gov/ix?doc=/Archives/edgar/data/0000104169/000010416922000012/wmt-20220131.htm" TargetMode="External"/><Relationship Id="rId152" Type="http://schemas.openxmlformats.org/officeDocument/2006/relationships/hyperlink" Target="https://www.sec.gov/ix?doc=/Archives/edgar/data/0000104169/000010416922000012/wmt-20220131.htm" TargetMode="External"/><Relationship Id="rId173" Type="http://schemas.openxmlformats.org/officeDocument/2006/relationships/hyperlink" Target="http://www.sec.gov/Archives/edgar/data/104169/000010416918000028/exhibit10e.htm" TargetMode="External"/><Relationship Id="rId194" Type="http://schemas.openxmlformats.org/officeDocument/2006/relationships/hyperlink" Target="http://www.sec.gov/Archives/edgar/data/104169/000010416918000086/exhibit102sharepurchasea.htm" TargetMode="External"/><Relationship Id="rId199" Type="http://schemas.openxmlformats.org/officeDocument/2006/relationships/hyperlink" Target="https://www.sec.gov/Archives/edgar/data/0000104169/000010416922000012/wmtexhibit312fy22q4.htm" TargetMode="External"/><Relationship Id="rId203" Type="http://schemas.openxmlformats.org/officeDocument/2006/relationships/fontTable" Target="fontTable.xml"/><Relationship Id="rId19" Type="http://schemas.openxmlformats.org/officeDocument/2006/relationships/hyperlink" Target="https://www.sec.gov/ix?doc=/Archives/edgar/data/0000104169/000010416922000012/wmt-20220131.htm" TargetMode="External"/><Relationship Id="rId14" Type="http://schemas.openxmlformats.org/officeDocument/2006/relationships/hyperlink" Target="https://www.sec.gov/ix?doc=/Archives/edgar/data/0000104169/000010416922000012/wmt-20220131.htm" TargetMode="External"/><Relationship Id="rId30" Type="http://schemas.openxmlformats.org/officeDocument/2006/relationships/hyperlink" Target="https://www.sec.gov/ix?doc=/Archives/edgar/data/0000104169/000010416922000012/wmt-20220131.htm" TargetMode="External"/><Relationship Id="rId35" Type="http://schemas.openxmlformats.org/officeDocument/2006/relationships/hyperlink" Target="https://www.sec.gov/ix?doc=/Archives/edgar/data/0000104169/000010416922000012/wmt-20220131.htm" TargetMode="External"/><Relationship Id="rId56" Type="http://schemas.openxmlformats.org/officeDocument/2006/relationships/hyperlink" Target="https://www.sec.gov/ix?doc=/Archives/edgar/data/0000104169/000010416922000012/wmt-20220131.htm" TargetMode="External"/><Relationship Id="rId77" Type="http://schemas.openxmlformats.org/officeDocument/2006/relationships/hyperlink" Target="https://www.sec.gov/ix?doc=/Archives/edgar/data/0000104169/000010416922000012/wmt-20220131.htm" TargetMode="External"/><Relationship Id="rId100" Type="http://schemas.openxmlformats.org/officeDocument/2006/relationships/hyperlink" Target="https://www.sec.gov/ix?doc=/Archives/edgar/data/0000104169/000010416922000012/wmt-20220131.htm" TargetMode="External"/><Relationship Id="rId105" Type="http://schemas.openxmlformats.org/officeDocument/2006/relationships/hyperlink" Target="https://www.sec.gov/ix?doc=/Archives/edgar/data/0000104169/000010416922000012/wmt-20220131.htm" TargetMode="External"/><Relationship Id="rId126" Type="http://schemas.openxmlformats.org/officeDocument/2006/relationships/hyperlink" Target="https://www.sec.gov/ix?doc=/Archives/edgar/data/0000104169/000010416922000012/wmt-20220131.htm" TargetMode="External"/><Relationship Id="rId147" Type="http://schemas.openxmlformats.org/officeDocument/2006/relationships/hyperlink" Target="https://www.sec.gov/ix?doc=/Archives/edgar/data/0000104169/000010416922000012/wmt-20220131.htm" TargetMode="External"/><Relationship Id="rId168" Type="http://schemas.openxmlformats.org/officeDocument/2006/relationships/hyperlink" Target="https://www.sec.gov/Archives/edgar/data/104169/000010416920000011/exhibit48.htm" TargetMode="External"/><Relationship Id="rId8" Type="http://schemas.openxmlformats.org/officeDocument/2006/relationships/hyperlink" Target="https://www.sec.gov/ix?doc=/Archives/edgar/data/0000104169/000010416922000012/wmt-20220131.htm" TargetMode="External"/><Relationship Id="rId51" Type="http://schemas.openxmlformats.org/officeDocument/2006/relationships/hyperlink" Target="https://www.sec.gov/ix?doc=/Archives/edgar/data/0000104169/000010416922000012/wmt-20220131.htm" TargetMode="External"/><Relationship Id="rId72" Type="http://schemas.openxmlformats.org/officeDocument/2006/relationships/hyperlink" Target="https://www.sec.gov/ix?doc=/Archives/edgar/data/0000104169/000010416922000012/wmt-20220131.htm" TargetMode="External"/><Relationship Id="rId93" Type="http://schemas.openxmlformats.org/officeDocument/2006/relationships/hyperlink" Target="https://www.sec.gov/ix?doc=/Archives/edgar/data/0000104169/000010416922000012/wmt-20220131.htm" TargetMode="External"/><Relationship Id="rId98" Type="http://schemas.openxmlformats.org/officeDocument/2006/relationships/hyperlink" Target="https://www.sec.gov/ix?doc=/Archives/edgar/data/0000104169/000010416922000012/wmt-20220131.htm" TargetMode="External"/><Relationship Id="rId121" Type="http://schemas.openxmlformats.org/officeDocument/2006/relationships/hyperlink" Target="https://www.sec.gov/ix?doc=/Archives/edgar/data/0000104169/000010416922000012/wmt-20220131.htm" TargetMode="External"/><Relationship Id="rId142" Type="http://schemas.openxmlformats.org/officeDocument/2006/relationships/hyperlink" Target="https://www.sec.gov/ix?doc=/Archives/edgar/data/0000104169/000010416922000012/wmt-20220131.htm" TargetMode="External"/><Relationship Id="rId163" Type="http://schemas.openxmlformats.org/officeDocument/2006/relationships/hyperlink" Target="http://www.sec.gov/Archives/edgar/data/104169/000093066102004320/dex45.txt" TargetMode="External"/><Relationship Id="rId184" Type="http://schemas.openxmlformats.org/officeDocument/2006/relationships/hyperlink" Target="https://www.sec.gov/Archives/edgar/data/104169/000010416921000068/exhibit101-8xk11292021.htm" TargetMode="External"/><Relationship Id="rId189" Type="http://schemas.openxmlformats.org/officeDocument/2006/relationships/hyperlink" Target="https://www.sec.gov/Archives/edgar/data/104169/000010416918000086/exhibit101shareissuancea.htm" TargetMode="External"/><Relationship Id="rId3" Type="http://schemas.openxmlformats.org/officeDocument/2006/relationships/webSettings" Target="webSettings.xml"/><Relationship Id="rId25" Type="http://schemas.openxmlformats.org/officeDocument/2006/relationships/hyperlink" Target="https://www.sec.gov/ix?doc=/Archives/edgar/data/0000104169/000010416922000012/wmt-20220131.htm" TargetMode="External"/><Relationship Id="rId46" Type="http://schemas.openxmlformats.org/officeDocument/2006/relationships/hyperlink" Target="https://www.sec.gov/ix?doc=/Archives/edgar/data/0000104169/000010416922000012/wmt-20220131.htm" TargetMode="External"/><Relationship Id="rId67" Type="http://schemas.openxmlformats.org/officeDocument/2006/relationships/hyperlink" Target="https://www.sec.gov/ix?doc=/Archives/edgar/data/0000104169/000010416922000012/wmt-20220131.htm" TargetMode="External"/><Relationship Id="rId116" Type="http://schemas.openxmlformats.org/officeDocument/2006/relationships/hyperlink" Target="https://www.sec.gov/ix?doc=/Archives/edgar/data/0000104169/000010416922000012/wmt-20220131.htm" TargetMode="External"/><Relationship Id="rId137" Type="http://schemas.openxmlformats.org/officeDocument/2006/relationships/hyperlink" Target="https://www.sec.gov/ix?doc=/Archives/edgar/data/0000104169/000010416922000012/wmt-20220131.htm" TargetMode="External"/><Relationship Id="rId158" Type="http://schemas.openxmlformats.org/officeDocument/2006/relationships/hyperlink" Target="https://www.sec.gov/ix?doc=/Archives/edgar/data/0000104169/000010416922000012/wmt-20220131.htm" TargetMode="External"/><Relationship Id="rId20" Type="http://schemas.openxmlformats.org/officeDocument/2006/relationships/hyperlink" Target="https://www.sec.gov/ix?doc=/Archives/edgar/data/0000104169/000010416922000012/wmt-20220131.htm" TargetMode="External"/><Relationship Id="rId41" Type="http://schemas.openxmlformats.org/officeDocument/2006/relationships/hyperlink" Target="https://www.sec.gov/ix?doc=/Archives/edgar/data/0000104169/000010416922000012/wmt-20220131.htm" TargetMode="External"/><Relationship Id="rId62" Type="http://schemas.openxmlformats.org/officeDocument/2006/relationships/hyperlink" Target="https://www.sec.gov/ix?doc=/Archives/edgar/data/0000104169/000010416922000012/wmt-20220131.htm" TargetMode="External"/><Relationship Id="rId83" Type="http://schemas.openxmlformats.org/officeDocument/2006/relationships/hyperlink" Target="https://www.sec.gov/ix?doc=/Archives/edgar/data/0000104169/000010416922000012/wmt-20220131.htm" TargetMode="External"/><Relationship Id="rId88" Type="http://schemas.openxmlformats.org/officeDocument/2006/relationships/hyperlink" Target="https://www.sec.gov/ix?doc=/Archives/edgar/data/0000104169/000010416922000012/wmt-20220131.htm" TargetMode="External"/><Relationship Id="rId111" Type="http://schemas.openxmlformats.org/officeDocument/2006/relationships/hyperlink" Target="https://www.sec.gov/ix?doc=/Archives/edgar/data/0000104169/000010416922000012/wmt-20220131.htm" TargetMode="External"/><Relationship Id="rId132" Type="http://schemas.openxmlformats.org/officeDocument/2006/relationships/hyperlink" Target="https://www.sec.gov/ix?doc=/Archives/edgar/data/0000104169/000010416922000012/wmt-20220131.htm" TargetMode="External"/><Relationship Id="rId153" Type="http://schemas.openxmlformats.org/officeDocument/2006/relationships/hyperlink" Target="https://www.sec.gov/ix?doc=/Archives/edgar/data/0000104169/000010416922000012/wmt-20220131.htm" TargetMode="External"/><Relationship Id="rId174" Type="http://schemas.openxmlformats.org/officeDocument/2006/relationships/hyperlink" Target="http://www.sec.gov/Archives/edgar/data/104169/000010416918000028/exhibit10e.htm" TargetMode="External"/><Relationship Id="rId179" Type="http://schemas.openxmlformats.org/officeDocument/2006/relationships/hyperlink" Target="https://www.sec.gov/Archives/edgar/data/0000104169/000010416922000012/wmtexhibit109fy22.htm" TargetMode="External"/><Relationship Id="rId195" Type="http://schemas.openxmlformats.org/officeDocument/2006/relationships/hyperlink" Target="http://www.sec.gov/Archives/edgar/data/104169/000010416918000086/exhibit102sharepurchasea.htm" TargetMode="External"/><Relationship Id="rId190" Type="http://schemas.openxmlformats.org/officeDocument/2006/relationships/hyperlink" Target="http://www.sec.gov/Archives/edgar/data/104169/000010416918000086/exhibit102sharepurchasea.htm" TargetMode="External"/><Relationship Id="rId204" Type="http://schemas.openxmlformats.org/officeDocument/2006/relationships/theme" Target="theme/theme1.xml"/><Relationship Id="rId15" Type="http://schemas.openxmlformats.org/officeDocument/2006/relationships/hyperlink" Target="https://www.sec.gov/ix?doc=/Archives/edgar/data/0000104169/000010416922000012/wmt-20220131.htm" TargetMode="External"/><Relationship Id="rId36" Type="http://schemas.openxmlformats.org/officeDocument/2006/relationships/hyperlink" Target="https://www.sec.gov/ix?doc=/Archives/edgar/data/0000104169/000010416922000012/wmt-20220131.htm" TargetMode="External"/><Relationship Id="rId57" Type="http://schemas.openxmlformats.org/officeDocument/2006/relationships/hyperlink" Target="https://www.sec.gov/ix?doc=/Archives/edgar/data/0000104169/000010416922000012/wmt-20220131.htm" TargetMode="External"/><Relationship Id="rId106" Type="http://schemas.openxmlformats.org/officeDocument/2006/relationships/hyperlink" Target="https://www.sec.gov/ix?doc=/Archives/edgar/data/0000104169/000010416922000012/wmt-20220131.htm" TargetMode="External"/><Relationship Id="rId127" Type="http://schemas.openxmlformats.org/officeDocument/2006/relationships/hyperlink" Target="https://www.sec.gov/ix?doc=/Archives/edgar/data/0000104169/000010416922000012/wmt-20220131.htm" TargetMode="External"/><Relationship Id="rId10" Type="http://schemas.openxmlformats.org/officeDocument/2006/relationships/hyperlink" Target="https://www.sec.gov/ix?doc=/Archives/edgar/data/0000104169/000010416922000012/wmt-20220131.htm" TargetMode="External"/><Relationship Id="rId31" Type="http://schemas.openxmlformats.org/officeDocument/2006/relationships/hyperlink" Target="https://www.sec.gov/ix?doc=/Archives/edgar/data/0000104169/000010416922000012/wmt-20220131.htm" TargetMode="External"/><Relationship Id="rId52" Type="http://schemas.openxmlformats.org/officeDocument/2006/relationships/hyperlink" Target="https://www.sec.gov/ix?doc=/Archives/edgar/data/0000104169/000010416922000012/wmt-20220131.htm" TargetMode="External"/><Relationship Id="rId73" Type="http://schemas.openxmlformats.org/officeDocument/2006/relationships/hyperlink" Target="https://www.sec.gov/ix?doc=/Archives/edgar/data/0000104169/000010416922000012/wmt-20220131.htm" TargetMode="External"/><Relationship Id="rId78" Type="http://schemas.openxmlformats.org/officeDocument/2006/relationships/hyperlink" Target="https://www.sec.gov/ix?doc=/Archives/edgar/data/0000104169/000010416922000012/wmt-20220131.htm" TargetMode="External"/><Relationship Id="rId94" Type="http://schemas.openxmlformats.org/officeDocument/2006/relationships/hyperlink" Target="https://www.sec.gov/ix?doc=/Archives/edgar/data/0000104169/000010416922000012/wmt-20220131.htm" TargetMode="External"/><Relationship Id="rId99" Type="http://schemas.openxmlformats.org/officeDocument/2006/relationships/hyperlink" Target="https://www.sec.gov/ix?doc=/Archives/edgar/data/0000104169/000010416922000012/wmt-20220131.htm" TargetMode="External"/><Relationship Id="rId101" Type="http://schemas.openxmlformats.org/officeDocument/2006/relationships/hyperlink" Target="https://www.sec.gov/ix?doc=/Archives/edgar/data/0000104169/000010416922000012/wmt-20220131.htm" TargetMode="External"/><Relationship Id="rId122" Type="http://schemas.openxmlformats.org/officeDocument/2006/relationships/hyperlink" Target="https://www.sec.gov/ix?doc=/Archives/edgar/data/0000104169/000010416922000012/wmt-20220131.htm" TargetMode="External"/><Relationship Id="rId143" Type="http://schemas.openxmlformats.org/officeDocument/2006/relationships/hyperlink" Target="https://www.sec.gov/ix?doc=/Archives/edgar/data/0000104169/000010416922000012/wmt-20220131.htm" TargetMode="External"/><Relationship Id="rId148" Type="http://schemas.openxmlformats.org/officeDocument/2006/relationships/hyperlink" Target="https://www.sec.gov/ix?doc=/Archives/edgar/data/0000104169/000010416922000012/wmt-20220131.htm" TargetMode="External"/><Relationship Id="rId164" Type="http://schemas.openxmlformats.org/officeDocument/2006/relationships/hyperlink" Target="http://www.sec.gov/Archives/edgar/data/104169/000119312505140337/dex45.htm" TargetMode="External"/><Relationship Id="rId169" Type="http://schemas.openxmlformats.org/officeDocument/2006/relationships/hyperlink" Target="https://www.sec.gov/Archives/edgar/data/0000104169/000010416922000012/wmtexhibit101fy22.htm" TargetMode="External"/><Relationship Id="rId185" Type="http://schemas.openxmlformats.org/officeDocument/2006/relationships/hyperlink" Target="https://www.sec.gov/Archives/edgar/data/104169/000010416918000086/exhibit101shareissuancea.htm" TargetMode="External"/><Relationship Id="rId4" Type="http://schemas.openxmlformats.org/officeDocument/2006/relationships/footnotes" Target="footnotes.xml"/><Relationship Id="rId9" Type="http://schemas.openxmlformats.org/officeDocument/2006/relationships/hyperlink" Target="https://www.sec.gov/ix?doc=/Archives/edgar/data/0000104169/000010416922000012/wmt-20220131.htm" TargetMode="External"/><Relationship Id="rId180" Type="http://schemas.openxmlformats.org/officeDocument/2006/relationships/hyperlink" Target="https://www.sec.gov/Archives/edgar/data/0000104169/000010416918000028/exhibit10a.htm" TargetMode="External"/><Relationship Id="rId26" Type="http://schemas.openxmlformats.org/officeDocument/2006/relationships/hyperlink" Target="https://www.sec.gov/ix?doc=/Archives/edgar/data/0000104169/000010416922000012/wmt-20220131.htm" TargetMode="External"/><Relationship Id="rId47" Type="http://schemas.openxmlformats.org/officeDocument/2006/relationships/hyperlink" Target="https://www.sec.gov/ix?doc=/Archives/edgar/data/0000104169/000010416922000012/wmt-20220131.htm" TargetMode="External"/><Relationship Id="rId68" Type="http://schemas.openxmlformats.org/officeDocument/2006/relationships/hyperlink" Target="https://www.sec.gov/ix?doc=/Archives/edgar/data/0000104169/000010416922000012/wmt-20220131.htm" TargetMode="External"/><Relationship Id="rId89" Type="http://schemas.openxmlformats.org/officeDocument/2006/relationships/hyperlink" Target="https://www.sec.gov/ix?doc=/Archives/edgar/data/0000104169/000010416922000012/wmt-20220131.htm" TargetMode="External"/><Relationship Id="rId112" Type="http://schemas.openxmlformats.org/officeDocument/2006/relationships/hyperlink" Target="https://www.sec.gov/ix?doc=/Archives/edgar/data/0000104169/000010416922000012/wmt-20220131.htm" TargetMode="External"/><Relationship Id="rId133" Type="http://schemas.openxmlformats.org/officeDocument/2006/relationships/hyperlink" Target="https://www.sec.gov/ix?doc=/Archives/edgar/data/0000104169/000010416922000012/wmt-20220131.htm" TargetMode="External"/><Relationship Id="rId154" Type="http://schemas.openxmlformats.org/officeDocument/2006/relationships/hyperlink" Target="https://www.sec.gov/ix?doc=/Archives/edgar/data/0000104169/000010416922000012/wmt-20220131.htm" TargetMode="External"/><Relationship Id="rId175" Type="http://schemas.openxmlformats.org/officeDocument/2006/relationships/hyperlink" Target="http://www.sec.gov/Archives/edgar/data/104169/000010416918000028/exhibit10f.htm" TargetMode="External"/><Relationship Id="rId196" Type="http://schemas.openxmlformats.org/officeDocument/2006/relationships/hyperlink" Target="https://www.sec.gov/Archives/edgar/data/0000104169/000010416922000012/wmtexhibit21fy22.htm" TargetMode="External"/><Relationship Id="rId200" Type="http://schemas.openxmlformats.org/officeDocument/2006/relationships/hyperlink" Target="https://www.sec.gov/Archives/edgar/data/0000104169/000010416922000012/wmtexhibit321fy22q4.htm" TargetMode="External"/><Relationship Id="rId16" Type="http://schemas.openxmlformats.org/officeDocument/2006/relationships/hyperlink" Target="https://www.sec.gov/ix?doc=/Archives/edgar/data/0000104169/000010416922000012/wmt-20220131.htm" TargetMode="External"/><Relationship Id="rId37" Type="http://schemas.openxmlformats.org/officeDocument/2006/relationships/hyperlink" Target="https://www.sec.gov/ix?doc=/Archives/edgar/data/0000104169/000010416922000012/wmt-20220131.htm" TargetMode="External"/><Relationship Id="rId58" Type="http://schemas.openxmlformats.org/officeDocument/2006/relationships/hyperlink" Target="https://www.sec.gov/ix?doc=/Archives/edgar/data/0000104169/000010416922000012/wmt-20220131.htm" TargetMode="External"/><Relationship Id="rId79" Type="http://schemas.openxmlformats.org/officeDocument/2006/relationships/hyperlink" Target="https://www.sec.gov/ix?doc=/Archives/edgar/data/0000104169/000010416922000012/wmt-20220131.htm" TargetMode="External"/><Relationship Id="rId102" Type="http://schemas.openxmlformats.org/officeDocument/2006/relationships/hyperlink" Target="https://www.sec.gov/ix?doc=/Archives/edgar/data/0000104169/000010416922000012/wmt-20220131.htm" TargetMode="External"/><Relationship Id="rId123" Type="http://schemas.openxmlformats.org/officeDocument/2006/relationships/hyperlink" Target="https://www.sec.gov/ix?doc=/Archives/edgar/data/0000104169/000010416922000012/wmt-20220131.htm" TargetMode="External"/><Relationship Id="rId144" Type="http://schemas.openxmlformats.org/officeDocument/2006/relationships/hyperlink" Target="https://www.sec.gov/ix?doc=/Archives/edgar/data/0000104169/000010416922000012/wmt-20220131.htm" TargetMode="External"/><Relationship Id="rId90" Type="http://schemas.openxmlformats.org/officeDocument/2006/relationships/hyperlink" Target="https://www.sec.gov/ix?doc=/Archives/edgar/data/0000104169/000010416922000012/wmt-20220131.htm" TargetMode="External"/><Relationship Id="rId165" Type="http://schemas.openxmlformats.org/officeDocument/2006/relationships/hyperlink" Target="http://www.sec.gov/Archives/edgar/data/104169/000119312506248692/dex46.htm" TargetMode="External"/><Relationship Id="rId186" Type="http://schemas.openxmlformats.org/officeDocument/2006/relationships/hyperlink" Target="https://www.sec.gov/Archives/edgar/data/104169/000010416918000086/exhibit101shareissuancea.htm" TargetMode="External"/><Relationship Id="rId27" Type="http://schemas.openxmlformats.org/officeDocument/2006/relationships/hyperlink" Target="https://www.sec.gov/ix?doc=/Archives/edgar/data/0000104169/000010416922000012/wmt-20220131.htm" TargetMode="External"/><Relationship Id="rId48" Type="http://schemas.openxmlformats.org/officeDocument/2006/relationships/hyperlink" Target="https://www.sec.gov/ix?doc=/Archives/edgar/data/0000104169/000010416922000012/wmt-20220131.htm" TargetMode="External"/><Relationship Id="rId69" Type="http://schemas.openxmlformats.org/officeDocument/2006/relationships/hyperlink" Target="https://www.sec.gov/ix?doc=/Archives/edgar/data/0000104169/000010416922000012/wmt-20220131.htm" TargetMode="External"/><Relationship Id="rId113" Type="http://schemas.openxmlformats.org/officeDocument/2006/relationships/hyperlink" Target="https://www.sec.gov/ix?doc=/Archives/edgar/data/0000104169/000010416922000012/wmt-20220131.htm" TargetMode="External"/><Relationship Id="rId134" Type="http://schemas.openxmlformats.org/officeDocument/2006/relationships/hyperlink" Target="https://www.sec.gov/ix?doc=/Archives/edgar/data/0000104169/000010416922000012/wmt-20220131.htm" TargetMode="External"/><Relationship Id="rId80" Type="http://schemas.openxmlformats.org/officeDocument/2006/relationships/hyperlink" Target="https://www.sec.gov/ix?doc=/Archives/edgar/data/0000104169/000010416922000012/wmt-20220131.htm" TargetMode="External"/><Relationship Id="rId155" Type="http://schemas.openxmlformats.org/officeDocument/2006/relationships/hyperlink" Target="https://www.sec.gov/ix?doc=/Archives/edgar/data/0000104169/000010416922000012/wmt-20220131.htm" TargetMode="External"/><Relationship Id="rId176" Type="http://schemas.openxmlformats.org/officeDocument/2006/relationships/hyperlink" Target="http://www.sec.gov/Archives/edgar/data/104169/000119312511083157/dex10p.htm" TargetMode="External"/><Relationship Id="rId197" Type="http://schemas.openxmlformats.org/officeDocument/2006/relationships/hyperlink" Target="https://www.sec.gov/Archives/edgar/data/0000104169/000010416922000012/wmtexhibit23fy22.htm" TargetMode="External"/><Relationship Id="rId201" Type="http://schemas.openxmlformats.org/officeDocument/2006/relationships/hyperlink" Target="https://www.sec.gov/Archives/edgar/data/0000104169/000010416922000012/wmtexhibit322fy22q4.htm" TargetMode="External"/><Relationship Id="rId17" Type="http://schemas.openxmlformats.org/officeDocument/2006/relationships/hyperlink" Target="https://www.sec.gov/ix?doc=/Archives/edgar/data/0000104169/000010416922000012/wmt-20220131.htm" TargetMode="External"/><Relationship Id="rId38" Type="http://schemas.openxmlformats.org/officeDocument/2006/relationships/hyperlink" Target="https://www.sec.gov/ix?doc=/Archives/edgar/data/0000104169/000010416922000012/wmt-20220131.htm" TargetMode="External"/><Relationship Id="rId59" Type="http://schemas.openxmlformats.org/officeDocument/2006/relationships/hyperlink" Target="https://www.sec.gov/ix?doc=/Archives/edgar/data/0000104169/000010416922000012/wmt-20220131.htm" TargetMode="External"/><Relationship Id="rId103" Type="http://schemas.openxmlformats.org/officeDocument/2006/relationships/hyperlink" Target="https://www.sec.gov/ix?doc=/Archives/edgar/data/0000104169/000010416922000012/wmt-20220131.htm" TargetMode="External"/><Relationship Id="rId124" Type="http://schemas.openxmlformats.org/officeDocument/2006/relationships/hyperlink" Target="https://www.sec.gov/ix?doc=/Archives/edgar/data/0000104169/000010416922000012/wmt-20220131.htm" TargetMode="External"/><Relationship Id="rId70" Type="http://schemas.openxmlformats.org/officeDocument/2006/relationships/hyperlink" Target="https://www.sec.gov/ix?doc=/Archives/edgar/data/0000104169/000010416922000012/wmt-20220131.htm" TargetMode="External"/><Relationship Id="rId91" Type="http://schemas.openxmlformats.org/officeDocument/2006/relationships/hyperlink" Target="https://www.sec.gov/ix?doc=/Archives/edgar/data/0000104169/000010416922000012/wmt-20220131.htm" TargetMode="External"/><Relationship Id="rId145" Type="http://schemas.openxmlformats.org/officeDocument/2006/relationships/hyperlink" Target="https://www.sec.gov/ix?doc=/Archives/edgar/data/0000104169/000010416922000012/wmt-20220131.htm" TargetMode="External"/><Relationship Id="rId166" Type="http://schemas.openxmlformats.org/officeDocument/2006/relationships/hyperlink" Target="http://www.sec.gov/Archives/edgar/data/104169/000119312514448061/d838288dex43.htm" TargetMode="External"/><Relationship Id="rId187" Type="http://schemas.openxmlformats.org/officeDocument/2006/relationships/hyperlink" Target="https://www.sec.gov/Archives/edgar/data/104169/000010416918000086/exhibit101shareissuancea.htm" TargetMode="External"/><Relationship Id="rId1" Type="http://schemas.openxmlformats.org/officeDocument/2006/relationships/styles" Target="styles.xml"/><Relationship Id="rId28" Type="http://schemas.openxmlformats.org/officeDocument/2006/relationships/hyperlink" Target="https://www.sec.gov/ix?doc=/Archives/edgar/data/0000104169/000010416922000012/wmt-20220131.htm" TargetMode="External"/><Relationship Id="rId49" Type="http://schemas.openxmlformats.org/officeDocument/2006/relationships/hyperlink" Target="https://www.sec.gov/ix?doc=/Archives/edgar/data/0000104169/000010416922000012/wmt-20220131.htm" TargetMode="External"/><Relationship Id="rId114" Type="http://schemas.openxmlformats.org/officeDocument/2006/relationships/hyperlink" Target="https://www.sec.gov/ix?doc=/Archives/edgar/data/0000104169/000010416922000012/wmt-20220131.htm" TargetMode="External"/><Relationship Id="rId60" Type="http://schemas.openxmlformats.org/officeDocument/2006/relationships/hyperlink" Target="https://www.sec.gov/ix?doc=/Archives/edgar/data/0000104169/000010416922000012/wmt-20220131.htm" TargetMode="External"/><Relationship Id="rId81" Type="http://schemas.openxmlformats.org/officeDocument/2006/relationships/hyperlink" Target="https://www.sec.gov/ix?doc=/Archives/edgar/data/0000104169/000010416922000012/wmt-20220131.htm" TargetMode="External"/><Relationship Id="rId135" Type="http://schemas.openxmlformats.org/officeDocument/2006/relationships/hyperlink" Target="https://www.sec.gov/ix?doc=/Archives/edgar/data/0000104169/000010416922000012/wmt-20220131.htm" TargetMode="External"/><Relationship Id="rId156" Type="http://schemas.openxmlformats.org/officeDocument/2006/relationships/hyperlink" Target="https://www.sec.gov/ix?doc=/Archives/edgar/data/0000104169/000010416922000012/wmt-20220131.htm" TargetMode="External"/><Relationship Id="rId177" Type="http://schemas.openxmlformats.org/officeDocument/2006/relationships/hyperlink" Target="https://www.sec.gov/Archives/edgar/data/104169/000010416920000011/exhibit107a.htm" TargetMode="External"/><Relationship Id="rId198" Type="http://schemas.openxmlformats.org/officeDocument/2006/relationships/hyperlink" Target="https://www.sec.gov/Archives/edgar/data/0000104169/000010416922000012/wmtexhibit311fy22q4.htm" TargetMode="External"/><Relationship Id="rId202" Type="http://schemas.openxmlformats.org/officeDocument/2006/relationships/hyperlink" Target="https://www.sec.gov/Archives/edgar/data/0000104169/000010416922000012/wmtexhibit991fy22.htm" TargetMode="External"/><Relationship Id="rId18" Type="http://schemas.openxmlformats.org/officeDocument/2006/relationships/hyperlink" Target="https://www.sec.gov/ix?doc=/Archives/edgar/data/0000104169/000010416922000012/wmt-20220131.htm" TargetMode="External"/><Relationship Id="rId39" Type="http://schemas.openxmlformats.org/officeDocument/2006/relationships/hyperlink" Target="https://www.sec.gov/ix?doc=/Archives/edgar/data/0000104169/000010416922000012/wmt-20220131.htm" TargetMode="External"/><Relationship Id="rId50" Type="http://schemas.openxmlformats.org/officeDocument/2006/relationships/hyperlink" Target="https://www.sec.gov/ix?doc=/Archives/edgar/data/0000104169/000010416922000012/wmt-20220131.htm" TargetMode="External"/><Relationship Id="rId104" Type="http://schemas.openxmlformats.org/officeDocument/2006/relationships/hyperlink" Target="https://www.sec.gov/ix?doc=/Archives/edgar/data/0000104169/000010416922000012/wmt-20220131.htm" TargetMode="External"/><Relationship Id="rId125" Type="http://schemas.openxmlformats.org/officeDocument/2006/relationships/hyperlink" Target="https://www.sec.gov/ix?doc=/Archives/edgar/data/0000104169/000010416922000012/wmt-20220131.htm" TargetMode="External"/><Relationship Id="rId146" Type="http://schemas.openxmlformats.org/officeDocument/2006/relationships/hyperlink" Target="https://www.sec.gov/ix?doc=/Archives/edgar/data/0000104169/000010416922000012/wmt-20220131.htm" TargetMode="External"/><Relationship Id="rId167" Type="http://schemas.openxmlformats.org/officeDocument/2006/relationships/hyperlink" Target="http://www.sec.gov/Archives/edgar/data/104169/000119312518204205/d561440dex4s.htm" TargetMode="External"/><Relationship Id="rId188" Type="http://schemas.openxmlformats.org/officeDocument/2006/relationships/hyperlink" Target="https://www.sec.gov/Archives/edgar/data/104169/000010416918000086/exhibit101shareissuancea.htm" TargetMode="External"/><Relationship Id="rId71" Type="http://schemas.openxmlformats.org/officeDocument/2006/relationships/hyperlink" Target="https://www.sec.gov/ix?doc=/Archives/edgar/data/0000104169/000010416922000012/wmt-20220131.htm" TargetMode="External"/><Relationship Id="rId92" Type="http://schemas.openxmlformats.org/officeDocument/2006/relationships/hyperlink" Target="https://www.sec.gov/ix?doc=/Archives/edgar/data/0000104169/000010416922000012/wmt-202201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61901</Words>
  <Characters>352839</Characters>
  <Application>Microsoft Office Word</Application>
  <DocSecurity>0</DocSecurity>
  <Lines>2940</Lines>
  <Paragraphs>827</Paragraphs>
  <ScaleCrop>false</ScaleCrop>
  <Company/>
  <LinksUpToDate>false</LinksUpToDate>
  <CharactersWithSpaces>413913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2023-02-11T23:59:00Z</dcterms:created>
  <dcterms:modified xsi:type="dcterms:W3CDTF">2023-02-13T11:35:00Z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2B8886A0DD0EAA7967BBE763BEE7F995</vt:lpwstr>
  </property>
</Properties>
</file>