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4F7F" w14:textId="2A575240" w:rsidR="00B1578D" w:rsidRDefault="004D2C04">
      <w:pPr>
        <w:rPr>
          <w:vanish/>
        </w:rPr>
      </w:pPr>
      <w:r>
        <w:rPr>
          <w:rFonts w:ascii="宋体" w:eastAsia="宋体" w:hAnsi="宋体" w:cs="宋体"/>
        </w:rPr>
        <w:t xml:space="preserve"> </w:t>
      </w:r>
      <w:r>
        <w:rPr>
          <w:rFonts w:ascii="宋体" w:eastAsia="宋体" w:hAnsi="宋体" w:cs="宋体"/>
          <w:vanish/>
        </w:rPr>
        <w:t>00001041691/312023Q1false00001041692022-02-012022-04-300000104169wmt:CommonStockparvalue0.10pershareMember2022-02-012022-04-300000104169wmt:A2.550NotesDue2026Member2022-02-012022-04-3000001041692022-06-01xbrli:sharesiso4217:USD00001041692021-02-012021-04-3</w:t>
      </w:r>
      <w:r>
        <w:rPr>
          <w:rFonts w:ascii="宋体" w:eastAsia="宋体" w:hAnsi="宋体" w:cs="宋体"/>
          <w:vanish/>
        </w:rPr>
        <w:t>0iso4217:USDxbrli:shares00001041692022-04-3000001041692022-01-3100001041692021-04-300000104169us-gaap:CommonStockMember2022-01-310000104169us-gaap:AdditionalPaidInCapitalMember2022-01-310000104169us-gaap:RetainedEarningsMember2022-01-310000104169us-gaap:Ac</w:t>
      </w:r>
      <w:r>
        <w:rPr>
          <w:rFonts w:ascii="宋体" w:eastAsia="宋体" w:hAnsi="宋体" w:cs="宋体"/>
          <w:vanish/>
        </w:rPr>
        <w:t>cumulatedOtherComprehensiveIncomeMember2022-01-310000104169us-gaap:ParentMember2022-01-310000104169us-gaap:NoncontrollingInterestMember2022-01-310000104169us-gaap:RetainedEarningsMember2022-02-012022-04-300000104169us-gaap:ParentMember2022-02-012022-04-300</w:t>
      </w:r>
      <w:r>
        <w:rPr>
          <w:rFonts w:ascii="宋体" w:eastAsia="宋体" w:hAnsi="宋体" w:cs="宋体"/>
          <w:vanish/>
        </w:rPr>
        <w:t>000104169us-gaap:NoncontrollingInterestMember2022-02-012022-04-300000104169us-gaap:AccumulatedOtherComprehensiveIncomeMember2022-02-012022-04-300000104169us-gaap:CommonStockMember2022-02-012022-04-300000104169us-gaap:AdditionalPaidInCapitalMember2022-02-01</w:t>
      </w:r>
      <w:r>
        <w:rPr>
          <w:rFonts w:ascii="宋体" w:eastAsia="宋体" w:hAnsi="宋体" w:cs="宋体"/>
          <w:vanish/>
        </w:rPr>
        <w:t>2022-04-300000104169us-gaap:CommonStockMember2022-04-300000104169us-gaap:AdditionalPaidInCapitalMember2022-04-300000104169us-gaap:RetainedEarningsMember2022-04-300000104169us-gaap:AccumulatedOtherComprehensiveIncomeMember2022-04-300000104169us-gaap:ParentM</w:t>
      </w:r>
      <w:r>
        <w:rPr>
          <w:rFonts w:ascii="宋体" w:eastAsia="宋体" w:hAnsi="宋体" w:cs="宋体"/>
          <w:vanish/>
        </w:rPr>
        <w:t>ember2022-04-300000104169us-gaap:NoncontrollingInterestMember2022-04-300000104169us-gaap:CommonStockMember2021-01-310000104169us-gaap:AdditionalPaidInCapitalMember2021-01-310000104169us-gaap:RetainedEarningsMember2021-01-310000104169us-gaap:AccumulatedOthe</w:t>
      </w:r>
      <w:r>
        <w:rPr>
          <w:rFonts w:ascii="宋体" w:eastAsia="宋体" w:hAnsi="宋体" w:cs="宋体"/>
          <w:vanish/>
        </w:rPr>
        <w:t>rComprehensiveIncomeMember2021-01-310000104169us-gaap:ParentMember2021-01-310000104169us-gaap:NoncontrollingInterestMember2021-01-3100001041692021-01-310000104169us-gaap:RetainedEarningsMember2021-02-012021-04-300000104169us-gaap:ParentMember2021-02-012021</w:t>
      </w:r>
      <w:r>
        <w:rPr>
          <w:rFonts w:ascii="宋体" w:eastAsia="宋体" w:hAnsi="宋体" w:cs="宋体"/>
          <w:vanish/>
        </w:rPr>
        <w:t>-04-300000104169us-gaap:NoncontrollingInterestMember2021-02-012021-04-300000104169us-gaap:AccumulatedOtherComprehensiveIncomeMember2021-02-012021-04-300000104169us-gaap:CommonStockMember2021-02-012021-04-300000104169us-gaap:AdditionalPaidInCapitalMember202</w:t>
      </w:r>
      <w:r>
        <w:rPr>
          <w:rFonts w:ascii="宋体" w:eastAsia="宋体" w:hAnsi="宋体" w:cs="宋体"/>
          <w:vanish/>
        </w:rPr>
        <w:t>1-02-012021-04-300000104169us-gaap:CommonStockMember2021-04-300000104169us-gaap:AdditionalPaidInCapitalMember2021-04-300000104169us-gaap:RetainedEarningsMember2021-04-300000104169us-gaap:AccumulatedOtherComprehensiveIncomeMember2021-04-300000104169us-gaap:</w:t>
      </w:r>
      <w:r>
        <w:rPr>
          <w:rFonts w:ascii="宋体" w:eastAsia="宋体" w:hAnsi="宋体" w:cs="宋体"/>
          <w:vanish/>
        </w:rPr>
        <w:t>ParentMember2021-04-300000104169us-gaap:NoncontrollingInterestMember2021-04-300000104169us-gaap:AccumulatedForeignCurrencyAdjustmentIncludingPortionAttributableToNoncontrollingInterestMember2022-01-310000104169wmt:AccumulatedNetInvestmentGainOrLossIncludin</w:t>
      </w:r>
      <w:r>
        <w:rPr>
          <w:rFonts w:ascii="宋体" w:eastAsia="宋体" w:hAnsi="宋体" w:cs="宋体"/>
          <w:vanish/>
        </w:rPr>
        <w:t>gPortionAttributableToNoncontrollingInterestMember2022-01-310000104169us-gaap:AccumulatedGainLossCashFlowHedgeIncludingNoncontrollingInterestMember2022-01-310000104169us-gaap:AccumulatedDefinedBenefitPlansAdjustmentIncludingPortionAttributableToNoncontroll</w:t>
      </w:r>
      <w:r>
        <w:rPr>
          <w:rFonts w:ascii="宋体" w:eastAsia="宋体" w:hAnsi="宋体" w:cs="宋体"/>
          <w:vanish/>
        </w:rPr>
        <w:t>ingInterestMember2022-01-310000104169us-gaap:AociIncludingPortionAttributableToNoncontrollingInterestMember2022-01-310000104169us-gaap:AccumulatedForeignCurrencyAdjustmentIncludingPortionAttributableToNoncontrollingInterestMember2022-02-012022-04-300000104</w:t>
      </w:r>
      <w:r>
        <w:rPr>
          <w:rFonts w:ascii="宋体" w:eastAsia="宋体" w:hAnsi="宋体" w:cs="宋体"/>
          <w:vanish/>
        </w:rPr>
        <w:t>169wmt:AccumulatedNetInvestmentGainOrLossIncludingPortionAttributableToNoncontrollingInterestMember2022-02-012022-04-300000104169us-gaap:AccumulatedGainLossCashFlowHedgeIncludingNoncontrollingInterestMember2022-02-012022-04-300000104169us-gaap:AccumulatedD</w:t>
      </w:r>
      <w:r>
        <w:rPr>
          <w:rFonts w:ascii="宋体" w:eastAsia="宋体" w:hAnsi="宋体" w:cs="宋体"/>
          <w:vanish/>
        </w:rPr>
        <w:t>efinedBenefitPlansAdjustmentIncludingPortionAttributableToNoncontrollingInterestMember2022-02-012022-04-300000104169us-gaap:AccumulatedForeignCurrencyAdjustmentIncludingPortionAttributableToNoncontrollingInterestMember2022-04-300000104169wmt:AccumulatedNet</w:t>
      </w:r>
      <w:r>
        <w:rPr>
          <w:rFonts w:ascii="宋体" w:eastAsia="宋体" w:hAnsi="宋体" w:cs="宋体"/>
          <w:vanish/>
        </w:rPr>
        <w:t>InvestmentGainOrLossIncludingPortionAttributableToNoncontrollingInterestMember2022-04-300000104169us-gaap:AccumulatedGainLossCashFlowHedgeIncludingNoncontrollingInterestMember2022-04-300000104169us-gaap:AccumulatedDefinedBenefitPlansAdjustmentIncludingPort</w:t>
      </w:r>
      <w:r>
        <w:rPr>
          <w:rFonts w:ascii="宋体" w:eastAsia="宋体" w:hAnsi="宋体" w:cs="宋体"/>
          <w:vanish/>
        </w:rPr>
        <w:t>ionAttributableToNoncontrollingInterestMember2022-04-300000104169us-gaap:AociIncludingPortionAttributableToNoncontrollingInterestMember2022-04-300000104169us-gaap:AccumulatedForeignCurrencyAdjustmentIncludingPortionAttributableToNoncontrollingInterestMembe</w:t>
      </w:r>
      <w:r>
        <w:rPr>
          <w:rFonts w:ascii="宋体" w:eastAsia="宋体" w:hAnsi="宋体" w:cs="宋体"/>
          <w:vanish/>
        </w:rPr>
        <w:t>r2021-01-310000104169wmt:AccumulatedNetInvestmentGainOrLossIncludingPortionAttributableToNoncontrollingInterestMember2021-01-310000104169us-gaap:AccumulatedGainLossCashFlowHedgeIncludingNoncontrollingInterestMember2021-01-310000104169us-gaap:AccumulatedDef</w:t>
      </w:r>
      <w:r>
        <w:rPr>
          <w:rFonts w:ascii="宋体" w:eastAsia="宋体" w:hAnsi="宋体" w:cs="宋体"/>
          <w:vanish/>
        </w:rPr>
        <w:t>inedBenefitPlansAdjustmentIncludingPortionAttributableToNoncontrollingInterestMember2021-01-310000104169us-gaap:AociIncludingPortionAttributableToNoncontrollingInterestMember2021-01-310000104169us-gaap:AccumulatedForeignCurrencyAdjustmentIncludingPortionAt</w:t>
      </w:r>
      <w:r>
        <w:rPr>
          <w:rFonts w:ascii="宋体" w:eastAsia="宋体" w:hAnsi="宋体" w:cs="宋体"/>
          <w:vanish/>
        </w:rPr>
        <w:t>tributableToNoncontrollingInterestMember2021-02-012021-04-300000104169wmt:AccumulatedNetInvestmentGainOrLossIncludingPortionAttributableToNoncontrollingInterestMember2021-02-012021-04-300000104169us-gaap:AccumulatedGainLossCashFlowHedgeIncludingNoncontroll</w:t>
      </w:r>
      <w:r>
        <w:rPr>
          <w:rFonts w:ascii="宋体" w:eastAsia="宋体" w:hAnsi="宋体" w:cs="宋体"/>
          <w:vanish/>
        </w:rPr>
        <w:t>ingInterestMember2021-02-012021-04-300000104169us-gaap:AccumulatedDefinedBenefitPlansAdjustmentIncludingPortionAttributableToNoncontrollingInterestMember2021-02-012021-04-300000104169us-gaap:AccumulatedForeignCurrencyAdjustmentIncludingPortionAttributableT</w:t>
      </w:r>
      <w:r>
        <w:rPr>
          <w:rFonts w:ascii="宋体" w:eastAsia="宋体" w:hAnsi="宋体" w:cs="宋体"/>
          <w:vanish/>
        </w:rPr>
        <w:t>oNoncontrollingInterestMember2021-04-300000104169wmt:AccumulatedNetInvestmentGainOrLossIncludingPortionAttributableToNoncontrollingInterestMember2021-04-300000104169us-gaap:AccumulatedGainLossCashFlowHedgeIncludingNoncontrollingInterestMember2021-04-300000</w:t>
      </w:r>
      <w:r>
        <w:rPr>
          <w:rFonts w:ascii="宋体" w:eastAsia="宋体" w:hAnsi="宋体" w:cs="宋体"/>
          <w:vanish/>
        </w:rPr>
        <w:t>104169us-gaap:AccumulatedDefinedBenefitPlansAdjustmentIncludingPortionAttributableToNoncontrollingInterestMember2021-04-300000104169us-gaap:AociIncludingPortionAttributableToNoncontrollingInterestMember2021-04-300000104169us-gaap:RevolvingCreditFacilityMem</w:t>
      </w:r>
      <w:r>
        <w:rPr>
          <w:rFonts w:ascii="宋体" w:eastAsia="宋体" w:hAnsi="宋体" w:cs="宋体"/>
          <w:vanish/>
        </w:rPr>
        <w:t>berus-gaap:DomesticLineOfCreditMember2022-04-012022-04-300000104169us-gaap:RevolvingCreditFacilityMemberus-gaap:DomesticLineOfCreditMember2022-04-300000104169wmt:FiveYearCreditFacilityMemberus-gaap:DomesticLineOfCreditMember2022-04-012022-04-300000104169wm</w:t>
      </w:r>
      <w:r>
        <w:rPr>
          <w:rFonts w:ascii="宋体" w:eastAsia="宋体" w:hAnsi="宋体" w:cs="宋体"/>
          <w:vanish/>
        </w:rPr>
        <w:t>t:FiveYearCreditFacilityMemberus-gaap:DomesticLineOfCreditMember2022-04-300000104169us-gaap:DomesticLineOfCreditMember2022-04-300000104169us-gaap:DomesticLineOfCreditMember2022-01-310000104169us-gaap:FairValueInputsLevel1Memberus-gaap:FairValueMeasurements</w:t>
      </w:r>
      <w:r>
        <w:rPr>
          <w:rFonts w:ascii="宋体" w:eastAsia="宋体" w:hAnsi="宋体" w:cs="宋体"/>
          <w:vanish/>
        </w:rPr>
        <w:t>RecurringMember2022-04-300000104169us-gaap:FairValueInputsLevel1Memberus-gaap:FairValueMeasurementsRecurringMember2022-01-310000104169us-gaap:FairValueMeasurementsRecurringMemberus-gaap:FairValueInputsLevel2Member2022-04-300000104169us-gaap:FairValueMeasur</w:t>
      </w:r>
      <w:r>
        <w:rPr>
          <w:rFonts w:ascii="宋体" w:eastAsia="宋体" w:hAnsi="宋体" w:cs="宋体"/>
          <w:vanish/>
        </w:rPr>
        <w:t>ementsRecurringMemberus-gaap:FairValueInputsLevel2Member2022-01-310000104169us-gaap:FairValueMeasurementsRecurringMember2022-04-300000104169us-gaap:FairValueMeasurementsRecurringMember2022-01-310000104169us-gaap:InterestRateSwapMemberus-gaap:FairValueHedgi</w:t>
      </w:r>
      <w:r>
        <w:rPr>
          <w:rFonts w:ascii="宋体" w:eastAsia="宋体" w:hAnsi="宋体" w:cs="宋体"/>
          <w:vanish/>
        </w:rPr>
        <w:t>ngMember2022-04-300000104169us-gaap:InterestRateSwapMemberus-gaap:FairValueHedgingMemberus-gaap:FairValueMeasurementsRecurringMemberus-gaap:FairValueInputsLevel2Member2022-04-300000104169us-gaap:InterestRateSwapMemberus-gaap:FairValueHedgingMember2022-01-3</w:t>
      </w:r>
      <w:r>
        <w:rPr>
          <w:rFonts w:ascii="宋体" w:eastAsia="宋体" w:hAnsi="宋体" w:cs="宋体"/>
          <w:vanish/>
        </w:rPr>
        <w:t>10000104169us-gaap:InterestRateSwapMemberus-gaap:FairValueHedgingMemberus-gaap:FairValueMeasurementsRecurringMemberus-gaap:FairValueInputsLevel2Member2022-01-310000104169us-gaap:CashFlowHedgingMemberus-gaap:CrossCurrencyInterestRateContractMember2022-04-30</w:t>
      </w:r>
      <w:r>
        <w:rPr>
          <w:rFonts w:ascii="宋体" w:eastAsia="宋体" w:hAnsi="宋体" w:cs="宋体"/>
          <w:vanish/>
        </w:rPr>
        <w:t>0000104169us-gaap:CashFlowHedgingMemberus-gaap:FairValueMeasurementsRecurringMemberus-gaap:CrossCurrencyInterestRateContractMemberus-gaap:FairValueInputsLevel2Member2022-04-300000104169us-gaap:CashFlowHedgingMemberus-gaap:CrossCurrencyInterestRateContractM</w:t>
      </w:r>
      <w:r>
        <w:rPr>
          <w:rFonts w:ascii="宋体" w:eastAsia="宋体" w:hAnsi="宋体" w:cs="宋体"/>
          <w:vanish/>
        </w:rPr>
        <w:t>ember2022-01-310000104169us-gaap:CashFlowHedgingMemberus-gaap:FairValueMeasurementsRecurringMemberus-gaap:CrossCurrencyInterestRateContractMemberus-gaap:FairValueInputsLevel2Member2022-01-310000104169us-gaap:CarryingReportedAmountFairValueDisclosureMember2</w:t>
      </w:r>
      <w:r>
        <w:rPr>
          <w:rFonts w:ascii="宋体" w:eastAsia="宋体" w:hAnsi="宋体" w:cs="宋体"/>
          <w:vanish/>
        </w:rPr>
        <w:t>022-04-300000104169us-gaap:FairValueInputsLevel2Memberus-gaap:EstimateOfFairValueFairValueDisclosureMember2022-04-300000104169us-gaap:CarryingReportedAmountFairValueDisclosureMember2022-01-310000104169us-gaap:FairValueInputsLevel2Memberus-gaap:EstimateOfFa</w:t>
      </w:r>
      <w:r>
        <w:rPr>
          <w:rFonts w:ascii="宋体" w:eastAsia="宋体" w:hAnsi="宋体" w:cs="宋体"/>
          <w:vanish/>
        </w:rPr>
        <w:t>irValueFairValueDisclosureMember2022-01-310000104169wmt:OpioidsLitigationMember2021-11-19wmt:securitiesClassAction0000104169wmt:OpioidsLitigationMember2022-04-30wmt:shareholder0000104169wmt:OpioidsLitigationMember2021-09-27wmt:segment0000104169wmt:WalmartU</w:t>
      </w:r>
      <w:r>
        <w:rPr>
          <w:rFonts w:ascii="宋体" w:eastAsia="宋体" w:hAnsi="宋体" w:cs="宋体"/>
          <w:vanish/>
        </w:rPr>
        <w:t>SSegmentMember2022-02-012022-04-300000104169wmt:WalmartUSSegmentMember2021-02-012021-04-300000104169wmt:WalmartInternationalSegmentMember2022-02-012022-04-300000104169wmt:WalmartInternationalSegmentMember2021-02-012021-04-300000104169wmt:SamsClubSegmentMem</w:t>
      </w:r>
      <w:r>
        <w:rPr>
          <w:rFonts w:ascii="宋体" w:eastAsia="宋体" w:hAnsi="宋体" w:cs="宋体"/>
          <w:vanish/>
        </w:rPr>
        <w:t>ber2022-02-012022-04-300000104169wmt:SamsClubSegmentMember2021-02-012021-04-300000104169us-gaap:OperatingSegmentsMemberwmt:WalmartUSSegmentMember2022-02-012022-04-300000104169us-gaap:OperatingSegmentsMemberwmt:WalmartUSSegmentMember2021-02-012021-04-300000</w:t>
      </w:r>
      <w:r>
        <w:rPr>
          <w:rFonts w:ascii="宋体" w:eastAsia="宋体" w:hAnsi="宋体" w:cs="宋体"/>
          <w:vanish/>
        </w:rPr>
        <w:t>104169us-gaap:OperatingSegmentsMemberwmt:WalmartInternationalSegmentMember2022-02-012022-04-300000104169us-gaap:OperatingSegmentsMemberwmt:WalmartInternationalSegmentMember2021-02-012021-04-300000104169us-gaap:OperatingSegmentsMemberwmt:SamsClubSegmentMemb</w:t>
      </w:r>
      <w:r>
        <w:rPr>
          <w:rFonts w:ascii="宋体" w:eastAsia="宋体" w:hAnsi="宋体" w:cs="宋体"/>
          <w:vanish/>
        </w:rPr>
        <w:t>er2022-02-012022-04-300000104169us-gaap:OperatingSegmentsMemberwmt:SamsClubSegmentMember2021-02-012021-04-300000104169wmt:CorporateAndReconcilingItemsMember2022-02-012022-04-300000104169wmt:CorporateAndReconcilingItemsMember2021-02-012021-04-300000104169wm</w:t>
      </w:r>
      <w:r>
        <w:rPr>
          <w:rFonts w:ascii="宋体" w:eastAsia="宋体" w:hAnsi="宋体" w:cs="宋体"/>
          <w:vanish/>
        </w:rPr>
        <w:t>t:WalmartUSSegmentMemberwmt:GroceryMember2022-02-012022-04-300000104169wmt:WalmartUSSegmentMemberwmt:GroceryMember2021-02-012021-04-300000104169wmt:GeneralMerchandiseMemberwmt:WalmartUSSegmentMember2022-02-012022-04-300000104169wmt:GeneralMerchandiseMember</w:t>
      </w:r>
      <w:r>
        <w:rPr>
          <w:rFonts w:ascii="宋体" w:eastAsia="宋体" w:hAnsi="宋体" w:cs="宋体"/>
          <w:vanish/>
        </w:rPr>
        <w:t>wmt:WalmartUSSegmentMember2021-02-012021-04-300000104169wmt:WalmartUSSegmentMemberwmt:HealthandWellnessMember2022-02-012022-04-300000104169wmt:WalmartUSSegmentMemberwmt:HealthandWellnessMember2021-02-012021-04-300000104169wmt:WalmartUSSegmentMemberwmt:Othe</w:t>
      </w:r>
      <w:r>
        <w:rPr>
          <w:rFonts w:ascii="宋体" w:eastAsia="宋体" w:hAnsi="宋体" w:cs="宋体"/>
          <w:vanish/>
        </w:rPr>
        <w:t>rCategoriesMember2022-02-012022-04-300000104169wmt:WalmartUSSegmentMemberwmt:OtherCategoriesMember2021-02-012021-04-300000104169wmt:WalmartUSSegmentMemberwmt:ECommerceMember2022-02-012022-04-300000104169wmt:WalmartUSSegmentMemberwmt:ECommerceMember2021-02-</w:t>
      </w:r>
      <w:r>
        <w:rPr>
          <w:rFonts w:ascii="宋体" w:eastAsia="宋体" w:hAnsi="宋体" w:cs="宋体"/>
          <w:vanish/>
        </w:rPr>
        <w:t>012021-04-300000104169wmt:WalmartInternationalSegmentMemberwmt:MexicoandCentralAmericaMember2022-02-012022-04-300000104169wmt:WalmartInternationalSegmentMemberwmt:MexicoandCentralAmericaMember2021-02-012021-04-300000104169country:CAwmt:WalmartInternational</w:t>
      </w:r>
      <w:r>
        <w:rPr>
          <w:rFonts w:ascii="宋体" w:eastAsia="宋体" w:hAnsi="宋体" w:cs="宋体"/>
          <w:vanish/>
        </w:rPr>
        <w:t>SegmentMember2022-02-012022-04-300000104169country:CAwmt:WalmartInternationalSegmentMember2021-02-012021-04-300000104169country:CNwmt:WalmartInternationalSegmentMember2022-02-012022-04-300000104169country:CNwmt:WalmartInternationalSegmentMember2021-02-0120</w:t>
      </w:r>
      <w:r>
        <w:rPr>
          <w:rFonts w:ascii="宋体" w:eastAsia="宋体" w:hAnsi="宋体" w:cs="宋体"/>
          <w:vanish/>
        </w:rPr>
        <w:t>21-04-300000104169country:GBwmt:WalmartInternationalSegmentMember2022-02-012022-04-300000104169country:GBwmt:WalmartInternationalSegmentMember2021-02-012021-04-300000104169wmt:WalmartInternationalSegmentMemberwmt:OtherMember2022-02-012022-04-300000104169wm</w:t>
      </w:r>
      <w:r>
        <w:rPr>
          <w:rFonts w:ascii="宋体" w:eastAsia="宋体" w:hAnsi="宋体" w:cs="宋体"/>
          <w:vanish/>
        </w:rPr>
        <w:t>t:WalmartInternationalSegmentMemberwmt:OtherMember2021-02-012021-04-300000104169wmt:WalmartInternationalSegmentMemberwmt:ECommerceMember2021-02-012021-04-300000104169wmt:WalmartInternationalSegmentMemberwmt:ECommerceMember2022-02-012022-04-300000104169wmt:</w:t>
      </w:r>
      <w:r>
        <w:rPr>
          <w:rFonts w:ascii="宋体" w:eastAsia="宋体" w:hAnsi="宋体" w:cs="宋体"/>
          <w:vanish/>
        </w:rPr>
        <w:t>GroceryandconsumablesMemberwmt:SamsClubSegmentMember2022-02-012022-04-300000104169wmt:GroceryandconsumablesMemberwmt:SamsClubSegmentMember2021-02-012021-04-300000104169wmt:SamsClubSegmentMemberwmt:FueltobaccoandothercategoriesMember2022-02-012022-04-300000</w:t>
      </w:r>
      <w:r>
        <w:rPr>
          <w:rFonts w:ascii="宋体" w:eastAsia="宋体" w:hAnsi="宋体" w:cs="宋体"/>
          <w:vanish/>
        </w:rPr>
        <w:t>104169wmt:SamsClubSegmentMemberwmt:FueltobaccoandothercategoriesMember2021-02-012021-04-300000104169wmt:SamsClubSegmentMemberwmt:HomeandapparelMember2022-02-012022-04-300000104169wmt:SamsClubSegmentMemberwmt:HomeandapparelMember2021-02-012021-04-3000001041</w:t>
      </w:r>
      <w:r>
        <w:rPr>
          <w:rFonts w:ascii="宋体" w:eastAsia="宋体" w:hAnsi="宋体" w:cs="宋体"/>
          <w:vanish/>
        </w:rPr>
        <w:t>69wmt:SamsClubSegmentMemberwmt:HealthandWellnessMember2022-02-012022-04-300000104169wmt:SamsClubSegmentMemberwmt:HealthandWellnessMember2021-02-012021-04-300000104169wmt:TechnologyofficesandentertainmentMemberwmt:SamsClubSegmentMember2022-02-012022-04-3000</w:t>
      </w:r>
      <w:r>
        <w:rPr>
          <w:rFonts w:ascii="宋体" w:eastAsia="宋体" w:hAnsi="宋体" w:cs="宋体"/>
          <w:vanish/>
        </w:rPr>
        <w:t>00104169wmt:TechnologyofficesandentertainmentMemberwmt:SamsClubSegmentMember2021-02-012021-04-300000104169wmt:ECommerceMemberwmt:SamsClubSegmentMember2022-02-012022-04-300000104169wmt:ECommerceMemberwmt:SamsClubSegmentMember2021-02-012021-04-30</w:t>
      </w:r>
    </w:p>
    <w:p w14:paraId="5DEC4F80" w14:textId="77777777" w:rsidR="00B1578D" w:rsidRDefault="00B1578D"/>
    <w:p w14:paraId="5DEC4F81" w14:textId="77777777" w:rsidR="00B1578D" w:rsidRDefault="004D2C04">
      <w:pPr>
        <w:jc w:val="center"/>
      </w:pPr>
      <w:r>
        <w:rPr>
          <w:rFonts w:ascii="Times New Roman" w:eastAsia="宋体" w:hAnsi="Times New Roman"/>
          <w:b/>
          <w:bCs/>
          <w:color w:val="000000"/>
          <w:sz w:val="32"/>
          <w:szCs w:val="32"/>
        </w:rPr>
        <w:t>UNITED STA</w:t>
      </w:r>
      <w:r>
        <w:rPr>
          <w:rFonts w:ascii="Times New Roman" w:eastAsia="宋体" w:hAnsi="Times New Roman"/>
          <w:b/>
          <w:bCs/>
          <w:color w:val="000000"/>
          <w:sz w:val="32"/>
          <w:szCs w:val="32"/>
        </w:rPr>
        <w:t>TES</w:t>
      </w:r>
    </w:p>
    <w:p w14:paraId="5DEC4F82" w14:textId="77777777" w:rsidR="00B1578D" w:rsidRDefault="004D2C04">
      <w:pPr>
        <w:jc w:val="center"/>
      </w:pPr>
      <w:r>
        <w:rPr>
          <w:rFonts w:ascii="Times New Roman" w:eastAsia="宋体" w:hAnsi="Times New Roman"/>
          <w:b/>
          <w:bCs/>
          <w:color w:val="000000"/>
          <w:sz w:val="32"/>
          <w:szCs w:val="32"/>
        </w:rPr>
        <w:t>SECURITIES AND EXCHANGE COMMISSION</w:t>
      </w:r>
    </w:p>
    <w:p w14:paraId="5DEC4F83" w14:textId="77777777" w:rsidR="00B1578D" w:rsidRDefault="004D2C04">
      <w:pPr>
        <w:jc w:val="center"/>
      </w:pPr>
      <w:r>
        <w:rPr>
          <w:rFonts w:ascii="Times New Roman" w:eastAsia="宋体" w:hAnsi="Times New Roman"/>
          <w:b/>
          <w:bCs/>
          <w:color w:val="000000"/>
          <w:sz w:val="22"/>
          <w:szCs w:val="22"/>
        </w:rPr>
        <w:t>Washington, D.C. 20549</w:t>
      </w:r>
    </w:p>
    <w:p w14:paraId="5DEC4F84" w14:textId="77777777" w:rsidR="00B1578D" w:rsidRDefault="004D2C04">
      <w:pPr>
        <w:jc w:val="center"/>
      </w:pPr>
      <w:r>
        <w:rPr>
          <w:rFonts w:ascii="Times New Roman" w:eastAsia="宋体" w:hAnsi="Times New Roman"/>
          <w:b/>
          <w:bCs/>
          <w:color w:val="000000"/>
          <w:sz w:val="28"/>
          <w:szCs w:val="28"/>
        </w:rPr>
        <w:t xml:space="preserve">FORM 10-Q </w:t>
      </w:r>
    </w:p>
    <w:p w14:paraId="5DEC4F85" w14:textId="77777777" w:rsidR="00B1578D" w:rsidRDefault="004D2C04">
      <w:pPr>
        <w:spacing w:before="60"/>
      </w:pPr>
      <w:r>
        <w:rPr>
          <w:rFonts w:ascii="Times New Roman" w:eastAsia="宋体" w:hAnsi="Times New Roman"/>
          <w:b/>
          <w:bCs/>
          <w:color w:val="000000"/>
          <w:sz w:val="18"/>
          <w:szCs w:val="18"/>
        </w:rPr>
        <w:t>(Mark One)</w:t>
      </w:r>
    </w:p>
    <w:tbl>
      <w:tblPr>
        <w:tblW w:w="4788" w:type="pct"/>
        <w:tblInd w:w="-165" w:type="dxa"/>
        <w:tblCellMar>
          <w:top w:w="15" w:type="dxa"/>
          <w:left w:w="15" w:type="dxa"/>
          <w:bottom w:w="15" w:type="dxa"/>
          <w:right w:w="15" w:type="dxa"/>
        </w:tblCellMar>
        <w:tblLook w:val="04A0" w:firstRow="1" w:lastRow="0" w:firstColumn="1" w:lastColumn="0" w:noHBand="0" w:noVBand="1"/>
      </w:tblPr>
      <w:tblGrid>
        <w:gridCol w:w="66"/>
        <w:gridCol w:w="385"/>
        <w:gridCol w:w="36"/>
        <w:gridCol w:w="66"/>
        <w:gridCol w:w="7394"/>
        <w:gridCol w:w="36"/>
      </w:tblGrid>
      <w:tr w:rsidR="00B1578D" w14:paraId="5DEC4F8C" w14:textId="77777777">
        <w:tc>
          <w:tcPr>
            <w:tcW w:w="50" w:type="pct"/>
            <w:shd w:val="clear" w:color="auto" w:fill="auto"/>
            <w:vAlign w:val="bottom"/>
          </w:tcPr>
          <w:p w14:paraId="5DEC4F86" w14:textId="77777777" w:rsidR="00B1578D" w:rsidRDefault="00B1578D">
            <w:pPr>
              <w:rPr>
                <w:rFonts w:ascii="宋体"/>
              </w:rPr>
            </w:pPr>
          </w:p>
        </w:tc>
        <w:tc>
          <w:tcPr>
            <w:tcW w:w="250" w:type="pct"/>
            <w:shd w:val="clear" w:color="auto" w:fill="auto"/>
            <w:vAlign w:val="bottom"/>
          </w:tcPr>
          <w:p w14:paraId="5DEC4F87" w14:textId="77777777" w:rsidR="00B1578D" w:rsidRDefault="00B1578D">
            <w:pPr>
              <w:rPr>
                <w:rFonts w:ascii="宋体"/>
              </w:rPr>
            </w:pPr>
          </w:p>
        </w:tc>
        <w:tc>
          <w:tcPr>
            <w:tcW w:w="5" w:type="pct"/>
            <w:shd w:val="clear" w:color="auto" w:fill="auto"/>
            <w:vAlign w:val="bottom"/>
          </w:tcPr>
          <w:p w14:paraId="5DEC4F88" w14:textId="77777777" w:rsidR="00B1578D" w:rsidRDefault="00B1578D">
            <w:pPr>
              <w:rPr>
                <w:rFonts w:ascii="宋体"/>
              </w:rPr>
            </w:pPr>
          </w:p>
        </w:tc>
        <w:tc>
          <w:tcPr>
            <w:tcW w:w="50" w:type="pct"/>
            <w:shd w:val="clear" w:color="auto" w:fill="auto"/>
            <w:vAlign w:val="bottom"/>
          </w:tcPr>
          <w:p w14:paraId="5DEC4F89" w14:textId="77777777" w:rsidR="00B1578D" w:rsidRDefault="00B1578D">
            <w:pPr>
              <w:rPr>
                <w:rFonts w:ascii="宋体"/>
              </w:rPr>
            </w:pPr>
          </w:p>
        </w:tc>
        <w:tc>
          <w:tcPr>
            <w:tcW w:w="4639" w:type="pct"/>
            <w:shd w:val="clear" w:color="auto" w:fill="auto"/>
            <w:vAlign w:val="bottom"/>
          </w:tcPr>
          <w:p w14:paraId="5DEC4F8A" w14:textId="77777777" w:rsidR="00B1578D" w:rsidRDefault="00B1578D">
            <w:pPr>
              <w:rPr>
                <w:rFonts w:ascii="宋体"/>
              </w:rPr>
            </w:pPr>
          </w:p>
        </w:tc>
        <w:tc>
          <w:tcPr>
            <w:tcW w:w="5" w:type="pct"/>
            <w:shd w:val="clear" w:color="auto" w:fill="auto"/>
            <w:vAlign w:val="bottom"/>
          </w:tcPr>
          <w:p w14:paraId="5DEC4F8B" w14:textId="77777777" w:rsidR="00B1578D" w:rsidRDefault="00B1578D">
            <w:pPr>
              <w:rPr>
                <w:rFonts w:ascii="宋体"/>
              </w:rPr>
            </w:pPr>
          </w:p>
        </w:tc>
      </w:tr>
      <w:tr w:rsidR="00B1578D" w14:paraId="5DEC4F8F" w14:textId="77777777">
        <w:tc>
          <w:tcPr>
            <w:tcW w:w="0" w:type="auto"/>
            <w:gridSpan w:val="3"/>
            <w:shd w:val="clear" w:color="auto" w:fill="auto"/>
            <w:tcMar>
              <w:top w:w="40" w:type="dxa"/>
              <w:left w:w="20" w:type="dxa"/>
              <w:bottom w:w="40" w:type="dxa"/>
              <w:right w:w="20" w:type="dxa"/>
            </w:tcMar>
          </w:tcPr>
          <w:p w14:paraId="5DEC4F8D" w14:textId="77777777" w:rsidR="00B1578D" w:rsidRDefault="004D2C04">
            <w:pPr>
              <w:textAlignment w:val="top"/>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5DEC4F8E" w14:textId="77777777" w:rsidR="00B1578D" w:rsidRDefault="004D2C04">
            <w:pPr>
              <w:textAlignment w:val="top"/>
            </w:pPr>
            <w:r>
              <w:rPr>
                <w:rFonts w:ascii="Times New Roman" w:eastAsia="宋体" w:hAnsi="Times New Roman"/>
                <w:b/>
                <w:bCs/>
                <w:color w:val="000000"/>
                <w:sz w:val="18"/>
                <w:szCs w:val="18"/>
              </w:rPr>
              <w:t>Quarterly Report Pursuant to Section 13 or 15(d) of the Securities Exchange Act of 1934.</w:t>
            </w:r>
          </w:p>
        </w:tc>
      </w:tr>
    </w:tbl>
    <w:p w14:paraId="5DEC4F90" w14:textId="77777777" w:rsidR="00B1578D" w:rsidRDefault="004D2C04">
      <w:pPr>
        <w:jc w:val="center"/>
      </w:pPr>
      <w:r>
        <w:rPr>
          <w:rFonts w:ascii="Times New Roman" w:eastAsia="宋体" w:hAnsi="Times New Roman"/>
          <w:b/>
          <w:bCs/>
          <w:color w:val="000000"/>
          <w:sz w:val="18"/>
          <w:szCs w:val="18"/>
        </w:rPr>
        <w:t>For the quarterly period ended April 30, 2022.</w:t>
      </w:r>
    </w:p>
    <w:p w14:paraId="5DEC4F91" w14:textId="77777777" w:rsidR="00B1578D" w:rsidRDefault="004D2C04">
      <w:pPr>
        <w:spacing w:before="60"/>
        <w:jc w:val="center"/>
      </w:pPr>
      <w:r>
        <w:rPr>
          <w:rFonts w:ascii="Times New Roman" w:eastAsia="宋体" w:hAnsi="Times New Roman"/>
          <w:b/>
          <w:bCs/>
          <w:color w:val="000000"/>
          <w:sz w:val="18"/>
          <w:szCs w:val="18"/>
        </w:rPr>
        <w:t>or</w:t>
      </w:r>
    </w:p>
    <w:tbl>
      <w:tblPr>
        <w:tblW w:w="4795" w:type="pct"/>
        <w:tblInd w:w="-165" w:type="dxa"/>
        <w:tblCellMar>
          <w:top w:w="15" w:type="dxa"/>
          <w:left w:w="15" w:type="dxa"/>
          <w:bottom w:w="15" w:type="dxa"/>
          <w:right w:w="15" w:type="dxa"/>
        </w:tblCellMar>
        <w:tblLook w:val="04A0" w:firstRow="1" w:lastRow="0" w:firstColumn="1" w:lastColumn="0" w:noHBand="0" w:noVBand="1"/>
      </w:tblPr>
      <w:tblGrid>
        <w:gridCol w:w="66"/>
        <w:gridCol w:w="384"/>
        <w:gridCol w:w="36"/>
        <w:gridCol w:w="66"/>
        <w:gridCol w:w="7406"/>
        <w:gridCol w:w="36"/>
      </w:tblGrid>
      <w:tr w:rsidR="00B1578D" w14:paraId="5DEC4F98" w14:textId="77777777">
        <w:tc>
          <w:tcPr>
            <w:tcW w:w="50" w:type="pct"/>
            <w:shd w:val="clear" w:color="auto" w:fill="auto"/>
            <w:vAlign w:val="bottom"/>
          </w:tcPr>
          <w:p w14:paraId="5DEC4F92" w14:textId="77777777" w:rsidR="00B1578D" w:rsidRDefault="00B1578D">
            <w:pPr>
              <w:rPr>
                <w:rFonts w:ascii="宋体"/>
              </w:rPr>
            </w:pPr>
          </w:p>
        </w:tc>
        <w:tc>
          <w:tcPr>
            <w:tcW w:w="249" w:type="pct"/>
            <w:shd w:val="clear" w:color="auto" w:fill="auto"/>
            <w:vAlign w:val="bottom"/>
          </w:tcPr>
          <w:p w14:paraId="5DEC4F93" w14:textId="77777777" w:rsidR="00B1578D" w:rsidRDefault="00B1578D">
            <w:pPr>
              <w:rPr>
                <w:rFonts w:ascii="宋体"/>
              </w:rPr>
            </w:pPr>
          </w:p>
        </w:tc>
        <w:tc>
          <w:tcPr>
            <w:tcW w:w="5" w:type="pct"/>
            <w:shd w:val="clear" w:color="auto" w:fill="auto"/>
            <w:vAlign w:val="bottom"/>
          </w:tcPr>
          <w:p w14:paraId="5DEC4F94" w14:textId="77777777" w:rsidR="00B1578D" w:rsidRDefault="00B1578D">
            <w:pPr>
              <w:rPr>
                <w:rFonts w:ascii="宋体"/>
              </w:rPr>
            </w:pPr>
          </w:p>
        </w:tc>
        <w:tc>
          <w:tcPr>
            <w:tcW w:w="50" w:type="pct"/>
            <w:shd w:val="clear" w:color="auto" w:fill="auto"/>
            <w:vAlign w:val="bottom"/>
          </w:tcPr>
          <w:p w14:paraId="5DEC4F95" w14:textId="77777777" w:rsidR="00B1578D" w:rsidRDefault="00B1578D">
            <w:pPr>
              <w:rPr>
                <w:rFonts w:ascii="宋体"/>
              </w:rPr>
            </w:pPr>
          </w:p>
        </w:tc>
        <w:tc>
          <w:tcPr>
            <w:tcW w:w="4640" w:type="pct"/>
            <w:shd w:val="clear" w:color="auto" w:fill="auto"/>
            <w:vAlign w:val="bottom"/>
          </w:tcPr>
          <w:p w14:paraId="5DEC4F96" w14:textId="77777777" w:rsidR="00B1578D" w:rsidRDefault="00B1578D">
            <w:pPr>
              <w:rPr>
                <w:rFonts w:ascii="宋体"/>
              </w:rPr>
            </w:pPr>
          </w:p>
        </w:tc>
        <w:tc>
          <w:tcPr>
            <w:tcW w:w="5" w:type="pct"/>
            <w:shd w:val="clear" w:color="auto" w:fill="auto"/>
            <w:vAlign w:val="bottom"/>
          </w:tcPr>
          <w:p w14:paraId="5DEC4F97" w14:textId="77777777" w:rsidR="00B1578D" w:rsidRDefault="00B1578D">
            <w:pPr>
              <w:rPr>
                <w:rFonts w:ascii="宋体"/>
              </w:rPr>
            </w:pPr>
          </w:p>
        </w:tc>
      </w:tr>
      <w:tr w:rsidR="00B1578D" w14:paraId="5DEC4F9B" w14:textId="77777777">
        <w:tc>
          <w:tcPr>
            <w:tcW w:w="0" w:type="auto"/>
            <w:gridSpan w:val="3"/>
            <w:shd w:val="clear" w:color="auto" w:fill="auto"/>
            <w:tcMar>
              <w:top w:w="40" w:type="dxa"/>
              <w:left w:w="20" w:type="dxa"/>
              <w:bottom w:w="40" w:type="dxa"/>
              <w:right w:w="20" w:type="dxa"/>
            </w:tcMar>
          </w:tcPr>
          <w:p w14:paraId="5DEC4F99" w14:textId="77777777" w:rsidR="00B1578D" w:rsidRDefault="004D2C04">
            <w:pP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5DEC4F9A" w14:textId="77777777" w:rsidR="00B1578D" w:rsidRDefault="004D2C04">
            <w:pPr>
              <w:textAlignment w:val="top"/>
            </w:pPr>
            <w:r>
              <w:rPr>
                <w:rFonts w:ascii="Times New Roman" w:eastAsia="宋体" w:hAnsi="Times New Roman"/>
                <w:b/>
                <w:bCs/>
                <w:color w:val="000000"/>
                <w:sz w:val="18"/>
                <w:szCs w:val="18"/>
              </w:rPr>
              <w:t>Transition Report Pursuant to Section 13 or 15(d) of the Securities Exchange Act of 1934.</w:t>
            </w:r>
          </w:p>
        </w:tc>
      </w:tr>
    </w:tbl>
    <w:p w14:paraId="5DEC4F9C" w14:textId="77777777" w:rsidR="00B1578D" w:rsidRDefault="004D2C04">
      <w:pPr>
        <w:jc w:val="center"/>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w:t>
      </w:r>
    </w:p>
    <w:p w14:paraId="5DEC4F9D" w14:textId="77777777" w:rsidR="00B1578D" w:rsidRDefault="004D2C04">
      <w:pPr>
        <w:spacing w:before="60"/>
        <w:jc w:val="center"/>
      </w:pPr>
      <w:r>
        <w:rPr>
          <w:rFonts w:ascii="Times New Roman" w:eastAsia="宋体" w:hAnsi="Times New Roman"/>
          <w:b/>
          <w:bCs/>
          <w:color w:val="000000"/>
          <w:sz w:val="18"/>
          <w:szCs w:val="18"/>
        </w:rPr>
        <w:t xml:space="preserve">Commission File Number 001-06991 </w:t>
      </w:r>
    </w:p>
    <w:p w14:paraId="5DEC4F9E" w14:textId="77777777" w:rsidR="00B1578D" w:rsidRDefault="004D2C04">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Viewer2_files/wmt-20220430_g1.jpg"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DEC6F24" wp14:editId="5DEC6F25">
            <wp:extent cx="304800" cy="304800"/>
            <wp:effectExtent l="0" t="0" r="0" b="0"/>
            <wp:docPr id="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DEC4F9F" w14:textId="77777777" w:rsidR="00B1578D" w:rsidRDefault="004D2C04">
      <w:pPr>
        <w:jc w:val="center"/>
      </w:pPr>
      <w:r>
        <w:rPr>
          <w:rFonts w:ascii="Times New Roman" w:eastAsia="宋体" w:hAnsi="Times New Roman"/>
          <w:b/>
          <w:bCs/>
          <w:color w:val="000000"/>
          <w:sz w:val="40"/>
          <w:szCs w:val="40"/>
        </w:rPr>
        <w:t xml:space="preserve">WALMART INC. </w:t>
      </w:r>
    </w:p>
    <w:p w14:paraId="5DEC4FA0" w14:textId="77777777" w:rsidR="00B1578D" w:rsidRDefault="004D2C04">
      <w:pPr>
        <w:jc w:val="center"/>
      </w:pPr>
      <w:r>
        <w:rPr>
          <w:rFonts w:ascii="Times New Roman" w:eastAsia="宋体" w:hAnsi="Times New Roman"/>
          <w:b/>
          <w:bCs/>
          <w:color w:val="000000"/>
          <w:sz w:val="20"/>
          <w:szCs w:val="20"/>
        </w:rPr>
        <w:t>(Exact name of registrant as specified in its charter)</w:t>
      </w:r>
    </w:p>
    <w:tbl>
      <w:tblPr>
        <w:tblW w:w="4912" w:type="pct"/>
        <w:jc w:val="center"/>
        <w:tblCellMar>
          <w:top w:w="15" w:type="dxa"/>
          <w:left w:w="15" w:type="dxa"/>
          <w:bottom w:w="15" w:type="dxa"/>
          <w:right w:w="15" w:type="dxa"/>
        </w:tblCellMar>
        <w:tblLook w:val="04A0" w:firstRow="1" w:lastRow="0" w:firstColumn="1" w:lastColumn="0" w:noHBand="0" w:noVBand="1"/>
      </w:tblPr>
      <w:tblGrid>
        <w:gridCol w:w="61"/>
        <w:gridCol w:w="2034"/>
        <w:gridCol w:w="39"/>
        <w:gridCol w:w="61"/>
        <w:gridCol w:w="2035"/>
        <w:gridCol w:w="36"/>
        <w:gridCol w:w="36"/>
        <w:gridCol w:w="36"/>
        <w:gridCol w:w="36"/>
        <w:gridCol w:w="50"/>
        <w:gridCol w:w="3729"/>
        <w:gridCol w:w="36"/>
      </w:tblGrid>
      <w:tr w:rsidR="00B1578D" w14:paraId="5DEC4FAD" w14:textId="77777777">
        <w:trPr>
          <w:jc w:val="center"/>
        </w:trPr>
        <w:tc>
          <w:tcPr>
            <w:tcW w:w="50" w:type="pct"/>
            <w:shd w:val="clear" w:color="auto" w:fill="auto"/>
            <w:vAlign w:val="bottom"/>
          </w:tcPr>
          <w:p w14:paraId="5DEC4FA1" w14:textId="77777777" w:rsidR="00B1578D" w:rsidRDefault="00B1578D">
            <w:pPr>
              <w:rPr>
                <w:rFonts w:ascii="宋体"/>
              </w:rPr>
            </w:pPr>
          </w:p>
        </w:tc>
        <w:tc>
          <w:tcPr>
            <w:tcW w:w="1254" w:type="pct"/>
            <w:shd w:val="clear" w:color="auto" w:fill="auto"/>
            <w:vAlign w:val="bottom"/>
          </w:tcPr>
          <w:p w14:paraId="5DEC4FA2" w14:textId="77777777" w:rsidR="00B1578D" w:rsidRDefault="00B1578D">
            <w:pPr>
              <w:rPr>
                <w:rFonts w:ascii="宋体"/>
              </w:rPr>
            </w:pPr>
          </w:p>
        </w:tc>
        <w:tc>
          <w:tcPr>
            <w:tcW w:w="5" w:type="pct"/>
            <w:shd w:val="clear" w:color="auto" w:fill="auto"/>
            <w:vAlign w:val="bottom"/>
          </w:tcPr>
          <w:p w14:paraId="5DEC4FA3" w14:textId="77777777" w:rsidR="00B1578D" w:rsidRDefault="00B1578D">
            <w:pPr>
              <w:rPr>
                <w:rFonts w:ascii="宋体"/>
              </w:rPr>
            </w:pPr>
          </w:p>
        </w:tc>
        <w:tc>
          <w:tcPr>
            <w:tcW w:w="50" w:type="pct"/>
            <w:shd w:val="clear" w:color="auto" w:fill="auto"/>
            <w:vAlign w:val="bottom"/>
          </w:tcPr>
          <w:p w14:paraId="5DEC4FA4" w14:textId="77777777" w:rsidR="00B1578D" w:rsidRDefault="00B1578D">
            <w:pPr>
              <w:rPr>
                <w:rFonts w:ascii="宋体"/>
              </w:rPr>
            </w:pPr>
          </w:p>
        </w:tc>
        <w:tc>
          <w:tcPr>
            <w:tcW w:w="1254" w:type="pct"/>
            <w:shd w:val="clear" w:color="auto" w:fill="auto"/>
            <w:vAlign w:val="bottom"/>
          </w:tcPr>
          <w:p w14:paraId="5DEC4FA5" w14:textId="77777777" w:rsidR="00B1578D" w:rsidRDefault="00B1578D">
            <w:pPr>
              <w:rPr>
                <w:rFonts w:ascii="宋体"/>
              </w:rPr>
            </w:pPr>
          </w:p>
        </w:tc>
        <w:tc>
          <w:tcPr>
            <w:tcW w:w="5" w:type="pct"/>
            <w:shd w:val="clear" w:color="auto" w:fill="auto"/>
            <w:vAlign w:val="bottom"/>
          </w:tcPr>
          <w:p w14:paraId="5DEC4FA6" w14:textId="77777777" w:rsidR="00B1578D" w:rsidRDefault="00B1578D">
            <w:pPr>
              <w:rPr>
                <w:rFonts w:ascii="宋体"/>
              </w:rPr>
            </w:pPr>
          </w:p>
        </w:tc>
        <w:tc>
          <w:tcPr>
            <w:tcW w:w="5" w:type="pct"/>
            <w:shd w:val="clear" w:color="auto" w:fill="auto"/>
            <w:vAlign w:val="bottom"/>
          </w:tcPr>
          <w:p w14:paraId="5DEC4FA7" w14:textId="77777777" w:rsidR="00B1578D" w:rsidRDefault="00B1578D">
            <w:pPr>
              <w:rPr>
                <w:rFonts w:ascii="宋体"/>
              </w:rPr>
            </w:pPr>
          </w:p>
        </w:tc>
        <w:tc>
          <w:tcPr>
            <w:tcW w:w="27" w:type="pct"/>
            <w:shd w:val="clear" w:color="auto" w:fill="auto"/>
            <w:vAlign w:val="bottom"/>
          </w:tcPr>
          <w:p w14:paraId="5DEC4FA8" w14:textId="77777777" w:rsidR="00B1578D" w:rsidRDefault="00B1578D">
            <w:pPr>
              <w:rPr>
                <w:rFonts w:ascii="宋体"/>
              </w:rPr>
            </w:pPr>
          </w:p>
        </w:tc>
        <w:tc>
          <w:tcPr>
            <w:tcW w:w="5" w:type="pct"/>
            <w:shd w:val="clear" w:color="auto" w:fill="auto"/>
            <w:vAlign w:val="bottom"/>
          </w:tcPr>
          <w:p w14:paraId="5DEC4FA9" w14:textId="77777777" w:rsidR="00B1578D" w:rsidRDefault="00B1578D">
            <w:pPr>
              <w:rPr>
                <w:rFonts w:ascii="宋体"/>
              </w:rPr>
            </w:pPr>
          </w:p>
        </w:tc>
        <w:tc>
          <w:tcPr>
            <w:tcW w:w="50" w:type="pct"/>
            <w:shd w:val="clear" w:color="auto" w:fill="auto"/>
            <w:vAlign w:val="bottom"/>
          </w:tcPr>
          <w:p w14:paraId="5DEC4FAA" w14:textId="77777777" w:rsidR="00B1578D" w:rsidRDefault="00B1578D">
            <w:pPr>
              <w:rPr>
                <w:rFonts w:ascii="宋体"/>
              </w:rPr>
            </w:pPr>
          </w:p>
        </w:tc>
        <w:tc>
          <w:tcPr>
            <w:tcW w:w="2288" w:type="pct"/>
            <w:shd w:val="clear" w:color="auto" w:fill="auto"/>
            <w:vAlign w:val="bottom"/>
          </w:tcPr>
          <w:p w14:paraId="5DEC4FAB" w14:textId="77777777" w:rsidR="00B1578D" w:rsidRDefault="00B1578D">
            <w:pPr>
              <w:rPr>
                <w:rFonts w:ascii="宋体"/>
              </w:rPr>
            </w:pPr>
          </w:p>
        </w:tc>
        <w:tc>
          <w:tcPr>
            <w:tcW w:w="5" w:type="pct"/>
            <w:shd w:val="clear" w:color="auto" w:fill="auto"/>
            <w:vAlign w:val="bottom"/>
          </w:tcPr>
          <w:p w14:paraId="5DEC4FAC" w14:textId="77777777" w:rsidR="00B1578D" w:rsidRDefault="00B1578D">
            <w:pPr>
              <w:rPr>
                <w:rFonts w:ascii="宋体"/>
              </w:rPr>
            </w:pPr>
          </w:p>
        </w:tc>
      </w:tr>
      <w:tr w:rsidR="00B1578D" w14:paraId="5DEC4FB1" w14:textId="77777777">
        <w:trPr>
          <w:jc w:val="center"/>
        </w:trPr>
        <w:tc>
          <w:tcPr>
            <w:tcW w:w="0" w:type="auto"/>
            <w:gridSpan w:val="6"/>
            <w:shd w:val="clear" w:color="auto" w:fill="auto"/>
            <w:tcMar>
              <w:top w:w="40" w:type="dxa"/>
              <w:left w:w="20" w:type="dxa"/>
              <w:bottom w:w="40" w:type="dxa"/>
              <w:right w:w="20" w:type="dxa"/>
            </w:tcMar>
          </w:tcPr>
          <w:p w14:paraId="5DEC4FAE" w14:textId="77777777" w:rsidR="00B1578D" w:rsidRDefault="004D2C04">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5DEC4FAF"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4FB0" w14:textId="77777777" w:rsidR="00B1578D" w:rsidRDefault="004D2C04">
            <w:pPr>
              <w:jc w:val="center"/>
              <w:textAlignment w:val="top"/>
            </w:pPr>
            <w:r>
              <w:rPr>
                <w:rFonts w:ascii="Times New Roman" w:eastAsia="宋体" w:hAnsi="Times New Roman"/>
                <w:b/>
                <w:bCs/>
                <w:color w:val="000000"/>
                <w:sz w:val="20"/>
                <w:szCs w:val="20"/>
              </w:rPr>
              <w:t>71-0415188</w:t>
            </w:r>
          </w:p>
        </w:tc>
      </w:tr>
      <w:tr w:rsidR="00B1578D" w14:paraId="5DEC4FB5" w14:textId="77777777">
        <w:trPr>
          <w:jc w:val="center"/>
        </w:trPr>
        <w:tc>
          <w:tcPr>
            <w:tcW w:w="0" w:type="auto"/>
            <w:gridSpan w:val="6"/>
            <w:shd w:val="clear" w:color="auto" w:fill="auto"/>
            <w:tcMar>
              <w:top w:w="40" w:type="dxa"/>
              <w:left w:w="20" w:type="dxa"/>
              <w:bottom w:w="40" w:type="dxa"/>
              <w:right w:w="20" w:type="dxa"/>
            </w:tcMar>
            <w:vAlign w:val="bottom"/>
          </w:tcPr>
          <w:p w14:paraId="5DEC4FB2" w14:textId="77777777" w:rsidR="00B1578D" w:rsidRDefault="004D2C04">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5DEC4FB3"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4FB4" w14:textId="77777777" w:rsidR="00B1578D" w:rsidRDefault="004D2C04">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B1578D" w14:paraId="5DEC4FB9" w14:textId="77777777">
        <w:trPr>
          <w:trHeight w:val="100"/>
          <w:jc w:val="center"/>
        </w:trPr>
        <w:tc>
          <w:tcPr>
            <w:tcW w:w="0" w:type="auto"/>
            <w:gridSpan w:val="3"/>
            <w:shd w:val="clear" w:color="auto" w:fill="auto"/>
            <w:tcMar>
              <w:top w:w="0" w:type="dxa"/>
              <w:left w:w="20" w:type="dxa"/>
              <w:bottom w:w="0" w:type="dxa"/>
              <w:right w:w="20" w:type="dxa"/>
            </w:tcMar>
            <w:vAlign w:val="bottom"/>
          </w:tcPr>
          <w:p w14:paraId="5DEC4FB6"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4FB7"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4FB8" w14:textId="77777777" w:rsidR="00B1578D" w:rsidRDefault="00B1578D">
            <w:pPr>
              <w:rPr>
                <w:rFonts w:ascii="宋体"/>
              </w:rPr>
            </w:pPr>
          </w:p>
        </w:tc>
      </w:tr>
      <w:tr w:rsidR="00B1578D" w14:paraId="5DEC4FBD" w14:textId="77777777">
        <w:trPr>
          <w:trHeight w:val="280"/>
          <w:jc w:val="center"/>
        </w:trPr>
        <w:tc>
          <w:tcPr>
            <w:tcW w:w="0" w:type="auto"/>
            <w:gridSpan w:val="6"/>
            <w:shd w:val="clear" w:color="auto" w:fill="auto"/>
            <w:tcMar>
              <w:top w:w="40" w:type="dxa"/>
              <w:left w:w="20" w:type="dxa"/>
              <w:bottom w:w="40" w:type="dxa"/>
              <w:right w:w="20" w:type="dxa"/>
            </w:tcMar>
            <w:vAlign w:val="bottom"/>
          </w:tcPr>
          <w:p w14:paraId="5DEC4FBA" w14:textId="77777777" w:rsidR="00B1578D" w:rsidRDefault="004D2C04">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vAlign w:val="bottom"/>
          </w:tcPr>
          <w:p w14:paraId="5DEC4FBB" w14:textId="77777777" w:rsidR="00B1578D" w:rsidRDefault="00B1578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DEC4FBC" w14:textId="77777777" w:rsidR="00B1578D" w:rsidRDefault="004D2C04">
            <w:pPr>
              <w:jc w:val="center"/>
              <w:textAlignment w:val="bottom"/>
            </w:pPr>
            <w:r>
              <w:rPr>
                <w:rFonts w:ascii="Times New Roman" w:eastAsia="宋体" w:hAnsi="Times New Roman"/>
                <w:b/>
                <w:bCs/>
                <w:color w:val="000000"/>
                <w:sz w:val="20"/>
                <w:szCs w:val="20"/>
              </w:rPr>
              <w:t>72716</w:t>
            </w:r>
          </w:p>
        </w:tc>
      </w:tr>
      <w:tr w:rsidR="00B1578D" w14:paraId="5DEC4FC2" w14:textId="77777777">
        <w:trPr>
          <w:trHeight w:val="280"/>
          <w:jc w:val="center"/>
        </w:trPr>
        <w:tc>
          <w:tcPr>
            <w:tcW w:w="0" w:type="auto"/>
            <w:gridSpan w:val="3"/>
            <w:shd w:val="clear" w:color="auto" w:fill="auto"/>
            <w:tcMar>
              <w:top w:w="40" w:type="dxa"/>
              <w:left w:w="20" w:type="dxa"/>
              <w:bottom w:w="40" w:type="dxa"/>
              <w:right w:w="20" w:type="dxa"/>
            </w:tcMar>
            <w:vAlign w:val="bottom"/>
          </w:tcPr>
          <w:p w14:paraId="5DEC4FBE" w14:textId="77777777" w:rsidR="00B1578D" w:rsidRDefault="004D2C04">
            <w:pPr>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5DEC4FBF" w14:textId="77777777" w:rsidR="00B1578D" w:rsidRDefault="004D2C04">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vAlign w:val="bottom"/>
          </w:tcPr>
          <w:p w14:paraId="5DEC4FC0" w14:textId="77777777" w:rsidR="00B1578D" w:rsidRDefault="00B1578D">
            <w:pPr>
              <w:rPr>
                <w:rFonts w:ascii="宋体"/>
              </w:rPr>
            </w:pPr>
          </w:p>
        </w:tc>
        <w:tc>
          <w:tcPr>
            <w:tcW w:w="0" w:type="auto"/>
            <w:gridSpan w:val="3"/>
            <w:vMerge/>
            <w:shd w:val="clear" w:color="auto" w:fill="auto"/>
            <w:tcMar>
              <w:top w:w="40" w:type="dxa"/>
              <w:left w:w="20" w:type="dxa"/>
              <w:bottom w:w="40" w:type="dxa"/>
              <w:right w:w="20" w:type="dxa"/>
            </w:tcMar>
            <w:vAlign w:val="bottom"/>
          </w:tcPr>
          <w:p w14:paraId="5DEC4FC1" w14:textId="77777777" w:rsidR="00B1578D" w:rsidRDefault="00B1578D">
            <w:pPr>
              <w:jc w:val="center"/>
              <w:rPr>
                <w:rFonts w:ascii="宋体"/>
              </w:rPr>
            </w:pPr>
          </w:p>
        </w:tc>
      </w:tr>
      <w:tr w:rsidR="00B1578D" w14:paraId="5DEC4FC6" w14:textId="77777777">
        <w:trPr>
          <w:jc w:val="center"/>
        </w:trPr>
        <w:tc>
          <w:tcPr>
            <w:tcW w:w="0" w:type="auto"/>
            <w:gridSpan w:val="6"/>
            <w:shd w:val="clear" w:color="auto" w:fill="auto"/>
            <w:tcMar>
              <w:top w:w="40" w:type="dxa"/>
              <w:left w:w="20" w:type="dxa"/>
              <w:bottom w:w="40" w:type="dxa"/>
              <w:right w:w="20" w:type="dxa"/>
            </w:tcMar>
          </w:tcPr>
          <w:p w14:paraId="5DEC4FC3" w14:textId="77777777" w:rsidR="00B1578D" w:rsidRDefault="004D2C04">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5DEC4FC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4FC5" w14:textId="77777777" w:rsidR="00B1578D" w:rsidRDefault="004D2C04">
            <w:pPr>
              <w:jc w:val="center"/>
              <w:textAlignment w:val="top"/>
            </w:pPr>
            <w:r>
              <w:rPr>
                <w:rFonts w:ascii="Times New Roman" w:eastAsia="宋体" w:hAnsi="Times New Roman"/>
                <w:b/>
                <w:bCs/>
                <w:color w:val="000000"/>
                <w:sz w:val="16"/>
                <w:szCs w:val="16"/>
              </w:rPr>
              <w:t>(Zip Code)</w:t>
            </w:r>
          </w:p>
        </w:tc>
      </w:tr>
    </w:tbl>
    <w:p w14:paraId="5DEC4FC7" w14:textId="77777777" w:rsidR="00B1578D" w:rsidRDefault="00B1578D">
      <w:pPr>
        <w:jc w:val="center"/>
      </w:pPr>
    </w:p>
    <w:p w14:paraId="5DEC4FC8" w14:textId="77777777" w:rsidR="00B1578D" w:rsidRDefault="004D2C04">
      <w:pPr>
        <w:jc w:val="center"/>
      </w:pPr>
      <w:r>
        <w:rPr>
          <w:rFonts w:ascii="Times New Roman" w:eastAsia="宋体" w:hAnsi="Times New Roman"/>
          <w:b/>
          <w:bCs/>
          <w:color w:val="000000"/>
          <w:sz w:val="16"/>
          <w:szCs w:val="16"/>
        </w:rPr>
        <w:t xml:space="preserve">Registrant's telephone number, including area code: (479) 273-4000 </w:t>
      </w:r>
    </w:p>
    <w:p w14:paraId="5DEC4FC9" w14:textId="77777777" w:rsidR="00B1578D" w:rsidRDefault="004D2C04">
      <w:pPr>
        <w:jc w:val="center"/>
      </w:pPr>
      <w:r>
        <w:rPr>
          <w:rFonts w:ascii="Times New Roman" w:eastAsia="宋体" w:hAnsi="Times New Roman"/>
          <w:b/>
          <w:bCs/>
          <w:color w:val="000000"/>
          <w:sz w:val="16"/>
          <w:szCs w:val="16"/>
        </w:rPr>
        <w:t>Former name, former address and former fiscal year, if changed since last report: N/A</w:t>
      </w:r>
    </w:p>
    <w:p w14:paraId="5DEC4FCA" w14:textId="77777777" w:rsidR="00B1578D" w:rsidRDefault="004D2C04">
      <w:pPr>
        <w:spacing w:before="120"/>
      </w:pPr>
      <w:r>
        <w:rPr>
          <w:rFonts w:ascii="Times New Roman" w:eastAsia="宋体" w:hAnsi="Times New Roman"/>
          <w:color w:val="000000"/>
          <w:sz w:val="18"/>
          <w:szCs w:val="18"/>
        </w:rPr>
        <w:t>Securities registered pursuant to Section 12(b) of the Act:</w:t>
      </w: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58"/>
        <w:gridCol w:w="2607"/>
        <w:gridCol w:w="37"/>
        <w:gridCol w:w="36"/>
        <w:gridCol w:w="43"/>
        <w:gridCol w:w="36"/>
        <w:gridCol w:w="59"/>
        <w:gridCol w:w="2607"/>
        <w:gridCol w:w="36"/>
        <w:gridCol w:w="36"/>
        <w:gridCol w:w="43"/>
        <w:gridCol w:w="36"/>
        <w:gridCol w:w="59"/>
        <w:gridCol w:w="2607"/>
        <w:gridCol w:w="36"/>
      </w:tblGrid>
      <w:tr w:rsidR="00B1578D" w14:paraId="5DEC4FDA" w14:textId="77777777">
        <w:tc>
          <w:tcPr>
            <w:tcW w:w="50" w:type="pct"/>
            <w:shd w:val="clear" w:color="auto" w:fill="auto"/>
            <w:vAlign w:val="bottom"/>
          </w:tcPr>
          <w:p w14:paraId="5DEC4FCB" w14:textId="77777777" w:rsidR="00B1578D" w:rsidRDefault="00B1578D">
            <w:pPr>
              <w:rPr>
                <w:rFonts w:ascii="宋体"/>
              </w:rPr>
            </w:pPr>
          </w:p>
        </w:tc>
        <w:tc>
          <w:tcPr>
            <w:tcW w:w="1577" w:type="pct"/>
            <w:shd w:val="clear" w:color="auto" w:fill="auto"/>
            <w:vAlign w:val="bottom"/>
          </w:tcPr>
          <w:p w14:paraId="5DEC4FCC" w14:textId="77777777" w:rsidR="00B1578D" w:rsidRDefault="00B1578D">
            <w:pPr>
              <w:rPr>
                <w:rFonts w:ascii="宋体"/>
              </w:rPr>
            </w:pPr>
          </w:p>
        </w:tc>
        <w:tc>
          <w:tcPr>
            <w:tcW w:w="5" w:type="pct"/>
            <w:shd w:val="clear" w:color="auto" w:fill="auto"/>
            <w:vAlign w:val="bottom"/>
          </w:tcPr>
          <w:p w14:paraId="5DEC4FCD" w14:textId="77777777" w:rsidR="00B1578D" w:rsidRDefault="00B1578D">
            <w:pPr>
              <w:rPr>
                <w:rFonts w:ascii="宋体"/>
              </w:rPr>
            </w:pPr>
          </w:p>
        </w:tc>
        <w:tc>
          <w:tcPr>
            <w:tcW w:w="5" w:type="pct"/>
            <w:shd w:val="clear" w:color="auto" w:fill="auto"/>
            <w:vAlign w:val="bottom"/>
          </w:tcPr>
          <w:p w14:paraId="5DEC4FCE" w14:textId="77777777" w:rsidR="00B1578D" w:rsidRDefault="00B1578D">
            <w:pPr>
              <w:rPr>
                <w:rFonts w:ascii="宋体"/>
              </w:rPr>
            </w:pPr>
          </w:p>
        </w:tc>
        <w:tc>
          <w:tcPr>
            <w:tcW w:w="40" w:type="pct"/>
            <w:shd w:val="clear" w:color="auto" w:fill="auto"/>
            <w:vAlign w:val="bottom"/>
          </w:tcPr>
          <w:p w14:paraId="5DEC4FCF" w14:textId="77777777" w:rsidR="00B1578D" w:rsidRDefault="00B1578D">
            <w:pPr>
              <w:rPr>
                <w:rFonts w:ascii="宋体"/>
              </w:rPr>
            </w:pPr>
          </w:p>
        </w:tc>
        <w:tc>
          <w:tcPr>
            <w:tcW w:w="5" w:type="pct"/>
            <w:shd w:val="clear" w:color="auto" w:fill="auto"/>
            <w:vAlign w:val="bottom"/>
          </w:tcPr>
          <w:p w14:paraId="5DEC4FD0" w14:textId="77777777" w:rsidR="00B1578D" w:rsidRDefault="00B1578D">
            <w:pPr>
              <w:rPr>
                <w:rFonts w:ascii="宋体"/>
              </w:rPr>
            </w:pPr>
          </w:p>
        </w:tc>
        <w:tc>
          <w:tcPr>
            <w:tcW w:w="50" w:type="pct"/>
            <w:shd w:val="clear" w:color="auto" w:fill="auto"/>
            <w:vAlign w:val="bottom"/>
          </w:tcPr>
          <w:p w14:paraId="5DEC4FD1" w14:textId="77777777" w:rsidR="00B1578D" w:rsidRDefault="00B1578D">
            <w:pPr>
              <w:rPr>
                <w:rFonts w:ascii="宋体"/>
              </w:rPr>
            </w:pPr>
          </w:p>
        </w:tc>
        <w:tc>
          <w:tcPr>
            <w:tcW w:w="1577" w:type="pct"/>
            <w:shd w:val="clear" w:color="auto" w:fill="auto"/>
            <w:vAlign w:val="bottom"/>
          </w:tcPr>
          <w:p w14:paraId="5DEC4FD2" w14:textId="77777777" w:rsidR="00B1578D" w:rsidRDefault="00B1578D">
            <w:pPr>
              <w:rPr>
                <w:rFonts w:ascii="宋体"/>
              </w:rPr>
            </w:pPr>
          </w:p>
        </w:tc>
        <w:tc>
          <w:tcPr>
            <w:tcW w:w="5" w:type="pct"/>
            <w:shd w:val="clear" w:color="auto" w:fill="auto"/>
            <w:vAlign w:val="bottom"/>
          </w:tcPr>
          <w:p w14:paraId="5DEC4FD3" w14:textId="77777777" w:rsidR="00B1578D" w:rsidRDefault="00B1578D">
            <w:pPr>
              <w:rPr>
                <w:rFonts w:ascii="宋体"/>
              </w:rPr>
            </w:pPr>
          </w:p>
        </w:tc>
        <w:tc>
          <w:tcPr>
            <w:tcW w:w="5" w:type="pct"/>
            <w:shd w:val="clear" w:color="auto" w:fill="auto"/>
            <w:vAlign w:val="bottom"/>
          </w:tcPr>
          <w:p w14:paraId="5DEC4FD4" w14:textId="77777777" w:rsidR="00B1578D" w:rsidRDefault="00B1578D">
            <w:pPr>
              <w:rPr>
                <w:rFonts w:ascii="宋体"/>
              </w:rPr>
            </w:pPr>
          </w:p>
        </w:tc>
        <w:tc>
          <w:tcPr>
            <w:tcW w:w="40" w:type="pct"/>
            <w:shd w:val="clear" w:color="auto" w:fill="auto"/>
            <w:vAlign w:val="bottom"/>
          </w:tcPr>
          <w:p w14:paraId="5DEC4FD5" w14:textId="77777777" w:rsidR="00B1578D" w:rsidRDefault="00B1578D">
            <w:pPr>
              <w:rPr>
                <w:rFonts w:ascii="宋体"/>
              </w:rPr>
            </w:pPr>
          </w:p>
        </w:tc>
        <w:tc>
          <w:tcPr>
            <w:tcW w:w="5" w:type="pct"/>
            <w:shd w:val="clear" w:color="auto" w:fill="auto"/>
            <w:vAlign w:val="bottom"/>
          </w:tcPr>
          <w:p w14:paraId="5DEC4FD6" w14:textId="77777777" w:rsidR="00B1578D" w:rsidRDefault="00B1578D">
            <w:pPr>
              <w:rPr>
                <w:rFonts w:ascii="宋体"/>
              </w:rPr>
            </w:pPr>
          </w:p>
        </w:tc>
        <w:tc>
          <w:tcPr>
            <w:tcW w:w="50" w:type="pct"/>
            <w:shd w:val="clear" w:color="auto" w:fill="auto"/>
            <w:vAlign w:val="bottom"/>
          </w:tcPr>
          <w:p w14:paraId="5DEC4FD7" w14:textId="77777777" w:rsidR="00B1578D" w:rsidRDefault="00B1578D">
            <w:pPr>
              <w:rPr>
                <w:rFonts w:ascii="宋体"/>
              </w:rPr>
            </w:pPr>
          </w:p>
        </w:tc>
        <w:tc>
          <w:tcPr>
            <w:tcW w:w="1577" w:type="pct"/>
            <w:shd w:val="clear" w:color="auto" w:fill="auto"/>
            <w:vAlign w:val="bottom"/>
          </w:tcPr>
          <w:p w14:paraId="5DEC4FD8" w14:textId="77777777" w:rsidR="00B1578D" w:rsidRDefault="00B1578D">
            <w:pPr>
              <w:rPr>
                <w:rFonts w:ascii="宋体"/>
              </w:rPr>
            </w:pPr>
          </w:p>
        </w:tc>
        <w:tc>
          <w:tcPr>
            <w:tcW w:w="5" w:type="pct"/>
            <w:shd w:val="clear" w:color="auto" w:fill="auto"/>
            <w:vAlign w:val="bottom"/>
          </w:tcPr>
          <w:p w14:paraId="5DEC4FD9" w14:textId="77777777" w:rsidR="00B1578D" w:rsidRDefault="00B1578D">
            <w:pPr>
              <w:rPr>
                <w:rFonts w:ascii="宋体"/>
              </w:rPr>
            </w:pPr>
          </w:p>
        </w:tc>
      </w:tr>
      <w:tr w:rsidR="00B1578D" w14:paraId="5DEC4FE0" w14:textId="77777777">
        <w:tc>
          <w:tcPr>
            <w:tcW w:w="0" w:type="auto"/>
            <w:gridSpan w:val="3"/>
            <w:shd w:val="clear" w:color="auto" w:fill="auto"/>
            <w:tcMar>
              <w:top w:w="40" w:type="dxa"/>
              <w:left w:w="20" w:type="dxa"/>
              <w:bottom w:w="40" w:type="dxa"/>
              <w:right w:w="20" w:type="dxa"/>
            </w:tcMar>
          </w:tcPr>
          <w:p w14:paraId="5DEC4FDB" w14:textId="77777777" w:rsidR="00B1578D" w:rsidRDefault="004D2C04">
            <w:pPr>
              <w:jc w:val="center"/>
              <w:textAlignment w:val="top"/>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vAlign w:val="bottom"/>
          </w:tcPr>
          <w:p w14:paraId="5DEC4FD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4FDD" w14:textId="77777777" w:rsidR="00B1578D" w:rsidRDefault="004D2C04">
            <w:pPr>
              <w:jc w:val="center"/>
              <w:textAlignment w:val="top"/>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vAlign w:val="bottom"/>
          </w:tcPr>
          <w:p w14:paraId="5DEC4FD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4FDF" w14:textId="77777777" w:rsidR="00B1578D" w:rsidRDefault="004D2C04">
            <w:pPr>
              <w:jc w:val="center"/>
              <w:textAlignment w:val="top"/>
            </w:pPr>
            <w:r>
              <w:rPr>
                <w:rFonts w:ascii="Times New Roman" w:eastAsia="宋体" w:hAnsi="Times New Roman"/>
                <w:color w:val="000000"/>
                <w:sz w:val="16"/>
                <w:szCs w:val="16"/>
              </w:rPr>
              <w:t>Name of each exchange on which registered</w:t>
            </w:r>
          </w:p>
        </w:tc>
      </w:tr>
      <w:tr w:rsidR="00B1578D" w14:paraId="5DEC4FE6" w14:textId="77777777">
        <w:tc>
          <w:tcPr>
            <w:tcW w:w="0" w:type="auto"/>
            <w:gridSpan w:val="3"/>
            <w:tcBorders>
              <w:top w:val="single" w:sz="8" w:space="0" w:color="000000"/>
            </w:tcBorders>
            <w:shd w:val="clear" w:color="auto" w:fill="auto"/>
            <w:tcMar>
              <w:top w:w="40" w:type="dxa"/>
              <w:left w:w="20" w:type="dxa"/>
              <w:bottom w:w="40" w:type="dxa"/>
              <w:right w:w="20" w:type="dxa"/>
            </w:tcMar>
          </w:tcPr>
          <w:p w14:paraId="5DEC4FE1" w14:textId="77777777" w:rsidR="00B1578D" w:rsidRDefault="004D2C04">
            <w:pPr>
              <w:jc w:val="center"/>
              <w:textAlignment w:val="top"/>
            </w:pPr>
            <w:r>
              <w:rPr>
                <w:rFonts w:ascii="Times New Roman" w:eastAsia="宋体" w:hAnsi="Times New Roman"/>
                <w:color w:val="000000"/>
                <w:sz w:val="16"/>
                <w:szCs w:val="16"/>
              </w:rPr>
              <w:t>Common Stock, par value $0.10 per share</w:t>
            </w:r>
          </w:p>
        </w:tc>
        <w:tc>
          <w:tcPr>
            <w:tcW w:w="0" w:type="auto"/>
            <w:gridSpan w:val="3"/>
            <w:shd w:val="clear" w:color="auto" w:fill="auto"/>
            <w:tcMar>
              <w:top w:w="0" w:type="dxa"/>
              <w:left w:w="20" w:type="dxa"/>
              <w:bottom w:w="0" w:type="dxa"/>
              <w:right w:w="20" w:type="dxa"/>
            </w:tcMar>
            <w:vAlign w:val="bottom"/>
          </w:tcPr>
          <w:p w14:paraId="5DEC4FE2"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DEC4FE3" w14:textId="77777777" w:rsidR="00B1578D" w:rsidRDefault="004D2C04">
            <w:pPr>
              <w:jc w:val="center"/>
              <w:textAlignment w:val="top"/>
            </w:pPr>
            <w:r>
              <w:rPr>
                <w:rFonts w:ascii="Times New Roman" w:eastAsia="宋体" w:hAnsi="Times New Roman"/>
                <w:color w:val="000000"/>
                <w:sz w:val="16"/>
                <w:szCs w:val="16"/>
              </w:rPr>
              <w:t>WMT</w:t>
            </w:r>
          </w:p>
        </w:tc>
        <w:tc>
          <w:tcPr>
            <w:tcW w:w="0" w:type="auto"/>
            <w:gridSpan w:val="3"/>
            <w:shd w:val="clear" w:color="auto" w:fill="auto"/>
            <w:tcMar>
              <w:top w:w="0" w:type="dxa"/>
              <w:left w:w="20" w:type="dxa"/>
              <w:bottom w:w="0" w:type="dxa"/>
              <w:right w:w="20" w:type="dxa"/>
            </w:tcMar>
            <w:vAlign w:val="bottom"/>
          </w:tcPr>
          <w:p w14:paraId="5DEC4FE4"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DEC4FE5" w14:textId="77777777" w:rsidR="00B1578D" w:rsidRDefault="004D2C04">
            <w:pPr>
              <w:jc w:val="center"/>
              <w:textAlignment w:val="top"/>
            </w:pPr>
            <w:r>
              <w:rPr>
                <w:rFonts w:ascii="Times New Roman" w:eastAsia="宋体" w:hAnsi="Times New Roman"/>
                <w:color w:val="000000"/>
                <w:sz w:val="16"/>
                <w:szCs w:val="16"/>
              </w:rPr>
              <w:t>New York Stock Exchange</w:t>
            </w:r>
          </w:p>
        </w:tc>
      </w:tr>
      <w:tr w:rsidR="00B1578D" w14:paraId="5DEC4FEC" w14:textId="77777777">
        <w:tc>
          <w:tcPr>
            <w:tcW w:w="0" w:type="auto"/>
            <w:gridSpan w:val="3"/>
            <w:shd w:val="clear" w:color="auto" w:fill="auto"/>
            <w:tcMar>
              <w:top w:w="40" w:type="dxa"/>
              <w:left w:w="20" w:type="dxa"/>
              <w:bottom w:w="40" w:type="dxa"/>
              <w:right w:w="20" w:type="dxa"/>
            </w:tcMar>
          </w:tcPr>
          <w:p w14:paraId="5DEC4FE7" w14:textId="77777777" w:rsidR="00B1578D" w:rsidRDefault="004D2C04">
            <w:pPr>
              <w:jc w:val="center"/>
              <w:textAlignment w:val="top"/>
            </w:pPr>
            <w:r>
              <w:rPr>
                <w:rFonts w:ascii="Times New Roman" w:eastAsia="宋体" w:hAnsi="Times New Roman"/>
                <w:color w:val="000000"/>
                <w:sz w:val="16"/>
                <w:szCs w:val="16"/>
              </w:rPr>
              <w:t>2.550% Notes Due 2026</w:t>
            </w:r>
          </w:p>
        </w:tc>
        <w:tc>
          <w:tcPr>
            <w:tcW w:w="0" w:type="auto"/>
            <w:gridSpan w:val="3"/>
            <w:shd w:val="clear" w:color="auto" w:fill="auto"/>
            <w:tcMar>
              <w:top w:w="0" w:type="dxa"/>
              <w:left w:w="20" w:type="dxa"/>
              <w:bottom w:w="0" w:type="dxa"/>
              <w:right w:w="20" w:type="dxa"/>
            </w:tcMar>
            <w:vAlign w:val="bottom"/>
          </w:tcPr>
          <w:p w14:paraId="5DEC4FE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4FE9" w14:textId="77777777" w:rsidR="00B1578D" w:rsidRDefault="004D2C04">
            <w:pPr>
              <w:jc w:val="center"/>
              <w:textAlignment w:val="top"/>
            </w:pPr>
            <w:r>
              <w:rPr>
                <w:rFonts w:ascii="Times New Roman" w:eastAsia="宋体" w:hAnsi="Times New Roman"/>
                <w:color w:val="000000"/>
                <w:sz w:val="16"/>
                <w:szCs w:val="16"/>
              </w:rPr>
              <w:t>WMT26</w:t>
            </w:r>
          </w:p>
        </w:tc>
        <w:tc>
          <w:tcPr>
            <w:tcW w:w="0" w:type="auto"/>
            <w:gridSpan w:val="3"/>
            <w:shd w:val="clear" w:color="auto" w:fill="auto"/>
            <w:tcMar>
              <w:top w:w="0" w:type="dxa"/>
              <w:left w:w="20" w:type="dxa"/>
              <w:bottom w:w="0" w:type="dxa"/>
              <w:right w:w="20" w:type="dxa"/>
            </w:tcMar>
            <w:vAlign w:val="bottom"/>
          </w:tcPr>
          <w:p w14:paraId="5DEC4FE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4FEB" w14:textId="77777777" w:rsidR="00B1578D" w:rsidRDefault="004D2C04">
            <w:pPr>
              <w:jc w:val="center"/>
              <w:textAlignment w:val="top"/>
            </w:pPr>
            <w:r>
              <w:rPr>
                <w:rFonts w:ascii="Times New Roman" w:eastAsia="宋体" w:hAnsi="Times New Roman"/>
                <w:color w:val="000000"/>
                <w:sz w:val="16"/>
                <w:szCs w:val="16"/>
              </w:rPr>
              <w:t>New York Stock Exchange</w:t>
            </w:r>
          </w:p>
        </w:tc>
      </w:tr>
    </w:tbl>
    <w:p w14:paraId="5DEC4FED" w14:textId="77777777" w:rsidR="00B1578D" w:rsidRDefault="004D2C04">
      <w:pPr>
        <w:spacing w:before="20"/>
      </w:pPr>
      <w:r>
        <w:rPr>
          <w:rFonts w:ascii="Times New Roman" w:eastAsia="宋体" w:hAnsi="Times New Roman"/>
          <w:color w:val="000000"/>
          <w:sz w:val="18"/>
          <w:szCs w:val="18"/>
        </w:rPr>
        <w:t xml:space="preserve">Indicate by check mark whether the registrant (1) has filed all </w:t>
      </w:r>
      <w:r>
        <w:rPr>
          <w:rFonts w:ascii="Times New Roman" w:eastAsia="宋体" w:hAnsi="Times New Roman"/>
          <w:color w:val="000000"/>
          <w:sz w:val="18"/>
          <w:szCs w:val="18"/>
        </w:rPr>
        <w:t xml:space="preserve">reports required to be filed by Section 13 or 15(d) of the Securities Exchange Act of 1934 during the preceding 12 months (or such shorter periods that the registrant was required to file such reports), and (2) has been subject to such filing requirements </w:t>
      </w:r>
      <w:r>
        <w:rPr>
          <w:rFonts w:ascii="Times New Roman" w:eastAsia="宋体" w:hAnsi="Times New Roman"/>
          <w:color w:val="000000"/>
          <w:sz w:val="18"/>
          <w:szCs w:val="18"/>
        </w:rPr>
        <w:t>for the past 90 days.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5DEC4FEE" w14:textId="77777777" w:rsidR="00B1578D" w:rsidRDefault="004D2C04">
      <w:pPr>
        <w:spacing w:before="120"/>
      </w:pPr>
      <w:r>
        <w:rPr>
          <w:rFonts w:ascii="Times New Roman" w:eastAsia="宋体" w:hAnsi="Times New Roman"/>
          <w:color w:val="000000"/>
          <w:sz w:val="18"/>
          <w:szCs w:val="18"/>
        </w:rPr>
        <w:t xml:space="preserve">Indicate by check mark whether the registrant has submitted electronically every Interactive Data File required to be submitted pursuant to Rule 405 of Regulation S-T (§232.405 of this chapter) during the preceding </w:t>
      </w:r>
      <w:r>
        <w:rPr>
          <w:rFonts w:ascii="Times New Roman" w:eastAsia="宋体" w:hAnsi="Times New Roman"/>
          <w:color w:val="000000"/>
          <w:sz w:val="18"/>
          <w:szCs w:val="18"/>
        </w:rPr>
        <w:t>12 months (or for such shorter period that the registrant was required to submit such files).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5DEC4FEF" w14:textId="77777777" w:rsidR="00B1578D" w:rsidRDefault="004D2C04">
      <w:pPr>
        <w:spacing w:before="120"/>
      </w:pPr>
      <w:r>
        <w:rPr>
          <w:rFonts w:ascii="Times New Roman" w:eastAsia="宋体" w:hAnsi="Times New Roman"/>
          <w:color w:val="000000"/>
          <w:sz w:val="18"/>
          <w:szCs w:val="18"/>
        </w:rPr>
        <w:t>Indicate by check mark whether the registrant is a large accelerated filer, an accelerated filer, a non-accelerated filer, smaller reporting co</w:t>
      </w:r>
      <w:r>
        <w:rPr>
          <w:rFonts w:ascii="Times New Roman" w:eastAsia="宋体" w:hAnsi="Times New Roman"/>
          <w:color w:val="000000"/>
          <w:sz w:val="18"/>
          <w:szCs w:val="18"/>
        </w:rPr>
        <w:t xml:space="preserve">mpany, or an emerging growth company. See definitions of "large accelerated filer," "accelerated filer," "smaller reporting company," and "emerging growth company" in Rule 12b-2 of the Exchange Act. </w:t>
      </w:r>
    </w:p>
    <w:tbl>
      <w:tblPr>
        <w:tblW w:w="3999" w:type="pct"/>
        <w:tblInd w:w="-885" w:type="dxa"/>
        <w:tblCellMar>
          <w:top w:w="15" w:type="dxa"/>
          <w:left w:w="15" w:type="dxa"/>
          <w:bottom w:w="15" w:type="dxa"/>
          <w:right w:w="15" w:type="dxa"/>
        </w:tblCellMar>
        <w:tblLook w:val="04A0" w:firstRow="1" w:lastRow="0" w:firstColumn="1" w:lastColumn="0" w:noHBand="0" w:noVBand="1"/>
      </w:tblPr>
      <w:tblGrid>
        <w:gridCol w:w="52"/>
        <w:gridCol w:w="2094"/>
        <w:gridCol w:w="37"/>
        <w:gridCol w:w="52"/>
        <w:gridCol w:w="154"/>
        <w:gridCol w:w="36"/>
        <w:gridCol w:w="52"/>
        <w:gridCol w:w="1241"/>
        <w:gridCol w:w="36"/>
        <w:gridCol w:w="52"/>
        <w:gridCol w:w="154"/>
        <w:gridCol w:w="36"/>
        <w:gridCol w:w="65"/>
        <w:gridCol w:w="2081"/>
        <w:gridCol w:w="36"/>
        <w:gridCol w:w="52"/>
        <w:gridCol w:w="155"/>
        <w:gridCol w:w="36"/>
        <w:gridCol w:w="59"/>
        <w:gridCol w:w="151"/>
        <w:gridCol w:w="36"/>
      </w:tblGrid>
      <w:tr w:rsidR="00B1578D" w14:paraId="5DEC5005" w14:textId="77777777">
        <w:tc>
          <w:tcPr>
            <w:tcW w:w="50" w:type="pct"/>
            <w:shd w:val="clear" w:color="auto" w:fill="auto"/>
            <w:vAlign w:val="bottom"/>
          </w:tcPr>
          <w:p w14:paraId="5DEC4FF0" w14:textId="77777777" w:rsidR="00B1578D" w:rsidRDefault="00B1578D">
            <w:pPr>
              <w:rPr>
                <w:rFonts w:ascii="宋体"/>
              </w:rPr>
            </w:pPr>
          </w:p>
        </w:tc>
        <w:tc>
          <w:tcPr>
            <w:tcW w:w="1581" w:type="pct"/>
            <w:shd w:val="clear" w:color="auto" w:fill="auto"/>
            <w:vAlign w:val="bottom"/>
          </w:tcPr>
          <w:p w14:paraId="5DEC4FF1" w14:textId="77777777" w:rsidR="00B1578D" w:rsidRDefault="00B1578D">
            <w:pPr>
              <w:rPr>
                <w:rFonts w:ascii="宋体"/>
              </w:rPr>
            </w:pPr>
          </w:p>
        </w:tc>
        <w:tc>
          <w:tcPr>
            <w:tcW w:w="5" w:type="pct"/>
            <w:shd w:val="clear" w:color="auto" w:fill="auto"/>
            <w:vAlign w:val="bottom"/>
          </w:tcPr>
          <w:p w14:paraId="5DEC4FF2" w14:textId="77777777" w:rsidR="00B1578D" w:rsidRDefault="00B1578D">
            <w:pPr>
              <w:rPr>
                <w:rFonts w:ascii="宋体"/>
              </w:rPr>
            </w:pPr>
          </w:p>
        </w:tc>
        <w:tc>
          <w:tcPr>
            <w:tcW w:w="50" w:type="pct"/>
            <w:shd w:val="clear" w:color="auto" w:fill="auto"/>
            <w:vAlign w:val="bottom"/>
          </w:tcPr>
          <w:p w14:paraId="5DEC4FF3" w14:textId="77777777" w:rsidR="00B1578D" w:rsidRDefault="00B1578D">
            <w:pPr>
              <w:rPr>
                <w:rFonts w:ascii="宋体"/>
              </w:rPr>
            </w:pPr>
          </w:p>
        </w:tc>
        <w:tc>
          <w:tcPr>
            <w:tcW w:w="127" w:type="pct"/>
            <w:shd w:val="clear" w:color="auto" w:fill="auto"/>
            <w:vAlign w:val="bottom"/>
          </w:tcPr>
          <w:p w14:paraId="5DEC4FF4" w14:textId="77777777" w:rsidR="00B1578D" w:rsidRDefault="00B1578D">
            <w:pPr>
              <w:rPr>
                <w:rFonts w:ascii="宋体"/>
              </w:rPr>
            </w:pPr>
          </w:p>
        </w:tc>
        <w:tc>
          <w:tcPr>
            <w:tcW w:w="5" w:type="pct"/>
            <w:shd w:val="clear" w:color="auto" w:fill="auto"/>
            <w:vAlign w:val="bottom"/>
          </w:tcPr>
          <w:p w14:paraId="5DEC4FF5" w14:textId="77777777" w:rsidR="00B1578D" w:rsidRDefault="00B1578D">
            <w:pPr>
              <w:rPr>
                <w:rFonts w:ascii="宋体"/>
              </w:rPr>
            </w:pPr>
          </w:p>
        </w:tc>
        <w:tc>
          <w:tcPr>
            <w:tcW w:w="50" w:type="pct"/>
            <w:shd w:val="clear" w:color="auto" w:fill="auto"/>
            <w:vAlign w:val="bottom"/>
          </w:tcPr>
          <w:p w14:paraId="5DEC4FF6" w14:textId="77777777" w:rsidR="00B1578D" w:rsidRDefault="00B1578D">
            <w:pPr>
              <w:rPr>
                <w:rFonts w:ascii="宋体"/>
              </w:rPr>
            </w:pPr>
          </w:p>
        </w:tc>
        <w:tc>
          <w:tcPr>
            <w:tcW w:w="941" w:type="pct"/>
            <w:shd w:val="clear" w:color="auto" w:fill="auto"/>
            <w:vAlign w:val="bottom"/>
          </w:tcPr>
          <w:p w14:paraId="5DEC4FF7" w14:textId="77777777" w:rsidR="00B1578D" w:rsidRDefault="00B1578D">
            <w:pPr>
              <w:rPr>
                <w:rFonts w:ascii="宋体"/>
              </w:rPr>
            </w:pPr>
          </w:p>
        </w:tc>
        <w:tc>
          <w:tcPr>
            <w:tcW w:w="5" w:type="pct"/>
            <w:shd w:val="clear" w:color="auto" w:fill="auto"/>
            <w:vAlign w:val="bottom"/>
          </w:tcPr>
          <w:p w14:paraId="5DEC4FF8" w14:textId="77777777" w:rsidR="00B1578D" w:rsidRDefault="00B1578D">
            <w:pPr>
              <w:rPr>
                <w:rFonts w:ascii="宋体"/>
              </w:rPr>
            </w:pPr>
          </w:p>
        </w:tc>
        <w:tc>
          <w:tcPr>
            <w:tcW w:w="50" w:type="pct"/>
            <w:shd w:val="clear" w:color="auto" w:fill="auto"/>
            <w:vAlign w:val="bottom"/>
          </w:tcPr>
          <w:p w14:paraId="5DEC4FF9" w14:textId="77777777" w:rsidR="00B1578D" w:rsidRDefault="00B1578D">
            <w:pPr>
              <w:rPr>
                <w:rFonts w:ascii="宋体"/>
              </w:rPr>
            </w:pPr>
          </w:p>
        </w:tc>
        <w:tc>
          <w:tcPr>
            <w:tcW w:w="127" w:type="pct"/>
            <w:shd w:val="clear" w:color="auto" w:fill="auto"/>
            <w:vAlign w:val="bottom"/>
          </w:tcPr>
          <w:p w14:paraId="5DEC4FFA" w14:textId="77777777" w:rsidR="00B1578D" w:rsidRDefault="00B1578D">
            <w:pPr>
              <w:rPr>
                <w:rFonts w:ascii="宋体"/>
              </w:rPr>
            </w:pPr>
          </w:p>
        </w:tc>
        <w:tc>
          <w:tcPr>
            <w:tcW w:w="5" w:type="pct"/>
            <w:shd w:val="clear" w:color="auto" w:fill="auto"/>
            <w:vAlign w:val="bottom"/>
          </w:tcPr>
          <w:p w14:paraId="5DEC4FFB" w14:textId="77777777" w:rsidR="00B1578D" w:rsidRDefault="00B1578D">
            <w:pPr>
              <w:rPr>
                <w:rFonts w:ascii="宋体"/>
              </w:rPr>
            </w:pPr>
          </w:p>
        </w:tc>
        <w:tc>
          <w:tcPr>
            <w:tcW w:w="50" w:type="pct"/>
            <w:shd w:val="clear" w:color="auto" w:fill="auto"/>
            <w:vAlign w:val="bottom"/>
          </w:tcPr>
          <w:p w14:paraId="5DEC4FFC" w14:textId="77777777" w:rsidR="00B1578D" w:rsidRDefault="00B1578D">
            <w:pPr>
              <w:rPr>
                <w:rFonts w:ascii="宋体"/>
              </w:rPr>
            </w:pPr>
          </w:p>
        </w:tc>
        <w:tc>
          <w:tcPr>
            <w:tcW w:w="1581" w:type="pct"/>
            <w:shd w:val="clear" w:color="auto" w:fill="auto"/>
            <w:vAlign w:val="bottom"/>
          </w:tcPr>
          <w:p w14:paraId="5DEC4FFD" w14:textId="77777777" w:rsidR="00B1578D" w:rsidRDefault="00B1578D">
            <w:pPr>
              <w:rPr>
                <w:rFonts w:ascii="宋体"/>
              </w:rPr>
            </w:pPr>
          </w:p>
        </w:tc>
        <w:tc>
          <w:tcPr>
            <w:tcW w:w="5" w:type="pct"/>
            <w:shd w:val="clear" w:color="auto" w:fill="auto"/>
            <w:vAlign w:val="bottom"/>
          </w:tcPr>
          <w:p w14:paraId="5DEC4FFE" w14:textId="77777777" w:rsidR="00B1578D" w:rsidRDefault="00B1578D">
            <w:pPr>
              <w:rPr>
                <w:rFonts w:ascii="宋体"/>
              </w:rPr>
            </w:pPr>
          </w:p>
        </w:tc>
        <w:tc>
          <w:tcPr>
            <w:tcW w:w="50" w:type="pct"/>
            <w:shd w:val="clear" w:color="auto" w:fill="auto"/>
            <w:vAlign w:val="bottom"/>
          </w:tcPr>
          <w:p w14:paraId="5DEC4FFF" w14:textId="77777777" w:rsidR="00B1578D" w:rsidRDefault="00B1578D">
            <w:pPr>
              <w:rPr>
                <w:rFonts w:ascii="宋体"/>
              </w:rPr>
            </w:pPr>
          </w:p>
        </w:tc>
        <w:tc>
          <w:tcPr>
            <w:tcW w:w="127" w:type="pct"/>
            <w:shd w:val="clear" w:color="auto" w:fill="auto"/>
            <w:vAlign w:val="bottom"/>
          </w:tcPr>
          <w:p w14:paraId="5DEC5000" w14:textId="77777777" w:rsidR="00B1578D" w:rsidRDefault="00B1578D">
            <w:pPr>
              <w:rPr>
                <w:rFonts w:ascii="宋体"/>
              </w:rPr>
            </w:pPr>
          </w:p>
        </w:tc>
        <w:tc>
          <w:tcPr>
            <w:tcW w:w="5" w:type="pct"/>
            <w:shd w:val="clear" w:color="auto" w:fill="auto"/>
            <w:vAlign w:val="bottom"/>
          </w:tcPr>
          <w:p w14:paraId="5DEC5001" w14:textId="77777777" w:rsidR="00B1578D" w:rsidRDefault="00B1578D">
            <w:pPr>
              <w:rPr>
                <w:rFonts w:ascii="宋体"/>
              </w:rPr>
            </w:pPr>
          </w:p>
        </w:tc>
        <w:tc>
          <w:tcPr>
            <w:tcW w:w="50" w:type="pct"/>
            <w:shd w:val="clear" w:color="auto" w:fill="auto"/>
            <w:vAlign w:val="bottom"/>
          </w:tcPr>
          <w:p w14:paraId="5DEC5002" w14:textId="77777777" w:rsidR="00B1578D" w:rsidRDefault="00B1578D">
            <w:pPr>
              <w:rPr>
                <w:rFonts w:ascii="宋体"/>
              </w:rPr>
            </w:pPr>
          </w:p>
        </w:tc>
        <w:tc>
          <w:tcPr>
            <w:tcW w:w="128" w:type="pct"/>
            <w:shd w:val="clear" w:color="auto" w:fill="auto"/>
            <w:vAlign w:val="bottom"/>
          </w:tcPr>
          <w:p w14:paraId="5DEC5003" w14:textId="77777777" w:rsidR="00B1578D" w:rsidRDefault="00B1578D">
            <w:pPr>
              <w:rPr>
                <w:rFonts w:ascii="宋体"/>
              </w:rPr>
            </w:pPr>
          </w:p>
        </w:tc>
        <w:tc>
          <w:tcPr>
            <w:tcW w:w="5" w:type="pct"/>
            <w:shd w:val="clear" w:color="auto" w:fill="auto"/>
            <w:vAlign w:val="bottom"/>
          </w:tcPr>
          <w:p w14:paraId="5DEC5004" w14:textId="77777777" w:rsidR="00B1578D" w:rsidRDefault="00B1578D">
            <w:pPr>
              <w:rPr>
                <w:rFonts w:ascii="宋体"/>
              </w:rPr>
            </w:pPr>
          </w:p>
        </w:tc>
      </w:tr>
      <w:tr w:rsidR="00B1578D" w14:paraId="5DEC500D" w14:textId="77777777">
        <w:tc>
          <w:tcPr>
            <w:tcW w:w="0" w:type="auto"/>
            <w:gridSpan w:val="3"/>
            <w:shd w:val="clear" w:color="auto" w:fill="auto"/>
            <w:tcMar>
              <w:top w:w="40" w:type="dxa"/>
              <w:left w:w="20" w:type="dxa"/>
              <w:bottom w:w="40" w:type="dxa"/>
              <w:right w:w="20" w:type="dxa"/>
            </w:tcMar>
            <w:vAlign w:val="bottom"/>
          </w:tcPr>
          <w:p w14:paraId="5DEC5006" w14:textId="77777777" w:rsidR="00B1578D" w:rsidRDefault="004D2C04">
            <w:pPr>
              <w:textAlignment w:val="bottom"/>
            </w:pPr>
            <w:r>
              <w:rPr>
                <w:rFonts w:ascii="Times New Roman" w:eastAsia="宋体" w:hAnsi="Times New Roman"/>
                <w:color w:val="000000"/>
                <w:sz w:val="18"/>
                <w:szCs w:val="18"/>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5DEC5007" w14:textId="77777777" w:rsidR="00B1578D" w:rsidRDefault="004D2C0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EC5008" w14:textId="77777777" w:rsidR="00B1578D" w:rsidRDefault="004D2C04">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5DEC5009" w14:textId="77777777" w:rsidR="00B1578D" w:rsidRDefault="004D2C0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EC500A" w14:textId="77777777" w:rsidR="00B1578D" w:rsidRDefault="004D2C04">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5DEC500B" w14:textId="77777777" w:rsidR="00B1578D" w:rsidRDefault="004D2C0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EC500C" w14:textId="77777777" w:rsidR="00B1578D" w:rsidRDefault="004D2C04">
            <w:pPr>
              <w:textAlignment w:val="bottom"/>
            </w:pPr>
            <w:r>
              <w:rPr>
                <w:rFonts w:ascii="Arial Unicode MS" w:eastAsia="Arial Unicode MS" w:hAnsi="Arial Unicode MS" w:cs="Arial Unicode MS" w:hint="eastAsia"/>
                <w:color w:val="000000"/>
                <w:sz w:val="20"/>
                <w:szCs w:val="20"/>
              </w:rPr>
              <w:t>☐</w:t>
            </w:r>
          </w:p>
        </w:tc>
      </w:tr>
      <w:tr w:rsidR="00B1578D" w14:paraId="5DEC5015" w14:textId="77777777">
        <w:tc>
          <w:tcPr>
            <w:tcW w:w="0" w:type="auto"/>
            <w:gridSpan w:val="3"/>
            <w:shd w:val="clear" w:color="auto" w:fill="auto"/>
            <w:tcMar>
              <w:top w:w="40" w:type="dxa"/>
              <w:left w:w="20" w:type="dxa"/>
              <w:bottom w:w="40" w:type="dxa"/>
              <w:right w:w="20" w:type="dxa"/>
            </w:tcMar>
            <w:vAlign w:val="bottom"/>
          </w:tcPr>
          <w:p w14:paraId="5DEC500E" w14:textId="77777777" w:rsidR="00B1578D" w:rsidRDefault="004D2C04">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5DEC500F" w14:textId="77777777" w:rsidR="00B1578D" w:rsidRDefault="004D2C0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EC5010" w14:textId="77777777" w:rsidR="00B1578D" w:rsidRDefault="004D2C04">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5DEC5011" w14:textId="77777777" w:rsidR="00B1578D" w:rsidRDefault="004D2C0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EC5012" w14:textId="77777777" w:rsidR="00B1578D" w:rsidRDefault="004D2C04">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5DEC5013" w14:textId="77777777" w:rsidR="00B1578D" w:rsidRDefault="004D2C0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DEC5014" w14:textId="77777777" w:rsidR="00B1578D" w:rsidRDefault="004D2C04">
            <w:pPr>
              <w:textAlignment w:val="bottom"/>
            </w:pPr>
            <w:r>
              <w:rPr>
                <w:rFonts w:ascii="Arial Unicode MS" w:eastAsia="Arial Unicode MS" w:hAnsi="Arial Unicode MS" w:cs="Arial Unicode MS" w:hint="eastAsia"/>
                <w:color w:val="000000"/>
                <w:sz w:val="20"/>
                <w:szCs w:val="20"/>
              </w:rPr>
              <w:t>☐</w:t>
            </w:r>
          </w:p>
        </w:tc>
      </w:tr>
      <w:tr w:rsidR="00B1578D" w14:paraId="5DEC501D" w14:textId="77777777">
        <w:tc>
          <w:tcPr>
            <w:tcW w:w="0" w:type="auto"/>
            <w:gridSpan w:val="3"/>
            <w:shd w:val="clear" w:color="auto" w:fill="auto"/>
            <w:tcMar>
              <w:top w:w="0" w:type="dxa"/>
              <w:left w:w="20" w:type="dxa"/>
              <w:bottom w:w="0" w:type="dxa"/>
              <w:right w:w="20" w:type="dxa"/>
            </w:tcMar>
            <w:vAlign w:val="bottom"/>
          </w:tcPr>
          <w:p w14:paraId="5DEC5016"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17"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18"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19"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1A" w14:textId="77777777" w:rsidR="00B1578D" w:rsidRDefault="004D2C04">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5DEC501B"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1C" w14:textId="77777777" w:rsidR="00B1578D" w:rsidRDefault="004D2C04">
            <w:pPr>
              <w:textAlignment w:val="bottom"/>
            </w:pPr>
            <w:r>
              <w:rPr>
                <w:rFonts w:ascii="Arial Unicode MS" w:eastAsia="Arial Unicode MS" w:hAnsi="Arial Unicode MS" w:cs="Arial Unicode MS" w:hint="eastAsia"/>
                <w:color w:val="000000"/>
                <w:sz w:val="20"/>
                <w:szCs w:val="20"/>
              </w:rPr>
              <w:t>☐</w:t>
            </w:r>
          </w:p>
        </w:tc>
      </w:tr>
    </w:tbl>
    <w:p w14:paraId="5DEC501E" w14:textId="77777777" w:rsidR="00B1578D" w:rsidRDefault="004D2C04">
      <w:pPr>
        <w:spacing w:before="20"/>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5DEC501F" w14:textId="77777777" w:rsidR="00B1578D" w:rsidRDefault="004D2C04">
      <w:pPr>
        <w:spacing w:before="120"/>
      </w:pPr>
      <w:r>
        <w:rPr>
          <w:rFonts w:ascii="Times New Roman" w:eastAsia="宋体" w:hAnsi="Times New Roman"/>
          <w:color w:val="000000"/>
          <w:sz w:val="18"/>
          <w:szCs w:val="18"/>
        </w:rPr>
        <w:t>I</w:t>
      </w:r>
      <w:r>
        <w:rPr>
          <w:rFonts w:ascii="Times New Roman" w:eastAsia="宋体" w:hAnsi="Times New Roman"/>
          <w:color w:val="000000"/>
          <w:sz w:val="18"/>
          <w:szCs w:val="18"/>
        </w:rPr>
        <w:t>ndicate by a check mark whether the registrant is a shell company (as defined in Rule 12b-2 of the Exchange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18"/>
          <w:szCs w:val="18"/>
        </w:rPr>
        <w:t xml:space="preserve"> </w:t>
      </w:r>
    </w:p>
    <w:p w14:paraId="5DEC5020" w14:textId="77777777" w:rsidR="00B1578D" w:rsidRDefault="004D2C04">
      <w:pPr>
        <w:spacing w:before="100"/>
      </w:pPr>
      <w:r>
        <w:rPr>
          <w:rFonts w:ascii="Times New Roman" w:eastAsia="宋体" w:hAnsi="Times New Roman"/>
          <w:color w:val="000000"/>
          <w:sz w:val="18"/>
          <w:szCs w:val="18"/>
        </w:rPr>
        <w:t>The registrant had 2,741,150,050</w:t>
      </w:r>
      <w:r>
        <w:rPr>
          <w:rFonts w:ascii="Times New Roman" w:eastAsia="宋体" w:hAnsi="Times New Roman"/>
          <w:color w:val="1F497D"/>
          <w:sz w:val="18"/>
          <w:szCs w:val="18"/>
        </w:rPr>
        <w:t xml:space="preserve"> </w:t>
      </w:r>
      <w:r>
        <w:rPr>
          <w:rFonts w:ascii="Times New Roman" w:eastAsia="宋体" w:hAnsi="Times New Roman"/>
          <w:color w:val="000000"/>
          <w:sz w:val="18"/>
          <w:szCs w:val="18"/>
        </w:rPr>
        <w:t>shares of common stock outstanding as of June 1, 2022.</w:t>
      </w:r>
    </w:p>
    <w:p w14:paraId="5DEC5021" w14:textId="77777777" w:rsidR="00B1578D" w:rsidRDefault="00B1578D"/>
    <w:p w14:paraId="5DEC5022" w14:textId="77777777" w:rsidR="00B1578D" w:rsidRDefault="004D2C04">
      <w:r>
        <w:pict w14:anchorId="5DEC6F26">
          <v:rect id="_x0000_i1025" style="width:415.3pt;height:1.5pt" o:hralign="center" o:hrstd="t" o:hr="t" fillcolor="#a0a0a0" stroked="f"/>
        </w:pict>
      </w:r>
    </w:p>
    <w:p w14:paraId="5DEC5023" w14:textId="77777777" w:rsidR="00B1578D" w:rsidRDefault="004D2C04">
      <w:hyperlink r:id="rId7" w:anchor="ia92fe4e1fa654d85928fb72942eadb02_7" w:history="1">
        <w:r>
          <w:rPr>
            <w:rStyle w:val="a5"/>
            <w:rFonts w:ascii="Times New Roman" w:eastAsia="宋体" w:hAnsi="Times New Roman"/>
            <w:sz w:val="20"/>
            <w:szCs w:val="20"/>
          </w:rPr>
          <w:t>Table of Contents</w:t>
        </w:r>
      </w:hyperlink>
    </w:p>
    <w:p w14:paraId="5DEC5024" w14:textId="77777777" w:rsidR="00B1578D" w:rsidRDefault="004D2C04">
      <w:pPr>
        <w:jc w:val="center"/>
      </w:pPr>
      <w:r>
        <w:rPr>
          <w:rFonts w:ascii="Times New Roman" w:eastAsia="宋体" w:hAnsi="Times New Roman"/>
          <w:b/>
          <w:bCs/>
          <w:color w:val="000000"/>
          <w:sz w:val="20"/>
          <w:szCs w:val="20"/>
        </w:rPr>
        <w:t>Walmart Inc.</w:t>
      </w:r>
    </w:p>
    <w:p w14:paraId="5DEC5025" w14:textId="77777777" w:rsidR="00B1578D" w:rsidRDefault="004D2C04">
      <w:pPr>
        <w:jc w:val="center"/>
      </w:pPr>
      <w:r>
        <w:rPr>
          <w:rFonts w:ascii="Times New Roman" w:eastAsia="宋体" w:hAnsi="Times New Roman"/>
          <w:b/>
          <w:bCs/>
          <w:color w:val="000000"/>
          <w:sz w:val="20"/>
          <w:szCs w:val="20"/>
        </w:rPr>
        <w:t>Form 10-Q</w:t>
      </w:r>
    </w:p>
    <w:p w14:paraId="5DEC5026" w14:textId="77777777" w:rsidR="00B1578D" w:rsidRDefault="004D2C04">
      <w:pPr>
        <w:jc w:val="center"/>
      </w:pPr>
      <w:r>
        <w:rPr>
          <w:rFonts w:ascii="Times New Roman" w:eastAsia="宋体" w:hAnsi="Times New Roman"/>
          <w:b/>
          <w:bCs/>
          <w:color w:val="000000"/>
          <w:sz w:val="20"/>
          <w:szCs w:val="20"/>
        </w:rPr>
        <w:t xml:space="preserve">For the Quarterly Period Ended April 30, 2022 </w:t>
      </w:r>
    </w:p>
    <w:p w14:paraId="5DEC5027" w14:textId="77777777" w:rsidR="00B1578D" w:rsidRDefault="00B1578D">
      <w:pPr>
        <w:jc w:val="center"/>
      </w:pPr>
    </w:p>
    <w:p w14:paraId="5DEC5028" w14:textId="77777777" w:rsidR="00B1578D" w:rsidRDefault="00B1578D">
      <w:pPr>
        <w:jc w:val="center"/>
      </w:pPr>
    </w:p>
    <w:p w14:paraId="5DEC5029" w14:textId="77777777" w:rsidR="00B1578D" w:rsidRDefault="00B1578D">
      <w:pPr>
        <w:jc w:val="center"/>
      </w:pPr>
    </w:p>
    <w:p w14:paraId="5DEC502A" w14:textId="77777777" w:rsidR="00B1578D" w:rsidRDefault="004D2C04">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78"/>
        <w:gridCol w:w="37"/>
        <w:gridCol w:w="69"/>
        <w:gridCol w:w="636"/>
        <w:gridCol w:w="37"/>
        <w:gridCol w:w="69"/>
        <w:gridCol w:w="6271"/>
        <w:gridCol w:w="38"/>
        <w:gridCol w:w="69"/>
        <w:gridCol w:w="528"/>
        <w:gridCol w:w="36"/>
      </w:tblGrid>
      <w:tr w:rsidR="00B1578D" w14:paraId="5DEC5037" w14:textId="77777777">
        <w:trPr>
          <w:jc w:val="center"/>
        </w:trPr>
        <w:tc>
          <w:tcPr>
            <w:tcW w:w="50" w:type="pct"/>
            <w:shd w:val="clear" w:color="auto" w:fill="auto"/>
            <w:vAlign w:val="bottom"/>
          </w:tcPr>
          <w:p w14:paraId="5DEC502B" w14:textId="77777777" w:rsidR="00B1578D" w:rsidRDefault="00B1578D">
            <w:pPr>
              <w:rPr>
                <w:rFonts w:ascii="宋体"/>
              </w:rPr>
            </w:pPr>
          </w:p>
        </w:tc>
        <w:tc>
          <w:tcPr>
            <w:tcW w:w="295" w:type="pct"/>
            <w:shd w:val="clear" w:color="auto" w:fill="auto"/>
            <w:vAlign w:val="bottom"/>
          </w:tcPr>
          <w:p w14:paraId="5DEC502C" w14:textId="77777777" w:rsidR="00B1578D" w:rsidRDefault="00B1578D">
            <w:pPr>
              <w:rPr>
                <w:rFonts w:ascii="宋体"/>
              </w:rPr>
            </w:pPr>
          </w:p>
        </w:tc>
        <w:tc>
          <w:tcPr>
            <w:tcW w:w="5" w:type="pct"/>
            <w:shd w:val="clear" w:color="auto" w:fill="auto"/>
            <w:vAlign w:val="bottom"/>
          </w:tcPr>
          <w:p w14:paraId="5DEC502D" w14:textId="77777777" w:rsidR="00B1578D" w:rsidRDefault="00B1578D">
            <w:pPr>
              <w:rPr>
                <w:rFonts w:ascii="宋体"/>
              </w:rPr>
            </w:pPr>
          </w:p>
        </w:tc>
        <w:tc>
          <w:tcPr>
            <w:tcW w:w="50" w:type="pct"/>
            <w:shd w:val="clear" w:color="auto" w:fill="auto"/>
            <w:vAlign w:val="bottom"/>
          </w:tcPr>
          <w:p w14:paraId="5DEC502E" w14:textId="77777777" w:rsidR="00B1578D" w:rsidRDefault="00B1578D">
            <w:pPr>
              <w:rPr>
                <w:rFonts w:ascii="宋体"/>
              </w:rPr>
            </w:pPr>
          </w:p>
        </w:tc>
        <w:tc>
          <w:tcPr>
            <w:tcW w:w="390" w:type="pct"/>
            <w:shd w:val="clear" w:color="auto" w:fill="auto"/>
            <w:vAlign w:val="bottom"/>
          </w:tcPr>
          <w:p w14:paraId="5DEC502F" w14:textId="77777777" w:rsidR="00B1578D" w:rsidRDefault="00B1578D">
            <w:pPr>
              <w:rPr>
                <w:rFonts w:ascii="宋体"/>
              </w:rPr>
            </w:pPr>
          </w:p>
        </w:tc>
        <w:tc>
          <w:tcPr>
            <w:tcW w:w="5" w:type="pct"/>
            <w:shd w:val="clear" w:color="auto" w:fill="auto"/>
            <w:vAlign w:val="bottom"/>
          </w:tcPr>
          <w:p w14:paraId="5DEC5030" w14:textId="77777777" w:rsidR="00B1578D" w:rsidRDefault="00B1578D">
            <w:pPr>
              <w:rPr>
                <w:rFonts w:ascii="宋体"/>
              </w:rPr>
            </w:pPr>
          </w:p>
        </w:tc>
        <w:tc>
          <w:tcPr>
            <w:tcW w:w="50" w:type="pct"/>
            <w:shd w:val="clear" w:color="auto" w:fill="auto"/>
            <w:vAlign w:val="bottom"/>
          </w:tcPr>
          <w:p w14:paraId="5DEC5031" w14:textId="77777777" w:rsidR="00B1578D" w:rsidRDefault="00B1578D">
            <w:pPr>
              <w:rPr>
                <w:rFonts w:ascii="宋体"/>
              </w:rPr>
            </w:pPr>
          </w:p>
        </w:tc>
        <w:tc>
          <w:tcPr>
            <w:tcW w:w="3768" w:type="pct"/>
            <w:shd w:val="clear" w:color="auto" w:fill="auto"/>
            <w:vAlign w:val="bottom"/>
          </w:tcPr>
          <w:p w14:paraId="5DEC5032" w14:textId="77777777" w:rsidR="00B1578D" w:rsidRDefault="00B1578D">
            <w:pPr>
              <w:rPr>
                <w:rFonts w:ascii="宋体"/>
              </w:rPr>
            </w:pPr>
          </w:p>
        </w:tc>
        <w:tc>
          <w:tcPr>
            <w:tcW w:w="5" w:type="pct"/>
            <w:shd w:val="clear" w:color="auto" w:fill="auto"/>
            <w:vAlign w:val="bottom"/>
          </w:tcPr>
          <w:p w14:paraId="5DEC5033" w14:textId="77777777" w:rsidR="00B1578D" w:rsidRDefault="00B1578D">
            <w:pPr>
              <w:rPr>
                <w:rFonts w:ascii="宋体"/>
              </w:rPr>
            </w:pPr>
          </w:p>
        </w:tc>
        <w:tc>
          <w:tcPr>
            <w:tcW w:w="50" w:type="pct"/>
            <w:shd w:val="clear" w:color="auto" w:fill="auto"/>
            <w:vAlign w:val="bottom"/>
          </w:tcPr>
          <w:p w14:paraId="5DEC5034" w14:textId="77777777" w:rsidR="00B1578D" w:rsidRDefault="00B1578D">
            <w:pPr>
              <w:rPr>
                <w:rFonts w:ascii="宋体"/>
              </w:rPr>
            </w:pPr>
          </w:p>
        </w:tc>
        <w:tc>
          <w:tcPr>
            <w:tcW w:w="325" w:type="pct"/>
            <w:shd w:val="clear" w:color="auto" w:fill="auto"/>
            <w:vAlign w:val="bottom"/>
          </w:tcPr>
          <w:p w14:paraId="5DEC5035" w14:textId="77777777" w:rsidR="00B1578D" w:rsidRDefault="00B1578D">
            <w:pPr>
              <w:rPr>
                <w:rFonts w:ascii="宋体"/>
              </w:rPr>
            </w:pPr>
          </w:p>
        </w:tc>
        <w:tc>
          <w:tcPr>
            <w:tcW w:w="5" w:type="pct"/>
            <w:shd w:val="clear" w:color="auto" w:fill="auto"/>
            <w:vAlign w:val="bottom"/>
          </w:tcPr>
          <w:p w14:paraId="5DEC5036" w14:textId="77777777" w:rsidR="00B1578D" w:rsidRDefault="00B1578D">
            <w:pPr>
              <w:rPr>
                <w:rFonts w:ascii="宋体"/>
              </w:rPr>
            </w:pPr>
          </w:p>
        </w:tc>
      </w:tr>
      <w:tr w:rsidR="00B1578D" w14:paraId="5DEC503C" w14:textId="77777777">
        <w:trPr>
          <w:jc w:val="center"/>
        </w:trPr>
        <w:tc>
          <w:tcPr>
            <w:tcW w:w="0" w:type="auto"/>
            <w:gridSpan w:val="3"/>
            <w:shd w:val="clear" w:color="auto" w:fill="auto"/>
            <w:tcMar>
              <w:top w:w="0" w:type="dxa"/>
              <w:left w:w="20" w:type="dxa"/>
              <w:bottom w:w="0" w:type="dxa"/>
              <w:right w:w="20" w:type="dxa"/>
            </w:tcMar>
            <w:vAlign w:val="bottom"/>
          </w:tcPr>
          <w:p w14:paraId="5DEC5038"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39"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3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3B" w14:textId="77777777" w:rsidR="00B1578D" w:rsidRDefault="004D2C04">
            <w:pPr>
              <w:jc w:val="center"/>
              <w:textAlignment w:val="bottom"/>
            </w:pPr>
            <w:r>
              <w:rPr>
                <w:rFonts w:ascii="Times New Roman" w:eastAsia="宋体" w:hAnsi="Times New Roman"/>
                <w:b/>
                <w:bCs/>
                <w:color w:val="000000"/>
                <w:sz w:val="18"/>
                <w:szCs w:val="18"/>
              </w:rPr>
              <w:t>Page</w:t>
            </w:r>
          </w:p>
        </w:tc>
      </w:tr>
      <w:tr w:rsidR="00B1578D" w14:paraId="5DEC503F" w14:textId="77777777">
        <w:trPr>
          <w:jc w:val="center"/>
        </w:trPr>
        <w:tc>
          <w:tcPr>
            <w:tcW w:w="0" w:type="auto"/>
            <w:gridSpan w:val="9"/>
            <w:shd w:val="clear" w:color="auto" w:fill="auto"/>
            <w:tcMar>
              <w:top w:w="40" w:type="dxa"/>
              <w:left w:w="20" w:type="dxa"/>
              <w:bottom w:w="40" w:type="dxa"/>
              <w:right w:w="20" w:type="dxa"/>
            </w:tcMar>
            <w:vAlign w:val="bottom"/>
          </w:tcPr>
          <w:p w14:paraId="5DEC503D" w14:textId="77777777" w:rsidR="00B1578D" w:rsidRDefault="004D2C04">
            <w:pPr>
              <w:textAlignment w:val="bottom"/>
            </w:pPr>
            <w:hyperlink r:id="rId8" w:anchor="ia92fe4e1fa654d85928fb72942eadb02_10" w:history="1">
              <w:r>
                <w:rPr>
                  <w:rStyle w:val="a5"/>
                  <w:rFonts w:ascii="Times New Roman" w:eastAsia="宋体" w:hAnsi="Times New Roman"/>
                  <w:sz w:val="18"/>
                  <w:szCs w:val="18"/>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03E" w14:textId="77777777" w:rsidR="00B1578D" w:rsidRDefault="00B1578D">
            <w:pPr>
              <w:rPr>
                <w:rFonts w:ascii="宋体"/>
              </w:rPr>
            </w:pPr>
          </w:p>
        </w:tc>
      </w:tr>
      <w:tr w:rsidR="00B1578D" w14:paraId="5DEC5043" w14:textId="77777777">
        <w:trPr>
          <w:jc w:val="center"/>
        </w:trPr>
        <w:tc>
          <w:tcPr>
            <w:tcW w:w="0" w:type="auto"/>
            <w:gridSpan w:val="3"/>
            <w:shd w:val="clear" w:color="auto" w:fill="auto"/>
            <w:tcMar>
              <w:top w:w="0" w:type="dxa"/>
              <w:left w:w="20" w:type="dxa"/>
              <w:bottom w:w="0" w:type="dxa"/>
              <w:right w:w="20" w:type="dxa"/>
            </w:tcMar>
            <w:vAlign w:val="bottom"/>
          </w:tcPr>
          <w:p w14:paraId="5DEC5040"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41" w14:textId="77777777" w:rsidR="00B1578D" w:rsidRDefault="004D2C04">
            <w:pPr>
              <w:textAlignment w:val="bottom"/>
            </w:pPr>
            <w:hyperlink r:id="rId9" w:anchor="ia92fe4e1fa654d85928fb72942eadb02_13" w:history="1">
              <w:r>
                <w:rPr>
                  <w:rStyle w:val="a5"/>
                  <w:rFonts w:ascii="Times New Roman" w:eastAsia="宋体" w:hAnsi="Times New Roman"/>
                  <w:sz w:val="18"/>
                  <w:szCs w:val="18"/>
                </w:rPr>
                <w:t>Item 1. Financial Statements</w:t>
              </w:r>
            </w:hyperlink>
          </w:p>
        </w:tc>
        <w:tc>
          <w:tcPr>
            <w:tcW w:w="0" w:type="auto"/>
            <w:gridSpan w:val="3"/>
            <w:shd w:val="clear" w:color="auto" w:fill="auto"/>
            <w:tcMar>
              <w:top w:w="0" w:type="dxa"/>
              <w:left w:w="20" w:type="dxa"/>
              <w:bottom w:w="0" w:type="dxa"/>
              <w:right w:w="20" w:type="dxa"/>
            </w:tcMar>
            <w:vAlign w:val="bottom"/>
          </w:tcPr>
          <w:p w14:paraId="5DEC5042" w14:textId="77777777" w:rsidR="00B1578D" w:rsidRDefault="00B1578D">
            <w:pPr>
              <w:rPr>
                <w:rFonts w:ascii="宋体"/>
              </w:rPr>
            </w:pPr>
          </w:p>
        </w:tc>
      </w:tr>
      <w:tr w:rsidR="00B1578D" w14:paraId="5DEC5048" w14:textId="77777777">
        <w:trPr>
          <w:jc w:val="center"/>
        </w:trPr>
        <w:tc>
          <w:tcPr>
            <w:tcW w:w="0" w:type="auto"/>
            <w:gridSpan w:val="3"/>
            <w:shd w:val="clear" w:color="auto" w:fill="auto"/>
            <w:tcMar>
              <w:top w:w="0" w:type="dxa"/>
              <w:left w:w="20" w:type="dxa"/>
              <w:bottom w:w="0" w:type="dxa"/>
              <w:right w:w="20" w:type="dxa"/>
            </w:tcMar>
            <w:vAlign w:val="bottom"/>
          </w:tcPr>
          <w:p w14:paraId="5DEC504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45"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46" w14:textId="77777777" w:rsidR="00B1578D" w:rsidRDefault="004D2C04">
            <w:pPr>
              <w:textAlignment w:val="bottom"/>
            </w:pPr>
            <w:hyperlink r:id="rId10" w:anchor="ia92fe4e1fa654d85928fb72942eadb02_16" w:history="1">
              <w:r>
                <w:rPr>
                  <w:rStyle w:val="a5"/>
                  <w:rFonts w:ascii="Times New Roman" w:eastAsia="宋体" w:hAnsi="Times New Roman"/>
                  <w:sz w:val="18"/>
                  <w:szCs w:val="18"/>
                </w:rPr>
                <w:t>Condensed Consolidated Statements of Income</w:t>
              </w:r>
            </w:hyperlink>
          </w:p>
        </w:tc>
        <w:tc>
          <w:tcPr>
            <w:tcW w:w="0" w:type="auto"/>
            <w:gridSpan w:val="3"/>
            <w:shd w:val="clear" w:color="auto" w:fill="auto"/>
            <w:tcMar>
              <w:top w:w="40" w:type="dxa"/>
              <w:left w:w="20" w:type="dxa"/>
              <w:bottom w:w="40" w:type="dxa"/>
              <w:right w:w="20" w:type="dxa"/>
            </w:tcMar>
            <w:vAlign w:val="bottom"/>
          </w:tcPr>
          <w:p w14:paraId="5DEC5047" w14:textId="77777777" w:rsidR="00B1578D" w:rsidRDefault="004D2C04">
            <w:pPr>
              <w:jc w:val="center"/>
              <w:textAlignment w:val="bottom"/>
            </w:pPr>
            <w:hyperlink r:id="rId11" w:anchor="ia92fe4e1fa654d85928fb72942eadb02_16" w:history="1">
              <w:r>
                <w:rPr>
                  <w:rStyle w:val="a5"/>
                  <w:rFonts w:ascii="Times New Roman" w:eastAsia="宋体" w:hAnsi="Times New Roman"/>
                  <w:sz w:val="18"/>
                  <w:szCs w:val="18"/>
                </w:rPr>
                <w:t>3</w:t>
              </w:r>
            </w:hyperlink>
          </w:p>
        </w:tc>
      </w:tr>
      <w:tr w:rsidR="00B1578D" w14:paraId="5DEC504D" w14:textId="77777777">
        <w:trPr>
          <w:jc w:val="center"/>
        </w:trPr>
        <w:tc>
          <w:tcPr>
            <w:tcW w:w="0" w:type="auto"/>
            <w:gridSpan w:val="3"/>
            <w:shd w:val="clear" w:color="auto" w:fill="auto"/>
            <w:tcMar>
              <w:top w:w="0" w:type="dxa"/>
              <w:left w:w="20" w:type="dxa"/>
              <w:bottom w:w="0" w:type="dxa"/>
              <w:right w:w="20" w:type="dxa"/>
            </w:tcMar>
            <w:vAlign w:val="bottom"/>
          </w:tcPr>
          <w:p w14:paraId="5DEC5049"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4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4B" w14:textId="77777777" w:rsidR="00B1578D" w:rsidRDefault="004D2C04">
            <w:pPr>
              <w:textAlignment w:val="bottom"/>
            </w:pPr>
            <w:hyperlink r:id="rId12" w:anchor="ia92fe4e1fa654d85928fb72942eadb02_19" w:history="1">
              <w:r>
                <w:rPr>
                  <w:rStyle w:val="a5"/>
                  <w:rFonts w:ascii="Times New Roman" w:eastAsia="宋体" w:hAnsi="Times New Roman"/>
                  <w:sz w:val="18"/>
                  <w:szCs w:val="18"/>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5DEC504C" w14:textId="77777777" w:rsidR="00B1578D" w:rsidRDefault="004D2C04">
            <w:pPr>
              <w:jc w:val="center"/>
              <w:textAlignment w:val="bottom"/>
            </w:pPr>
            <w:hyperlink r:id="rId13" w:anchor="ia92fe4e1fa654d85928fb72942eadb02_19" w:history="1">
              <w:r>
                <w:rPr>
                  <w:rStyle w:val="a5"/>
                  <w:rFonts w:ascii="Times New Roman" w:eastAsia="宋体" w:hAnsi="Times New Roman"/>
                  <w:sz w:val="18"/>
                  <w:szCs w:val="18"/>
                </w:rPr>
                <w:t>4</w:t>
              </w:r>
            </w:hyperlink>
          </w:p>
        </w:tc>
      </w:tr>
      <w:tr w:rsidR="00B1578D" w14:paraId="5DEC5052" w14:textId="77777777">
        <w:trPr>
          <w:jc w:val="center"/>
        </w:trPr>
        <w:tc>
          <w:tcPr>
            <w:tcW w:w="0" w:type="auto"/>
            <w:gridSpan w:val="3"/>
            <w:shd w:val="clear" w:color="auto" w:fill="auto"/>
            <w:tcMar>
              <w:top w:w="0" w:type="dxa"/>
              <w:left w:w="20" w:type="dxa"/>
              <w:bottom w:w="0" w:type="dxa"/>
              <w:right w:w="20" w:type="dxa"/>
            </w:tcMar>
            <w:vAlign w:val="bottom"/>
          </w:tcPr>
          <w:p w14:paraId="5DEC504E"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4F"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50" w14:textId="77777777" w:rsidR="00B1578D" w:rsidRDefault="004D2C04">
            <w:pPr>
              <w:textAlignment w:val="bottom"/>
            </w:pPr>
            <w:hyperlink r:id="rId14" w:anchor="ia92fe4e1fa654d85928fb72942eadb02_22" w:history="1">
              <w:r>
                <w:rPr>
                  <w:rStyle w:val="a5"/>
                  <w:rFonts w:ascii="Times New Roman" w:eastAsia="宋体" w:hAnsi="Times New Roman"/>
                  <w:sz w:val="18"/>
                  <w:szCs w:val="18"/>
                </w:rPr>
                <w:t>Condensed Consolidated Balance Sheets</w:t>
              </w:r>
            </w:hyperlink>
          </w:p>
        </w:tc>
        <w:tc>
          <w:tcPr>
            <w:tcW w:w="0" w:type="auto"/>
            <w:gridSpan w:val="3"/>
            <w:shd w:val="clear" w:color="auto" w:fill="auto"/>
            <w:tcMar>
              <w:top w:w="40" w:type="dxa"/>
              <w:left w:w="20" w:type="dxa"/>
              <w:bottom w:w="40" w:type="dxa"/>
              <w:right w:w="20" w:type="dxa"/>
            </w:tcMar>
            <w:vAlign w:val="bottom"/>
          </w:tcPr>
          <w:p w14:paraId="5DEC5051" w14:textId="77777777" w:rsidR="00B1578D" w:rsidRDefault="004D2C04">
            <w:pPr>
              <w:jc w:val="center"/>
              <w:textAlignment w:val="bottom"/>
            </w:pPr>
            <w:hyperlink r:id="rId15" w:anchor="ia92fe4e1fa654d85928fb72942eadb02_22" w:history="1">
              <w:r>
                <w:rPr>
                  <w:rStyle w:val="a5"/>
                  <w:rFonts w:ascii="Times New Roman" w:eastAsia="宋体" w:hAnsi="Times New Roman"/>
                  <w:sz w:val="18"/>
                  <w:szCs w:val="18"/>
                </w:rPr>
                <w:t>5</w:t>
              </w:r>
            </w:hyperlink>
          </w:p>
        </w:tc>
      </w:tr>
      <w:tr w:rsidR="00B1578D" w14:paraId="5DEC5057" w14:textId="77777777">
        <w:trPr>
          <w:jc w:val="center"/>
        </w:trPr>
        <w:tc>
          <w:tcPr>
            <w:tcW w:w="0" w:type="auto"/>
            <w:gridSpan w:val="3"/>
            <w:shd w:val="clear" w:color="auto" w:fill="auto"/>
            <w:tcMar>
              <w:top w:w="0" w:type="dxa"/>
              <w:left w:w="20" w:type="dxa"/>
              <w:bottom w:w="0" w:type="dxa"/>
              <w:right w:w="20" w:type="dxa"/>
            </w:tcMar>
            <w:vAlign w:val="bottom"/>
          </w:tcPr>
          <w:p w14:paraId="5DEC5053"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5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55" w14:textId="77777777" w:rsidR="00B1578D" w:rsidRDefault="004D2C04">
            <w:pPr>
              <w:textAlignment w:val="bottom"/>
            </w:pPr>
            <w:hyperlink r:id="rId16" w:anchor="ia92fe4e1fa654d85928fb72942eadb02_25" w:history="1">
              <w:r>
                <w:rPr>
                  <w:rStyle w:val="a5"/>
                  <w:rFonts w:ascii="Times New Roman" w:eastAsia="宋体" w:hAnsi="Times New Roman"/>
                  <w:sz w:val="18"/>
                  <w:szCs w:val="18"/>
                </w:rPr>
                <w:t>Condensed Con</w:t>
              </w:r>
              <w:r>
                <w:rPr>
                  <w:rStyle w:val="a5"/>
                  <w:rFonts w:ascii="Times New Roman" w:eastAsia="宋体" w:hAnsi="Times New Roman"/>
                  <w:sz w:val="18"/>
                  <w:szCs w:val="18"/>
                </w:rPr>
                <w:t>solidated Statements of Shareholders' Equity</w:t>
              </w:r>
            </w:hyperlink>
          </w:p>
        </w:tc>
        <w:tc>
          <w:tcPr>
            <w:tcW w:w="0" w:type="auto"/>
            <w:gridSpan w:val="3"/>
            <w:shd w:val="clear" w:color="auto" w:fill="auto"/>
            <w:tcMar>
              <w:top w:w="40" w:type="dxa"/>
              <w:left w:w="20" w:type="dxa"/>
              <w:bottom w:w="40" w:type="dxa"/>
              <w:right w:w="20" w:type="dxa"/>
            </w:tcMar>
            <w:vAlign w:val="bottom"/>
          </w:tcPr>
          <w:p w14:paraId="5DEC5056" w14:textId="77777777" w:rsidR="00B1578D" w:rsidRDefault="004D2C04">
            <w:pPr>
              <w:jc w:val="center"/>
              <w:textAlignment w:val="bottom"/>
            </w:pPr>
            <w:hyperlink r:id="rId17" w:anchor="ia92fe4e1fa654d85928fb72942eadb02_25" w:history="1">
              <w:r>
                <w:rPr>
                  <w:rStyle w:val="a5"/>
                  <w:rFonts w:ascii="Times New Roman" w:eastAsia="宋体" w:hAnsi="Times New Roman"/>
                  <w:sz w:val="18"/>
                  <w:szCs w:val="18"/>
                </w:rPr>
                <w:t>6</w:t>
              </w:r>
            </w:hyperlink>
          </w:p>
        </w:tc>
      </w:tr>
      <w:tr w:rsidR="00B1578D" w14:paraId="5DEC505C" w14:textId="77777777">
        <w:trPr>
          <w:jc w:val="center"/>
        </w:trPr>
        <w:tc>
          <w:tcPr>
            <w:tcW w:w="0" w:type="auto"/>
            <w:gridSpan w:val="3"/>
            <w:shd w:val="clear" w:color="auto" w:fill="auto"/>
            <w:tcMar>
              <w:top w:w="0" w:type="dxa"/>
              <w:left w:w="20" w:type="dxa"/>
              <w:bottom w:w="0" w:type="dxa"/>
              <w:right w:w="20" w:type="dxa"/>
            </w:tcMar>
            <w:vAlign w:val="bottom"/>
          </w:tcPr>
          <w:p w14:paraId="5DEC5058"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59"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5A" w14:textId="77777777" w:rsidR="00B1578D" w:rsidRDefault="004D2C04">
            <w:pPr>
              <w:textAlignment w:val="bottom"/>
            </w:pPr>
            <w:hyperlink r:id="rId18" w:anchor="ia92fe4e1fa654d85928fb72942eadb02_31" w:history="1">
              <w:r>
                <w:rPr>
                  <w:rStyle w:val="a5"/>
                  <w:rFonts w:ascii="Times New Roman" w:eastAsia="宋体" w:hAnsi="Times New Roman"/>
                  <w:sz w:val="18"/>
                  <w:szCs w:val="18"/>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5DEC505B" w14:textId="77777777" w:rsidR="00B1578D" w:rsidRDefault="004D2C04">
            <w:pPr>
              <w:jc w:val="center"/>
              <w:textAlignment w:val="bottom"/>
            </w:pPr>
            <w:hyperlink r:id="rId19" w:anchor="ia92fe4e1fa654d85928fb72942eadb02_31" w:history="1">
              <w:r>
                <w:rPr>
                  <w:rStyle w:val="a5"/>
                  <w:rFonts w:ascii="Times New Roman" w:eastAsia="宋体" w:hAnsi="Times New Roman"/>
                  <w:sz w:val="18"/>
                  <w:szCs w:val="18"/>
                </w:rPr>
                <w:t>7</w:t>
              </w:r>
            </w:hyperlink>
          </w:p>
        </w:tc>
      </w:tr>
      <w:tr w:rsidR="00B1578D" w14:paraId="5DEC5061" w14:textId="77777777">
        <w:trPr>
          <w:jc w:val="center"/>
        </w:trPr>
        <w:tc>
          <w:tcPr>
            <w:tcW w:w="0" w:type="auto"/>
            <w:gridSpan w:val="3"/>
            <w:shd w:val="clear" w:color="auto" w:fill="auto"/>
            <w:tcMar>
              <w:top w:w="0" w:type="dxa"/>
              <w:left w:w="20" w:type="dxa"/>
              <w:bottom w:w="0" w:type="dxa"/>
              <w:right w:w="20" w:type="dxa"/>
            </w:tcMar>
            <w:vAlign w:val="bottom"/>
          </w:tcPr>
          <w:p w14:paraId="5DEC505D"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5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5F" w14:textId="77777777" w:rsidR="00B1578D" w:rsidRDefault="004D2C04">
            <w:pPr>
              <w:textAlignment w:val="bottom"/>
            </w:pPr>
            <w:hyperlink r:id="rId20" w:anchor="ia92fe4e1fa654d85928fb72942eadb02_34" w:history="1">
              <w:r>
                <w:rPr>
                  <w:rStyle w:val="a5"/>
                  <w:rFonts w:ascii="Times New Roman" w:eastAsia="宋体" w:hAnsi="Times New Roman"/>
                  <w:sz w:val="18"/>
                  <w:szCs w:val="18"/>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5DEC5060" w14:textId="77777777" w:rsidR="00B1578D" w:rsidRDefault="004D2C04">
            <w:pPr>
              <w:jc w:val="center"/>
              <w:textAlignment w:val="bottom"/>
            </w:pPr>
            <w:hyperlink r:id="rId21" w:anchor="ia92fe4e1fa654d85928fb72942eadb02_34" w:history="1">
              <w:r>
                <w:rPr>
                  <w:rStyle w:val="a5"/>
                  <w:rFonts w:ascii="Times New Roman" w:eastAsia="宋体" w:hAnsi="Times New Roman"/>
                  <w:sz w:val="18"/>
                  <w:szCs w:val="18"/>
                </w:rPr>
                <w:t>8</w:t>
              </w:r>
            </w:hyperlink>
          </w:p>
        </w:tc>
      </w:tr>
      <w:tr w:rsidR="00B1578D" w14:paraId="5DEC5065" w14:textId="77777777">
        <w:trPr>
          <w:jc w:val="center"/>
        </w:trPr>
        <w:tc>
          <w:tcPr>
            <w:tcW w:w="0" w:type="auto"/>
            <w:gridSpan w:val="3"/>
            <w:shd w:val="clear" w:color="auto" w:fill="auto"/>
            <w:tcMar>
              <w:top w:w="0" w:type="dxa"/>
              <w:left w:w="20" w:type="dxa"/>
              <w:bottom w:w="0" w:type="dxa"/>
              <w:right w:w="20" w:type="dxa"/>
            </w:tcMar>
            <w:vAlign w:val="bottom"/>
          </w:tcPr>
          <w:p w14:paraId="5DEC5062"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63" w14:textId="77777777" w:rsidR="00B1578D" w:rsidRDefault="004D2C04">
            <w:pPr>
              <w:textAlignment w:val="bottom"/>
            </w:pPr>
            <w:hyperlink r:id="rId22" w:anchor="ia92fe4e1fa654d85928fb72942eadb02_64" w:history="1">
              <w:r>
                <w:rPr>
                  <w:rStyle w:val="a5"/>
                  <w:rFonts w:ascii="Times New Roman" w:eastAsia="宋体" w:hAnsi="Times New Roman"/>
                  <w:sz w:val="18"/>
                  <w:szCs w:val="18"/>
                </w:rPr>
                <w:t>Item 2. 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5DEC5064" w14:textId="77777777" w:rsidR="00B1578D" w:rsidRDefault="004D2C04">
            <w:pPr>
              <w:jc w:val="center"/>
              <w:textAlignment w:val="bottom"/>
            </w:pPr>
            <w:hyperlink r:id="rId23" w:anchor="ia92fe4e1fa654d85928fb72942eadb02_64" w:history="1">
              <w:r>
                <w:rPr>
                  <w:rStyle w:val="a5"/>
                  <w:rFonts w:ascii="Times New Roman" w:eastAsia="宋体" w:hAnsi="Times New Roman"/>
                  <w:sz w:val="18"/>
                  <w:szCs w:val="18"/>
                </w:rPr>
                <w:t>15</w:t>
              </w:r>
            </w:hyperlink>
          </w:p>
        </w:tc>
      </w:tr>
      <w:tr w:rsidR="00B1578D" w14:paraId="5DEC5069" w14:textId="77777777">
        <w:trPr>
          <w:jc w:val="center"/>
        </w:trPr>
        <w:tc>
          <w:tcPr>
            <w:tcW w:w="0" w:type="auto"/>
            <w:gridSpan w:val="3"/>
            <w:shd w:val="clear" w:color="auto" w:fill="auto"/>
            <w:tcMar>
              <w:top w:w="0" w:type="dxa"/>
              <w:left w:w="20" w:type="dxa"/>
              <w:bottom w:w="0" w:type="dxa"/>
              <w:right w:w="20" w:type="dxa"/>
            </w:tcMar>
            <w:vAlign w:val="bottom"/>
          </w:tcPr>
          <w:p w14:paraId="5DEC5066"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67" w14:textId="77777777" w:rsidR="00B1578D" w:rsidRDefault="004D2C04">
            <w:pPr>
              <w:textAlignment w:val="bottom"/>
            </w:pPr>
            <w:hyperlink r:id="rId24" w:anchor="ia92fe4e1fa654d85928fb72942eadb02_106" w:history="1">
              <w:r>
                <w:rPr>
                  <w:rStyle w:val="a5"/>
                  <w:rFonts w:ascii="Times New Roman" w:eastAsia="宋体" w:hAnsi="Times New Roman"/>
                  <w:sz w:val="18"/>
                  <w:szCs w:val="18"/>
                </w:rPr>
                <w:t>Item 3. 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5DEC5068" w14:textId="77777777" w:rsidR="00B1578D" w:rsidRDefault="004D2C04">
            <w:pPr>
              <w:jc w:val="center"/>
              <w:textAlignment w:val="bottom"/>
            </w:pPr>
            <w:hyperlink r:id="rId25" w:anchor="ia92fe4e1fa654d85928fb72942eadb02_106" w:history="1">
              <w:r>
                <w:rPr>
                  <w:rStyle w:val="a5"/>
                  <w:rFonts w:ascii="Times New Roman" w:eastAsia="宋体" w:hAnsi="Times New Roman"/>
                  <w:sz w:val="18"/>
                  <w:szCs w:val="18"/>
                </w:rPr>
                <w:t>24</w:t>
              </w:r>
            </w:hyperlink>
          </w:p>
        </w:tc>
      </w:tr>
      <w:tr w:rsidR="00B1578D" w14:paraId="5DEC506D" w14:textId="77777777">
        <w:trPr>
          <w:jc w:val="center"/>
        </w:trPr>
        <w:tc>
          <w:tcPr>
            <w:tcW w:w="0" w:type="auto"/>
            <w:gridSpan w:val="3"/>
            <w:shd w:val="clear" w:color="auto" w:fill="auto"/>
            <w:tcMar>
              <w:top w:w="0" w:type="dxa"/>
              <w:left w:w="20" w:type="dxa"/>
              <w:bottom w:w="0" w:type="dxa"/>
              <w:right w:w="20" w:type="dxa"/>
            </w:tcMar>
            <w:vAlign w:val="bottom"/>
          </w:tcPr>
          <w:p w14:paraId="5DEC506A"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6B" w14:textId="77777777" w:rsidR="00B1578D" w:rsidRDefault="004D2C04">
            <w:pPr>
              <w:textAlignment w:val="bottom"/>
            </w:pPr>
            <w:hyperlink r:id="rId26" w:anchor="ia92fe4e1fa654d85928fb72942eadb02_109" w:history="1">
              <w:r>
                <w:rPr>
                  <w:rStyle w:val="a5"/>
                  <w:rFonts w:ascii="Times New Roman" w:eastAsia="宋体" w:hAnsi="Times New Roman"/>
                  <w:sz w:val="18"/>
                  <w:szCs w:val="18"/>
                </w:rPr>
                <w:t>Item 4. Controls and Procedures</w:t>
              </w:r>
            </w:hyperlink>
          </w:p>
        </w:tc>
        <w:tc>
          <w:tcPr>
            <w:tcW w:w="0" w:type="auto"/>
            <w:gridSpan w:val="3"/>
            <w:shd w:val="clear" w:color="auto" w:fill="auto"/>
            <w:tcMar>
              <w:top w:w="40" w:type="dxa"/>
              <w:left w:w="20" w:type="dxa"/>
              <w:bottom w:w="40" w:type="dxa"/>
              <w:right w:w="20" w:type="dxa"/>
            </w:tcMar>
            <w:vAlign w:val="bottom"/>
          </w:tcPr>
          <w:p w14:paraId="5DEC506C" w14:textId="77777777" w:rsidR="00B1578D" w:rsidRDefault="004D2C04">
            <w:pPr>
              <w:jc w:val="center"/>
              <w:textAlignment w:val="bottom"/>
            </w:pPr>
            <w:hyperlink r:id="rId27" w:anchor="ia92fe4e1fa654d85928fb72942eadb02_109" w:history="1">
              <w:r>
                <w:rPr>
                  <w:rStyle w:val="a5"/>
                  <w:rFonts w:ascii="Times New Roman" w:eastAsia="宋体" w:hAnsi="Times New Roman"/>
                  <w:sz w:val="18"/>
                  <w:szCs w:val="18"/>
                </w:rPr>
                <w:t>25</w:t>
              </w:r>
            </w:hyperlink>
          </w:p>
        </w:tc>
      </w:tr>
      <w:tr w:rsidR="00B1578D" w14:paraId="5DEC5072" w14:textId="77777777">
        <w:trPr>
          <w:trHeight w:val="240"/>
          <w:jc w:val="center"/>
        </w:trPr>
        <w:tc>
          <w:tcPr>
            <w:tcW w:w="0" w:type="auto"/>
            <w:gridSpan w:val="3"/>
            <w:shd w:val="clear" w:color="auto" w:fill="auto"/>
            <w:tcMar>
              <w:top w:w="0" w:type="dxa"/>
              <w:left w:w="20" w:type="dxa"/>
              <w:bottom w:w="0" w:type="dxa"/>
              <w:right w:w="20" w:type="dxa"/>
            </w:tcMar>
            <w:vAlign w:val="bottom"/>
          </w:tcPr>
          <w:p w14:paraId="5DEC506E"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6F"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70"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71" w14:textId="77777777" w:rsidR="00B1578D" w:rsidRDefault="00B1578D">
            <w:pPr>
              <w:rPr>
                <w:rFonts w:ascii="宋体"/>
              </w:rPr>
            </w:pPr>
          </w:p>
        </w:tc>
      </w:tr>
      <w:tr w:rsidR="00B1578D" w14:paraId="5DEC5075" w14:textId="77777777">
        <w:trPr>
          <w:jc w:val="center"/>
        </w:trPr>
        <w:tc>
          <w:tcPr>
            <w:tcW w:w="0" w:type="auto"/>
            <w:gridSpan w:val="9"/>
            <w:shd w:val="clear" w:color="auto" w:fill="auto"/>
            <w:tcMar>
              <w:top w:w="40" w:type="dxa"/>
              <w:left w:w="20" w:type="dxa"/>
              <w:bottom w:w="40" w:type="dxa"/>
              <w:right w:w="20" w:type="dxa"/>
            </w:tcMar>
            <w:vAlign w:val="bottom"/>
          </w:tcPr>
          <w:p w14:paraId="5DEC5073" w14:textId="77777777" w:rsidR="00B1578D" w:rsidRDefault="004D2C04">
            <w:pPr>
              <w:textAlignment w:val="bottom"/>
            </w:pPr>
            <w:hyperlink r:id="rId28" w:anchor="ia92fe4e1fa654d85928fb72942eadb02_112" w:history="1">
              <w:r>
                <w:rPr>
                  <w:rStyle w:val="a5"/>
                  <w:rFonts w:ascii="Times New Roman" w:eastAsia="宋体" w:hAnsi="Times New Roman"/>
                  <w:sz w:val="18"/>
                  <w:szCs w:val="18"/>
                </w:rPr>
                <w:t>Part II. Other Information</w:t>
              </w:r>
            </w:hyperlink>
          </w:p>
        </w:tc>
        <w:tc>
          <w:tcPr>
            <w:tcW w:w="0" w:type="auto"/>
            <w:gridSpan w:val="3"/>
            <w:shd w:val="clear" w:color="auto" w:fill="auto"/>
            <w:tcMar>
              <w:top w:w="0" w:type="dxa"/>
              <w:left w:w="20" w:type="dxa"/>
              <w:bottom w:w="0" w:type="dxa"/>
              <w:right w:w="20" w:type="dxa"/>
            </w:tcMar>
            <w:vAlign w:val="bottom"/>
          </w:tcPr>
          <w:p w14:paraId="5DEC5074" w14:textId="77777777" w:rsidR="00B1578D" w:rsidRDefault="00B1578D">
            <w:pPr>
              <w:rPr>
                <w:rFonts w:ascii="宋体"/>
              </w:rPr>
            </w:pPr>
          </w:p>
        </w:tc>
      </w:tr>
      <w:tr w:rsidR="00B1578D" w14:paraId="5DEC5079" w14:textId="77777777">
        <w:trPr>
          <w:jc w:val="center"/>
        </w:trPr>
        <w:tc>
          <w:tcPr>
            <w:tcW w:w="0" w:type="auto"/>
            <w:gridSpan w:val="3"/>
            <w:shd w:val="clear" w:color="auto" w:fill="auto"/>
            <w:tcMar>
              <w:top w:w="0" w:type="dxa"/>
              <w:left w:w="20" w:type="dxa"/>
              <w:bottom w:w="0" w:type="dxa"/>
              <w:right w:w="20" w:type="dxa"/>
            </w:tcMar>
            <w:vAlign w:val="bottom"/>
          </w:tcPr>
          <w:p w14:paraId="5DEC5076"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77" w14:textId="77777777" w:rsidR="00B1578D" w:rsidRDefault="004D2C04">
            <w:pPr>
              <w:textAlignment w:val="bottom"/>
            </w:pPr>
            <w:hyperlink r:id="rId29" w:anchor="ia92fe4e1fa654d85928fb72942eadb02_115" w:history="1">
              <w:r>
                <w:rPr>
                  <w:rStyle w:val="a5"/>
                  <w:rFonts w:ascii="Times New Roman" w:eastAsia="宋体" w:hAnsi="Times New Roman"/>
                  <w:sz w:val="18"/>
                  <w:szCs w:val="18"/>
                </w:rPr>
                <w:t>Item 1. Legal Proceedings</w:t>
              </w:r>
            </w:hyperlink>
          </w:p>
        </w:tc>
        <w:tc>
          <w:tcPr>
            <w:tcW w:w="0" w:type="auto"/>
            <w:gridSpan w:val="3"/>
            <w:shd w:val="clear" w:color="auto" w:fill="auto"/>
            <w:tcMar>
              <w:top w:w="40" w:type="dxa"/>
              <w:left w:w="20" w:type="dxa"/>
              <w:bottom w:w="40" w:type="dxa"/>
              <w:right w:w="20" w:type="dxa"/>
            </w:tcMar>
            <w:vAlign w:val="bottom"/>
          </w:tcPr>
          <w:p w14:paraId="5DEC5078" w14:textId="77777777" w:rsidR="00B1578D" w:rsidRDefault="004D2C04">
            <w:pPr>
              <w:jc w:val="center"/>
              <w:textAlignment w:val="bottom"/>
            </w:pPr>
            <w:hyperlink r:id="rId30" w:anchor="ia92fe4e1fa654d85928fb72942eadb02_115" w:history="1">
              <w:r>
                <w:rPr>
                  <w:rStyle w:val="a5"/>
                  <w:rFonts w:ascii="Times New Roman" w:eastAsia="宋体" w:hAnsi="Times New Roman"/>
                  <w:sz w:val="18"/>
                  <w:szCs w:val="18"/>
                </w:rPr>
                <w:t>26</w:t>
              </w:r>
            </w:hyperlink>
          </w:p>
        </w:tc>
      </w:tr>
      <w:tr w:rsidR="00B1578D" w14:paraId="5DEC507D" w14:textId="77777777">
        <w:trPr>
          <w:jc w:val="center"/>
        </w:trPr>
        <w:tc>
          <w:tcPr>
            <w:tcW w:w="0" w:type="auto"/>
            <w:gridSpan w:val="3"/>
            <w:shd w:val="clear" w:color="auto" w:fill="auto"/>
            <w:tcMar>
              <w:top w:w="0" w:type="dxa"/>
              <w:left w:w="20" w:type="dxa"/>
              <w:bottom w:w="0" w:type="dxa"/>
              <w:right w:w="20" w:type="dxa"/>
            </w:tcMar>
            <w:vAlign w:val="bottom"/>
          </w:tcPr>
          <w:p w14:paraId="5DEC507A"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7B" w14:textId="77777777" w:rsidR="00B1578D" w:rsidRDefault="004D2C04">
            <w:pPr>
              <w:textAlignment w:val="bottom"/>
            </w:pPr>
            <w:hyperlink r:id="rId31" w:anchor="ia92fe4e1fa654d85928fb72942eadb02_118" w:history="1">
              <w:r>
                <w:rPr>
                  <w:rStyle w:val="a5"/>
                  <w:rFonts w:ascii="Times New Roman" w:eastAsia="宋体" w:hAnsi="Times New Roman"/>
                  <w:sz w:val="18"/>
                  <w:szCs w:val="18"/>
                </w:rPr>
                <w:t>Item 1A. Risk Factors</w:t>
              </w:r>
            </w:hyperlink>
          </w:p>
        </w:tc>
        <w:tc>
          <w:tcPr>
            <w:tcW w:w="0" w:type="auto"/>
            <w:gridSpan w:val="3"/>
            <w:shd w:val="clear" w:color="auto" w:fill="auto"/>
            <w:tcMar>
              <w:top w:w="40" w:type="dxa"/>
              <w:left w:w="20" w:type="dxa"/>
              <w:bottom w:w="40" w:type="dxa"/>
              <w:right w:w="20" w:type="dxa"/>
            </w:tcMar>
            <w:vAlign w:val="bottom"/>
          </w:tcPr>
          <w:p w14:paraId="5DEC507C" w14:textId="77777777" w:rsidR="00B1578D" w:rsidRDefault="004D2C04">
            <w:pPr>
              <w:jc w:val="center"/>
              <w:textAlignment w:val="bottom"/>
            </w:pPr>
            <w:hyperlink r:id="rId32" w:anchor="ia92fe4e1fa654d85928fb72942eadb02_118" w:history="1">
              <w:r>
                <w:rPr>
                  <w:rStyle w:val="a5"/>
                  <w:rFonts w:ascii="Times New Roman" w:eastAsia="宋体" w:hAnsi="Times New Roman"/>
                  <w:sz w:val="18"/>
                  <w:szCs w:val="18"/>
                </w:rPr>
                <w:t>28</w:t>
              </w:r>
            </w:hyperlink>
          </w:p>
        </w:tc>
      </w:tr>
      <w:tr w:rsidR="00B1578D" w14:paraId="5DEC5081" w14:textId="77777777">
        <w:trPr>
          <w:jc w:val="center"/>
        </w:trPr>
        <w:tc>
          <w:tcPr>
            <w:tcW w:w="0" w:type="auto"/>
            <w:gridSpan w:val="3"/>
            <w:shd w:val="clear" w:color="auto" w:fill="auto"/>
            <w:tcMar>
              <w:top w:w="0" w:type="dxa"/>
              <w:left w:w="20" w:type="dxa"/>
              <w:bottom w:w="0" w:type="dxa"/>
              <w:right w:w="20" w:type="dxa"/>
            </w:tcMar>
            <w:vAlign w:val="bottom"/>
          </w:tcPr>
          <w:p w14:paraId="5DEC507E"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7F" w14:textId="77777777" w:rsidR="00B1578D" w:rsidRDefault="004D2C04">
            <w:pPr>
              <w:textAlignment w:val="bottom"/>
            </w:pPr>
            <w:hyperlink r:id="rId33" w:anchor="ia92fe4e1fa654d85928fb72942eadb02_121" w:history="1">
              <w:r>
                <w:rPr>
                  <w:rStyle w:val="a5"/>
                  <w:rFonts w:ascii="Times New Roman" w:eastAsia="宋体" w:hAnsi="Times New Roman"/>
                  <w:sz w:val="18"/>
                  <w:szCs w:val="18"/>
                </w:rPr>
                <w:t>Item 2. 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5DEC5080" w14:textId="77777777" w:rsidR="00B1578D" w:rsidRDefault="004D2C04">
            <w:pPr>
              <w:jc w:val="center"/>
              <w:textAlignment w:val="bottom"/>
            </w:pPr>
            <w:hyperlink r:id="rId34" w:anchor="ia92fe4e1fa654d85928fb72942eadb02_121" w:history="1">
              <w:r>
                <w:rPr>
                  <w:rStyle w:val="a5"/>
                  <w:rFonts w:ascii="Times New Roman" w:eastAsia="宋体" w:hAnsi="Times New Roman"/>
                  <w:sz w:val="18"/>
                  <w:szCs w:val="18"/>
                </w:rPr>
                <w:t>28</w:t>
              </w:r>
            </w:hyperlink>
          </w:p>
        </w:tc>
      </w:tr>
      <w:tr w:rsidR="00B1578D" w14:paraId="5DEC5085" w14:textId="77777777">
        <w:trPr>
          <w:jc w:val="center"/>
        </w:trPr>
        <w:tc>
          <w:tcPr>
            <w:tcW w:w="0" w:type="auto"/>
            <w:gridSpan w:val="3"/>
            <w:shd w:val="clear" w:color="auto" w:fill="auto"/>
            <w:tcMar>
              <w:top w:w="0" w:type="dxa"/>
              <w:left w:w="20" w:type="dxa"/>
              <w:bottom w:w="0" w:type="dxa"/>
              <w:right w:w="20" w:type="dxa"/>
            </w:tcMar>
            <w:vAlign w:val="bottom"/>
          </w:tcPr>
          <w:p w14:paraId="5DEC5082"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83" w14:textId="77777777" w:rsidR="00B1578D" w:rsidRDefault="004D2C04">
            <w:pPr>
              <w:textAlignment w:val="bottom"/>
            </w:pPr>
            <w:hyperlink r:id="rId35" w:anchor="ia92fe4e1fa654d85928fb72942eadb02_124" w:history="1">
              <w:r>
                <w:rPr>
                  <w:rStyle w:val="a5"/>
                  <w:rFonts w:ascii="Times New Roman" w:eastAsia="宋体" w:hAnsi="Times New Roman"/>
                  <w:sz w:val="18"/>
                  <w:szCs w:val="18"/>
                </w:rPr>
                <w:t>Item 5. Other Information</w:t>
              </w:r>
            </w:hyperlink>
          </w:p>
        </w:tc>
        <w:tc>
          <w:tcPr>
            <w:tcW w:w="0" w:type="auto"/>
            <w:gridSpan w:val="3"/>
            <w:shd w:val="clear" w:color="auto" w:fill="auto"/>
            <w:tcMar>
              <w:top w:w="40" w:type="dxa"/>
              <w:left w:w="20" w:type="dxa"/>
              <w:bottom w:w="40" w:type="dxa"/>
              <w:right w:w="20" w:type="dxa"/>
            </w:tcMar>
            <w:vAlign w:val="bottom"/>
          </w:tcPr>
          <w:p w14:paraId="5DEC5084" w14:textId="77777777" w:rsidR="00B1578D" w:rsidRDefault="004D2C04">
            <w:pPr>
              <w:jc w:val="center"/>
              <w:textAlignment w:val="bottom"/>
            </w:pPr>
            <w:hyperlink r:id="rId36" w:anchor="ia92fe4e1fa654d85928fb72942eadb02_124" w:history="1">
              <w:r>
                <w:rPr>
                  <w:rStyle w:val="a5"/>
                  <w:rFonts w:ascii="Times New Roman" w:eastAsia="宋体" w:hAnsi="Times New Roman"/>
                  <w:sz w:val="18"/>
                  <w:szCs w:val="18"/>
                </w:rPr>
                <w:t>28</w:t>
              </w:r>
            </w:hyperlink>
          </w:p>
        </w:tc>
      </w:tr>
      <w:tr w:rsidR="00B1578D" w14:paraId="5DEC5089" w14:textId="77777777">
        <w:trPr>
          <w:jc w:val="center"/>
        </w:trPr>
        <w:tc>
          <w:tcPr>
            <w:tcW w:w="0" w:type="auto"/>
            <w:gridSpan w:val="3"/>
            <w:shd w:val="clear" w:color="auto" w:fill="auto"/>
            <w:tcMar>
              <w:top w:w="0" w:type="dxa"/>
              <w:left w:w="20" w:type="dxa"/>
              <w:bottom w:w="0" w:type="dxa"/>
              <w:right w:w="20" w:type="dxa"/>
            </w:tcMar>
            <w:vAlign w:val="bottom"/>
          </w:tcPr>
          <w:p w14:paraId="5DEC5086" w14:textId="77777777" w:rsidR="00B1578D" w:rsidRDefault="00B1578D">
            <w:pPr>
              <w:rPr>
                <w:rFonts w:ascii="宋体"/>
              </w:rPr>
            </w:pPr>
          </w:p>
        </w:tc>
        <w:tc>
          <w:tcPr>
            <w:tcW w:w="0" w:type="auto"/>
            <w:gridSpan w:val="6"/>
            <w:shd w:val="clear" w:color="auto" w:fill="auto"/>
            <w:tcMar>
              <w:top w:w="40" w:type="dxa"/>
              <w:left w:w="20" w:type="dxa"/>
              <w:bottom w:w="40" w:type="dxa"/>
              <w:right w:w="20" w:type="dxa"/>
            </w:tcMar>
            <w:vAlign w:val="bottom"/>
          </w:tcPr>
          <w:p w14:paraId="5DEC5087" w14:textId="77777777" w:rsidR="00B1578D" w:rsidRDefault="004D2C04">
            <w:pPr>
              <w:textAlignment w:val="bottom"/>
            </w:pPr>
            <w:hyperlink r:id="rId37" w:anchor="ia92fe4e1fa654d85928fb72942eadb02_127" w:history="1">
              <w:r>
                <w:rPr>
                  <w:rStyle w:val="a5"/>
                  <w:rFonts w:ascii="Times New Roman" w:eastAsia="宋体" w:hAnsi="Times New Roman"/>
                  <w:sz w:val="18"/>
                  <w:szCs w:val="18"/>
                </w:rPr>
                <w:t>Item 6. Exhibits</w:t>
              </w:r>
            </w:hyperlink>
          </w:p>
        </w:tc>
        <w:tc>
          <w:tcPr>
            <w:tcW w:w="0" w:type="auto"/>
            <w:gridSpan w:val="3"/>
            <w:shd w:val="clear" w:color="auto" w:fill="auto"/>
            <w:tcMar>
              <w:top w:w="40" w:type="dxa"/>
              <w:left w:w="20" w:type="dxa"/>
              <w:bottom w:w="40" w:type="dxa"/>
              <w:right w:w="20" w:type="dxa"/>
            </w:tcMar>
            <w:vAlign w:val="bottom"/>
          </w:tcPr>
          <w:p w14:paraId="5DEC5088" w14:textId="77777777" w:rsidR="00B1578D" w:rsidRDefault="004D2C04">
            <w:pPr>
              <w:jc w:val="center"/>
              <w:textAlignment w:val="bottom"/>
            </w:pPr>
            <w:hyperlink r:id="rId38" w:anchor="ia92fe4e1fa654d85928fb72942eadb02_127" w:history="1">
              <w:r>
                <w:rPr>
                  <w:rStyle w:val="a5"/>
                  <w:rFonts w:ascii="Times New Roman" w:eastAsia="宋体" w:hAnsi="Times New Roman"/>
                  <w:sz w:val="18"/>
                  <w:szCs w:val="18"/>
                </w:rPr>
                <w:t>32</w:t>
              </w:r>
            </w:hyperlink>
          </w:p>
        </w:tc>
      </w:tr>
      <w:tr w:rsidR="00B1578D" w14:paraId="5DEC508E" w14:textId="77777777">
        <w:trPr>
          <w:trHeight w:val="240"/>
          <w:jc w:val="center"/>
        </w:trPr>
        <w:tc>
          <w:tcPr>
            <w:tcW w:w="0" w:type="auto"/>
            <w:gridSpan w:val="3"/>
            <w:shd w:val="clear" w:color="auto" w:fill="auto"/>
            <w:tcMar>
              <w:top w:w="0" w:type="dxa"/>
              <w:left w:w="20" w:type="dxa"/>
              <w:bottom w:w="0" w:type="dxa"/>
              <w:right w:w="20" w:type="dxa"/>
            </w:tcMar>
            <w:vAlign w:val="bottom"/>
          </w:tcPr>
          <w:p w14:paraId="5DEC508A"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8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8C"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8D" w14:textId="77777777" w:rsidR="00B1578D" w:rsidRDefault="00B1578D">
            <w:pPr>
              <w:rPr>
                <w:rFonts w:ascii="宋体"/>
              </w:rPr>
            </w:pPr>
          </w:p>
        </w:tc>
      </w:tr>
      <w:tr w:rsidR="00B1578D" w14:paraId="5DEC5092" w14:textId="77777777">
        <w:trPr>
          <w:jc w:val="center"/>
        </w:trPr>
        <w:tc>
          <w:tcPr>
            <w:tcW w:w="0" w:type="auto"/>
            <w:gridSpan w:val="6"/>
            <w:shd w:val="clear" w:color="auto" w:fill="auto"/>
            <w:tcMar>
              <w:top w:w="40" w:type="dxa"/>
              <w:left w:w="20" w:type="dxa"/>
              <w:bottom w:w="40" w:type="dxa"/>
              <w:right w:w="20" w:type="dxa"/>
            </w:tcMar>
            <w:vAlign w:val="bottom"/>
          </w:tcPr>
          <w:p w14:paraId="5DEC508F" w14:textId="77777777" w:rsidR="00B1578D" w:rsidRDefault="004D2C04">
            <w:pPr>
              <w:textAlignment w:val="bottom"/>
            </w:pPr>
            <w:hyperlink r:id="rId39" w:anchor="ia92fe4e1fa654d85928fb72942eadb02_130" w:history="1">
              <w:r>
                <w:rPr>
                  <w:rStyle w:val="a5"/>
                  <w:rFonts w:ascii="Times New Roman" w:eastAsia="宋体" w:hAnsi="Times New Roman"/>
                  <w:sz w:val="18"/>
                  <w:szCs w:val="18"/>
                </w:rPr>
                <w:t>Signatures</w:t>
              </w:r>
            </w:hyperlink>
          </w:p>
        </w:tc>
        <w:tc>
          <w:tcPr>
            <w:tcW w:w="0" w:type="auto"/>
            <w:gridSpan w:val="3"/>
            <w:shd w:val="clear" w:color="auto" w:fill="auto"/>
            <w:tcMar>
              <w:top w:w="0" w:type="dxa"/>
              <w:left w:w="20" w:type="dxa"/>
              <w:bottom w:w="0" w:type="dxa"/>
              <w:right w:w="20" w:type="dxa"/>
            </w:tcMar>
            <w:vAlign w:val="bottom"/>
          </w:tcPr>
          <w:p w14:paraId="5DEC509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091" w14:textId="77777777" w:rsidR="00B1578D" w:rsidRDefault="004D2C04">
            <w:pPr>
              <w:jc w:val="center"/>
              <w:textAlignment w:val="bottom"/>
            </w:pPr>
            <w:hyperlink r:id="rId40" w:anchor="ia92fe4e1fa654d85928fb72942eadb02_130" w:history="1">
              <w:r>
                <w:rPr>
                  <w:rStyle w:val="a5"/>
                  <w:rFonts w:ascii="Times New Roman" w:eastAsia="宋体" w:hAnsi="Times New Roman"/>
                  <w:sz w:val="18"/>
                  <w:szCs w:val="18"/>
                </w:rPr>
                <w:t>33</w:t>
              </w:r>
            </w:hyperlink>
          </w:p>
        </w:tc>
      </w:tr>
    </w:tbl>
    <w:p w14:paraId="5DEC5093" w14:textId="77777777" w:rsidR="00B1578D" w:rsidRDefault="00B1578D">
      <w:pPr>
        <w:jc w:val="center"/>
      </w:pPr>
    </w:p>
    <w:p w14:paraId="5DEC5094" w14:textId="77777777" w:rsidR="00B1578D" w:rsidRDefault="00B1578D">
      <w:pPr>
        <w:jc w:val="center"/>
      </w:pPr>
    </w:p>
    <w:p w14:paraId="5DEC5095" w14:textId="77777777" w:rsidR="00B1578D" w:rsidRDefault="004D2C04">
      <w:pPr>
        <w:jc w:val="center"/>
      </w:pPr>
      <w:r>
        <w:rPr>
          <w:rFonts w:ascii="Times New Roman" w:eastAsia="宋体" w:hAnsi="Times New Roman"/>
          <w:color w:val="000000"/>
          <w:sz w:val="20"/>
          <w:szCs w:val="20"/>
        </w:rPr>
        <w:t>2</w:t>
      </w:r>
    </w:p>
    <w:p w14:paraId="5DEC5096" w14:textId="77777777" w:rsidR="00B1578D" w:rsidRDefault="004D2C04">
      <w:r>
        <w:pict w14:anchorId="5DEC6F27">
          <v:rect id="_x0000_i1026" style="width:415.3pt;height:1.5pt" o:hralign="center" o:hrstd="t" o:hr="t" fillcolor="#a0a0a0" stroked="f"/>
        </w:pict>
      </w:r>
    </w:p>
    <w:p w14:paraId="5DEC5097" w14:textId="77777777" w:rsidR="00B1578D" w:rsidRDefault="004D2C04">
      <w:hyperlink r:id="rId41" w:anchor="ia92fe4e1fa654d85928fb72942eadb02_7" w:history="1">
        <w:r>
          <w:rPr>
            <w:rStyle w:val="a5"/>
            <w:rFonts w:ascii="Times New Roman" w:eastAsia="宋体" w:hAnsi="Times New Roman"/>
            <w:sz w:val="20"/>
            <w:szCs w:val="20"/>
          </w:rPr>
          <w:t>Table of Contents</w:t>
        </w:r>
      </w:hyperlink>
    </w:p>
    <w:p w14:paraId="5DEC5098" w14:textId="77777777" w:rsidR="00B1578D" w:rsidRDefault="004D2C04">
      <w:pPr>
        <w:spacing w:after="100"/>
      </w:pPr>
      <w:r>
        <w:rPr>
          <w:rFonts w:ascii="Times New Roman" w:eastAsia="宋体" w:hAnsi="Times New Roman"/>
          <w:b/>
          <w:bCs/>
          <w:color w:val="000000"/>
          <w:sz w:val="20"/>
          <w:szCs w:val="20"/>
        </w:rPr>
        <w:t>PART I. FINANCIAL INFORMATION</w:t>
      </w:r>
    </w:p>
    <w:p w14:paraId="5DEC5099" w14:textId="77777777" w:rsidR="00B1578D" w:rsidRDefault="004D2C04">
      <w:pPr>
        <w:spacing w:before="180" w:after="100"/>
        <w:ind w:hanging="360"/>
      </w:pPr>
      <w:r>
        <w:rPr>
          <w:rFonts w:ascii="Times New Roman" w:eastAsia="宋体" w:hAnsi="Times New Roman"/>
          <w:b/>
          <w:bCs/>
          <w:color w:val="000000"/>
          <w:sz w:val="20"/>
          <w:szCs w:val="20"/>
        </w:rPr>
        <w:t>Item 1.Financial Statements</w:t>
      </w:r>
    </w:p>
    <w:p w14:paraId="5DEC509A" w14:textId="77777777" w:rsidR="00B1578D" w:rsidRDefault="004D2C04">
      <w:pPr>
        <w:spacing w:before="180"/>
        <w:jc w:val="center"/>
      </w:pPr>
      <w:r>
        <w:rPr>
          <w:rFonts w:ascii="Times New Roman" w:eastAsia="宋体" w:hAnsi="Times New Roman"/>
          <w:b/>
          <w:bCs/>
          <w:color w:val="000000"/>
          <w:sz w:val="20"/>
          <w:szCs w:val="20"/>
        </w:rPr>
        <w:t>Walmart Inc.</w:t>
      </w:r>
    </w:p>
    <w:p w14:paraId="5DEC509B" w14:textId="77777777" w:rsidR="00B1578D" w:rsidRDefault="004D2C04">
      <w:pPr>
        <w:spacing w:before="60"/>
        <w:jc w:val="center"/>
      </w:pPr>
      <w:r>
        <w:rPr>
          <w:rFonts w:ascii="Times New Roman" w:eastAsia="宋体" w:hAnsi="Times New Roman"/>
          <w:b/>
          <w:bCs/>
          <w:color w:val="000000"/>
          <w:sz w:val="20"/>
          <w:szCs w:val="20"/>
        </w:rPr>
        <w:t>Condensed Conso</w:t>
      </w:r>
      <w:r>
        <w:rPr>
          <w:rFonts w:ascii="Times New Roman" w:eastAsia="宋体" w:hAnsi="Times New Roman"/>
          <w:b/>
          <w:bCs/>
          <w:color w:val="000000"/>
          <w:sz w:val="20"/>
          <w:szCs w:val="20"/>
        </w:rPr>
        <w:t>lidated Statements of Income</w:t>
      </w:r>
    </w:p>
    <w:p w14:paraId="5DEC509C" w14:textId="77777777" w:rsidR="00B1578D" w:rsidRDefault="004D2C04">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361"/>
        <w:gridCol w:w="39"/>
        <w:gridCol w:w="36"/>
        <w:gridCol w:w="36"/>
        <w:gridCol w:w="36"/>
        <w:gridCol w:w="100"/>
        <w:gridCol w:w="560"/>
        <w:gridCol w:w="36"/>
        <w:gridCol w:w="36"/>
        <w:gridCol w:w="36"/>
        <w:gridCol w:w="36"/>
        <w:gridCol w:w="100"/>
        <w:gridCol w:w="560"/>
        <w:gridCol w:w="36"/>
        <w:gridCol w:w="36"/>
        <w:gridCol w:w="36"/>
        <w:gridCol w:w="36"/>
        <w:gridCol w:w="36"/>
        <w:gridCol w:w="36"/>
        <w:gridCol w:w="36"/>
        <w:gridCol w:w="36"/>
        <w:gridCol w:w="36"/>
      </w:tblGrid>
      <w:tr w:rsidR="00B1578D" w14:paraId="5DEC50B0" w14:textId="77777777">
        <w:trPr>
          <w:jc w:val="center"/>
        </w:trPr>
        <w:tc>
          <w:tcPr>
            <w:tcW w:w="50" w:type="pct"/>
            <w:shd w:val="clear" w:color="auto" w:fill="auto"/>
            <w:vAlign w:val="bottom"/>
          </w:tcPr>
          <w:p w14:paraId="5DEC509D" w14:textId="77777777" w:rsidR="00B1578D" w:rsidRDefault="00B1578D">
            <w:pPr>
              <w:rPr>
                <w:rFonts w:ascii="宋体"/>
              </w:rPr>
            </w:pPr>
          </w:p>
        </w:tc>
        <w:tc>
          <w:tcPr>
            <w:tcW w:w="4118" w:type="pct"/>
            <w:shd w:val="clear" w:color="auto" w:fill="auto"/>
            <w:vAlign w:val="bottom"/>
          </w:tcPr>
          <w:p w14:paraId="5DEC509E" w14:textId="77777777" w:rsidR="00B1578D" w:rsidRDefault="00B1578D">
            <w:pPr>
              <w:rPr>
                <w:rFonts w:ascii="宋体"/>
              </w:rPr>
            </w:pPr>
          </w:p>
        </w:tc>
        <w:tc>
          <w:tcPr>
            <w:tcW w:w="5" w:type="pct"/>
            <w:shd w:val="clear" w:color="auto" w:fill="auto"/>
            <w:vAlign w:val="bottom"/>
          </w:tcPr>
          <w:p w14:paraId="5DEC509F" w14:textId="77777777" w:rsidR="00B1578D" w:rsidRDefault="00B1578D">
            <w:pPr>
              <w:rPr>
                <w:rFonts w:ascii="宋体"/>
              </w:rPr>
            </w:pPr>
          </w:p>
        </w:tc>
        <w:tc>
          <w:tcPr>
            <w:tcW w:w="5" w:type="pct"/>
            <w:shd w:val="clear" w:color="auto" w:fill="auto"/>
            <w:vAlign w:val="bottom"/>
          </w:tcPr>
          <w:p w14:paraId="5DEC50A0" w14:textId="77777777" w:rsidR="00B1578D" w:rsidRDefault="00B1578D">
            <w:pPr>
              <w:rPr>
                <w:rFonts w:ascii="宋体"/>
              </w:rPr>
            </w:pPr>
          </w:p>
        </w:tc>
        <w:tc>
          <w:tcPr>
            <w:tcW w:w="19" w:type="pct"/>
            <w:shd w:val="clear" w:color="auto" w:fill="auto"/>
            <w:vAlign w:val="bottom"/>
          </w:tcPr>
          <w:p w14:paraId="5DEC50A1" w14:textId="77777777" w:rsidR="00B1578D" w:rsidRDefault="00B1578D">
            <w:pPr>
              <w:rPr>
                <w:rFonts w:ascii="宋体"/>
              </w:rPr>
            </w:pPr>
          </w:p>
        </w:tc>
        <w:tc>
          <w:tcPr>
            <w:tcW w:w="5" w:type="pct"/>
            <w:shd w:val="clear" w:color="auto" w:fill="auto"/>
            <w:vAlign w:val="bottom"/>
          </w:tcPr>
          <w:p w14:paraId="5DEC50A2" w14:textId="77777777" w:rsidR="00B1578D" w:rsidRDefault="00B1578D">
            <w:pPr>
              <w:rPr>
                <w:rFonts w:ascii="宋体"/>
              </w:rPr>
            </w:pPr>
          </w:p>
        </w:tc>
        <w:tc>
          <w:tcPr>
            <w:tcW w:w="50" w:type="pct"/>
            <w:shd w:val="clear" w:color="auto" w:fill="auto"/>
            <w:vAlign w:val="bottom"/>
          </w:tcPr>
          <w:p w14:paraId="5DEC50A3" w14:textId="77777777" w:rsidR="00B1578D" w:rsidRDefault="00B1578D">
            <w:pPr>
              <w:rPr>
                <w:rFonts w:ascii="宋体"/>
              </w:rPr>
            </w:pPr>
          </w:p>
        </w:tc>
        <w:tc>
          <w:tcPr>
            <w:tcW w:w="317" w:type="pct"/>
            <w:shd w:val="clear" w:color="auto" w:fill="auto"/>
            <w:vAlign w:val="bottom"/>
          </w:tcPr>
          <w:p w14:paraId="5DEC50A4" w14:textId="77777777" w:rsidR="00B1578D" w:rsidRDefault="00B1578D">
            <w:pPr>
              <w:rPr>
                <w:rFonts w:ascii="宋体"/>
              </w:rPr>
            </w:pPr>
          </w:p>
        </w:tc>
        <w:tc>
          <w:tcPr>
            <w:tcW w:w="5" w:type="pct"/>
            <w:shd w:val="clear" w:color="auto" w:fill="auto"/>
            <w:vAlign w:val="bottom"/>
          </w:tcPr>
          <w:p w14:paraId="5DEC50A5" w14:textId="77777777" w:rsidR="00B1578D" w:rsidRDefault="00B1578D">
            <w:pPr>
              <w:rPr>
                <w:rFonts w:ascii="宋体"/>
              </w:rPr>
            </w:pPr>
          </w:p>
        </w:tc>
        <w:tc>
          <w:tcPr>
            <w:tcW w:w="5" w:type="pct"/>
            <w:shd w:val="clear" w:color="auto" w:fill="auto"/>
            <w:vAlign w:val="bottom"/>
          </w:tcPr>
          <w:p w14:paraId="5DEC50A6" w14:textId="77777777" w:rsidR="00B1578D" w:rsidRDefault="00B1578D">
            <w:pPr>
              <w:rPr>
                <w:rFonts w:ascii="宋体"/>
              </w:rPr>
            </w:pPr>
          </w:p>
        </w:tc>
        <w:tc>
          <w:tcPr>
            <w:tcW w:w="41" w:type="pct"/>
            <w:shd w:val="clear" w:color="auto" w:fill="auto"/>
            <w:vAlign w:val="bottom"/>
          </w:tcPr>
          <w:p w14:paraId="5DEC50A7" w14:textId="77777777" w:rsidR="00B1578D" w:rsidRDefault="00B1578D">
            <w:pPr>
              <w:rPr>
                <w:rFonts w:ascii="宋体"/>
              </w:rPr>
            </w:pPr>
          </w:p>
        </w:tc>
        <w:tc>
          <w:tcPr>
            <w:tcW w:w="5" w:type="pct"/>
            <w:shd w:val="clear" w:color="auto" w:fill="auto"/>
            <w:vAlign w:val="bottom"/>
          </w:tcPr>
          <w:p w14:paraId="5DEC50A8" w14:textId="77777777" w:rsidR="00B1578D" w:rsidRDefault="00B1578D">
            <w:pPr>
              <w:rPr>
                <w:rFonts w:ascii="宋体"/>
              </w:rPr>
            </w:pPr>
          </w:p>
        </w:tc>
        <w:tc>
          <w:tcPr>
            <w:tcW w:w="50" w:type="pct"/>
            <w:shd w:val="clear" w:color="auto" w:fill="auto"/>
            <w:vAlign w:val="bottom"/>
          </w:tcPr>
          <w:p w14:paraId="5DEC50A9" w14:textId="77777777" w:rsidR="00B1578D" w:rsidRDefault="00B1578D">
            <w:pPr>
              <w:rPr>
                <w:rFonts w:ascii="宋体"/>
              </w:rPr>
            </w:pPr>
          </w:p>
        </w:tc>
        <w:tc>
          <w:tcPr>
            <w:tcW w:w="317" w:type="pct"/>
            <w:shd w:val="clear" w:color="auto" w:fill="auto"/>
            <w:vAlign w:val="bottom"/>
          </w:tcPr>
          <w:p w14:paraId="5DEC50AA" w14:textId="77777777" w:rsidR="00B1578D" w:rsidRDefault="00B1578D">
            <w:pPr>
              <w:rPr>
                <w:rFonts w:ascii="宋体"/>
              </w:rPr>
            </w:pPr>
          </w:p>
        </w:tc>
        <w:tc>
          <w:tcPr>
            <w:tcW w:w="5" w:type="pct"/>
            <w:shd w:val="clear" w:color="auto" w:fill="auto"/>
            <w:vAlign w:val="bottom"/>
          </w:tcPr>
          <w:p w14:paraId="5DEC50AB" w14:textId="77777777" w:rsidR="00B1578D" w:rsidRDefault="00B1578D">
            <w:pPr>
              <w:rPr>
                <w:rFonts w:ascii="宋体"/>
              </w:rPr>
            </w:pPr>
          </w:p>
        </w:tc>
        <w:tc>
          <w:tcPr>
            <w:tcW w:w="0" w:type="auto"/>
            <w:shd w:val="clear" w:color="auto" w:fill="auto"/>
            <w:vAlign w:val="bottom"/>
          </w:tcPr>
          <w:p w14:paraId="5DEC50AC" w14:textId="77777777" w:rsidR="00B1578D" w:rsidRDefault="00B1578D">
            <w:pPr>
              <w:rPr>
                <w:rFonts w:ascii="宋体"/>
                <w:vanish/>
              </w:rPr>
            </w:pPr>
          </w:p>
        </w:tc>
        <w:tc>
          <w:tcPr>
            <w:tcW w:w="0" w:type="auto"/>
            <w:shd w:val="clear" w:color="auto" w:fill="auto"/>
            <w:vAlign w:val="bottom"/>
          </w:tcPr>
          <w:p w14:paraId="5DEC50AD" w14:textId="77777777" w:rsidR="00B1578D" w:rsidRDefault="00B1578D">
            <w:pPr>
              <w:rPr>
                <w:rFonts w:ascii="宋体"/>
                <w:vanish/>
              </w:rPr>
            </w:pPr>
          </w:p>
        </w:tc>
        <w:tc>
          <w:tcPr>
            <w:tcW w:w="0" w:type="auto"/>
            <w:gridSpan w:val="3"/>
            <w:shd w:val="clear" w:color="auto" w:fill="auto"/>
            <w:vAlign w:val="bottom"/>
          </w:tcPr>
          <w:p w14:paraId="5DEC50AE" w14:textId="77777777" w:rsidR="00B1578D" w:rsidRDefault="00B1578D">
            <w:pPr>
              <w:rPr>
                <w:rFonts w:ascii="宋体"/>
                <w:vanish/>
              </w:rPr>
            </w:pPr>
          </w:p>
        </w:tc>
        <w:tc>
          <w:tcPr>
            <w:tcW w:w="0" w:type="auto"/>
            <w:gridSpan w:val="3"/>
            <w:shd w:val="clear" w:color="auto" w:fill="auto"/>
            <w:vAlign w:val="bottom"/>
          </w:tcPr>
          <w:p w14:paraId="5DEC50AF" w14:textId="77777777" w:rsidR="00B1578D" w:rsidRDefault="00B1578D">
            <w:pPr>
              <w:rPr>
                <w:rFonts w:ascii="宋体"/>
                <w:vanish/>
              </w:rPr>
            </w:pPr>
          </w:p>
        </w:tc>
      </w:tr>
      <w:tr w:rsidR="00B1578D" w14:paraId="5DEC50BC" w14:textId="77777777">
        <w:trPr>
          <w:jc w:val="center"/>
        </w:trPr>
        <w:tc>
          <w:tcPr>
            <w:tcW w:w="0" w:type="auto"/>
            <w:gridSpan w:val="3"/>
            <w:shd w:val="clear" w:color="auto" w:fill="auto"/>
            <w:tcMar>
              <w:top w:w="0" w:type="dxa"/>
              <w:left w:w="20" w:type="dxa"/>
              <w:bottom w:w="0" w:type="dxa"/>
              <w:right w:w="20" w:type="dxa"/>
            </w:tcMar>
            <w:vAlign w:val="bottom"/>
          </w:tcPr>
          <w:p w14:paraId="5DEC50B1"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B2"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50B3"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50B4" w14:textId="77777777" w:rsidR="00B1578D" w:rsidRDefault="00B1578D">
            <w:pPr>
              <w:rPr>
                <w:rFonts w:ascii="宋体"/>
                <w:vanish/>
              </w:rPr>
            </w:pPr>
          </w:p>
        </w:tc>
        <w:tc>
          <w:tcPr>
            <w:tcW w:w="0" w:type="auto"/>
            <w:shd w:val="clear" w:color="auto" w:fill="auto"/>
            <w:vAlign w:val="bottom"/>
          </w:tcPr>
          <w:p w14:paraId="5DEC50B5" w14:textId="77777777" w:rsidR="00B1578D" w:rsidRDefault="00B1578D">
            <w:pPr>
              <w:rPr>
                <w:rFonts w:ascii="宋体"/>
                <w:vanish/>
              </w:rPr>
            </w:pPr>
          </w:p>
        </w:tc>
        <w:tc>
          <w:tcPr>
            <w:tcW w:w="0" w:type="auto"/>
            <w:shd w:val="clear" w:color="auto" w:fill="auto"/>
            <w:vAlign w:val="bottom"/>
          </w:tcPr>
          <w:p w14:paraId="5DEC50B6" w14:textId="77777777" w:rsidR="00B1578D" w:rsidRDefault="00B1578D">
            <w:pPr>
              <w:rPr>
                <w:rFonts w:ascii="宋体"/>
              </w:rPr>
            </w:pPr>
          </w:p>
        </w:tc>
        <w:tc>
          <w:tcPr>
            <w:tcW w:w="0" w:type="auto"/>
            <w:shd w:val="clear" w:color="auto" w:fill="auto"/>
            <w:vAlign w:val="bottom"/>
          </w:tcPr>
          <w:p w14:paraId="5DEC50B7" w14:textId="77777777" w:rsidR="00B1578D" w:rsidRDefault="00B1578D">
            <w:pPr>
              <w:rPr>
                <w:rFonts w:ascii="宋体"/>
              </w:rPr>
            </w:pPr>
          </w:p>
        </w:tc>
        <w:tc>
          <w:tcPr>
            <w:tcW w:w="0" w:type="auto"/>
            <w:shd w:val="clear" w:color="auto" w:fill="auto"/>
            <w:vAlign w:val="bottom"/>
          </w:tcPr>
          <w:p w14:paraId="5DEC50B8" w14:textId="77777777" w:rsidR="00B1578D" w:rsidRDefault="00B1578D">
            <w:pPr>
              <w:rPr>
                <w:rFonts w:ascii="宋体"/>
              </w:rPr>
            </w:pPr>
          </w:p>
        </w:tc>
        <w:tc>
          <w:tcPr>
            <w:tcW w:w="0" w:type="auto"/>
            <w:shd w:val="clear" w:color="auto" w:fill="auto"/>
            <w:vAlign w:val="bottom"/>
          </w:tcPr>
          <w:p w14:paraId="5DEC50B9" w14:textId="77777777" w:rsidR="00B1578D" w:rsidRDefault="00B1578D">
            <w:pPr>
              <w:rPr>
                <w:rFonts w:ascii="宋体"/>
              </w:rPr>
            </w:pPr>
          </w:p>
        </w:tc>
        <w:tc>
          <w:tcPr>
            <w:tcW w:w="0" w:type="auto"/>
            <w:shd w:val="clear" w:color="auto" w:fill="auto"/>
            <w:vAlign w:val="bottom"/>
          </w:tcPr>
          <w:p w14:paraId="5DEC50BA" w14:textId="77777777" w:rsidR="00B1578D" w:rsidRDefault="00B1578D">
            <w:pPr>
              <w:rPr>
                <w:rFonts w:ascii="宋体"/>
              </w:rPr>
            </w:pPr>
          </w:p>
        </w:tc>
        <w:tc>
          <w:tcPr>
            <w:tcW w:w="0" w:type="auto"/>
            <w:shd w:val="clear" w:color="auto" w:fill="auto"/>
            <w:vAlign w:val="bottom"/>
          </w:tcPr>
          <w:p w14:paraId="5DEC50BB" w14:textId="77777777" w:rsidR="00B1578D" w:rsidRDefault="00B1578D">
            <w:pPr>
              <w:rPr>
                <w:rFonts w:ascii="宋体"/>
              </w:rPr>
            </w:pPr>
          </w:p>
        </w:tc>
      </w:tr>
      <w:tr w:rsidR="00B1578D" w14:paraId="5DEC50C6" w14:textId="77777777">
        <w:trPr>
          <w:jc w:val="center"/>
        </w:trPr>
        <w:tc>
          <w:tcPr>
            <w:tcW w:w="0" w:type="auto"/>
            <w:gridSpan w:val="3"/>
            <w:shd w:val="clear" w:color="auto" w:fill="auto"/>
            <w:tcMar>
              <w:top w:w="40" w:type="dxa"/>
              <w:left w:w="20" w:type="dxa"/>
              <w:bottom w:w="40" w:type="dxa"/>
              <w:right w:w="20" w:type="dxa"/>
            </w:tcMar>
            <w:vAlign w:val="bottom"/>
          </w:tcPr>
          <w:p w14:paraId="5DEC50BD" w14:textId="77777777" w:rsidR="00B1578D" w:rsidRDefault="004D2C04">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5DEC50BE"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0BF"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0C0"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0C1"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50C2" w14:textId="77777777" w:rsidR="00B1578D" w:rsidRDefault="00B1578D">
            <w:pPr>
              <w:rPr>
                <w:rFonts w:ascii="宋体"/>
                <w:vanish/>
              </w:rPr>
            </w:pPr>
          </w:p>
        </w:tc>
        <w:tc>
          <w:tcPr>
            <w:tcW w:w="0" w:type="auto"/>
            <w:shd w:val="clear" w:color="auto" w:fill="auto"/>
            <w:vAlign w:val="bottom"/>
          </w:tcPr>
          <w:p w14:paraId="5DEC50C3" w14:textId="77777777" w:rsidR="00B1578D" w:rsidRDefault="00B1578D">
            <w:pPr>
              <w:rPr>
                <w:rFonts w:ascii="宋体"/>
                <w:vanish/>
              </w:rPr>
            </w:pPr>
          </w:p>
        </w:tc>
        <w:tc>
          <w:tcPr>
            <w:tcW w:w="0" w:type="auto"/>
            <w:gridSpan w:val="3"/>
            <w:shd w:val="clear" w:color="auto" w:fill="auto"/>
            <w:vAlign w:val="bottom"/>
          </w:tcPr>
          <w:p w14:paraId="5DEC50C4" w14:textId="77777777" w:rsidR="00B1578D" w:rsidRDefault="00B1578D">
            <w:pPr>
              <w:rPr>
                <w:rFonts w:ascii="宋体"/>
                <w:vanish/>
              </w:rPr>
            </w:pPr>
          </w:p>
        </w:tc>
        <w:tc>
          <w:tcPr>
            <w:tcW w:w="0" w:type="auto"/>
            <w:gridSpan w:val="3"/>
            <w:shd w:val="clear" w:color="auto" w:fill="auto"/>
            <w:vAlign w:val="bottom"/>
          </w:tcPr>
          <w:p w14:paraId="5DEC50C5" w14:textId="77777777" w:rsidR="00B1578D" w:rsidRDefault="00B1578D">
            <w:pPr>
              <w:rPr>
                <w:rFonts w:ascii="宋体"/>
                <w:vanish/>
              </w:rPr>
            </w:pPr>
          </w:p>
        </w:tc>
      </w:tr>
      <w:tr w:rsidR="00B1578D" w14:paraId="5DEC50D0" w14:textId="77777777">
        <w:trPr>
          <w:jc w:val="center"/>
        </w:trPr>
        <w:tc>
          <w:tcPr>
            <w:tcW w:w="0" w:type="auto"/>
            <w:gridSpan w:val="3"/>
            <w:shd w:val="clear" w:color="auto" w:fill="auto"/>
            <w:tcMar>
              <w:top w:w="40" w:type="dxa"/>
              <w:left w:w="20" w:type="dxa"/>
              <w:bottom w:w="40" w:type="dxa"/>
              <w:right w:w="20" w:type="dxa"/>
            </w:tcMar>
            <w:vAlign w:val="center"/>
          </w:tcPr>
          <w:p w14:paraId="5DEC50C7" w14:textId="77777777" w:rsidR="00B1578D" w:rsidRDefault="004D2C04">
            <w:pPr>
              <w:textAlignment w:val="center"/>
            </w:pP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vAlign w:val="bottom"/>
          </w:tcPr>
          <w:p w14:paraId="5DEC50C8"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0C9"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0CA"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0CB" w14:textId="77777777" w:rsidR="00B1578D" w:rsidRDefault="00B1578D">
            <w:pPr>
              <w:rPr>
                <w:rFonts w:ascii="宋体"/>
              </w:rPr>
            </w:pPr>
          </w:p>
        </w:tc>
        <w:tc>
          <w:tcPr>
            <w:tcW w:w="0" w:type="auto"/>
            <w:shd w:val="clear" w:color="auto" w:fill="auto"/>
            <w:vAlign w:val="bottom"/>
          </w:tcPr>
          <w:p w14:paraId="5DEC50CC" w14:textId="77777777" w:rsidR="00B1578D" w:rsidRDefault="00B1578D">
            <w:pPr>
              <w:rPr>
                <w:rFonts w:ascii="宋体"/>
                <w:vanish/>
              </w:rPr>
            </w:pPr>
          </w:p>
        </w:tc>
        <w:tc>
          <w:tcPr>
            <w:tcW w:w="0" w:type="auto"/>
            <w:shd w:val="clear" w:color="auto" w:fill="auto"/>
            <w:vAlign w:val="bottom"/>
          </w:tcPr>
          <w:p w14:paraId="5DEC50CD" w14:textId="77777777" w:rsidR="00B1578D" w:rsidRDefault="00B1578D">
            <w:pPr>
              <w:rPr>
                <w:rFonts w:ascii="宋体"/>
                <w:vanish/>
              </w:rPr>
            </w:pPr>
          </w:p>
        </w:tc>
        <w:tc>
          <w:tcPr>
            <w:tcW w:w="0" w:type="auto"/>
            <w:gridSpan w:val="3"/>
            <w:shd w:val="clear" w:color="auto" w:fill="auto"/>
            <w:vAlign w:val="bottom"/>
          </w:tcPr>
          <w:p w14:paraId="5DEC50CE" w14:textId="77777777" w:rsidR="00B1578D" w:rsidRDefault="00B1578D">
            <w:pPr>
              <w:rPr>
                <w:rFonts w:ascii="宋体"/>
                <w:vanish/>
              </w:rPr>
            </w:pPr>
          </w:p>
        </w:tc>
        <w:tc>
          <w:tcPr>
            <w:tcW w:w="0" w:type="auto"/>
            <w:gridSpan w:val="3"/>
            <w:shd w:val="clear" w:color="auto" w:fill="auto"/>
            <w:vAlign w:val="bottom"/>
          </w:tcPr>
          <w:p w14:paraId="5DEC50CF" w14:textId="77777777" w:rsidR="00B1578D" w:rsidRDefault="00B1578D">
            <w:pPr>
              <w:rPr>
                <w:rFonts w:ascii="宋体"/>
                <w:vanish/>
              </w:rPr>
            </w:pPr>
          </w:p>
        </w:tc>
      </w:tr>
      <w:tr w:rsidR="00B1578D" w14:paraId="5DEC50DE" w14:textId="77777777">
        <w:trPr>
          <w:jc w:val="center"/>
        </w:trPr>
        <w:tc>
          <w:tcPr>
            <w:tcW w:w="0" w:type="auto"/>
            <w:gridSpan w:val="3"/>
            <w:shd w:val="clear" w:color="auto" w:fill="CCEEFF"/>
            <w:tcMar>
              <w:top w:w="40" w:type="dxa"/>
              <w:left w:w="380" w:type="dxa"/>
              <w:bottom w:w="40" w:type="dxa"/>
              <w:right w:w="20" w:type="dxa"/>
            </w:tcMar>
            <w:vAlign w:val="center"/>
          </w:tcPr>
          <w:p w14:paraId="5DEC50D1"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5DEC50D2"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0D3"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0D4" w14:textId="77777777" w:rsidR="00B1578D" w:rsidRDefault="004D2C04">
            <w:pPr>
              <w:jc w:val="right"/>
              <w:textAlignment w:val="center"/>
            </w:pPr>
            <w:r>
              <w:rPr>
                <w:rFonts w:ascii="Times New Roman" w:eastAsia="宋体" w:hAnsi="Times New Roman"/>
                <w:color w:val="000000"/>
                <w:sz w:val="16"/>
                <w:szCs w:val="16"/>
              </w:rPr>
              <w:t>140,288 </w:t>
            </w:r>
          </w:p>
        </w:tc>
        <w:tc>
          <w:tcPr>
            <w:tcW w:w="0" w:type="auto"/>
            <w:shd w:val="clear" w:color="auto" w:fill="CCEEFF"/>
            <w:tcMar>
              <w:top w:w="40" w:type="dxa"/>
              <w:left w:w="0" w:type="dxa"/>
              <w:bottom w:w="40" w:type="dxa"/>
              <w:right w:w="20" w:type="dxa"/>
            </w:tcMar>
            <w:vAlign w:val="center"/>
          </w:tcPr>
          <w:p w14:paraId="5DEC50D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0D6"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0D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0D8" w14:textId="77777777" w:rsidR="00B1578D" w:rsidRDefault="004D2C04">
            <w:pPr>
              <w:jc w:val="right"/>
              <w:textAlignment w:val="center"/>
            </w:pPr>
            <w:r>
              <w:rPr>
                <w:rFonts w:ascii="Times New Roman" w:eastAsia="宋体" w:hAnsi="Times New Roman"/>
                <w:color w:val="000000"/>
                <w:sz w:val="16"/>
                <w:szCs w:val="16"/>
              </w:rPr>
              <w:t>137,159 </w:t>
            </w:r>
          </w:p>
        </w:tc>
        <w:tc>
          <w:tcPr>
            <w:tcW w:w="0" w:type="auto"/>
            <w:shd w:val="clear" w:color="auto" w:fill="CCEEFF"/>
            <w:tcMar>
              <w:top w:w="40" w:type="dxa"/>
              <w:left w:w="0" w:type="dxa"/>
              <w:bottom w:w="40" w:type="dxa"/>
              <w:right w:w="20" w:type="dxa"/>
            </w:tcMar>
            <w:vAlign w:val="center"/>
          </w:tcPr>
          <w:p w14:paraId="5DEC50D9" w14:textId="77777777" w:rsidR="00B1578D" w:rsidRDefault="00B1578D">
            <w:pPr>
              <w:jc w:val="right"/>
              <w:rPr>
                <w:rFonts w:ascii="宋体"/>
              </w:rPr>
            </w:pPr>
          </w:p>
        </w:tc>
        <w:tc>
          <w:tcPr>
            <w:tcW w:w="0" w:type="auto"/>
            <w:shd w:val="clear" w:color="auto" w:fill="auto"/>
            <w:vAlign w:val="bottom"/>
          </w:tcPr>
          <w:p w14:paraId="5DEC50DA" w14:textId="77777777" w:rsidR="00B1578D" w:rsidRDefault="00B1578D">
            <w:pPr>
              <w:rPr>
                <w:rFonts w:ascii="宋体"/>
                <w:vanish/>
              </w:rPr>
            </w:pPr>
          </w:p>
        </w:tc>
        <w:tc>
          <w:tcPr>
            <w:tcW w:w="0" w:type="auto"/>
            <w:shd w:val="clear" w:color="auto" w:fill="auto"/>
            <w:vAlign w:val="bottom"/>
          </w:tcPr>
          <w:p w14:paraId="5DEC50DB" w14:textId="77777777" w:rsidR="00B1578D" w:rsidRDefault="00B1578D">
            <w:pPr>
              <w:rPr>
                <w:rFonts w:ascii="宋体"/>
                <w:vanish/>
              </w:rPr>
            </w:pPr>
          </w:p>
        </w:tc>
        <w:tc>
          <w:tcPr>
            <w:tcW w:w="0" w:type="auto"/>
            <w:gridSpan w:val="3"/>
            <w:shd w:val="clear" w:color="auto" w:fill="auto"/>
            <w:vAlign w:val="bottom"/>
          </w:tcPr>
          <w:p w14:paraId="5DEC50DC" w14:textId="77777777" w:rsidR="00B1578D" w:rsidRDefault="00B1578D">
            <w:pPr>
              <w:rPr>
                <w:rFonts w:ascii="宋体"/>
                <w:vanish/>
              </w:rPr>
            </w:pPr>
          </w:p>
        </w:tc>
        <w:tc>
          <w:tcPr>
            <w:tcW w:w="0" w:type="auto"/>
            <w:gridSpan w:val="3"/>
            <w:shd w:val="clear" w:color="auto" w:fill="auto"/>
            <w:vAlign w:val="bottom"/>
          </w:tcPr>
          <w:p w14:paraId="5DEC50DD" w14:textId="77777777" w:rsidR="00B1578D" w:rsidRDefault="00B1578D">
            <w:pPr>
              <w:rPr>
                <w:rFonts w:ascii="宋体"/>
                <w:vanish/>
              </w:rPr>
            </w:pPr>
          </w:p>
        </w:tc>
      </w:tr>
      <w:tr w:rsidR="00B1578D" w14:paraId="5DEC50EA" w14:textId="77777777">
        <w:trPr>
          <w:jc w:val="center"/>
        </w:trPr>
        <w:tc>
          <w:tcPr>
            <w:tcW w:w="0" w:type="auto"/>
            <w:gridSpan w:val="3"/>
            <w:shd w:val="clear" w:color="auto" w:fill="FFFFFF"/>
            <w:tcMar>
              <w:top w:w="40" w:type="dxa"/>
              <w:left w:w="380" w:type="dxa"/>
              <w:bottom w:w="40" w:type="dxa"/>
              <w:right w:w="20" w:type="dxa"/>
            </w:tcMar>
            <w:vAlign w:val="center"/>
          </w:tcPr>
          <w:p w14:paraId="5DEC50DF" w14:textId="77777777" w:rsidR="00B1578D" w:rsidRDefault="004D2C04">
            <w:pPr>
              <w:textAlignment w:val="center"/>
            </w:pPr>
            <w:r>
              <w:rPr>
                <w:rFonts w:ascii="Times New Roman" w:eastAsia="宋体" w:hAnsi="Times New Roman"/>
                <w:color w:val="000000"/>
                <w:sz w:val="16"/>
                <w:szCs w:val="16"/>
              </w:rPr>
              <w:t>Mem</w:t>
            </w:r>
            <w:r>
              <w:rPr>
                <w:rFonts w:ascii="Times New Roman" w:eastAsia="宋体" w:hAnsi="Times New Roman"/>
                <w:color w:val="000000"/>
                <w:sz w:val="16"/>
                <w:szCs w:val="16"/>
              </w:rPr>
              <w:t>bership and other income</w:t>
            </w:r>
          </w:p>
        </w:tc>
        <w:tc>
          <w:tcPr>
            <w:tcW w:w="0" w:type="auto"/>
            <w:gridSpan w:val="3"/>
            <w:shd w:val="clear" w:color="auto" w:fill="FFFFFF"/>
            <w:tcMar>
              <w:top w:w="0" w:type="dxa"/>
              <w:left w:w="20" w:type="dxa"/>
              <w:bottom w:w="0" w:type="dxa"/>
              <w:right w:w="20" w:type="dxa"/>
            </w:tcMar>
            <w:vAlign w:val="bottom"/>
          </w:tcPr>
          <w:p w14:paraId="5DEC50E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0E1" w14:textId="77777777" w:rsidR="00B1578D" w:rsidRDefault="004D2C04">
            <w:pPr>
              <w:jc w:val="right"/>
              <w:textAlignment w:val="center"/>
            </w:pPr>
            <w:r>
              <w:rPr>
                <w:rFonts w:ascii="Times New Roman" w:eastAsia="宋体" w:hAnsi="Times New Roman"/>
                <w:color w:val="000000"/>
                <w:sz w:val="16"/>
                <w:szCs w:val="16"/>
              </w:rPr>
              <w:t>1,281 </w:t>
            </w:r>
          </w:p>
        </w:tc>
        <w:tc>
          <w:tcPr>
            <w:tcW w:w="0" w:type="auto"/>
            <w:shd w:val="clear" w:color="auto" w:fill="FFFFFF"/>
            <w:tcMar>
              <w:top w:w="40" w:type="dxa"/>
              <w:left w:w="0" w:type="dxa"/>
              <w:bottom w:w="40" w:type="dxa"/>
              <w:right w:w="20" w:type="dxa"/>
            </w:tcMar>
            <w:vAlign w:val="center"/>
          </w:tcPr>
          <w:p w14:paraId="5DEC50E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0E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0E4" w14:textId="77777777" w:rsidR="00B1578D" w:rsidRDefault="004D2C04">
            <w:pPr>
              <w:jc w:val="right"/>
              <w:textAlignment w:val="center"/>
            </w:pPr>
            <w:r>
              <w:rPr>
                <w:rFonts w:ascii="Times New Roman" w:eastAsia="宋体" w:hAnsi="Times New Roman"/>
                <w:color w:val="000000"/>
                <w:sz w:val="16"/>
                <w:szCs w:val="16"/>
              </w:rPr>
              <w:t>1,151 </w:t>
            </w:r>
          </w:p>
        </w:tc>
        <w:tc>
          <w:tcPr>
            <w:tcW w:w="0" w:type="auto"/>
            <w:shd w:val="clear" w:color="auto" w:fill="FFFFFF"/>
            <w:tcMar>
              <w:top w:w="40" w:type="dxa"/>
              <w:left w:w="0" w:type="dxa"/>
              <w:bottom w:w="40" w:type="dxa"/>
              <w:right w:w="20" w:type="dxa"/>
            </w:tcMar>
            <w:vAlign w:val="center"/>
          </w:tcPr>
          <w:p w14:paraId="5DEC50E5" w14:textId="77777777" w:rsidR="00B1578D" w:rsidRDefault="00B1578D">
            <w:pPr>
              <w:jc w:val="right"/>
              <w:rPr>
                <w:rFonts w:ascii="宋体"/>
              </w:rPr>
            </w:pPr>
          </w:p>
        </w:tc>
        <w:tc>
          <w:tcPr>
            <w:tcW w:w="0" w:type="auto"/>
            <w:shd w:val="clear" w:color="auto" w:fill="auto"/>
            <w:vAlign w:val="bottom"/>
          </w:tcPr>
          <w:p w14:paraId="5DEC50E6" w14:textId="77777777" w:rsidR="00B1578D" w:rsidRDefault="00B1578D">
            <w:pPr>
              <w:rPr>
                <w:rFonts w:ascii="宋体"/>
                <w:vanish/>
              </w:rPr>
            </w:pPr>
          </w:p>
        </w:tc>
        <w:tc>
          <w:tcPr>
            <w:tcW w:w="0" w:type="auto"/>
            <w:shd w:val="clear" w:color="auto" w:fill="auto"/>
            <w:vAlign w:val="bottom"/>
          </w:tcPr>
          <w:p w14:paraId="5DEC50E7" w14:textId="77777777" w:rsidR="00B1578D" w:rsidRDefault="00B1578D">
            <w:pPr>
              <w:rPr>
                <w:rFonts w:ascii="宋体"/>
                <w:vanish/>
              </w:rPr>
            </w:pPr>
          </w:p>
        </w:tc>
        <w:tc>
          <w:tcPr>
            <w:tcW w:w="0" w:type="auto"/>
            <w:gridSpan w:val="3"/>
            <w:shd w:val="clear" w:color="auto" w:fill="auto"/>
            <w:vAlign w:val="bottom"/>
          </w:tcPr>
          <w:p w14:paraId="5DEC50E8" w14:textId="77777777" w:rsidR="00B1578D" w:rsidRDefault="00B1578D">
            <w:pPr>
              <w:rPr>
                <w:rFonts w:ascii="宋体"/>
                <w:vanish/>
              </w:rPr>
            </w:pPr>
          </w:p>
        </w:tc>
        <w:tc>
          <w:tcPr>
            <w:tcW w:w="0" w:type="auto"/>
            <w:gridSpan w:val="3"/>
            <w:shd w:val="clear" w:color="auto" w:fill="auto"/>
            <w:vAlign w:val="bottom"/>
          </w:tcPr>
          <w:p w14:paraId="5DEC50E9" w14:textId="77777777" w:rsidR="00B1578D" w:rsidRDefault="00B1578D">
            <w:pPr>
              <w:rPr>
                <w:rFonts w:ascii="宋体"/>
                <w:vanish/>
              </w:rPr>
            </w:pPr>
          </w:p>
        </w:tc>
      </w:tr>
      <w:tr w:rsidR="00B1578D" w14:paraId="5DEC50F6" w14:textId="77777777">
        <w:trPr>
          <w:jc w:val="center"/>
        </w:trPr>
        <w:tc>
          <w:tcPr>
            <w:tcW w:w="0" w:type="auto"/>
            <w:gridSpan w:val="3"/>
            <w:shd w:val="clear" w:color="auto" w:fill="CCEEFF"/>
            <w:tcMar>
              <w:top w:w="40" w:type="dxa"/>
              <w:left w:w="605" w:type="dxa"/>
              <w:bottom w:w="40" w:type="dxa"/>
              <w:right w:w="20" w:type="dxa"/>
            </w:tcMar>
            <w:vAlign w:val="center"/>
          </w:tcPr>
          <w:p w14:paraId="5DEC50EB" w14:textId="77777777" w:rsidR="00B1578D" w:rsidRDefault="004D2C04">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5DEC50EC"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0ED" w14:textId="77777777" w:rsidR="00B1578D" w:rsidRDefault="004D2C04">
            <w:pPr>
              <w:jc w:val="right"/>
              <w:textAlignment w:val="center"/>
            </w:pPr>
            <w:r>
              <w:rPr>
                <w:rFonts w:ascii="Times New Roman" w:eastAsia="宋体" w:hAnsi="Times New Roman"/>
                <w:color w:val="000000"/>
                <w:sz w:val="16"/>
                <w:szCs w:val="16"/>
              </w:rPr>
              <w:t>141,569 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0E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0EF"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0F0" w14:textId="77777777" w:rsidR="00B1578D" w:rsidRDefault="004D2C04">
            <w:pPr>
              <w:jc w:val="right"/>
              <w:textAlignment w:val="center"/>
            </w:pPr>
            <w:r>
              <w:rPr>
                <w:rFonts w:ascii="Times New Roman" w:eastAsia="宋体" w:hAnsi="Times New Roman"/>
                <w:color w:val="000000"/>
                <w:sz w:val="16"/>
                <w:szCs w:val="16"/>
              </w:rPr>
              <w:t>138,310 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0F1" w14:textId="77777777" w:rsidR="00B1578D" w:rsidRDefault="00B1578D">
            <w:pPr>
              <w:jc w:val="right"/>
              <w:rPr>
                <w:rFonts w:ascii="宋体"/>
              </w:rPr>
            </w:pPr>
          </w:p>
        </w:tc>
        <w:tc>
          <w:tcPr>
            <w:tcW w:w="0" w:type="auto"/>
            <w:shd w:val="clear" w:color="auto" w:fill="auto"/>
            <w:vAlign w:val="bottom"/>
          </w:tcPr>
          <w:p w14:paraId="5DEC50F2" w14:textId="77777777" w:rsidR="00B1578D" w:rsidRDefault="00B1578D">
            <w:pPr>
              <w:rPr>
                <w:rFonts w:ascii="宋体"/>
                <w:vanish/>
              </w:rPr>
            </w:pPr>
          </w:p>
        </w:tc>
        <w:tc>
          <w:tcPr>
            <w:tcW w:w="0" w:type="auto"/>
            <w:shd w:val="clear" w:color="auto" w:fill="auto"/>
            <w:vAlign w:val="bottom"/>
          </w:tcPr>
          <w:p w14:paraId="5DEC50F3" w14:textId="77777777" w:rsidR="00B1578D" w:rsidRDefault="00B1578D">
            <w:pPr>
              <w:rPr>
                <w:rFonts w:ascii="宋体"/>
                <w:vanish/>
              </w:rPr>
            </w:pPr>
          </w:p>
        </w:tc>
        <w:tc>
          <w:tcPr>
            <w:tcW w:w="0" w:type="auto"/>
            <w:gridSpan w:val="3"/>
            <w:shd w:val="clear" w:color="auto" w:fill="auto"/>
            <w:vAlign w:val="bottom"/>
          </w:tcPr>
          <w:p w14:paraId="5DEC50F4" w14:textId="77777777" w:rsidR="00B1578D" w:rsidRDefault="00B1578D">
            <w:pPr>
              <w:rPr>
                <w:rFonts w:ascii="宋体"/>
                <w:vanish/>
              </w:rPr>
            </w:pPr>
          </w:p>
        </w:tc>
        <w:tc>
          <w:tcPr>
            <w:tcW w:w="0" w:type="auto"/>
            <w:gridSpan w:val="3"/>
            <w:shd w:val="clear" w:color="auto" w:fill="auto"/>
            <w:vAlign w:val="bottom"/>
          </w:tcPr>
          <w:p w14:paraId="5DEC50F5" w14:textId="77777777" w:rsidR="00B1578D" w:rsidRDefault="00B1578D">
            <w:pPr>
              <w:rPr>
                <w:rFonts w:ascii="宋体"/>
                <w:vanish/>
              </w:rPr>
            </w:pPr>
          </w:p>
        </w:tc>
      </w:tr>
      <w:tr w:rsidR="00B1578D" w14:paraId="5DEC5100" w14:textId="77777777">
        <w:trPr>
          <w:jc w:val="center"/>
        </w:trPr>
        <w:tc>
          <w:tcPr>
            <w:tcW w:w="0" w:type="auto"/>
            <w:gridSpan w:val="3"/>
            <w:shd w:val="clear" w:color="auto" w:fill="FFFFFF"/>
            <w:tcMar>
              <w:top w:w="40" w:type="dxa"/>
              <w:left w:w="20" w:type="dxa"/>
              <w:bottom w:w="40" w:type="dxa"/>
              <w:right w:w="20" w:type="dxa"/>
            </w:tcMar>
            <w:vAlign w:val="center"/>
          </w:tcPr>
          <w:p w14:paraId="5DEC50F7" w14:textId="77777777" w:rsidR="00B1578D" w:rsidRDefault="004D2C04">
            <w:pPr>
              <w:textAlignment w:val="center"/>
            </w:pPr>
            <w:r>
              <w:rPr>
                <w:rFonts w:ascii="Times New Roman" w:eastAsia="宋体" w:hAnsi="Times New Roman"/>
                <w:b/>
                <w:bCs/>
                <w:color w:val="000000"/>
                <w:sz w:val="16"/>
                <w:szCs w:val="16"/>
              </w:rPr>
              <w:t>Costs and expenses:</w:t>
            </w:r>
          </w:p>
        </w:tc>
        <w:tc>
          <w:tcPr>
            <w:tcW w:w="0" w:type="auto"/>
            <w:gridSpan w:val="3"/>
            <w:shd w:val="clear" w:color="auto" w:fill="FFFFFF"/>
            <w:tcMar>
              <w:top w:w="0" w:type="dxa"/>
              <w:left w:w="20" w:type="dxa"/>
              <w:bottom w:w="0" w:type="dxa"/>
              <w:right w:w="20" w:type="dxa"/>
            </w:tcMar>
            <w:vAlign w:val="bottom"/>
          </w:tcPr>
          <w:p w14:paraId="5DEC50F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0F9"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0F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0FB" w14:textId="77777777" w:rsidR="00B1578D" w:rsidRDefault="00B1578D">
            <w:pPr>
              <w:rPr>
                <w:rFonts w:ascii="宋体"/>
              </w:rPr>
            </w:pPr>
          </w:p>
        </w:tc>
        <w:tc>
          <w:tcPr>
            <w:tcW w:w="0" w:type="auto"/>
            <w:shd w:val="clear" w:color="auto" w:fill="auto"/>
            <w:vAlign w:val="bottom"/>
          </w:tcPr>
          <w:p w14:paraId="5DEC50FC" w14:textId="77777777" w:rsidR="00B1578D" w:rsidRDefault="00B1578D">
            <w:pPr>
              <w:rPr>
                <w:rFonts w:ascii="宋体"/>
                <w:vanish/>
              </w:rPr>
            </w:pPr>
          </w:p>
        </w:tc>
        <w:tc>
          <w:tcPr>
            <w:tcW w:w="0" w:type="auto"/>
            <w:shd w:val="clear" w:color="auto" w:fill="auto"/>
            <w:vAlign w:val="bottom"/>
          </w:tcPr>
          <w:p w14:paraId="5DEC50FD" w14:textId="77777777" w:rsidR="00B1578D" w:rsidRDefault="00B1578D">
            <w:pPr>
              <w:rPr>
                <w:rFonts w:ascii="宋体"/>
                <w:vanish/>
              </w:rPr>
            </w:pPr>
          </w:p>
        </w:tc>
        <w:tc>
          <w:tcPr>
            <w:tcW w:w="0" w:type="auto"/>
            <w:gridSpan w:val="3"/>
            <w:shd w:val="clear" w:color="auto" w:fill="auto"/>
            <w:vAlign w:val="bottom"/>
          </w:tcPr>
          <w:p w14:paraId="5DEC50FE" w14:textId="77777777" w:rsidR="00B1578D" w:rsidRDefault="00B1578D">
            <w:pPr>
              <w:rPr>
                <w:rFonts w:ascii="宋体"/>
                <w:vanish/>
              </w:rPr>
            </w:pPr>
          </w:p>
        </w:tc>
        <w:tc>
          <w:tcPr>
            <w:tcW w:w="0" w:type="auto"/>
            <w:gridSpan w:val="3"/>
            <w:shd w:val="clear" w:color="auto" w:fill="auto"/>
            <w:vAlign w:val="bottom"/>
          </w:tcPr>
          <w:p w14:paraId="5DEC50FF" w14:textId="77777777" w:rsidR="00B1578D" w:rsidRDefault="00B1578D">
            <w:pPr>
              <w:rPr>
                <w:rFonts w:ascii="宋体"/>
                <w:vanish/>
              </w:rPr>
            </w:pPr>
          </w:p>
        </w:tc>
      </w:tr>
      <w:tr w:rsidR="00B1578D" w14:paraId="5DEC510C" w14:textId="77777777">
        <w:trPr>
          <w:jc w:val="center"/>
        </w:trPr>
        <w:tc>
          <w:tcPr>
            <w:tcW w:w="0" w:type="auto"/>
            <w:gridSpan w:val="3"/>
            <w:shd w:val="clear" w:color="auto" w:fill="CCEEFF"/>
            <w:tcMar>
              <w:top w:w="40" w:type="dxa"/>
              <w:left w:w="380" w:type="dxa"/>
              <w:bottom w:w="40" w:type="dxa"/>
              <w:right w:w="20" w:type="dxa"/>
            </w:tcMar>
            <w:vAlign w:val="center"/>
          </w:tcPr>
          <w:p w14:paraId="5DEC5101" w14:textId="77777777" w:rsidR="00B1578D" w:rsidRDefault="004D2C04">
            <w:pPr>
              <w:textAlignment w:val="center"/>
            </w:pPr>
            <w:r>
              <w:rPr>
                <w:rFonts w:ascii="Times New Roman" w:eastAsia="宋体" w:hAnsi="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bottom"/>
          </w:tcPr>
          <w:p w14:paraId="5DEC510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03" w14:textId="77777777" w:rsidR="00B1578D" w:rsidRDefault="004D2C04">
            <w:pPr>
              <w:jc w:val="right"/>
              <w:textAlignment w:val="center"/>
            </w:pPr>
            <w:r>
              <w:rPr>
                <w:rFonts w:ascii="Times New Roman" w:eastAsia="宋体" w:hAnsi="Times New Roman"/>
                <w:color w:val="000000"/>
                <w:sz w:val="16"/>
                <w:szCs w:val="16"/>
              </w:rPr>
              <w:t>106,847 </w:t>
            </w:r>
          </w:p>
        </w:tc>
        <w:tc>
          <w:tcPr>
            <w:tcW w:w="0" w:type="auto"/>
            <w:shd w:val="clear" w:color="auto" w:fill="CCEEFF"/>
            <w:tcMar>
              <w:top w:w="40" w:type="dxa"/>
              <w:left w:w="0" w:type="dxa"/>
              <w:bottom w:w="40" w:type="dxa"/>
              <w:right w:w="20" w:type="dxa"/>
            </w:tcMar>
            <w:vAlign w:val="center"/>
          </w:tcPr>
          <w:p w14:paraId="5DEC510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10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06" w14:textId="77777777" w:rsidR="00B1578D" w:rsidRDefault="004D2C04">
            <w:pPr>
              <w:jc w:val="right"/>
              <w:textAlignment w:val="center"/>
            </w:pPr>
            <w:r>
              <w:rPr>
                <w:rFonts w:ascii="Times New Roman" w:eastAsia="宋体" w:hAnsi="Times New Roman"/>
                <w:color w:val="000000"/>
                <w:sz w:val="16"/>
                <w:szCs w:val="16"/>
              </w:rPr>
              <w:t>103,272 </w:t>
            </w:r>
          </w:p>
        </w:tc>
        <w:tc>
          <w:tcPr>
            <w:tcW w:w="0" w:type="auto"/>
            <w:shd w:val="clear" w:color="auto" w:fill="CCEEFF"/>
            <w:tcMar>
              <w:top w:w="40" w:type="dxa"/>
              <w:left w:w="0" w:type="dxa"/>
              <w:bottom w:w="40" w:type="dxa"/>
              <w:right w:w="20" w:type="dxa"/>
            </w:tcMar>
            <w:vAlign w:val="center"/>
          </w:tcPr>
          <w:p w14:paraId="5DEC5107" w14:textId="77777777" w:rsidR="00B1578D" w:rsidRDefault="00B1578D">
            <w:pPr>
              <w:jc w:val="right"/>
              <w:rPr>
                <w:rFonts w:ascii="宋体"/>
              </w:rPr>
            </w:pPr>
          </w:p>
        </w:tc>
        <w:tc>
          <w:tcPr>
            <w:tcW w:w="0" w:type="auto"/>
            <w:shd w:val="clear" w:color="auto" w:fill="auto"/>
            <w:vAlign w:val="bottom"/>
          </w:tcPr>
          <w:p w14:paraId="5DEC5108" w14:textId="77777777" w:rsidR="00B1578D" w:rsidRDefault="00B1578D">
            <w:pPr>
              <w:rPr>
                <w:rFonts w:ascii="宋体"/>
                <w:vanish/>
              </w:rPr>
            </w:pPr>
          </w:p>
        </w:tc>
        <w:tc>
          <w:tcPr>
            <w:tcW w:w="0" w:type="auto"/>
            <w:shd w:val="clear" w:color="auto" w:fill="auto"/>
            <w:vAlign w:val="bottom"/>
          </w:tcPr>
          <w:p w14:paraId="5DEC5109" w14:textId="77777777" w:rsidR="00B1578D" w:rsidRDefault="00B1578D">
            <w:pPr>
              <w:rPr>
                <w:rFonts w:ascii="宋体"/>
                <w:vanish/>
              </w:rPr>
            </w:pPr>
          </w:p>
        </w:tc>
        <w:tc>
          <w:tcPr>
            <w:tcW w:w="0" w:type="auto"/>
            <w:gridSpan w:val="3"/>
            <w:shd w:val="clear" w:color="auto" w:fill="auto"/>
            <w:vAlign w:val="bottom"/>
          </w:tcPr>
          <w:p w14:paraId="5DEC510A" w14:textId="77777777" w:rsidR="00B1578D" w:rsidRDefault="00B1578D">
            <w:pPr>
              <w:rPr>
                <w:rFonts w:ascii="宋体"/>
                <w:vanish/>
              </w:rPr>
            </w:pPr>
          </w:p>
        </w:tc>
        <w:tc>
          <w:tcPr>
            <w:tcW w:w="0" w:type="auto"/>
            <w:gridSpan w:val="3"/>
            <w:shd w:val="clear" w:color="auto" w:fill="auto"/>
            <w:vAlign w:val="bottom"/>
          </w:tcPr>
          <w:p w14:paraId="5DEC510B" w14:textId="77777777" w:rsidR="00B1578D" w:rsidRDefault="00B1578D">
            <w:pPr>
              <w:rPr>
                <w:rFonts w:ascii="宋体"/>
                <w:vanish/>
              </w:rPr>
            </w:pPr>
          </w:p>
        </w:tc>
      </w:tr>
      <w:tr w:rsidR="00B1578D" w14:paraId="5DEC5118" w14:textId="77777777">
        <w:trPr>
          <w:jc w:val="center"/>
        </w:trPr>
        <w:tc>
          <w:tcPr>
            <w:tcW w:w="0" w:type="auto"/>
            <w:gridSpan w:val="3"/>
            <w:shd w:val="clear" w:color="auto" w:fill="FFFFFF"/>
            <w:tcMar>
              <w:top w:w="40" w:type="dxa"/>
              <w:left w:w="380" w:type="dxa"/>
              <w:bottom w:w="40" w:type="dxa"/>
              <w:right w:w="20" w:type="dxa"/>
            </w:tcMar>
            <w:vAlign w:val="center"/>
          </w:tcPr>
          <w:p w14:paraId="5DEC510D" w14:textId="77777777" w:rsidR="00B1578D" w:rsidRDefault="004D2C04">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FFFFFF"/>
            <w:tcMar>
              <w:top w:w="0" w:type="dxa"/>
              <w:left w:w="20" w:type="dxa"/>
              <w:bottom w:w="0" w:type="dxa"/>
              <w:right w:w="20" w:type="dxa"/>
            </w:tcMar>
            <w:vAlign w:val="bottom"/>
          </w:tcPr>
          <w:p w14:paraId="5DEC510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10F" w14:textId="77777777" w:rsidR="00B1578D" w:rsidRDefault="004D2C04">
            <w:pPr>
              <w:jc w:val="right"/>
              <w:textAlignment w:val="center"/>
            </w:pPr>
            <w:r>
              <w:rPr>
                <w:rFonts w:ascii="Times New Roman" w:eastAsia="宋体" w:hAnsi="Times New Roman"/>
                <w:color w:val="000000"/>
                <w:sz w:val="16"/>
                <w:szCs w:val="16"/>
              </w:rPr>
              <w:t>29,404 </w:t>
            </w:r>
          </w:p>
        </w:tc>
        <w:tc>
          <w:tcPr>
            <w:tcW w:w="0" w:type="auto"/>
            <w:shd w:val="clear" w:color="auto" w:fill="FFFFFF"/>
            <w:tcMar>
              <w:top w:w="40" w:type="dxa"/>
              <w:left w:w="0" w:type="dxa"/>
              <w:bottom w:w="40" w:type="dxa"/>
              <w:right w:w="20" w:type="dxa"/>
            </w:tcMar>
            <w:vAlign w:val="center"/>
          </w:tcPr>
          <w:p w14:paraId="5DEC511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11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112" w14:textId="77777777" w:rsidR="00B1578D" w:rsidRDefault="004D2C04">
            <w:pPr>
              <w:jc w:val="right"/>
              <w:textAlignment w:val="center"/>
            </w:pPr>
            <w:r>
              <w:rPr>
                <w:rFonts w:ascii="Times New Roman" w:eastAsia="宋体" w:hAnsi="Times New Roman"/>
                <w:color w:val="000000"/>
                <w:sz w:val="16"/>
                <w:szCs w:val="16"/>
              </w:rPr>
              <w:t>28,129 </w:t>
            </w:r>
          </w:p>
        </w:tc>
        <w:tc>
          <w:tcPr>
            <w:tcW w:w="0" w:type="auto"/>
            <w:shd w:val="clear" w:color="auto" w:fill="FFFFFF"/>
            <w:tcMar>
              <w:top w:w="40" w:type="dxa"/>
              <w:left w:w="0" w:type="dxa"/>
              <w:bottom w:w="40" w:type="dxa"/>
              <w:right w:w="20" w:type="dxa"/>
            </w:tcMar>
            <w:vAlign w:val="center"/>
          </w:tcPr>
          <w:p w14:paraId="5DEC5113" w14:textId="77777777" w:rsidR="00B1578D" w:rsidRDefault="00B1578D">
            <w:pPr>
              <w:jc w:val="right"/>
              <w:rPr>
                <w:rFonts w:ascii="宋体"/>
              </w:rPr>
            </w:pPr>
          </w:p>
        </w:tc>
        <w:tc>
          <w:tcPr>
            <w:tcW w:w="0" w:type="auto"/>
            <w:shd w:val="clear" w:color="auto" w:fill="auto"/>
            <w:vAlign w:val="bottom"/>
          </w:tcPr>
          <w:p w14:paraId="5DEC5114" w14:textId="77777777" w:rsidR="00B1578D" w:rsidRDefault="00B1578D">
            <w:pPr>
              <w:rPr>
                <w:rFonts w:ascii="宋体"/>
                <w:vanish/>
              </w:rPr>
            </w:pPr>
          </w:p>
        </w:tc>
        <w:tc>
          <w:tcPr>
            <w:tcW w:w="0" w:type="auto"/>
            <w:shd w:val="clear" w:color="auto" w:fill="auto"/>
            <w:vAlign w:val="bottom"/>
          </w:tcPr>
          <w:p w14:paraId="5DEC5115" w14:textId="77777777" w:rsidR="00B1578D" w:rsidRDefault="00B1578D">
            <w:pPr>
              <w:rPr>
                <w:rFonts w:ascii="宋体"/>
                <w:vanish/>
              </w:rPr>
            </w:pPr>
          </w:p>
        </w:tc>
        <w:tc>
          <w:tcPr>
            <w:tcW w:w="0" w:type="auto"/>
            <w:gridSpan w:val="3"/>
            <w:shd w:val="clear" w:color="auto" w:fill="auto"/>
            <w:vAlign w:val="bottom"/>
          </w:tcPr>
          <w:p w14:paraId="5DEC5116" w14:textId="77777777" w:rsidR="00B1578D" w:rsidRDefault="00B1578D">
            <w:pPr>
              <w:rPr>
                <w:rFonts w:ascii="宋体"/>
                <w:vanish/>
              </w:rPr>
            </w:pPr>
          </w:p>
        </w:tc>
        <w:tc>
          <w:tcPr>
            <w:tcW w:w="0" w:type="auto"/>
            <w:gridSpan w:val="3"/>
            <w:shd w:val="clear" w:color="auto" w:fill="auto"/>
            <w:vAlign w:val="bottom"/>
          </w:tcPr>
          <w:p w14:paraId="5DEC5117" w14:textId="77777777" w:rsidR="00B1578D" w:rsidRDefault="00B1578D">
            <w:pPr>
              <w:rPr>
                <w:rFonts w:ascii="宋体"/>
                <w:vanish/>
              </w:rPr>
            </w:pPr>
          </w:p>
        </w:tc>
      </w:tr>
      <w:tr w:rsidR="00B1578D" w14:paraId="5DEC5124" w14:textId="77777777">
        <w:trPr>
          <w:jc w:val="center"/>
        </w:trPr>
        <w:tc>
          <w:tcPr>
            <w:tcW w:w="0" w:type="auto"/>
            <w:gridSpan w:val="3"/>
            <w:shd w:val="clear" w:color="auto" w:fill="CCEEFF"/>
            <w:tcMar>
              <w:top w:w="40" w:type="dxa"/>
              <w:left w:w="20" w:type="dxa"/>
              <w:bottom w:w="40" w:type="dxa"/>
              <w:right w:w="20" w:type="dxa"/>
            </w:tcMar>
            <w:vAlign w:val="center"/>
          </w:tcPr>
          <w:p w14:paraId="5DEC5119" w14:textId="77777777" w:rsidR="00B1578D" w:rsidRDefault="004D2C04">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5DEC511A"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11B" w14:textId="77777777" w:rsidR="00B1578D" w:rsidRDefault="004D2C04">
            <w:pPr>
              <w:jc w:val="right"/>
              <w:textAlignment w:val="center"/>
            </w:pPr>
            <w:r>
              <w:rPr>
                <w:rFonts w:ascii="Times New Roman" w:eastAsia="宋体" w:hAnsi="Times New Roman"/>
                <w:color w:val="000000"/>
                <w:sz w:val="16"/>
                <w:szCs w:val="16"/>
              </w:rPr>
              <w:t>5,318 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11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11D"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11E" w14:textId="77777777" w:rsidR="00B1578D" w:rsidRDefault="004D2C04">
            <w:pPr>
              <w:jc w:val="right"/>
              <w:textAlignment w:val="center"/>
            </w:pPr>
            <w:r>
              <w:rPr>
                <w:rFonts w:ascii="Times New Roman" w:eastAsia="宋体" w:hAnsi="Times New Roman"/>
                <w:color w:val="000000"/>
                <w:sz w:val="16"/>
                <w:szCs w:val="16"/>
              </w:rPr>
              <w:t>6,909 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11F" w14:textId="77777777" w:rsidR="00B1578D" w:rsidRDefault="00B1578D">
            <w:pPr>
              <w:jc w:val="right"/>
              <w:rPr>
                <w:rFonts w:ascii="宋体"/>
              </w:rPr>
            </w:pPr>
          </w:p>
        </w:tc>
        <w:tc>
          <w:tcPr>
            <w:tcW w:w="0" w:type="auto"/>
            <w:shd w:val="clear" w:color="auto" w:fill="auto"/>
            <w:vAlign w:val="bottom"/>
          </w:tcPr>
          <w:p w14:paraId="5DEC5120" w14:textId="77777777" w:rsidR="00B1578D" w:rsidRDefault="00B1578D">
            <w:pPr>
              <w:rPr>
                <w:rFonts w:ascii="宋体"/>
                <w:vanish/>
              </w:rPr>
            </w:pPr>
          </w:p>
        </w:tc>
        <w:tc>
          <w:tcPr>
            <w:tcW w:w="0" w:type="auto"/>
            <w:shd w:val="clear" w:color="auto" w:fill="auto"/>
            <w:vAlign w:val="bottom"/>
          </w:tcPr>
          <w:p w14:paraId="5DEC5121" w14:textId="77777777" w:rsidR="00B1578D" w:rsidRDefault="00B1578D">
            <w:pPr>
              <w:rPr>
                <w:rFonts w:ascii="宋体"/>
                <w:vanish/>
              </w:rPr>
            </w:pPr>
          </w:p>
        </w:tc>
        <w:tc>
          <w:tcPr>
            <w:tcW w:w="0" w:type="auto"/>
            <w:gridSpan w:val="3"/>
            <w:shd w:val="clear" w:color="auto" w:fill="auto"/>
            <w:vAlign w:val="bottom"/>
          </w:tcPr>
          <w:p w14:paraId="5DEC5122" w14:textId="77777777" w:rsidR="00B1578D" w:rsidRDefault="00B1578D">
            <w:pPr>
              <w:rPr>
                <w:rFonts w:ascii="宋体"/>
                <w:vanish/>
              </w:rPr>
            </w:pPr>
          </w:p>
        </w:tc>
        <w:tc>
          <w:tcPr>
            <w:tcW w:w="0" w:type="auto"/>
            <w:gridSpan w:val="3"/>
            <w:shd w:val="clear" w:color="auto" w:fill="auto"/>
            <w:vAlign w:val="bottom"/>
          </w:tcPr>
          <w:p w14:paraId="5DEC5123" w14:textId="77777777" w:rsidR="00B1578D" w:rsidRDefault="00B1578D">
            <w:pPr>
              <w:rPr>
                <w:rFonts w:ascii="宋体"/>
                <w:vanish/>
              </w:rPr>
            </w:pPr>
          </w:p>
        </w:tc>
      </w:tr>
      <w:tr w:rsidR="00B1578D" w14:paraId="5DEC512E" w14:textId="77777777">
        <w:trPr>
          <w:jc w:val="center"/>
        </w:trPr>
        <w:tc>
          <w:tcPr>
            <w:tcW w:w="0" w:type="auto"/>
            <w:gridSpan w:val="3"/>
            <w:shd w:val="clear" w:color="auto" w:fill="FFFFFF"/>
            <w:tcMar>
              <w:top w:w="40" w:type="dxa"/>
              <w:left w:w="20" w:type="dxa"/>
              <w:bottom w:w="40" w:type="dxa"/>
              <w:right w:w="20" w:type="dxa"/>
            </w:tcMar>
            <w:vAlign w:val="center"/>
          </w:tcPr>
          <w:p w14:paraId="5DEC5125" w14:textId="77777777" w:rsidR="00B1578D" w:rsidRDefault="004D2C04">
            <w:pPr>
              <w:textAlignment w:val="center"/>
            </w:pPr>
            <w:r>
              <w:rPr>
                <w:rFonts w:ascii="Times New Roman" w:eastAsia="宋体" w:hAnsi="Times New Roman"/>
                <w:b/>
                <w:bCs/>
                <w:color w:val="000000"/>
                <w:sz w:val="16"/>
                <w:szCs w:val="16"/>
              </w:rPr>
              <w:t>Interest:</w:t>
            </w:r>
          </w:p>
        </w:tc>
        <w:tc>
          <w:tcPr>
            <w:tcW w:w="0" w:type="auto"/>
            <w:gridSpan w:val="3"/>
            <w:shd w:val="clear" w:color="auto" w:fill="FFFFFF"/>
            <w:tcMar>
              <w:top w:w="0" w:type="dxa"/>
              <w:left w:w="20" w:type="dxa"/>
              <w:bottom w:w="0" w:type="dxa"/>
              <w:right w:w="20" w:type="dxa"/>
            </w:tcMar>
            <w:vAlign w:val="bottom"/>
          </w:tcPr>
          <w:p w14:paraId="5DEC512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127"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12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129" w14:textId="77777777" w:rsidR="00B1578D" w:rsidRDefault="00B1578D">
            <w:pPr>
              <w:rPr>
                <w:rFonts w:ascii="宋体"/>
              </w:rPr>
            </w:pPr>
          </w:p>
        </w:tc>
        <w:tc>
          <w:tcPr>
            <w:tcW w:w="0" w:type="auto"/>
            <w:shd w:val="clear" w:color="auto" w:fill="auto"/>
            <w:vAlign w:val="bottom"/>
          </w:tcPr>
          <w:p w14:paraId="5DEC512A" w14:textId="77777777" w:rsidR="00B1578D" w:rsidRDefault="00B1578D">
            <w:pPr>
              <w:rPr>
                <w:rFonts w:ascii="宋体"/>
                <w:vanish/>
              </w:rPr>
            </w:pPr>
          </w:p>
        </w:tc>
        <w:tc>
          <w:tcPr>
            <w:tcW w:w="0" w:type="auto"/>
            <w:shd w:val="clear" w:color="auto" w:fill="auto"/>
            <w:vAlign w:val="bottom"/>
          </w:tcPr>
          <w:p w14:paraId="5DEC512B" w14:textId="77777777" w:rsidR="00B1578D" w:rsidRDefault="00B1578D">
            <w:pPr>
              <w:rPr>
                <w:rFonts w:ascii="宋体"/>
                <w:vanish/>
              </w:rPr>
            </w:pPr>
          </w:p>
        </w:tc>
        <w:tc>
          <w:tcPr>
            <w:tcW w:w="0" w:type="auto"/>
            <w:gridSpan w:val="3"/>
            <w:shd w:val="clear" w:color="auto" w:fill="auto"/>
            <w:vAlign w:val="bottom"/>
          </w:tcPr>
          <w:p w14:paraId="5DEC512C" w14:textId="77777777" w:rsidR="00B1578D" w:rsidRDefault="00B1578D">
            <w:pPr>
              <w:rPr>
                <w:rFonts w:ascii="宋体"/>
                <w:vanish/>
              </w:rPr>
            </w:pPr>
          </w:p>
        </w:tc>
        <w:tc>
          <w:tcPr>
            <w:tcW w:w="0" w:type="auto"/>
            <w:gridSpan w:val="3"/>
            <w:shd w:val="clear" w:color="auto" w:fill="auto"/>
            <w:vAlign w:val="bottom"/>
          </w:tcPr>
          <w:p w14:paraId="5DEC512D" w14:textId="77777777" w:rsidR="00B1578D" w:rsidRDefault="00B1578D">
            <w:pPr>
              <w:rPr>
                <w:rFonts w:ascii="宋体"/>
                <w:vanish/>
              </w:rPr>
            </w:pPr>
          </w:p>
        </w:tc>
      </w:tr>
      <w:tr w:rsidR="00B1578D" w14:paraId="5DEC513A" w14:textId="77777777">
        <w:trPr>
          <w:jc w:val="center"/>
        </w:trPr>
        <w:tc>
          <w:tcPr>
            <w:tcW w:w="0" w:type="auto"/>
            <w:gridSpan w:val="3"/>
            <w:shd w:val="clear" w:color="auto" w:fill="CCEEFF"/>
            <w:tcMar>
              <w:top w:w="40" w:type="dxa"/>
              <w:left w:w="380" w:type="dxa"/>
              <w:bottom w:w="40" w:type="dxa"/>
              <w:right w:w="20" w:type="dxa"/>
            </w:tcMar>
            <w:vAlign w:val="center"/>
          </w:tcPr>
          <w:p w14:paraId="5DEC512F" w14:textId="77777777" w:rsidR="00B1578D" w:rsidRDefault="004D2C04">
            <w:pPr>
              <w:textAlignment w:val="center"/>
            </w:pPr>
            <w:r>
              <w:rPr>
                <w:rFonts w:ascii="Times New Roman" w:eastAsia="宋体" w:hAnsi="Times New Roman"/>
                <w:color w:val="000000"/>
                <w:sz w:val="16"/>
                <w:szCs w:val="16"/>
              </w:rPr>
              <w:t>Debt</w:t>
            </w:r>
          </w:p>
        </w:tc>
        <w:tc>
          <w:tcPr>
            <w:tcW w:w="0" w:type="auto"/>
            <w:gridSpan w:val="3"/>
            <w:shd w:val="clear" w:color="auto" w:fill="CCEEFF"/>
            <w:tcMar>
              <w:top w:w="0" w:type="dxa"/>
              <w:left w:w="20" w:type="dxa"/>
              <w:bottom w:w="0" w:type="dxa"/>
              <w:right w:w="20" w:type="dxa"/>
            </w:tcMar>
            <w:vAlign w:val="bottom"/>
          </w:tcPr>
          <w:p w14:paraId="5DEC513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31" w14:textId="77777777" w:rsidR="00B1578D" w:rsidRDefault="004D2C04">
            <w:pPr>
              <w:jc w:val="right"/>
              <w:textAlignment w:val="center"/>
            </w:pPr>
            <w:r>
              <w:rPr>
                <w:rFonts w:ascii="Times New Roman" w:eastAsia="宋体" w:hAnsi="Times New Roman"/>
                <w:color w:val="000000"/>
                <w:sz w:val="16"/>
                <w:szCs w:val="16"/>
              </w:rPr>
              <w:t>372 </w:t>
            </w:r>
          </w:p>
        </w:tc>
        <w:tc>
          <w:tcPr>
            <w:tcW w:w="0" w:type="auto"/>
            <w:shd w:val="clear" w:color="auto" w:fill="CCEEFF"/>
            <w:tcMar>
              <w:top w:w="40" w:type="dxa"/>
              <w:left w:w="0" w:type="dxa"/>
              <w:bottom w:w="40" w:type="dxa"/>
              <w:right w:w="20" w:type="dxa"/>
            </w:tcMar>
            <w:vAlign w:val="center"/>
          </w:tcPr>
          <w:p w14:paraId="5DEC513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13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34" w14:textId="77777777" w:rsidR="00B1578D" w:rsidRDefault="004D2C04">
            <w:pPr>
              <w:jc w:val="right"/>
              <w:textAlignment w:val="center"/>
            </w:pPr>
            <w:r>
              <w:rPr>
                <w:rFonts w:ascii="Times New Roman" w:eastAsia="宋体" w:hAnsi="Times New Roman"/>
                <w:color w:val="000000"/>
                <w:sz w:val="16"/>
                <w:szCs w:val="16"/>
              </w:rPr>
              <w:t>481 </w:t>
            </w:r>
          </w:p>
        </w:tc>
        <w:tc>
          <w:tcPr>
            <w:tcW w:w="0" w:type="auto"/>
            <w:shd w:val="clear" w:color="auto" w:fill="CCEEFF"/>
            <w:tcMar>
              <w:top w:w="40" w:type="dxa"/>
              <w:left w:w="0" w:type="dxa"/>
              <w:bottom w:w="40" w:type="dxa"/>
              <w:right w:w="20" w:type="dxa"/>
            </w:tcMar>
            <w:vAlign w:val="center"/>
          </w:tcPr>
          <w:p w14:paraId="5DEC5135" w14:textId="77777777" w:rsidR="00B1578D" w:rsidRDefault="00B1578D">
            <w:pPr>
              <w:jc w:val="right"/>
              <w:rPr>
                <w:rFonts w:ascii="宋体"/>
              </w:rPr>
            </w:pPr>
          </w:p>
        </w:tc>
        <w:tc>
          <w:tcPr>
            <w:tcW w:w="0" w:type="auto"/>
            <w:shd w:val="clear" w:color="auto" w:fill="auto"/>
            <w:vAlign w:val="bottom"/>
          </w:tcPr>
          <w:p w14:paraId="5DEC5136" w14:textId="77777777" w:rsidR="00B1578D" w:rsidRDefault="00B1578D">
            <w:pPr>
              <w:rPr>
                <w:rFonts w:ascii="宋体"/>
                <w:vanish/>
              </w:rPr>
            </w:pPr>
          </w:p>
        </w:tc>
        <w:tc>
          <w:tcPr>
            <w:tcW w:w="0" w:type="auto"/>
            <w:shd w:val="clear" w:color="auto" w:fill="auto"/>
            <w:vAlign w:val="bottom"/>
          </w:tcPr>
          <w:p w14:paraId="5DEC5137" w14:textId="77777777" w:rsidR="00B1578D" w:rsidRDefault="00B1578D">
            <w:pPr>
              <w:rPr>
                <w:rFonts w:ascii="宋体"/>
                <w:vanish/>
              </w:rPr>
            </w:pPr>
          </w:p>
        </w:tc>
        <w:tc>
          <w:tcPr>
            <w:tcW w:w="0" w:type="auto"/>
            <w:gridSpan w:val="3"/>
            <w:shd w:val="clear" w:color="auto" w:fill="auto"/>
            <w:vAlign w:val="bottom"/>
          </w:tcPr>
          <w:p w14:paraId="5DEC5138" w14:textId="77777777" w:rsidR="00B1578D" w:rsidRDefault="00B1578D">
            <w:pPr>
              <w:rPr>
                <w:rFonts w:ascii="宋体"/>
                <w:vanish/>
              </w:rPr>
            </w:pPr>
          </w:p>
        </w:tc>
        <w:tc>
          <w:tcPr>
            <w:tcW w:w="0" w:type="auto"/>
            <w:gridSpan w:val="3"/>
            <w:shd w:val="clear" w:color="auto" w:fill="auto"/>
            <w:vAlign w:val="bottom"/>
          </w:tcPr>
          <w:p w14:paraId="5DEC5139" w14:textId="77777777" w:rsidR="00B1578D" w:rsidRDefault="00B1578D">
            <w:pPr>
              <w:rPr>
                <w:rFonts w:ascii="宋体"/>
                <w:vanish/>
              </w:rPr>
            </w:pPr>
          </w:p>
        </w:tc>
      </w:tr>
      <w:tr w:rsidR="00B1578D" w14:paraId="5DEC5146" w14:textId="77777777">
        <w:trPr>
          <w:jc w:val="center"/>
        </w:trPr>
        <w:tc>
          <w:tcPr>
            <w:tcW w:w="0" w:type="auto"/>
            <w:gridSpan w:val="3"/>
            <w:shd w:val="clear" w:color="auto" w:fill="FFFFFF"/>
            <w:tcMar>
              <w:top w:w="40" w:type="dxa"/>
              <w:left w:w="380" w:type="dxa"/>
              <w:bottom w:w="40" w:type="dxa"/>
              <w:right w:w="20" w:type="dxa"/>
            </w:tcMar>
            <w:vAlign w:val="center"/>
          </w:tcPr>
          <w:p w14:paraId="5DEC513B" w14:textId="77777777" w:rsidR="00B1578D" w:rsidRDefault="004D2C04">
            <w:pPr>
              <w:textAlignment w:val="center"/>
            </w:pPr>
            <w:r>
              <w:rPr>
                <w:rFonts w:ascii="Times New Roman" w:eastAsia="宋体" w:hAnsi="Times New Roman"/>
                <w:color w:val="000000"/>
                <w:sz w:val="16"/>
                <w:szCs w:val="16"/>
              </w:rPr>
              <w:t>Finance lease</w:t>
            </w:r>
          </w:p>
        </w:tc>
        <w:tc>
          <w:tcPr>
            <w:tcW w:w="0" w:type="auto"/>
            <w:gridSpan w:val="3"/>
            <w:shd w:val="clear" w:color="auto" w:fill="FFFFFF"/>
            <w:tcMar>
              <w:top w:w="0" w:type="dxa"/>
              <w:left w:w="20" w:type="dxa"/>
              <w:bottom w:w="0" w:type="dxa"/>
              <w:right w:w="20" w:type="dxa"/>
            </w:tcMar>
            <w:vAlign w:val="bottom"/>
          </w:tcPr>
          <w:p w14:paraId="5DEC513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13D" w14:textId="77777777" w:rsidR="00B1578D" w:rsidRDefault="004D2C04">
            <w:pPr>
              <w:jc w:val="right"/>
              <w:textAlignment w:val="center"/>
            </w:pPr>
            <w:r>
              <w:rPr>
                <w:rFonts w:ascii="Times New Roman" w:eastAsia="宋体" w:hAnsi="Times New Roman"/>
                <w:color w:val="000000"/>
                <w:sz w:val="16"/>
                <w:szCs w:val="16"/>
              </w:rPr>
              <w:t>83 </w:t>
            </w:r>
          </w:p>
        </w:tc>
        <w:tc>
          <w:tcPr>
            <w:tcW w:w="0" w:type="auto"/>
            <w:shd w:val="clear" w:color="auto" w:fill="FFFFFF"/>
            <w:tcMar>
              <w:top w:w="40" w:type="dxa"/>
              <w:left w:w="0" w:type="dxa"/>
              <w:bottom w:w="40" w:type="dxa"/>
              <w:right w:w="20" w:type="dxa"/>
            </w:tcMar>
            <w:vAlign w:val="center"/>
          </w:tcPr>
          <w:p w14:paraId="5DEC513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13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140" w14:textId="77777777" w:rsidR="00B1578D" w:rsidRDefault="004D2C04">
            <w:pPr>
              <w:jc w:val="right"/>
              <w:textAlignment w:val="center"/>
            </w:pPr>
            <w:r>
              <w:rPr>
                <w:rFonts w:ascii="Times New Roman" w:eastAsia="宋体" w:hAnsi="Times New Roman"/>
                <w:color w:val="000000"/>
                <w:sz w:val="16"/>
                <w:szCs w:val="16"/>
              </w:rPr>
              <w:t>85 </w:t>
            </w:r>
          </w:p>
        </w:tc>
        <w:tc>
          <w:tcPr>
            <w:tcW w:w="0" w:type="auto"/>
            <w:shd w:val="clear" w:color="auto" w:fill="FFFFFF"/>
            <w:tcMar>
              <w:top w:w="40" w:type="dxa"/>
              <w:left w:w="0" w:type="dxa"/>
              <w:bottom w:w="40" w:type="dxa"/>
              <w:right w:w="20" w:type="dxa"/>
            </w:tcMar>
            <w:vAlign w:val="center"/>
          </w:tcPr>
          <w:p w14:paraId="5DEC5141" w14:textId="77777777" w:rsidR="00B1578D" w:rsidRDefault="00B1578D">
            <w:pPr>
              <w:jc w:val="right"/>
              <w:rPr>
                <w:rFonts w:ascii="宋体"/>
              </w:rPr>
            </w:pPr>
          </w:p>
        </w:tc>
        <w:tc>
          <w:tcPr>
            <w:tcW w:w="0" w:type="auto"/>
            <w:shd w:val="clear" w:color="auto" w:fill="auto"/>
            <w:vAlign w:val="bottom"/>
          </w:tcPr>
          <w:p w14:paraId="5DEC5142" w14:textId="77777777" w:rsidR="00B1578D" w:rsidRDefault="00B1578D">
            <w:pPr>
              <w:rPr>
                <w:rFonts w:ascii="宋体"/>
                <w:vanish/>
              </w:rPr>
            </w:pPr>
          </w:p>
        </w:tc>
        <w:tc>
          <w:tcPr>
            <w:tcW w:w="0" w:type="auto"/>
            <w:shd w:val="clear" w:color="auto" w:fill="auto"/>
            <w:vAlign w:val="bottom"/>
          </w:tcPr>
          <w:p w14:paraId="5DEC5143" w14:textId="77777777" w:rsidR="00B1578D" w:rsidRDefault="00B1578D">
            <w:pPr>
              <w:rPr>
                <w:rFonts w:ascii="宋体"/>
                <w:vanish/>
              </w:rPr>
            </w:pPr>
          </w:p>
        </w:tc>
        <w:tc>
          <w:tcPr>
            <w:tcW w:w="0" w:type="auto"/>
            <w:gridSpan w:val="3"/>
            <w:shd w:val="clear" w:color="auto" w:fill="auto"/>
            <w:vAlign w:val="bottom"/>
          </w:tcPr>
          <w:p w14:paraId="5DEC5144" w14:textId="77777777" w:rsidR="00B1578D" w:rsidRDefault="00B1578D">
            <w:pPr>
              <w:rPr>
                <w:rFonts w:ascii="宋体"/>
                <w:vanish/>
              </w:rPr>
            </w:pPr>
          </w:p>
        </w:tc>
        <w:tc>
          <w:tcPr>
            <w:tcW w:w="0" w:type="auto"/>
            <w:gridSpan w:val="3"/>
            <w:shd w:val="clear" w:color="auto" w:fill="auto"/>
            <w:vAlign w:val="bottom"/>
          </w:tcPr>
          <w:p w14:paraId="5DEC5145" w14:textId="77777777" w:rsidR="00B1578D" w:rsidRDefault="00B1578D">
            <w:pPr>
              <w:rPr>
                <w:rFonts w:ascii="宋体"/>
                <w:vanish/>
              </w:rPr>
            </w:pPr>
          </w:p>
        </w:tc>
      </w:tr>
      <w:tr w:rsidR="00B1578D" w14:paraId="5DEC5152" w14:textId="77777777">
        <w:trPr>
          <w:jc w:val="center"/>
        </w:trPr>
        <w:tc>
          <w:tcPr>
            <w:tcW w:w="0" w:type="auto"/>
            <w:gridSpan w:val="3"/>
            <w:shd w:val="clear" w:color="auto" w:fill="CCEEFF"/>
            <w:tcMar>
              <w:top w:w="40" w:type="dxa"/>
              <w:left w:w="380" w:type="dxa"/>
              <w:bottom w:w="40" w:type="dxa"/>
              <w:right w:w="20" w:type="dxa"/>
            </w:tcMar>
            <w:vAlign w:val="center"/>
          </w:tcPr>
          <w:p w14:paraId="5DEC5147" w14:textId="77777777" w:rsidR="00B1578D" w:rsidRDefault="004D2C04">
            <w:pPr>
              <w:textAlignment w:val="center"/>
            </w:pPr>
            <w:r>
              <w:rPr>
                <w:rFonts w:ascii="Times New Roman" w:eastAsia="宋体" w:hAnsi="Times New Roman"/>
                <w:color w:val="000000"/>
                <w:sz w:val="16"/>
                <w:szCs w:val="16"/>
              </w:rPr>
              <w:t>Interest income</w:t>
            </w:r>
          </w:p>
        </w:tc>
        <w:tc>
          <w:tcPr>
            <w:tcW w:w="0" w:type="auto"/>
            <w:gridSpan w:val="3"/>
            <w:shd w:val="clear" w:color="auto" w:fill="CCEEFF"/>
            <w:tcMar>
              <w:top w:w="0" w:type="dxa"/>
              <w:left w:w="20" w:type="dxa"/>
              <w:bottom w:w="0" w:type="dxa"/>
              <w:right w:w="20" w:type="dxa"/>
            </w:tcMar>
            <w:vAlign w:val="bottom"/>
          </w:tcPr>
          <w:p w14:paraId="5DEC514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49" w14:textId="77777777" w:rsidR="00B1578D" w:rsidRDefault="004D2C04">
            <w:pPr>
              <w:jc w:val="right"/>
              <w:textAlignment w:val="center"/>
            </w:pPr>
            <w:r>
              <w:rPr>
                <w:rFonts w:ascii="Times New Roman" w:eastAsia="宋体" w:hAnsi="Times New Roman"/>
                <w:color w:val="000000"/>
                <w:sz w:val="16"/>
                <w:szCs w:val="16"/>
              </w:rPr>
              <w:t>(36)</w:t>
            </w:r>
          </w:p>
        </w:tc>
        <w:tc>
          <w:tcPr>
            <w:tcW w:w="0" w:type="auto"/>
            <w:shd w:val="clear" w:color="auto" w:fill="CCEEFF"/>
            <w:tcMar>
              <w:top w:w="40" w:type="dxa"/>
              <w:left w:w="0" w:type="dxa"/>
              <w:bottom w:w="40" w:type="dxa"/>
              <w:right w:w="20" w:type="dxa"/>
            </w:tcMar>
            <w:vAlign w:val="center"/>
          </w:tcPr>
          <w:p w14:paraId="5DEC514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14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4C" w14:textId="77777777" w:rsidR="00B1578D" w:rsidRDefault="004D2C04">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5DEC514D" w14:textId="77777777" w:rsidR="00B1578D" w:rsidRDefault="00B1578D">
            <w:pPr>
              <w:jc w:val="right"/>
              <w:rPr>
                <w:rFonts w:ascii="宋体"/>
              </w:rPr>
            </w:pPr>
          </w:p>
        </w:tc>
        <w:tc>
          <w:tcPr>
            <w:tcW w:w="0" w:type="auto"/>
            <w:shd w:val="clear" w:color="auto" w:fill="auto"/>
            <w:vAlign w:val="bottom"/>
          </w:tcPr>
          <w:p w14:paraId="5DEC514E" w14:textId="77777777" w:rsidR="00B1578D" w:rsidRDefault="00B1578D">
            <w:pPr>
              <w:rPr>
                <w:rFonts w:ascii="宋体"/>
                <w:vanish/>
              </w:rPr>
            </w:pPr>
          </w:p>
        </w:tc>
        <w:tc>
          <w:tcPr>
            <w:tcW w:w="0" w:type="auto"/>
            <w:shd w:val="clear" w:color="auto" w:fill="auto"/>
            <w:vAlign w:val="bottom"/>
          </w:tcPr>
          <w:p w14:paraId="5DEC514F" w14:textId="77777777" w:rsidR="00B1578D" w:rsidRDefault="00B1578D">
            <w:pPr>
              <w:rPr>
                <w:rFonts w:ascii="宋体"/>
                <w:vanish/>
              </w:rPr>
            </w:pPr>
          </w:p>
        </w:tc>
        <w:tc>
          <w:tcPr>
            <w:tcW w:w="0" w:type="auto"/>
            <w:gridSpan w:val="3"/>
            <w:shd w:val="clear" w:color="auto" w:fill="auto"/>
            <w:vAlign w:val="bottom"/>
          </w:tcPr>
          <w:p w14:paraId="5DEC5150" w14:textId="77777777" w:rsidR="00B1578D" w:rsidRDefault="00B1578D">
            <w:pPr>
              <w:rPr>
                <w:rFonts w:ascii="宋体"/>
                <w:vanish/>
              </w:rPr>
            </w:pPr>
          </w:p>
        </w:tc>
        <w:tc>
          <w:tcPr>
            <w:tcW w:w="0" w:type="auto"/>
            <w:gridSpan w:val="3"/>
            <w:shd w:val="clear" w:color="auto" w:fill="auto"/>
            <w:vAlign w:val="bottom"/>
          </w:tcPr>
          <w:p w14:paraId="5DEC5151" w14:textId="77777777" w:rsidR="00B1578D" w:rsidRDefault="00B1578D">
            <w:pPr>
              <w:rPr>
                <w:rFonts w:ascii="宋体"/>
                <w:vanish/>
              </w:rPr>
            </w:pPr>
          </w:p>
        </w:tc>
      </w:tr>
      <w:tr w:rsidR="00B1578D" w14:paraId="5DEC515E" w14:textId="77777777">
        <w:trPr>
          <w:jc w:val="center"/>
        </w:trPr>
        <w:tc>
          <w:tcPr>
            <w:tcW w:w="0" w:type="auto"/>
            <w:gridSpan w:val="3"/>
            <w:shd w:val="clear" w:color="auto" w:fill="FFFFFF"/>
            <w:tcMar>
              <w:top w:w="40" w:type="dxa"/>
              <w:left w:w="605" w:type="dxa"/>
              <w:bottom w:w="40" w:type="dxa"/>
              <w:right w:w="20" w:type="dxa"/>
            </w:tcMar>
            <w:vAlign w:val="center"/>
          </w:tcPr>
          <w:p w14:paraId="5DEC5153" w14:textId="77777777" w:rsidR="00B1578D" w:rsidRDefault="004D2C04">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5DEC5154"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155" w14:textId="77777777" w:rsidR="00B1578D" w:rsidRDefault="004D2C04">
            <w:pPr>
              <w:jc w:val="right"/>
              <w:textAlignment w:val="center"/>
            </w:pPr>
            <w:r>
              <w:rPr>
                <w:rFonts w:ascii="Times New Roman" w:eastAsia="宋体" w:hAnsi="Times New Roman"/>
                <w:color w:val="000000"/>
                <w:sz w:val="16"/>
                <w:szCs w:val="16"/>
              </w:rPr>
              <w:t>419 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5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157"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158" w14:textId="77777777" w:rsidR="00B1578D" w:rsidRDefault="004D2C04">
            <w:pPr>
              <w:jc w:val="right"/>
              <w:textAlignment w:val="center"/>
            </w:pPr>
            <w:r>
              <w:rPr>
                <w:rFonts w:ascii="Times New Roman" w:eastAsia="宋体" w:hAnsi="Times New Roman"/>
                <w:color w:val="000000"/>
                <w:sz w:val="16"/>
                <w:szCs w:val="16"/>
              </w:rPr>
              <w:t>536 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59" w14:textId="77777777" w:rsidR="00B1578D" w:rsidRDefault="00B1578D">
            <w:pPr>
              <w:jc w:val="right"/>
              <w:rPr>
                <w:rFonts w:ascii="宋体"/>
              </w:rPr>
            </w:pPr>
          </w:p>
        </w:tc>
        <w:tc>
          <w:tcPr>
            <w:tcW w:w="0" w:type="auto"/>
            <w:shd w:val="clear" w:color="auto" w:fill="auto"/>
            <w:vAlign w:val="bottom"/>
          </w:tcPr>
          <w:p w14:paraId="5DEC515A" w14:textId="77777777" w:rsidR="00B1578D" w:rsidRDefault="00B1578D">
            <w:pPr>
              <w:rPr>
                <w:rFonts w:ascii="宋体"/>
                <w:vanish/>
              </w:rPr>
            </w:pPr>
          </w:p>
        </w:tc>
        <w:tc>
          <w:tcPr>
            <w:tcW w:w="0" w:type="auto"/>
            <w:shd w:val="clear" w:color="auto" w:fill="auto"/>
            <w:vAlign w:val="bottom"/>
          </w:tcPr>
          <w:p w14:paraId="5DEC515B" w14:textId="77777777" w:rsidR="00B1578D" w:rsidRDefault="00B1578D">
            <w:pPr>
              <w:rPr>
                <w:rFonts w:ascii="宋体"/>
                <w:vanish/>
              </w:rPr>
            </w:pPr>
          </w:p>
        </w:tc>
        <w:tc>
          <w:tcPr>
            <w:tcW w:w="0" w:type="auto"/>
            <w:gridSpan w:val="3"/>
            <w:shd w:val="clear" w:color="auto" w:fill="auto"/>
            <w:vAlign w:val="bottom"/>
          </w:tcPr>
          <w:p w14:paraId="5DEC515C" w14:textId="77777777" w:rsidR="00B1578D" w:rsidRDefault="00B1578D">
            <w:pPr>
              <w:rPr>
                <w:rFonts w:ascii="宋体"/>
                <w:vanish/>
              </w:rPr>
            </w:pPr>
          </w:p>
        </w:tc>
        <w:tc>
          <w:tcPr>
            <w:tcW w:w="0" w:type="auto"/>
            <w:gridSpan w:val="3"/>
            <w:shd w:val="clear" w:color="auto" w:fill="auto"/>
            <w:vAlign w:val="bottom"/>
          </w:tcPr>
          <w:p w14:paraId="5DEC515D" w14:textId="77777777" w:rsidR="00B1578D" w:rsidRDefault="00B1578D">
            <w:pPr>
              <w:rPr>
                <w:rFonts w:ascii="宋体"/>
                <w:vanish/>
              </w:rPr>
            </w:pPr>
          </w:p>
        </w:tc>
      </w:tr>
      <w:tr w:rsidR="00B1578D" w14:paraId="5DEC5168" w14:textId="77777777">
        <w:trPr>
          <w:jc w:val="center"/>
          <w:hidden/>
        </w:trPr>
        <w:tc>
          <w:tcPr>
            <w:tcW w:w="0" w:type="auto"/>
            <w:gridSpan w:val="3"/>
            <w:shd w:val="clear" w:color="auto" w:fill="auto"/>
            <w:vAlign w:val="bottom"/>
          </w:tcPr>
          <w:p w14:paraId="5DEC515F" w14:textId="77777777" w:rsidR="00B1578D" w:rsidRDefault="00B1578D">
            <w:pPr>
              <w:rPr>
                <w:rFonts w:ascii="宋体"/>
                <w:vanish/>
              </w:rPr>
            </w:pPr>
          </w:p>
        </w:tc>
        <w:tc>
          <w:tcPr>
            <w:tcW w:w="0" w:type="auto"/>
            <w:gridSpan w:val="3"/>
            <w:shd w:val="clear" w:color="auto" w:fill="auto"/>
            <w:vAlign w:val="bottom"/>
          </w:tcPr>
          <w:p w14:paraId="5DEC5160" w14:textId="77777777" w:rsidR="00B1578D" w:rsidRDefault="00B1578D">
            <w:pPr>
              <w:rPr>
                <w:rFonts w:ascii="宋体"/>
                <w:vanish/>
              </w:rPr>
            </w:pPr>
          </w:p>
        </w:tc>
        <w:tc>
          <w:tcPr>
            <w:tcW w:w="0" w:type="auto"/>
            <w:gridSpan w:val="3"/>
            <w:shd w:val="clear" w:color="auto" w:fill="auto"/>
            <w:vAlign w:val="bottom"/>
          </w:tcPr>
          <w:p w14:paraId="5DEC5161" w14:textId="77777777" w:rsidR="00B1578D" w:rsidRDefault="00B1578D">
            <w:pPr>
              <w:rPr>
                <w:rFonts w:ascii="宋体"/>
                <w:vanish/>
              </w:rPr>
            </w:pPr>
          </w:p>
        </w:tc>
        <w:tc>
          <w:tcPr>
            <w:tcW w:w="0" w:type="auto"/>
            <w:gridSpan w:val="3"/>
            <w:shd w:val="clear" w:color="auto" w:fill="auto"/>
            <w:vAlign w:val="bottom"/>
          </w:tcPr>
          <w:p w14:paraId="5DEC5162" w14:textId="77777777" w:rsidR="00B1578D" w:rsidRDefault="00B1578D">
            <w:pPr>
              <w:rPr>
                <w:rFonts w:ascii="宋体"/>
                <w:vanish/>
              </w:rPr>
            </w:pPr>
          </w:p>
        </w:tc>
        <w:tc>
          <w:tcPr>
            <w:tcW w:w="0" w:type="auto"/>
            <w:gridSpan w:val="3"/>
            <w:shd w:val="clear" w:color="auto" w:fill="auto"/>
            <w:vAlign w:val="bottom"/>
          </w:tcPr>
          <w:p w14:paraId="5DEC5163" w14:textId="77777777" w:rsidR="00B1578D" w:rsidRDefault="00B1578D">
            <w:pPr>
              <w:rPr>
                <w:rFonts w:ascii="宋体"/>
                <w:vanish/>
              </w:rPr>
            </w:pPr>
          </w:p>
        </w:tc>
        <w:tc>
          <w:tcPr>
            <w:tcW w:w="0" w:type="auto"/>
            <w:shd w:val="clear" w:color="auto" w:fill="auto"/>
            <w:vAlign w:val="bottom"/>
          </w:tcPr>
          <w:p w14:paraId="5DEC5164" w14:textId="77777777" w:rsidR="00B1578D" w:rsidRDefault="00B1578D">
            <w:pPr>
              <w:rPr>
                <w:rFonts w:ascii="宋体"/>
                <w:vanish/>
              </w:rPr>
            </w:pPr>
          </w:p>
        </w:tc>
        <w:tc>
          <w:tcPr>
            <w:tcW w:w="0" w:type="auto"/>
            <w:shd w:val="clear" w:color="auto" w:fill="auto"/>
            <w:vAlign w:val="bottom"/>
          </w:tcPr>
          <w:p w14:paraId="5DEC5165" w14:textId="77777777" w:rsidR="00B1578D" w:rsidRDefault="00B1578D">
            <w:pPr>
              <w:rPr>
                <w:rFonts w:ascii="宋体"/>
                <w:vanish/>
              </w:rPr>
            </w:pPr>
          </w:p>
        </w:tc>
        <w:tc>
          <w:tcPr>
            <w:tcW w:w="0" w:type="auto"/>
            <w:gridSpan w:val="3"/>
            <w:shd w:val="clear" w:color="auto" w:fill="auto"/>
            <w:vAlign w:val="bottom"/>
          </w:tcPr>
          <w:p w14:paraId="5DEC5166" w14:textId="77777777" w:rsidR="00B1578D" w:rsidRDefault="00B1578D">
            <w:pPr>
              <w:rPr>
                <w:rFonts w:ascii="宋体"/>
                <w:vanish/>
              </w:rPr>
            </w:pPr>
          </w:p>
        </w:tc>
        <w:tc>
          <w:tcPr>
            <w:tcW w:w="0" w:type="auto"/>
            <w:gridSpan w:val="3"/>
            <w:shd w:val="clear" w:color="auto" w:fill="auto"/>
            <w:vAlign w:val="bottom"/>
          </w:tcPr>
          <w:p w14:paraId="5DEC5167" w14:textId="77777777" w:rsidR="00B1578D" w:rsidRDefault="00B1578D">
            <w:pPr>
              <w:rPr>
                <w:rFonts w:ascii="宋体"/>
                <w:vanish/>
              </w:rPr>
            </w:pPr>
          </w:p>
        </w:tc>
      </w:tr>
      <w:tr w:rsidR="00B1578D" w14:paraId="5DEC5174" w14:textId="77777777">
        <w:trPr>
          <w:jc w:val="center"/>
        </w:trPr>
        <w:tc>
          <w:tcPr>
            <w:tcW w:w="0" w:type="auto"/>
            <w:gridSpan w:val="3"/>
            <w:shd w:val="clear" w:color="auto" w:fill="CCEEFF"/>
            <w:tcMar>
              <w:top w:w="40" w:type="dxa"/>
              <w:left w:w="20" w:type="dxa"/>
              <w:bottom w:w="40" w:type="dxa"/>
              <w:right w:w="20" w:type="dxa"/>
            </w:tcMar>
            <w:vAlign w:val="center"/>
          </w:tcPr>
          <w:p w14:paraId="5DEC5169" w14:textId="77777777" w:rsidR="00B1578D" w:rsidRDefault="004D2C04">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5DEC516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6B" w14:textId="77777777" w:rsidR="00B1578D" w:rsidRDefault="004D2C04">
            <w:pPr>
              <w:jc w:val="right"/>
              <w:textAlignment w:val="center"/>
            </w:pPr>
            <w:r>
              <w:rPr>
                <w:rFonts w:ascii="Times New Roman" w:eastAsia="宋体" w:hAnsi="Times New Roman"/>
                <w:color w:val="000000"/>
                <w:sz w:val="16"/>
                <w:szCs w:val="16"/>
              </w:rPr>
              <w:t>1,998 </w:t>
            </w:r>
          </w:p>
        </w:tc>
        <w:tc>
          <w:tcPr>
            <w:tcW w:w="0" w:type="auto"/>
            <w:shd w:val="clear" w:color="auto" w:fill="CCEEFF"/>
            <w:tcMar>
              <w:top w:w="40" w:type="dxa"/>
              <w:left w:w="0" w:type="dxa"/>
              <w:bottom w:w="40" w:type="dxa"/>
              <w:right w:w="20" w:type="dxa"/>
            </w:tcMar>
            <w:vAlign w:val="center"/>
          </w:tcPr>
          <w:p w14:paraId="5DEC516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16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6E" w14:textId="77777777" w:rsidR="00B1578D" w:rsidRDefault="004D2C04">
            <w:pPr>
              <w:jc w:val="right"/>
              <w:textAlignment w:val="center"/>
            </w:pPr>
            <w:r>
              <w:rPr>
                <w:rFonts w:ascii="Times New Roman" w:eastAsia="宋体" w:hAnsi="Times New Roman"/>
                <w:color w:val="000000"/>
                <w:sz w:val="16"/>
                <w:szCs w:val="16"/>
              </w:rPr>
              <w:t>2,529 </w:t>
            </w:r>
          </w:p>
        </w:tc>
        <w:tc>
          <w:tcPr>
            <w:tcW w:w="0" w:type="auto"/>
            <w:shd w:val="clear" w:color="auto" w:fill="CCEEFF"/>
            <w:tcMar>
              <w:top w:w="40" w:type="dxa"/>
              <w:left w:w="0" w:type="dxa"/>
              <w:bottom w:w="40" w:type="dxa"/>
              <w:right w:w="20" w:type="dxa"/>
            </w:tcMar>
            <w:vAlign w:val="center"/>
          </w:tcPr>
          <w:p w14:paraId="5DEC516F" w14:textId="77777777" w:rsidR="00B1578D" w:rsidRDefault="00B1578D">
            <w:pPr>
              <w:jc w:val="right"/>
              <w:rPr>
                <w:rFonts w:ascii="宋体"/>
              </w:rPr>
            </w:pPr>
          </w:p>
        </w:tc>
        <w:tc>
          <w:tcPr>
            <w:tcW w:w="0" w:type="auto"/>
            <w:shd w:val="clear" w:color="auto" w:fill="auto"/>
            <w:vAlign w:val="bottom"/>
          </w:tcPr>
          <w:p w14:paraId="5DEC5170" w14:textId="77777777" w:rsidR="00B1578D" w:rsidRDefault="00B1578D">
            <w:pPr>
              <w:rPr>
                <w:rFonts w:ascii="宋体"/>
                <w:vanish/>
              </w:rPr>
            </w:pPr>
          </w:p>
        </w:tc>
        <w:tc>
          <w:tcPr>
            <w:tcW w:w="0" w:type="auto"/>
            <w:shd w:val="clear" w:color="auto" w:fill="auto"/>
            <w:vAlign w:val="bottom"/>
          </w:tcPr>
          <w:p w14:paraId="5DEC5171" w14:textId="77777777" w:rsidR="00B1578D" w:rsidRDefault="00B1578D">
            <w:pPr>
              <w:rPr>
                <w:rFonts w:ascii="宋体"/>
                <w:vanish/>
              </w:rPr>
            </w:pPr>
          </w:p>
        </w:tc>
        <w:tc>
          <w:tcPr>
            <w:tcW w:w="0" w:type="auto"/>
            <w:gridSpan w:val="3"/>
            <w:shd w:val="clear" w:color="auto" w:fill="auto"/>
            <w:vAlign w:val="bottom"/>
          </w:tcPr>
          <w:p w14:paraId="5DEC5172" w14:textId="77777777" w:rsidR="00B1578D" w:rsidRDefault="00B1578D">
            <w:pPr>
              <w:rPr>
                <w:rFonts w:ascii="宋体"/>
                <w:vanish/>
              </w:rPr>
            </w:pPr>
          </w:p>
        </w:tc>
        <w:tc>
          <w:tcPr>
            <w:tcW w:w="0" w:type="auto"/>
            <w:gridSpan w:val="3"/>
            <w:shd w:val="clear" w:color="auto" w:fill="auto"/>
            <w:vAlign w:val="bottom"/>
          </w:tcPr>
          <w:p w14:paraId="5DEC5173" w14:textId="77777777" w:rsidR="00B1578D" w:rsidRDefault="00B1578D">
            <w:pPr>
              <w:rPr>
                <w:rFonts w:ascii="宋体"/>
                <w:vanish/>
              </w:rPr>
            </w:pPr>
          </w:p>
        </w:tc>
      </w:tr>
      <w:tr w:rsidR="00B1578D" w14:paraId="5DEC5180" w14:textId="77777777">
        <w:trPr>
          <w:jc w:val="center"/>
        </w:trPr>
        <w:tc>
          <w:tcPr>
            <w:tcW w:w="0" w:type="auto"/>
            <w:gridSpan w:val="3"/>
            <w:shd w:val="clear" w:color="auto" w:fill="FFFFFF"/>
            <w:tcMar>
              <w:top w:w="40" w:type="dxa"/>
              <w:left w:w="20" w:type="dxa"/>
              <w:bottom w:w="40" w:type="dxa"/>
              <w:right w:w="20" w:type="dxa"/>
            </w:tcMar>
            <w:vAlign w:val="center"/>
          </w:tcPr>
          <w:p w14:paraId="5DEC5175" w14:textId="77777777" w:rsidR="00B1578D" w:rsidRDefault="004D2C04">
            <w:pPr>
              <w:textAlignment w:val="center"/>
            </w:pPr>
            <w:r>
              <w:rPr>
                <w:rFonts w:ascii="Times New Roman" w:eastAsia="宋体" w:hAnsi="Times New Roman"/>
                <w:b/>
                <w:bCs/>
                <w:color w:val="000000"/>
                <w:sz w:val="16"/>
                <w:szCs w:val="16"/>
              </w:rPr>
              <w:t xml:space="preserve">Income </w:t>
            </w:r>
            <w:r>
              <w:rPr>
                <w:rFonts w:ascii="Times New Roman" w:eastAsia="宋体" w:hAnsi="Times New Roman"/>
                <w:b/>
                <w:bCs/>
                <w:color w:val="000000"/>
                <w:sz w:val="16"/>
                <w:szCs w:val="16"/>
              </w:rPr>
              <w:t>before income taxes</w:t>
            </w:r>
          </w:p>
        </w:tc>
        <w:tc>
          <w:tcPr>
            <w:tcW w:w="0" w:type="auto"/>
            <w:gridSpan w:val="3"/>
            <w:shd w:val="clear" w:color="auto" w:fill="FFFFFF"/>
            <w:tcMar>
              <w:top w:w="0" w:type="dxa"/>
              <w:left w:w="20" w:type="dxa"/>
              <w:bottom w:w="0" w:type="dxa"/>
              <w:right w:w="20" w:type="dxa"/>
            </w:tcMar>
            <w:vAlign w:val="bottom"/>
          </w:tcPr>
          <w:p w14:paraId="5DEC5176"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177" w14:textId="77777777" w:rsidR="00B1578D" w:rsidRDefault="004D2C04">
            <w:pPr>
              <w:jc w:val="right"/>
              <w:textAlignment w:val="center"/>
            </w:pPr>
            <w:r>
              <w:rPr>
                <w:rFonts w:ascii="Times New Roman" w:eastAsia="宋体" w:hAnsi="Times New Roman"/>
                <w:color w:val="000000"/>
                <w:sz w:val="16"/>
                <w:szCs w:val="16"/>
              </w:rPr>
              <w:t>2,901 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7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179"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17A" w14:textId="77777777" w:rsidR="00B1578D" w:rsidRDefault="004D2C04">
            <w:pPr>
              <w:jc w:val="right"/>
              <w:textAlignment w:val="center"/>
            </w:pPr>
            <w:r>
              <w:rPr>
                <w:rFonts w:ascii="Times New Roman" w:eastAsia="宋体" w:hAnsi="Times New Roman"/>
                <w:color w:val="000000"/>
                <w:sz w:val="16"/>
                <w:szCs w:val="16"/>
              </w:rPr>
              <w:t>3,844 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7B" w14:textId="77777777" w:rsidR="00B1578D" w:rsidRDefault="00B1578D">
            <w:pPr>
              <w:jc w:val="right"/>
              <w:rPr>
                <w:rFonts w:ascii="宋体"/>
              </w:rPr>
            </w:pPr>
          </w:p>
        </w:tc>
        <w:tc>
          <w:tcPr>
            <w:tcW w:w="0" w:type="auto"/>
            <w:shd w:val="clear" w:color="auto" w:fill="auto"/>
            <w:vAlign w:val="bottom"/>
          </w:tcPr>
          <w:p w14:paraId="5DEC517C" w14:textId="77777777" w:rsidR="00B1578D" w:rsidRDefault="00B1578D">
            <w:pPr>
              <w:rPr>
                <w:rFonts w:ascii="宋体"/>
                <w:vanish/>
              </w:rPr>
            </w:pPr>
          </w:p>
        </w:tc>
        <w:tc>
          <w:tcPr>
            <w:tcW w:w="0" w:type="auto"/>
            <w:shd w:val="clear" w:color="auto" w:fill="auto"/>
            <w:vAlign w:val="bottom"/>
          </w:tcPr>
          <w:p w14:paraId="5DEC517D" w14:textId="77777777" w:rsidR="00B1578D" w:rsidRDefault="00B1578D">
            <w:pPr>
              <w:rPr>
                <w:rFonts w:ascii="宋体"/>
                <w:vanish/>
              </w:rPr>
            </w:pPr>
          </w:p>
        </w:tc>
        <w:tc>
          <w:tcPr>
            <w:tcW w:w="0" w:type="auto"/>
            <w:gridSpan w:val="3"/>
            <w:shd w:val="clear" w:color="auto" w:fill="auto"/>
            <w:vAlign w:val="bottom"/>
          </w:tcPr>
          <w:p w14:paraId="5DEC517E" w14:textId="77777777" w:rsidR="00B1578D" w:rsidRDefault="00B1578D">
            <w:pPr>
              <w:rPr>
                <w:rFonts w:ascii="宋体"/>
                <w:vanish/>
              </w:rPr>
            </w:pPr>
          </w:p>
        </w:tc>
        <w:tc>
          <w:tcPr>
            <w:tcW w:w="0" w:type="auto"/>
            <w:gridSpan w:val="3"/>
            <w:shd w:val="clear" w:color="auto" w:fill="auto"/>
            <w:vAlign w:val="bottom"/>
          </w:tcPr>
          <w:p w14:paraId="5DEC517F" w14:textId="77777777" w:rsidR="00B1578D" w:rsidRDefault="00B1578D">
            <w:pPr>
              <w:rPr>
                <w:rFonts w:ascii="宋体"/>
                <w:vanish/>
              </w:rPr>
            </w:pPr>
          </w:p>
        </w:tc>
      </w:tr>
      <w:tr w:rsidR="00B1578D" w14:paraId="5DEC518C" w14:textId="77777777">
        <w:trPr>
          <w:jc w:val="center"/>
        </w:trPr>
        <w:tc>
          <w:tcPr>
            <w:tcW w:w="0" w:type="auto"/>
            <w:gridSpan w:val="3"/>
            <w:shd w:val="clear" w:color="auto" w:fill="CCEEFF"/>
            <w:tcMar>
              <w:top w:w="40" w:type="dxa"/>
              <w:left w:w="20" w:type="dxa"/>
              <w:bottom w:w="40" w:type="dxa"/>
              <w:right w:w="20" w:type="dxa"/>
            </w:tcMar>
            <w:vAlign w:val="center"/>
          </w:tcPr>
          <w:p w14:paraId="5DEC5181" w14:textId="77777777" w:rsidR="00B1578D" w:rsidRDefault="004D2C04">
            <w:pPr>
              <w:textAlignment w:val="center"/>
            </w:pPr>
            <w:r>
              <w:rPr>
                <w:rFonts w:ascii="Times New Roman" w:eastAsia="宋体" w:hAnsi="Times New Roman"/>
                <w:color w:val="000000"/>
                <w:sz w:val="16"/>
                <w:szCs w:val="16"/>
              </w:rPr>
              <w:t>Provision for income taxes</w:t>
            </w:r>
          </w:p>
        </w:tc>
        <w:tc>
          <w:tcPr>
            <w:tcW w:w="0" w:type="auto"/>
            <w:gridSpan w:val="3"/>
            <w:shd w:val="clear" w:color="auto" w:fill="CCEEFF"/>
            <w:tcMar>
              <w:top w:w="0" w:type="dxa"/>
              <w:left w:w="20" w:type="dxa"/>
              <w:bottom w:w="0" w:type="dxa"/>
              <w:right w:w="20" w:type="dxa"/>
            </w:tcMar>
            <w:vAlign w:val="bottom"/>
          </w:tcPr>
          <w:p w14:paraId="5DEC518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83" w14:textId="77777777" w:rsidR="00B1578D" w:rsidRDefault="004D2C04">
            <w:pPr>
              <w:jc w:val="right"/>
              <w:textAlignment w:val="center"/>
            </w:pPr>
            <w:r>
              <w:rPr>
                <w:rFonts w:ascii="Times New Roman" w:eastAsia="宋体" w:hAnsi="Times New Roman"/>
                <w:color w:val="000000"/>
                <w:sz w:val="16"/>
                <w:szCs w:val="16"/>
              </w:rPr>
              <w:t>798 </w:t>
            </w:r>
          </w:p>
        </w:tc>
        <w:tc>
          <w:tcPr>
            <w:tcW w:w="0" w:type="auto"/>
            <w:shd w:val="clear" w:color="auto" w:fill="CCEEFF"/>
            <w:tcMar>
              <w:top w:w="40" w:type="dxa"/>
              <w:left w:w="0" w:type="dxa"/>
              <w:bottom w:w="40" w:type="dxa"/>
              <w:right w:w="20" w:type="dxa"/>
            </w:tcMar>
            <w:vAlign w:val="center"/>
          </w:tcPr>
          <w:p w14:paraId="5DEC518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18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86" w14:textId="77777777" w:rsidR="00B1578D" w:rsidRDefault="004D2C04">
            <w:pPr>
              <w:jc w:val="right"/>
              <w:textAlignment w:val="center"/>
            </w:pPr>
            <w:r>
              <w:rPr>
                <w:rFonts w:ascii="Times New Roman" w:eastAsia="宋体" w:hAnsi="Times New Roman"/>
                <w:color w:val="000000"/>
                <w:sz w:val="16"/>
                <w:szCs w:val="16"/>
              </w:rPr>
              <w:t>1,033 </w:t>
            </w:r>
          </w:p>
        </w:tc>
        <w:tc>
          <w:tcPr>
            <w:tcW w:w="0" w:type="auto"/>
            <w:shd w:val="clear" w:color="auto" w:fill="CCEEFF"/>
            <w:tcMar>
              <w:top w:w="40" w:type="dxa"/>
              <w:left w:w="0" w:type="dxa"/>
              <w:bottom w:w="40" w:type="dxa"/>
              <w:right w:w="20" w:type="dxa"/>
            </w:tcMar>
            <w:vAlign w:val="center"/>
          </w:tcPr>
          <w:p w14:paraId="5DEC5187" w14:textId="77777777" w:rsidR="00B1578D" w:rsidRDefault="00B1578D">
            <w:pPr>
              <w:jc w:val="right"/>
              <w:rPr>
                <w:rFonts w:ascii="宋体"/>
              </w:rPr>
            </w:pPr>
          </w:p>
        </w:tc>
        <w:tc>
          <w:tcPr>
            <w:tcW w:w="0" w:type="auto"/>
            <w:shd w:val="clear" w:color="auto" w:fill="auto"/>
            <w:vAlign w:val="bottom"/>
          </w:tcPr>
          <w:p w14:paraId="5DEC5188" w14:textId="77777777" w:rsidR="00B1578D" w:rsidRDefault="00B1578D">
            <w:pPr>
              <w:rPr>
                <w:rFonts w:ascii="宋体"/>
                <w:vanish/>
              </w:rPr>
            </w:pPr>
          </w:p>
        </w:tc>
        <w:tc>
          <w:tcPr>
            <w:tcW w:w="0" w:type="auto"/>
            <w:shd w:val="clear" w:color="auto" w:fill="auto"/>
            <w:vAlign w:val="bottom"/>
          </w:tcPr>
          <w:p w14:paraId="5DEC5189" w14:textId="77777777" w:rsidR="00B1578D" w:rsidRDefault="00B1578D">
            <w:pPr>
              <w:rPr>
                <w:rFonts w:ascii="宋体"/>
                <w:vanish/>
              </w:rPr>
            </w:pPr>
          </w:p>
        </w:tc>
        <w:tc>
          <w:tcPr>
            <w:tcW w:w="0" w:type="auto"/>
            <w:gridSpan w:val="3"/>
            <w:shd w:val="clear" w:color="auto" w:fill="auto"/>
            <w:vAlign w:val="bottom"/>
          </w:tcPr>
          <w:p w14:paraId="5DEC518A" w14:textId="77777777" w:rsidR="00B1578D" w:rsidRDefault="00B1578D">
            <w:pPr>
              <w:rPr>
                <w:rFonts w:ascii="宋体"/>
                <w:vanish/>
              </w:rPr>
            </w:pPr>
          </w:p>
        </w:tc>
        <w:tc>
          <w:tcPr>
            <w:tcW w:w="0" w:type="auto"/>
            <w:gridSpan w:val="3"/>
            <w:shd w:val="clear" w:color="auto" w:fill="auto"/>
            <w:vAlign w:val="bottom"/>
          </w:tcPr>
          <w:p w14:paraId="5DEC518B" w14:textId="77777777" w:rsidR="00B1578D" w:rsidRDefault="00B1578D">
            <w:pPr>
              <w:rPr>
                <w:rFonts w:ascii="宋体"/>
                <w:vanish/>
              </w:rPr>
            </w:pPr>
          </w:p>
        </w:tc>
      </w:tr>
      <w:tr w:rsidR="00B1578D" w14:paraId="5DEC5196" w14:textId="77777777">
        <w:trPr>
          <w:jc w:val="center"/>
          <w:hidden/>
        </w:trPr>
        <w:tc>
          <w:tcPr>
            <w:tcW w:w="0" w:type="auto"/>
            <w:gridSpan w:val="3"/>
            <w:shd w:val="clear" w:color="auto" w:fill="auto"/>
            <w:vAlign w:val="bottom"/>
          </w:tcPr>
          <w:p w14:paraId="5DEC518D" w14:textId="77777777" w:rsidR="00B1578D" w:rsidRDefault="00B1578D">
            <w:pPr>
              <w:rPr>
                <w:rFonts w:ascii="宋体"/>
                <w:vanish/>
              </w:rPr>
            </w:pPr>
          </w:p>
        </w:tc>
        <w:tc>
          <w:tcPr>
            <w:tcW w:w="0" w:type="auto"/>
            <w:gridSpan w:val="3"/>
            <w:shd w:val="clear" w:color="auto" w:fill="auto"/>
            <w:vAlign w:val="bottom"/>
          </w:tcPr>
          <w:p w14:paraId="5DEC518E" w14:textId="77777777" w:rsidR="00B1578D" w:rsidRDefault="00B1578D">
            <w:pPr>
              <w:rPr>
                <w:rFonts w:ascii="宋体"/>
                <w:vanish/>
              </w:rPr>
            </w:pPr>
          </w:p>
        </w:tc>
        <w:tc>
          <w:tcPr>
            <w:tcW w:w="0" w:type="auto"/>
            <w:gridSpan w:val="3"/>
            <w:shd w:val="clear" w:color="auto" w:fill="auto"/>
            <w:vAlign w:val="bottom"/>
          </w:tcPr>
          <w:p w14:paraId="5DEC518F" w14:textId="77777777" w:rsidR="00B1578D" w:rsidRDefault="00B1578D">
            <w:pPr>
              <w:rPr>
                <w:rFonts w:ascii="宋体"/>
                <w:vanish/>
              </w:rPr>
            </w:pPr>
          </w:p>
        </w:tc>
        <w:tc>
          <w:tcPr>
            <w:tcW w:w="0" w:type="auto"/>
            <w:gridSpan w:val="3"/>
            <w:shd w:val="clear" w:color="auto" w:fill="auto"/>
            <w:vAlign w:val="bottom"/>
          </w:tcPr>
          <w:p w14:paraId="5DEC5190" w14:textId="77777777" w:rsidR="00B1578D" w:rsidRDefault="00B1578D">
            <w:pPr>
              <w:rPr>
                <w:rFonts w:ascii="宋体"/>
                <w:vanish/>
              </w:rPr>
            </w:pPr>
          </w:p>
        </w:tc>
        <w:tc>
          <w:tcPr>
            <w:tcW w:w="0" w:type="auto"/>
            <w:gridSpan w:val="3"/>
            <w:shd w:val="clear" w:color="auto" w:fill="auto"/>
            <w:vAlign w:val="bottom"/>
          </w:tcPr>
          <w:p w14:paraId="5DEC5191" w14:textId="77777777" w:rsidR="00B1578D" w:rsidRDefault="00B1578D">
            <w:pPr>
              <w:rPr>
                <w:rFonts w:ascii="宋体"/>
                <w:vanish/>
              </w:rPr>
            </w:pPr>
          </w:p>
        </w:tc>
        <w:tc>
          <w:tcPr>
            <w:tcW w:w="0" w:type="auto"/>
            <w:shd w:val="clear" w:color="auto" w:fill="auto"/>
            <w:vAlign w:val="bottom"/>
          </w:tcPr>
          <w:p w14:paraId="5DEC5192" w14:textId="77777777" w:rsidR="00B1578D" w:rsidRDefault="00B1578D">
            <w:pPr>
              <w:rPr>
                <w:rFonts w:ascii="宋体"/>
                <w:vanish/>
              </w:rPr>
            </w:pPr>
          </w:p>
        </w:tc>
        <w:tc>
          <w:tcPr>
            <w:tcW w:w="0" w:type="auto"/>
            <w:shd w:val="clear" w:color="auto" w:fill="auto"/>
            <w:vAlign w:val="bottom"/>
          </w:tcPr>
          <w:p w14:paraId="5DEC5193" w14:textId="77777777" w:rsidR="00B1578D" w:rsidRDefault="00B1578D">
            <w:pPr>
              <w:rPr>
                <w:rFonts w:ascii="宋体"/>
                <w:vanish/>
              </w:rPr>
            </w:pPr>
          </w:p>
        </w:tc>
        <w:tc>
          <w:tcPr>
            <w:tcW w:w="0" w:type="auto"/>
            <w:gridSpan w:val="3"/>
            <w:shd w:val="clear" w:color="auto" w:fill="auto"/>
            <w:vAlign w:val="bottom"/>
          </w:tcPr>
          <w:p w14:paraId="5DEC5194" w14:textId="77777777" w:rsidR="00B1578D" w:rsidRDefault="00B1578D">
            <w:pPr>
              <w:rPr>
                <w:rFonts w:ascii="宋体"/>
                <w:vanish/>
              </w:rPr>
            </w:pPr>
          </w:p>
        </w:tc>
        <w:tc>
          <w:tcPr>
            <w:tcW w:w="0" w:type="auto"/>
            <w:gridSpan w:val="3"/>
            <w:shd w:val="clear" w:color="auto" w:fill="auto"/>
            <w:vAlign w:val="bottom"/>
          </w:tcPr>
          <w:p w14:paraId="5DEC5195" w14:textId="77777777" w:rsidR="00B1578D" w:rsidRDefault="00B1578D">
            <w:pPr>
              <w:rPr>
                <w:rFonts w:ascii="宋体"/>
                <w:vanish/>
              </w:rPr>
            </w:pPr>
          </w:p>
        </w:tc>
      </w:tr>
      <w:tr w:rsidR="00B1578D" w14:paraId="5DEC51A0" w14:textId="77777777">
        <w:trPr>
          <w:jc w:val="center"/>
          <w:hidden/>
        </w:trPr>
        <w:tc>
          <w:tcPr>
            <w:tcW w:w="0" w:type="auto"/>
            <w:gridSpan w:val="3"/>
            <w:shd w:val="clear" w:color="auto" w:fill="auto"/>
            <w:vAlign w:val="bottom"/>
          </w:tcPr>
          <w:p w14:paraId="5DEC5197" w14:textId="77777777" w:rsidR="00B1578D" w:rsidRDefault="00B1578D">
            <w:pPr>
              <w:rPr>
                <w:rFonts w:ascii="宋体"/>
                <w:vanish/>
              </w:rPr>
            </w:pPr>
          </w:p>
        </w:tc>
        <w:tc>
          <w:tcPr>
            <w:tcW w:w="0" w:type="auto"/>
            <w:gridSpan w:val="3"/>
            <w:shd w:val="clear" w:color="auto" w:fill="auto"/>
            <w:vAlign w:val="bottom"/>
          </w:tcPr>
          <w:p w14:paraId="5DEC5198" w14:textId="77777777" w:rsidR="00B1578D" w:rsidRDefault="00B1578D">
            <w:pPr>
              <w:rPr>
                <w:rFonts w:ascii="宋体"/>
                <w:vanish/>
              </w:rPr>
            </w:pPr>
          </w:p>
        </w:tc>
        <w:tc>
          <w:tcPr>
            <w:tcW w:w="0" w:type="auto"/>
            <w:gridSpan w:val="3"/>
            <w:shd w:val="clear" w:color="auto" w:fill="auto"/>
            <w:vAlign w:val="bottom"/>
          </w:tcPr>
          <w:p w14:paraId="5DEC5199" w14:textId="77777777" w:rsidR="00B1578D" w:rsidRDefault="00B1578D">
            <w:pPr>
              <w:rPr>
                <w:rFonts w:ascii="宋体"/>
                <w:vanish/>
              </w:rPr>
            </w:pPr>
          </w:p>
        </w:tc>
        <w:tc>
          <w:tcPr>
            <w:tcW w:w="0" w:type="auto"/>
            <w:gridSpan w:val="3"/>
            <w:shd w:val="clear" w:color="auto" w:fill="auto"/>
            <w:vAlign w:val="bottom"/>
          </w:tcPr>
          <w:p w14:paraId="5DEC519A" w14:textId="77777777" w:rsidR="00B1578D" w:rsidRDefault="00B1578D">
            <w:pPr>
              <w:rPr>
                <w:rFonts w:ascii="宋体"/>
                <w:vanish/>
              </w:rPr>
            </w:pPr>
          </w:p>
        </w:tc>
        <w:tc>
          <w:tcPr>
            <w:tcW w:w="0" w:type="auto"/>
            <w:gridSpan w:val="3"/>
            <w:shd w:val="clear" w:color="auto" w:fill="auto"/>
            <w:vAlign w:val="bottom"/>
          </w:tcPr>
          <w:p w14:paraId="5DEC519B" w14:textId="77777777" w:rsidR="00B1578D" w:rsidRDefault="00B1578D">
            <w:pPr>
              <w:rPr>
                <w:rFonts w:ascii="宋体"/>
                <w:vanish/>
              </w:rPr>
            </w:pPr>
          </w:p>
        </w:tc>
        <w:tc>
          <w:tcPr>
            <w:tcW w:w="0" w:type="auto"/>
            <w:shd w:val="clear" w:color="auto" w:fill="auto"/>
            <w:vAlign w:val="bottom"/>
          </w:tcPr>
          <w:p w14:paraId="5DEC519C" w14:textId="77777777" w:rsidR="00B1578D" w:rsidRDefault="00B1578D">
            <w:pPr>
              <w:rPr>
                <w:rFonts w:ascii="宋体"/>
                <w:vanish/>
              </w:rPr>
            </w:pPr>
          </w:p>
        </w:tc>
        <w:tc>
          <w:tcPr>
            <w:tcW w:w="0" w:type="auto"/>
            <w:shd w:val="clear" w:color="auto" w:fill="auto"/>
            <w:vAlign w:val="bottom"/>
          </w:tcPr>
          <w:p w14:paraId="5DEC519D" w14:textId="77777777" w:rsidR="00B1578D" w:rsidRDefault="00B1578D">
            <w:pPr>
              <w:rPr>
                <w:rFonts w:ascii="宋体"/>
                <w:vanish/>
              </w:rPr>
            </w:pPr>
          </w:p>
        </w:tc>
        <w:tc>
          <w:tcPr>
            <w:tcW w:w="0" w:type="auto"/>
            <w:gridSpan w:val="3"/>
            <w:shd w:val="clear" w:color="auto" w:fill="auto"/>
            <w:vAlign w:val="bottom"/>
          </w:tcPr>
          <w:p w14:paraId="5DEC519E" w14:textId="77777777" w:rsidR="00B1578D" w:rsidRDefault="00B1578D">
            <w:pPr>
              <w:rPr>
                <w:rFonts w:ascii="宋体"/>
                <w:vanish/>
              </w:rPr>
            </w:pPr>
          </w:p>
        </w:tc>
        <w:tc>
          <w:tcPr>
            <w:tcW w:w="0" w:type="auto"/>
            <w:gridSpan w:val="3"/>
            <w:shd w:val="clear" w:color="auto" w:fill="auto"/>
            <w:vAlign w:val="bottom"/>
          </w:tcPr>
          <w:p w14:paraId="5DEC519F" w14:textId="77777777" w:rsidR="00B1578D" w:rsidRDefault="00B1578D">
            <w:pPr>
              <w:rPr>
                <w:rFonts w:ascii="宋体"/>
                <w:vanish/>
              </w:rPr>
            </w:pPr>
          </w:p>
        </w:tc>
      </w:tr>
      <w:tr w:rsidR="00B1578D" w14:paraId="5DEC51AC" w14:textId="77777777">
        <w:trPr>
          <w:jc w:val="center"/>
        </w:trPr>
        <w:tc>
          <w:tcPr>
            <w:tcW w:w="0" w:type="auto"/>
            <w:gridSpan w:val="3"/>
            <w:shd w:val="clear" w:color="auto" w:fill="FFFFFF"/>
            <w:tcMar>
              <w:top w:w="40" w:type="dxa"/>
              <w:left w:w="20" w:type="dxa"/>
              <w:bottom w:w="40" w:type="dxa"/>
              <w:right w:w="20" w:type="dxa"/>
            </w:tcMar>
            <w:vAlign w:val="center"/>
          </w:tcPr>
          <w:p w14:paraId="5DEC51A1" w14:textId="77777777" w:rsidR="00B1578D" w:rsidRDefault="004D2C04">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5DEC51A2"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1A3" w14:textId="77777777" w:rsidR="00B1578D" w:rsidRDefault="004D2C04">
            <w:pPr>
              <w:jc w:val="right"/>
              <w:textAlignment w:val="center"/>
            </w:pPr>
            <w:r>
              <w:rPr>
                <w:rFonts w:ascii="Times New Roman" w:eastAsia="宋体" w:hAnsi="Times New Roman"/>
                <w:color w:val="000000"/>
                <w:sz w:val="16"/>
                <w:szCs w:val="16"/>
              </w:rPr>
              <w:t>2,103 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A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1A5"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1A6" w14:textId="77777777" w:rsidR="00B1578D" w:rsidRDefault="004D2C04">
            <w:pPr>
              <w:jc w:val="right"/>
              <w:textAlignment w:val="center"/>
            </w:pPr>
            <w:r>
              <w:rPr>
                <w:rFonts w:ascii="Times New Roman" w:eastAsia="宋体" w:hAnsi="Times New Roman"/>
                <w:color w:val="000000"/>
                <w:sz w:val="16"/>
                <w:szCs w:val="16"/>
              </w:rPr>
              <w:t>2,811 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A7" w14:textId="77777777" w:rsidR="00B1578D" w:rsidRDefault="00B1578D">
            <w:pPr>
              <w:jc w:val="right"/>
              <w:rPr>
                <w:rFonts w:ascii="宋体"/>
              </w:rPr>
            </w:pPr>
          </w:p>
        </w:tc>
        <w:tc>
          <w:tcPr>
            <w:tcW w:w="0" w:type="auto"/>
            <w:shd w:val="clear" w:color="auto" w:fill="auto"/>
            <w:vAlign w:val="bottom"/>
          </w:tcPr>
          <w:p w14:paraId="5DEC51A8" w14:textId="77777777" w:rsidR="00B1578D" w:rsidRDefault="00B1578D">
            <w:pPr>
              <w:rPr>
                <w:rFonts w:ascii="宋体"/>
                <w:vanish/>
              </w:rPr>
            </w:pPr>
          </w:p>
        </w:tc>
        <w:tc>
          <w:tcPr>
            <w:tcW w:w="0" w:type="auto"/>
            <w:shd w:val="clear" w:color="auto" w:fill="auto"/>
            <w:vAlign w:val="bottom"/>
          </w:tcPr>
          <w:p w14:paraId="5DEC51A9" w14:textId="77777777" w:rsidR="00B1578D" w:rsidRDefault="00B1578D">
            <w:pPr>
              <w:rPr>
                <w:rFonts w:ascii="宋体"/>
                <w:vanish/>
              </w:rPr>
            </w:pPr>
          </w:p>
        </w:tc>
        <w:tc>
          <w:tcPr>
            <w:tcW w:w="0" w:type="auto"/>
            <w:gridSpan w:val="3"/>
            <w:shd w:val="clear" w:color="auto" w:fill="auto"/>
            <w:vAlign w:val="bottom"/>
          </w:tcPr>
          <w:p w14:paraId="5DEC51AA" w14:textId="77777777" w:rsidR="00B1578D" w:rsidRDefault="00B1578D">
            <w:pPr>
              <w:rPr>
                <w:rFonts w:ascii="宋体"/>
                <w:vanish/>
              </w:rPr>
            </w:pPr>
          </w:p>
        </w:tc>
        <w:tc>
          <w:tcPr>
            <w:tcW w:w="0" w:type="auto"/>
            <w:gridSpan w:val="3"/>
            <w:shd w:val="clear" w:color="auto" w:fill="auto"/>
            <w:vAlign w:val="bottom"/>
          </w:tcPr>
          <w:p w14:paraId="5DEC51AB" w14:textId="77777777" w:rsidR="00B1578D" w:rsidRDefault="00B1578D">
            <w:pPr>
              <w:rPr>
                <w:rFonts w:ascii="宋体"/>
                <w:vanish/>
              </w:rPr>
            </w:pPr>
          </w:p>
        </w:tc>
      </w:tr>
      <w:tr w:rsidR="00B1578D" w14:paraId="5DEC51B8" w14:textId="77777777">
        <w:trPr>
          <w:jc w:val="center"/>
        </w:trPr>
        <w:tc>
          <w:tcPr>
            <w:tcW w:w="0" w:type="auto"/>
            <w:gridSpan w:val="3"/>
            <w:shd w:val="clear" w:color="auto" w:fill="CCEEFF"/>
            <w:tcMar>
              <w:top w:w="40" w:type="dxa"/>
              <w:left w:w="20" w:type="dxa"/>
              <w:bottom w:w="40" w:type="dxa"/>
              <w:right w:w="20" w:type="dxa"/>
            </w:tcMar>
            <w:vAlign w:val="center"/>
          </w:tcPr>
          <w:p w14:paraId="5DEC51AD" w14:textId="77777777" w:rsidR="00B1578D" w:rsidRDefault="004D2C04">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CCEEFF"/>
            <w:tcMar>
              <w:top w:w="0" w:type="dxa"/>
              <w:left w:w="20" w:type="dxa"/>
              <w:bottom w:w="0" w:type="dxa"/>
              <w:right w:w="20" w:type="dxa"/>
            </w:tcMar>
            <w:vAlign w:val="bottom"/>
          </w:tcPr>
          <w:p w14:paraId="5DEC51A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AF" w14:textId="77777777" w:rsidR="00B1578D" w:rsidRDefault="004D2C04">
            <w:pPr>
              <w:jc w:val="right"/>
              <w:textAlignment w:val="center"/>
            </w:pPr>
            <w:r>
              <w:rPr>
                <w:rFonts w:ascii="Times New Roman" w:eastAsia="宋体" w:hAnsi="Times New Roman"/>
                <w:color w:val="000000"/>
                <w:sz w:val="16"/>
                <w:szCs w:val="16"/>
              </w:rPr>
              <w:t>(49)</w:t>
            </w:r>
          </w:p>
        </w:tc>
        <w:tc>
          <w:tcPr>
            <w:tcW w:w="0" w:type="auto"/>
            <w:shd w:val="clear" w:color="auto" w:fill="CCEEFF"/>
            <w:tcMar>
              <w:top w:w="40" w:type="dxa"/>
              <w:left w:w="0" w:type="dxa"/>
              <w:bottom w:w="40" w:type="dxa"/>
              <w:right w:w="20" w:type="dxa"/>
            </w:tcMar>
            <w:vAlign w:val="center"/>
          </w:tcPr>
          <w:p w14:paraId="5DEC51B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1B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1B2" w14:textId="77777777" w:rsidR="00B1578D" w:rsidRDefault="004D2C04">
            <w:pPr>
              <w:jc w:val="right"/>
              <w:textAlignment w:val="center"/>
            </w:pPr>
            <w:r>
              <w:rPr>
                <w:rFonts w:ascii="Times New Roman" w:eastAsia="宋体" w:hAnsi="Times New Roman"/>
                <w:color w:val="000000"/>
                <w:sz w:val="16"/>
                <w:szCs w:val="16"/>
              </w:rPr>
              <w:t>(81)</w:t>
            </w:r>
          </w:p>
        </w:tc>
        <w:tc>
          <w:tcPr>
            <w:tcW w:w="0" w:type="auto"/>
            <w:shd w:val="clear" w:color="auto" w:fill="CCEEFF"/>
            <w:tcMar>
              <w:top w:w="40" w:type="dxa"/>
              <w:left w:w="0" w:type="dxa"/>
              <w:bottom w:w="40" w:type="dxa"/>
              <w:right w:w="20" w:type="dxa"/>
            </w:tcMar>
            <w:vAlign w:val="center"/>
          </w:tcPr>
          <w:p w14:paraId="5DEC51B3" w14:textId="77777777" w:rsidR="00B1578D" w:rsidRDefault="00B1578D">
            <w:pPr>
              <w:jc w:val="right"/>
              <w:rPr>
                <w:rFonts w:ascii="宋体"/>
              </w:rPr>
            </w:pPr>
          </w:p>
        </w:tc>
        <w:tc>
          <w:tcPr>
            <w:tcW w:w="0" w:type="auto"/>
            <w:shd w:val="clear" w:color="auto" w:fill="auto"/>
            <w:vAlign w:val="bottom"/>
          </w:tcPr>
          <w:p w14:paraId="5DEC51B4" w14:textId="77777777" w:rsidR="00B1578D" w:rsidRDefault="00B1578D">
            <w:pPr>
              <w:rPr>
                <w:rFonts w:ascii="宋体"/>
                <w:vanish/>
              </w:rPr>
            </w:pPr>
          </w:p>
        </w:tc>
        <w:tc>
          <w:tcPr>
            <w:tcW w:w="0" w:type="auto"/>
            <w:shd w:val="clear" w:color="auto" w:fill="auto"/>
            <w:vAlign w:val="bottom"/>
          </w:tcPr>
          <w:p w14:paraId="5DEC51B5" w14:textId="77777777" w:rsidR="00B1578D" w:rsidRDefault="00B1578D">
            <w:pPr>
              <w:rPr>
                <w:rFonts w:ascii="宋体"/>
                <w:vanish/>
              </w:rPr>
            </w:pPr>
          </w:p>
        </w:tc>
        <w:tc>
          <w:tcPr>
            <w:tcW w:w="0" w:type="auto"/>
            <w:gridSpan w:val="3"/>
            <w:shd w:val="clear" w:color="auto" w:fill="auto"/>
            <w:vAlign w:val="bottom"/>
          </w:tcPr>
          <w:p w14:paraId="5DEC51B6" w14:textId="77777777" w:rsidR="00B1578D" w:rsidRDefault="00B1578D">
            <w:pPr>
              <w:rPr>
                <w:rFonts w:ascii="宋体"/>
                <w:vanish/>
              </w:rPr>
            </w:pPr>
          </w:p>
        </w:tc>
        <w:tc>
          <w:tcPr>
            <w:tcW w:w="0" w:type="auto"/>
            <w:gridSpan w:val="3"/>
            <w:shd w:val="clear" w:color="auto" w:fill="auto"/>
            <w:vAlign w:val="bottom"/>
          </w:tcPr>
          <w:p w14:paraId="5DEC51B7" w14:textId="77777777" w:rsidR="00B1578D" w:rsidRDefault="00B1578D">
            <w:pPr>
              <w:rPr>
                <w:rFonts w:ascii="宋体"/>
                <w:vanish/>
              </w:rPr>
            </w:pPr>
          </w:p>
        </w:tc>
      </w:tr>
      <w:tr w:rsidR="00B1578D" w14:paraId="5DEC51C6" w14:textId="77777777">
        <w:trPr>
          <w:jc w:val="center"/>
        </w:trPr>
        <w:tc>
          <w:tcPr>
            <w:tcW w:w="0" w:type="auto"/>
            <w:gridSpan w:val="3"/>
            <w:shd w:val="clear" w:color="auto" w:fill="FFFFFF"/>
            <w:tcMar>
              <w:top w:w="40" w:type="dxa"/>
              <w:left w:w="20" w:type="dxa"/>
              <w:bottom w:w="40" w:type="dxa"/>
              <w:right w:w="20" w:type="dxa"/>
            </w:tcMar>
            <w:vAlign w:val="center"/>
          </w:tcPr>
          <w:p w14:paraId="5DEC51B9" w14:textId="77777777" w:rsidR="00B1578D" w:rsidRDefault="004D2C04">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FFFFFF"/>
            <w:tcMar>
              <w:top w:w="0" w:type="dxa"/>
              <w:left w:w="20" w:type="dxa"/>
              <w:bottom w:w="0" w:type="dxa"/>
              <w:right w:w="20" w:type="dxa"/>
            </w:tcMar>
            <w:vAlign w:val="bottom"/>
          </w:tcPr>
          <w:p w14:paraId="5DEC51BA"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1B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1BC" w14:textId="77777777" w:rsidR="00B1578D" w:rsidRDefault="004D2C04">
            <w:pPr>
              <w:jc w:val="right"/>
              <w:textAlignment w:val="center"/>
            </w:pPr>
            <w:r>
              <w:rPr>
                <w:rFonts w:ascii="Times New Roman" w:eastAsia="宋体" w:hAnsi="Times New Roman"/>
                <w:color w:val="000000"/>
                <w:sz w:val="16"/>
                <w:szCs w:val="16"/>
              </w:rPr>
              <w:t>2,054 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B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1BE"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1B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1C0" w14:textId="77777777" w:rsidR="00B1578D" w:rsidRDefault="004D2C04">
            <w:pPr>
              <w:jc w:val="right"/>
              <w:textAlignment w:val="center"/>
            </w:pPr>
            <w:r>
              <w:rPr>
                <w:rFonts w:ascii="Times New Roman" w:eastAsia="宋体" w:hAnsi="Times New Roman"/>
                <w:color w:val="000000"/>
                <w:sz w:val="16"/>
                <w:szCs w:val="16"/>
              </w:rPr>
              <w:t>2,730 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1C1" w14:textId="77777777" w:rsidR="00B1578D" w:rsidRDefault="00B1578D">
            <w:pPr>
              <w:jc w:val="right"/>
              <w:rPr>
                <w:rFonts w:ascii="宋体"/>
              </w:rPr>
            </w:pPr>
          </w:p>
        </w:tc>
        <w:tc>
          <w:tcPr>
            <w:tcW w:w="0" w:type="auto"/>
            <w:shd w:val="clear" w:color="auto" w:fill="auto"/>
            <w:vAlign w:val="bottom"/>
          </w:tcPr>
          <w:p w14:paraId="5DEC51C2" w14:textId="77777777" w:rsidR="00B1578D" w:rsidRDefault="00B1578D">
            <w:pPr>
              <w:rPr>
                <w:rFonts w:ascii="宋体"/>
                <w:vanish/>
              </w:rPr>
            </w:pPr>
          </w:p>
        </w:tc>
        <w:tc>
          <w:tcPr>
            <w:tcW w:w="0" w:type="auto"/>
            <w:shd w:val="clear" w:color="auto" w:fill="auto"/>
            <w:vAlign w:val="bottom"/>
          </w:tcPr>
          <w:p w14:paraId="5DEC51C3" w14:textId="77777777" w:rsidR="00B1578D" w:rsidRDefault="00B1578D">
            <w:pPr>
              <w:rPr>
                <w:rFonts w:ascii="宋体"/>
                <w:vanish/>
              </w:rPr>
            </w:pPr>
          </w:p>
        </w:tc>
        <w:tc>
          <w:tcPr>
            <w:tcW w:w="0" w:type="auto"/>
            <w:gridSpan w:val="3"/>
            <w:shd w:val="clear" w:color="auto" w:fill="auto"/>
            <w:vAlign w:val="bottom"/>
          </w:tcPr>
          <w:p w14:paraId="5DEC51C4" w14:textId="77777777" w:rsidR="00B1578D" w:rsidRDefault="00B1578D">
            <w:pPr>
              <w:rPr>
                <w:rFonts w:ascii="宋体"/>
                <w:vanish/>
              </w:rPr>
            </w:pPr>
          </w:p>
        </w:tc>
        <w:tc>
          <w:tcPr>
            <w:tcW w:w="0" w:type="auto"/>
            <w:gridSpan w:val="3"/>
            <w:shd w:val="clear" w:color="auto" w:fill="auto"/>
            <w:vAlign w:val="bottom"/>
          </w:tcPr>
          <w:p w14:paraId="5DEC51C5" w14:textId="77777777" w:rsidR="00B1578D" w:rsidRDefault="00B1578D">
            <w:pPr>
              <w:rPr>
                <w:rFonts w:ascii="宋体"/>
                <w:vanish/>
              </w:rPr>
            </w:pPr>
          </w:p>
        </w:tc>
      </w:tr>
      <w:tr w:rsidR="00B1578D" w14:paraId="5DEC51D0" w14:textId="77777777">
        <w:trPr>
          <w:jc w:val="center"/>
          <w:hidden/>
        </w:trPr>
        <w:tc>
          <w:tcPr>
            <w:tcW w:w="0" w:type="auto"/>
            <w:gridSpan w:val="3"/>
            <w:shd w:val="clear" w:color="auto" w:fill="auto"/>
            <w:vAlign w:val="bottom"/>
          </w:tcPr>
          <w:p w14:paraId="5DEC51C7" w14:textId="77777777" w:rsidR="00B1578D" w:rsidRDefault="00B1578D">
            <w:pPr>
              <w:rPr>
                <w:rFonts w:ascii="宋体"/>
                <w:vanish/>
              </w:rPr>
            </w:pPr>
          </w:p>
        </w:tc>
        <w:tc>
          <w:tcPr>
            <w:tcW w:w="0" w:type="auto"/>
            <w:gridSpan w:val="3"/>
            <w:shd w:val="clear" w:color="auto" w:fill="auto"/>
            <w:vAlign w:val="bottom"/>
          </w:tcPr>
          <w:p w14:paraId="5DEC51C8" w14:textId="77777777" w:rsidR="00B1578D" w:rsidRDefault="00B1578D">
            <w:pPr>
              <w:rPr>
                <w:rFonts w:ascii="宋体"/>
                <w:vanish/>
              </w:rPr>
            </w:pPr>
          </w:p>
        </w:tc>
        <w:tc>
          <w:tcPr>
            <w:tcW w:w="0" w:type="auto"/>
            <w:gridSpan w:val="3"/>
            <w:shd w:val="clear" w:color="auto" w:fill="auto"/>
            <w:vAlign w:val="bottom"/>
          </w:tcPr>
          <w:p w14:paraId="5DEC51C9" w14:textId="77777777" w:rsidR="00B1578D" w:rsidRDefault="00B1578D">
            <w:pPr>
              <w:rPr>
                <w:rFonts w:ascii="宋体"/>
                <w:vanish/>
              </w:rPr>
            </w:pPr>
          </w:p>
        </w:tc>
        <w:tc>
          <w:tcPr>
            <w:tcW w:w="0" w:type="auto"/>
            <w:gridSpan w:val="3"/>
            <w:shd w:val="clear" w:color="auto" w:fill="auto"/>
            <w:vAlign w:val="bottom"/>
          </w:tcPr>
          <w:p w14:paraId="5DEC51CA" w14:textId="77777777" w:rsidR="00B1578D" w:rsidRDefault="00B1578D">
            <w:pPr>
              <w:rPr>
                <w:rFonts w:ascii="宋体"/>
                <w:vanish/>
              </w:rPr>
            </w:pPr>
          </w:p>
        </w:tc>
        <w:tc>
          <w:tcPr>
            <w:tcW w:w="0" w:type="auto"/>
            <w:gridSpan w:val="3"/>
            <w:shd w:val="clear" w:color="auto" w:fill="auto"/>
            <w:vAlign w:val="bottom"/>
          </w:tcPr>
          <w:p w14:paraId="5DEC51CB" w14:textId="77777777" w:rsidR="00B1578D" w:rsidRDefault="00B1578D">
            <w:pPr>
              <w:rPr>
                <w:rFonts w:ascii="宋体"/>
                <w:vanish/>
              </w:rPr>
            </w:pPr>
          </w:p>
        </w:tc>
        <w:tc>
          <w:tcPr>
            <w:tcW w:w="0" w:type="auto"/>
            <w:shd w:val="clear" w:color="auto" w:fill="auto"/>
            <w:vAlign w:val="bottom"/>
          </w:tcPr>
          <w:p w14:paraId="5DEC51CC" w14:textId="77777777" w:rsidR="00B1578D" w:rsidRDefault="00B1578D">
            <w:pPr>
              <w:rPr>
                <w:rFonts w:ascii="宋体"/>
                <w:vanish/>
              </w:rPr>
            </w:pPr>
          </w:p>
        </w:tc>
        <w:tc>
          <w:tcPr>
            <w:tcW w:w="0" w:type="auto"/>
            <w:shd w:val="clear" w:color="auto" w:fill="auto"/>
            <w:vAlign w:val="bottom"/>
          </w:tcPr>
          <w:p w14:paraId="5DEC51CD" w14:textId="77777777" w:rsidR="00B1578D" w:rsidRDefault="00B1578D">
            <w:pPr>
              <w:rPr>
                <w:rFonts w:ascii="宋体"/>
                <w:vanish/>
              </w:rPr>
            </w:pPr>
          </w:p>
        </w:tc>
        <w:tc>
          <w:tcPr>
            <w:tcW w:w="0" w:type="auto"/>
            <w:gridSpan w:val="3"/>
            <w:shd w:val="clear" w:color="auto" w:fill="auto"/>
            <w:vAlign w:val="bottom"/>
          </w:tcPr>
          <w:p w14:paraId="5DEC51CE" w14:textId="77777777" w:rsidR="00B1578D" w:rsidRDefault="00B1578D">
            <w:pPr>
              <w:rPr>
                <w:rFonts w:ascii="宋体"/>
                <w:vanish/>
              </w:rPr>
            </w:pPr>
          </w:p>
        </w:tc>
        <w:tc>
          <w:tcPr>
            <w:tcW w:w="0" w:type="auto"/>
            <w:gridSpan w:val="3"/>
            <w:shd w:val="clear" w:color="auto" w:fill="auto"/>
            <w:vAlign w:val="bottom"/>
          </w:tcPr>
          <w:p w14:paraId="5DEC51CF" w14:textId="77777777" w:rsidR="00B1578D" w:rsidRDefault="00B1578D">
            <w:pPr>
              <w:rPr>
                <w:rFonts w:ascii="宋体"/>
                <w:vanish/>
              </w:rPr>
            </w:pPr>
          </w:p>
        </w:tc>
      </w:tr>
      <w:tr w:rsidR="00B1578D" w14:paraId="5DEC51DA" w14:textId="77777777">
        <w:trPr>
          <w:trHeight w:val="220"/>
          <w:jc w:val="center"/>
        </w:trPr>
        <w:tc>
          <w:tcPr>
            <w:tcW w:w="0" w:type="auto"/>
            <w:gridSpan w:val="3"/>
            <w:shd w:val="clear" w:color="auto" w:fill="CCEEFF"/>
            <w:tcMar>
              <w:top w:w="0" w:type="dxa"/>
              <w:left w:w="20" w:type="dxa"/>
              <w:bottom w:w="0" w:type="dxa"/>
              <w:right w:w="20" w:type="dxa"/>
            </w:tcMar>
            <w:vAlign w:val="bottom"/>
          </w:tcPr>
          <w:p w14:paraId="5DEC51D1"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1D2"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51D3"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1D4"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51D5" w14:textId="77777777" w:rsidR="00B1578D" w:rsidRDefault="00B1578D">
            <w:pPr>
              <w:rPr>
                <w:rFonts w:ascii="宋体"/>
              </w:rPr>
            </w:pPr>
          </w:p>
        </w:tc>
        <w:tc>
          <w:tcPr>
            <w:tcW w:w="0" w:type="auto"/>
            <w:shd w:val="clear" w:color="auto" w:fill="auto"/>
            <w:vAlign w:val="bottom"/>
          </w:tcPr>
          <w:p w14:paraId="5DEC51D6" w14:textId="77777777" w:rsidR="00B1578D" w:rsidRDefault="00B1578D">
            <w:pPr>
              <w:rPr>
                <w:rFonts w:ascii="宋体"/>
                <w:vanish/>
              </w:rPr>
            </w:pPr>
          </w:p>
        </w:tc>
        <w:tc>
          <w:tcPr>
            <w:tcW w:w="0" w:type="auto"/>
            <w:shd w:val="clear" w:color="auto" w:fill="auto"/>
            <w:vAlign w:val="bottom"/>
          </w:tcPr>
          <w:p w14:paraId="5DEC51D7" w14:textId="77777777" w:rsidR="00B1578D" w:rsidRDefault="00B1578D">
            <w:pPr>
              <w:rPr>
                <w:rFonts w:ascii="宋体"/>
                <w:vanish/>
              </w:rPr>
            </w:pPr>
          </w:p>
        </w:tc>
        <w:tc>
          <w:tcPr>
            <w:tcW w:w="0" w:type="auto"/>
            <w:gridSpan w:val="3"/>
            <w:shd w:val="clear" w:color="auto" w:fill="auto"/>
            <w:vAlign w:val="bottom"/>
          </w:tcPr>
          <w:p w14:paraId="5DEC51D8" w14:textId="77777777" w:rsidR="00B1578D" w:rsidRDefault="00B1578D">
            <w:pPr>
              <w:rPr>
                <w:rFonts w:ascii="宋体"/>
                <w:vanish/>
              </w:rPr>
            </w:pPr>
          </w:p>
        </w:tc>
        <w:tc>
          <w:tcPr>
            <w:tcW w:w="0" w:type="auto"/>
            <w:gridSpan w:val="3"/>
            <w:shd w:val="clear" w:color="auto" w:fill="auto"/>
            <w:vAlign w:val="bottom"/>
          </w:tcPr>
          <w:p w14:paraId="5DEC51D9" w14:textId="77777777" w:rsidR="00B1578D" w:rsidRDefault="00B1578D">
            <w:pPr>
              <w:rPr>
                <w:rFonts w:ascii="宋体"/>
                <w:vanish/>
              </w:rPr>
            </w:pPr>
          </w:p>
        </w:tc>
      </w:tr>
      <w:tr w:rsidR="00B1578D" w14:paraId="5DEC51E4" w14:textId="77777777">
        <w:trPr>
          <w:jc w:val="center"/>
          <w:hidden/>
        </w:trPr>
        <w:tc>
          <w:tcPr>
            <w:tcW w:w="0" w:type="auto"/>
            <w:gridSpan w:val="3"/>
            <w:shd w:val="clear" w:color="auto" w:fill="auto"/>
            <w:vAlign w:val="bottom"/>
          </w:tcPr>
          <w:p w14:paraId="5DEC51DB" w14:textId="77777777" w:rsidR="00B1578D" w:rsidRDefault="00B1578D">
            <w:pPr>
              <w:rPr>
                <w:rFonts w:ascii="宋体"/>
                <w:vanish/>
              </w:rPr>
            </w:pPr>
          </w:p>
        </w:tc>
        <w:tc>
          <w:tcPr>
            <w:tcW w:w="0" w:type="auto"/>
            <w:gridSpan w:val="3"/>
            <w:shd w:val="clear" w:color="auto" w:fill="auto"/>
            <w:vAlign w:val="bottom"/>
          </w:tcPr>
          <w:p w14:paraId="5DEC51DC" w14:textId="77777777" w:rsidR="00B1578D" w:rsidRDefault="00B1578D">
            <w:pPr>
              <w:rPr>
                <w:rFonts w:ascii="宋体"/>
                <w:vanish/>
              </w:rPr>
            </w:pPr>
          </w:p>
        </w:tc>
        <w:tc>
          <w:tcPr>
            <w:tcW w:w="0" w:type="auto"/>
            <w:gridSpan w:val="3"/>
            <w:shd w:val="clear" w:color="auto" w:fill="auto"/>
            <w:vAlign w:val="bottom"/>
          </w:tcPr>
          <w:p w14:paraId="5DEC51DD" w14:textId="77777777" w:rsidR="00B1578D" w:rsidRDefault="00B1578D">
            <w:pPr>
              <w:rPr>
                <w:rFonts w:ascii="宋体"/>
                <w:vanish/>
              </w:rPr>
            </w:pPr>
          </w:p>
        </w:tc>
        <w:tc>
          <w:tcPr>
            <w:tcW w:w="0" w:type="auto"/>
            <w:gridSpan w:val="3"/>
            <w:shd w:val="clear" w:color="auto" w:fill="auto"/>
            <w:vAlign w:val="bottom"/>
          </w:tcPr>
          <w:p w14:paraId="5DEC51DE" w14:textId="77777777" w:rsidR="00B1578D" w:rsidRDefault="00B1578D">
            <w:pPr>
              <w:rPr>
                <w:rFonts w:ascii="宋体"/>
                <w:vanish/>
              </w:rPr>
            </w:pPr>
          </w:p>
        </w:tc>
        <w:tc>
          <w:tcPr>
            <w:tcW w:w="0" w:type="auto"/>
            <w:gridSpan w:val="3"/>
            <w:shd w:val="clear" w:color="auto" w:fill="auto"/>
            <w:vAlign w:val="bottom"/>
          </w:tcPr>
          <w:p w14:paraId="5DEC51DF" w14:textId="77777777" w:rsidR="00B1578D" w:rsidRDefault="00B1578D">
            <w:pPr>
              <w:rPr>
                <w:rFonts w:ascii="宋体"/>
                <w:vanish/>
              </w:rPr>
            </w:pPr>
          </w:p>
        </w:tc>
        <w:tc>
          <w:tcPr>
            <w:tcW w:w="0" w:type="auto"/>
            <w:shd w:val="clear" w:color="auto" w:fill="auto"/>
            <w:vAlign w:val="bottom"/>
          </w:tcPr>
          <w:p w14:paraId="5DEC51E0" w14:textId="77777777" w:rsidR="00B1578D" w:rsidRDefault="00B1578D">
            <w:pPr>
              <w:rPr>
                <w:rFonts w:ascii="宋体"/>
                <w:vanish/>
              </w:rPr>
            </w:pPr>
          </w:p>
        </w:tc>
        <w:tc>
          <w:tcPr>
            <w:tcW w:w="0" w:type="auto"/>
            <w:shd w:val="clear" w:color="auto" w:fill="auto"/>
            <w:vAlign w:val="bottom"/>
          </w:tcPr>
          <w:p w14:paraId="5DEC51E1" w14:textId="77777777" w:rsidR="00B1578D" w:rsidRDefault="00B1578D">
            <w:pPr>
              <w:rPr>
                <w:rFonts w:ascii="宋体"/>
                <w:vanish/>
              </w:rPr>
            </w:pPr>
          </w:p>
        </w:tc>
        <w:tc>
          <w:tcPr>
            <w:tcW w:w="0" w:type="auto"/>
            <w:gridSpan w:val="3"/>
            <w:shd w:val="clear" w:color="auto" w:fill="auto"/>
            <w:vAlign w:val="bottom"/>
          </w:tcPr>
          <w:p w14:paraId="5DEC51E2" w14:textId="77777777" w:rsidR="00B1578D" w:rsidRDefault="00B1578D">
            <w:pPr>
              <w:rPr>
                <w:rFonts w:ascii="宋体"/>
                <w:vanish/>
              </w:rPr>
            </w:pPr>
          </w:p>
        </w:tc>
        <w:tc>
          <w:tcPr>
            <w:tcW w:w="0" w:type="auto"/>
            <w:gridSpan w:val="3"/>
            <w:shd w:val="clear" w:color="auto" w:fill="auto"/>
            <w:vAlign w:val="bottom"/>
          </w:tcPr>
          <w:p w14:paraId="5DEC51E3" w14:textId="77777777" w:rsidR="00B1578D" w:rsidRDefault="00B1578D">
            <w:pPr>
              <w:rPr>
                <w:rFonts w:ascii="宋体"/>
                <w:vanish/>
              </w:rPr>
            </w:pPr>
          </w:p>
        </w:tc>
      </w:tr>
      <w:tr w:rsidR="00B1578D" w14:paraId="5DEC51EE" w14:textId="77777777">
        <w:trPr>
          <w:jc w:val="center"/>
          <w:hidden/>
        </w:trPr>
        <w:tc>
          <w:tcPr>
            <w:tcW w:w="0" w:type="auto"/>
            <w:gridSpan w:val="3"/>
            <w:shd w:val="clear" w:color="auto" w:fill="auto"/>
            <w:vAlign w:val="bottom"/>
          </w:tcPr>
          <w:p w14:paraId="5DEC51E5" w14:textId="77777777" w:rsidR="00B1578D" w:rsidRDefault="00B1578D">
            <w:pPr>
              <w:rPr>
                <w:rFonts w:ascii="宋体"/>
                <w:vanish/>
              </w:rPr>
            </w:pPr>
          </w:p>
        </w:tc>
        <w:tc>
          <w:tcPr>
            <w:tcW w:w="0" w:type="auto"/>
            <w:gridSpan w:val="3"/>
            <w:shd w:val="clear" w:color="auto" w:fill="auto"/>
            <w:vAlign w:val="bottom"/>
          </w:tcPr>
          <w:p w14:paraId="5DEC51E6" w14:textId="77777777" w:rsidR="00B1578D" w:rsidRDefault="00B1578D">
            <w:pPr>
              <w:rPr>
                <w:rFonts w:ascii="宋体"/>
                <w:vanish/>
              </w:rPr>
            </w:pPr>
          </w:p>
        </w:tc>
        <w:tc>
          <w:tcPr>
            <w:tcW w:w="0" w:type="auto"/>
            <w:gridSpan w:val="3"/>
            <w:shd w:val="clear" w:color="auto" w:fill="auto"/>
            <w:vAlign w:val="bottom"/>
          </w:tcPr>
          <w:p w14:paraId="5DEC51E7" w14:textId="77777777" w:rsidR="00B1578D" w:rsidRDefault="00B1578D">
            <w:pPr>
              <w:rPr>
                <w:rFonts w:ascii="宋体"/>
                <w:vanish/>
              </w:rPr>
            </w:pPr>
          </w:p>
        </w:tc>
        <w:tc>
          <w:tcPr>
            <w:tcW w:w="0" w:type="auto"/>
            <w:gridSpan w:val="3"/>
            <w:shd w:val="clear" w:color="auto" w:fill="auto"/>
            <w:vAlign w:val="bottom"/>
          </w:tcPr>
          <w:p w14:paraId="5DEC51E8" w14:textId="77777777" w:rsidR="00B1578D" w:rsidRDefault="00B1578D">
            <w:pPr>
              <w:rPr>
                <w:rFonts w:ascii="宋体"/>
                <w:vanish/>
              </w:rPr>
            </w:pPr>
          </w:p>
        </w:tc>
        <w:tc>
          <w:tcPr>
            <w:tcW w:w="0" w:type="auto"/>
            <w:gridSpan w:val="3"/>
            <w:shd w:val="clear" w:color="auto" w:fill="auto"/>
            <w:vAlign w:val="bottom"/>
          </w:tcPr>
          <w:p w14:paraId="5DEC51E9" w14:textId="77777777" w:rsidR="00B1578D" w:rsidRDefault="00B1578D">
            <w:pPr>
              <w:rPr>
                <w:rFonts w:ascii="宋体"/>
                <w:vanish/>
              </w:rPr>
            </w:pPr>
          </w:p>
        </w:tc>
        <w:tc>
          <w:tcPr>
            <w:tcW w:w="0" w:type="auto"/>
            <w:shd w:val="clear" w:color="auto" w:fill="auto"/>
            <w:vAlign w:val="bottom"/>
          </w:tcPr>
          <w:p w14:paraId="5DEC51EA" w14:textId="77777777" w:rsidR="00B1578D" w:rsidRDefault="00B1578D">
            <w:pPr>
              <w:rPr>
                <w:rFonts w:ascii="宋体"/>
                <w:vanish/>
              </w:rPr>
            </w:pPr>
          </w:p>
        </w:tc>
        <w:tc>
          <w:tcPr>
            <w:tcW w:w="0" w:type="auto"/>
            <w:shd w:val="clear" w:color="auto" w:fill="auto"/>
            <w:vAlign w:val="bottom"/>
          </w:tcPr>
          <w:p w14:paraId="5DEC51EB" w14:textId="77777777" w:rsidR="00B1578D" w:rsidRDefault="00B1578D">
            <w:pPr>
              <w:rPr>
                <w:rFonts w:ascii="宋体"/>
                <w:vanish/>
              </w:rPr>
            </w:pPr>
          </w:p>
        </w:tc>
        <w:tc>
          <w:tcPr>
            <w:tcW w:w="0" w:type="auto"/>
            <w:gridSpan w:val="3"/>
            <w:shd w:val="clear" w:color="auto" w:fill="auto"/>
            <w:vAlign w:val="bottom"/>
          </w:tcPr>
          <w:p w14:paraId="5DEC51EC" w14:textId="77777777" w:rsidR="00B1578D" w:rsidRDefault="00B1578D">
            <w:pPr>
              <w:rPr>
                <w:rFonts w:ascii="宋体"/>
                <w:vanish/>
              </w:rPr>
            </w:pPr>
          </w:p>
        </w:tc>
        <w:tc>
          <w:tcPr>
            <w:tcW w:w="0" w:type="auto"/>
            <w:gridSpan w:val="3"/>
            <w:shd w:val="clear" w:color="auto" w:fill="auto"/>
            <w:vAlign w:val="bottom"/>
          </w:tcPr>
          <w:p w14:paraId="5DEC51ED" w14:textId="77777777" w:rsidR="00B1578D" w:rsidRDefault="00B1578D">
            <w:pPr>
              <w:rPr>
                <w:rFonts w:ascii="宋体"/>
                <w:vanish/>
              </w:rPr>
            </w:pPr>
          </w:p>
        </w:tc>
      </w:tr>
      <w:tr w:rsidR="00B1578D" w14:paraId="5DEC51F8" w14:textId="77777777">
        <w:trPr>
          <w:jc w:val="center"/>
          <w:hidden/>
        </w:trPr>
        <w:tc>
          <w:tcPr>
            <w:tcW w:w="0" w:type="auto"/>
            <w:gridSpan w:val="3"/>
            <w:shd w:val="clear" w:color="auto" w:fill="auto"/>
            <w:vAlign w:val="bottom"/>
          </w:tcPr>
          <w:p w14:paraId="5DEC51EF" w14:textId="77777777" w:rsidR="00B1578D" w:rsidRDefault="00B1578D">
            <w:pPr>
              <w:rPr>
                <w:rFonts w:ascii="宋体"/>
                <w:vanish/>
              </w:rPr>
            </w:pPr>
          </w:p>
        </w:tc>
        <w:tc>
          <w:tcPr>
            <w:tcW w:w="0" w:type="auto"/>
            <w:gridSpan w:val="3"/>
            <w:shd w:val="clear" w:color="auto" w:fill="auto"/>
            <w:vAlign w:val="bottom"/>
          </w:tcPr>
          <w:p w14:paraId="5DEC51F0" w14:textId="77777777" w:rsidR="00B1578D" w:rsidRDefault="00B1578D">
            <w:pPr>
              <w:rPr>
                <w:rFonts w:ascii="宋体"/>
                <w:vanish/>
              </w:rPr>
            </w:pPr>
          </w:p>
        </w:tc>
        <w:tc>
          <w:tcPr>
            <w:tcW w:w="0" w:type="auto"/>
            <w:gridSpan w:val="3"/>
            <w:shd w:val="clear" w:color="auto" w:fill="auto"/>
            <w:vAlign w:val="bottom"/>
          </w:tcPr>
          <w:p w14:paraId="5DEC51F1" w14:textId="77777777" w:rsidR="00B1578D" w:rsidRDefault="00B1578D">
            <w:pPr>
              <w:rPr>
                <w:rFonts w:ascii="宋体"/>
                <w:vanish/>
              </w:rPr>
            </w:pPr>
          </w:p>
        </w:tc>
        <w:tc>
          <w:tcPr>
            <w:tcW w:w="0" w:type="auto"/>
            <w:gridSpan w:val="3"/>
            <w:shd w:val="clear" w:color="auto" w:fill="auto"/>
            <w:vAlign w:val="bottom"/>
          </w:tcPr>
          <w:p w14:paraId="5DEC51F2" w14:textId="77777777" w:rsidR="00B1578D" w:rsidRDefault="00B1578D">
            <w:pPr>
              <w:rPr>
                <w:rFonts w:ascii="宋体"/>
                <w:vanish/>
              </w:rPr>
            </w:pPr>
          </w:p>
        </w:tc>
        <w:tc>
          <w:tcPr>
            <w:tcW w:w="0" w:type="auto"/>
            <w:gridSpan w:val="3"/>
            <w:shd w:val="clear" w:color="auto" w:fill="auto"/>
            <w:vAlign w:val="bottom"/>
          </w:tcPr>
          <w:p w14:paraId="5DEC51F3" w14:textId="77777777" w:rsidR="00B1578D" w:rsidRDefault="00B1578D">
            <w:pPr>
              <w:rPr>
                <w:rFonts w:ascii="宋体"/>
                <w:vanish/>
              </w:rPr>
            </w:pPr>
          </w:p>
        </w:tc>
        <w:tc>
          <w:tcPr>
            <w:tcW w:w="0" w:type="auto"/>
            <w:shd w:val="clear" w:color="auto" w:fill="auto"/>
            <w:vAlign w:val="bottom"/>
          </w:tcPr>
          <w:p w14:paraId="5DEC51F4" w14:textId="77777777" w:rsidR="00B1578D" w:rsidRDefault="00B1578D">
            <w:pPr>
              <w:rPr>
                <w:rFonts w:ascii="宋体"/>
                <w:vanish/>
              </w:rPr>
            </w:pPr>
          </w:p>
        </w:tc>
        <w:tc>
          <w:tcPr>
            <w:tcW w:w="0" w:type="auto"/>
            <w:shd w:val="clear" w:color="auto" w:fill="auto"/>
            <w:vAlign w:val="bottom"/>
          </w:tcPr>
          <w:p w14:paraId="5DEC51F5" w14:textId="77777777" w:rsidR="00B1578D" w:rsidRDefault="00B1578D">
            <w:pPr>
              <w:rPr>
                <w:rFonts w:ascii="宋体"/>
                <w:vanish/>
              </w:rPr>
            </w:pPr>
          </w:p>
        </w:tc>
        <w:tc>
          <w:tcPr>
            <w:tcW w:w="0" w:type="auto"/>
            <w:gridSpan w:val="3"/>
            <w:shd w:val="clear" w:color="auto" w:fill="auto"/>
            <w:vAlign w:val="bottom"/>
          </w:tcPr>
          <w:p w14:paraId="5DEC51F6" w14:textId="77777777" w:rsidR="00B1578D" w:rsidRDefault="00B1578D">
            <w:pPr>
              <w:rPr>
                <w:rFonts w:ascii="宋体"/>
                <w:vanish/>
              </w:rPr>
            </w:pPr>
          </w:p>
        </w:tc>
        <w:tc>
          <w:tcPr>
            <w:tcW w:w="0" w:type="auto"/>
            <w:gridSpan w:val="3"/>
            <w:shd w:val="clear" w:color="auto" w:fill="auto"/>
            <w:vAlign w:val="bottom"/>
          </w:tcPr>
          <w:p w14:paraId="5DEC51F7" w14:textId="77777777" w:rsidR="00B1578D" w:rsidRDefault="00B1578D">
            <w:pPr>
              <w:rPr>
                <w:rFonts w:ascii="宋体"/>
                <w:vanish/>
              </w:rPr>
            </w:pPr>
          </w:p>
        </w:tc>
      </w:tr>
      <w:tr w:rsidR="00B1578D" w14:paraId="5DEC5202" w14:textId="77777777">
        <w:trPr>
          <w:jc w:val="center"/>
        </w:trPr>
        <w:tc>
          <w:tcPr>
            <w:tcW w:w="0" w:type="auto"/>
            <w:gridSpan w:val="3"/>
            <w:shd w:val="clear" w:color="auto" w:fill="FFFFFF"/>
            <w:tcMar>
              <w:top w:w="40" w:type="dxa"/>
              <w:left w:w="20" w:type="dxa"/>
              <w:bottom w:w="40" w:type="dxa"/>
              <w:right w:w="20" w:type="dxa"/>
            </w:tcMar>
            <w:vAlign w:val="center"/>
          </w:tcPr>
          <w:p w14:paraId="5DEC51F9" w14:textId="77777777" w:rsidR="00B1578D" w:rsidRDefault="004D2C04">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FFFFFF"/>
            <w:tcMar>
              <w:top w:w="0" w:type="dxa"/>
              <w:left w:w="20" w:type="dxa"/>
              <w:bottom w:w="0" w:type="dxa"/>
              <w:right w:w="20" w:type="dxa"/>
            </w:tcMar>
            <w:vAlign w:val="bottom"/>
          </w:tcPr>
          <w:p w14:paraId="5DEC51F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1FB"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1FC"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1FD" w14:textId="77777777" w:rsidR="00B1578D" w:rsidRDefault="00B1578D">
            <w:pPr>
              <w:rPr>
                <w:rFonts w:ascii="宋体"/>
              </w:rPr>
            </w:pPr>
          </w:p>
        </w:tc>
        <w:tc>
          <w:tcPr>
            <w:tcW w:w="0" w:type="auto"/>
            <w:shd w:val="clear" w:color="auto" w:fill="auto"/>
            <w:vAlign w:val="bottom"/>
          </w:tcPr>
          <w:p w14:paraId="5DEC51FE" w14:textId="77777777" w:rsidR="00B1578D" w:rsidRDefault="00B1578D">
            <w:pPr>
              <w:rPr>
                <w:rFonts w:ascii="宋体"/>
                <w:vanish/>
              </w:rPr>
            </w:pPr>
          </w:p>
        </w:tc>
        <w:tc>
          <w:tcPr>
            <w:tcW w:w="0" w:type="auto"/>
            <w:shd w:val="clear" w:color="auto" w:fill="auto"/>
            <w:vAlign w:val="bottom"/>
          </w:tcPr>
          <w:p w14:paraId="5DEC51FF" w14:textId="77777777" w:rsidR="00B1578D" w:rsidRDefault="00B1578D">
            <w:pPr>
              <w:rPr>
                <w:rFonts w:ascii="宋体"/>
                <w:vanish/>
              </w:rPr>
            </w:pPr>
          </w:p>
        </w:tc>
        <w:tc>
          <w:tcPr>
            <w:tcW w:w="0" w:type="auto"/>
            <w:gridSpan w:val="3"/>
            <w:shd w:val="clear" w:color="auto" w:fill="auto"/>
            <w:vAlign w:val="bottom"/>
          </w:tcPr>
          <w:p w14:paraId="5DEC5200" w14:textId="77777777" w:rsidR="00B1578D" w:rsidRDefault="00B1578D">
            <w:pPr>
              <w:rPr>
                <w:rFonts w:ascii="宋体"/>
                <w:vanish/>
              </w:rPr>
            </w:pPr>
          </w:p>
        </w:tc>
        <w:tc>
          <w:tcPr>
            <w:tcW w:w="0" w:type="auto"/>
            <w:gridSpan w:val="3"/>
            <w:shd w:val="clear" w:color="auto" w:fill="auto"/>
            <w:vAlign w:val="bottom"/>
          </w:tcPr>
          <w:p w14:paraId="5DEC5201" w14:textId="77777777" w:rsidR="00B1578D" w:rsidRDefault="00B1578D">
            <w:pPr>
              <w:rPr>
                <w:rFonts w:ascii="宋体"/>
                <w:vanish/>
              </w:rPr>
            </w:pPr>
          </w:p>
        </w:tc>
      </w:tr>
      <w:tr w:rsidR="00B1578D" w14:paraId="5DEC5210" w14:textId="77777777">
        <w:trPr>
          <w:jc w:val="center"/>
        </w:trPr>
        <w:tc>
          <w:tcPr>
            <w:tcW w:w="0" w:type="auto"/>
            <w:gridSpan w:val="3"/>
            <w:shd w:val="clear" w:color="auto" w:fill="CCEEFF"/>
            <w:tcMar>
              <w:top w:w="40" w:type="dxa"/>
              <w:left w:w="380" w:type="dxa"/>
              <w:bottom w:w="40" w:type="dxa"/>
              <w:right w:w="20" w:type="dxa"/>
            </w:tcMar>
            <w:vAlign w:val="center"/>
          </w:tcPr>
          <w:p w14:paraId="5DEC5203" w14:textId="77777777" w:rsidR="00B1578D" w:rsidRDefault="004D2C04">
            <w:pPr>
              <w:textAlignment w:val="center"/>
            </w:pPr>
            <w:r>
              <w:rPr>
                <w:rFonts w:ascii="Times New Roman" w:eastAsia="宋体" w:hAnsi="Times New Roman"/>
                <w:color w:val="000000"/>
                <w:sz w:val="16"/>
                <w:szCs w:val="16"/>
              </w:rPr>
              <w:t>Basic net income per common share attributable to Walmart</w:t>
            </w:r>
          </w:p>
        </w:tc>
        <w:tc>
          <w:tcPr>
            <w:tcW w:w="0" w:type="auto"/>
            <w:gridSpan w:val="3"/>
            <w:shd w:val="clear" w:color="auto" w:fill="CCEEFF"/>
            <w:tcMar>
              <w:top w:w="0" w:type="dxa"/>
              <w:left w:w="20" w:type="dxa"/>
              <w:bottom w:w="0" w:type="dxa"/>
              <w:right w:w="20" w:type="dxa"/>
            </w:tcMar>
            <w:vAlign w:val="bottom"/>
          </w:tcPr>
          <w:p w14:paraId="5DEC5204"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205"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206" w14:textId="77777777" w:rsidR="00B1578D" w:rsidRDefault="004D2C04">
            <w:pPr>
              <w:jc w:val="right"/>
              <w:textAlignment w:val="center"/>
            </w:pPr>
            <w:r>
              <w:rPr>
                <w:rFonts w:ascii="Times New Roman" w:eastAsia="宋体" w:hAnsi="Times New Roman"/>
                <w:color w:val="000000"/>
                <w:sz w:val="16"/>
                <w:szCs w:val="16"/>
              </w:rPr>
              <w:t>0.75 </w:t>
            </w:r>
          </w:p>
        </w:tc>
        <w:tc>
          <w:tcPr>
            <w:tcW w:w="0" w:type="auto"/>
            <w:shd w:val="clear" w:color="auto" w:fill="CCEEFF"/>
            <w:tcMar>
              <w:top w:w="40" w:type="dxa"/>
              <w:left w:w="0" w:type="dxa"/>
              <w:bottom w:w="40" w:type="dxa"/>
              <w:right w:w="20" w:type="dxa"/>
            </w:tcMar>
            <w:vAlign w:val="center"/>
          </w:tcPr>
          <w:p w14:paraId="5DEC520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208"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209"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20A" w14:textId="77777777" w:rsidR="00B1578D" w:rsidRDefault="004D2C04">
            <w:pPr>
              <w:jc w:val="right"/>
              <w:textAlignment w:val="center"/>
            </w:pPr>
            <w:r>
              <w:rPr>
                <w:rFonts w:ascii="Times New Roman" w:eastAsia="宋体" w:hAnsi="Times New Roman"/>
                <w:color w:val="000000"/>
                <w:sz w:val="16"/>
                <w:szCs w:val="16"/>
              </w:rPr>
              <w:t>0.97 </w:t>
            </w:r>
          </w:p>
        </w:tc>
        <w:tc>
          <w:tcPr>
            <w:tcW w:w="0" w:type="auto"/>
            <w:shd w:val="clear" w:color="auto" w:fill="CCEEFF"/>
            <w:tcMar>
              <w:top w:w="40" w:type="dxa"/>
              <w:left w:w="0" w:type="dxa"/>
              <w:bottom w:w="40" w:type="dxa"/>
              <w:right w:w="20" w:type="dxa"/>
            </w:tcMar>
            <w:vAlign w:val="center"/>
          </w:tcPr>
          <w:p w14:paraId="5DEC520B" w14:textId="77777777" w:rsidR="00B1578D" w:rsidRDefault="00B1578D">
            <w:pPr>
              <w:jc w:val="right"/>
              <w:rPr>
                <w:rFonts w:ascii="宋体"/>
              </w:rPr>
            </w:pPr>
          </w:p>
        </w:tc>
        <w:tc>
          <w:tcPr>
            <w:tcW w:w="0" w:type="auto"/>
            <w:shd w:val="clear" w:color="auto" w:fill="auto"/>
            <w:vAlign w:val="bottom"/>
          </w:tcPr>
          <w:p w14:paraId="5DEC520C" w14:textId="77777777" w:rsidR="00B1578D" w:rsidRDefault="00B1578D">
            <w:pPr>
              <w:rPr>
                <w:rFonts w:ascii="宋体"/>
                <w:vanish/>
              </w:rPr>
            </w:pPr>
          </w:p>
        </w:tc>
        <w:tc>
          <w:tcPr>
            <w:tcW w:w="0" w:type="auto"/>
            <w:shd w:val="clear" w:color="auto" w:fill="auto"/>
            <w:vAlign w:val="bottom"/>
          </w:tcPr>
          <w:p w14:paraId="5DEC520D" w14:textId="77777777" w:rsidR="00B1578D" w:rsidRDefault="00B1578D">
            <w:pPr>
              <w:rPr>
                <w:rFonts w:ascii="宋体"/>
                <w:vanish/>
              </w:rPr>
            </w:pPr>
          </w:p>
        </w:tc>
        <w:tc>
          <w:tcPr>
            <w:tcW w:w="0" w:type="auto"/>
            <w:gridSpan w:val="3"/>
            <w:shd w:val="clear" w:color="auto" w:fill="auto"/>
            <w:vAlign w:val="bottom"/>
          </w:tcPr>
          <w:p w14:paraId="5DEC520E" w14:textId="77777777" w:rsidR="00B1578D" w:rsidRDefault="00B1578D">
            <w:pPr>
              <w:rPr>
                <w:rFonts w:ascii="宋体"/>
                <w:vanish/>
              </w:rPr>
            </w:pPr>
          </w:p>
        </w:tc>
        <w:tc>
          <w:tcPr>
            <w:tcW w:w="0" w:type="auto"/>
            <w:gridSpan w:val="3"/>
            <w:shd w:val="clear" w:color="auto" w:fill="auto"/>
            <w:vAlign w:val="bottom"/>
          </w:tcPr>
          <w:p w14:paraId="5DEC520F" w14:textId="77777777" w:rsidR="00B1578D" w:rsidRDefault="00B1578D">
            <w:pPr>
              <w:rPr>
                <w:rFonts w:ascii="宋体"/>
                <w:vanish/>
              </w:rPr>
            </w:pPr>
          </w:p>
        </w:tc>
      </w:tr>
      <w:tr w:rsidR="00B1578D" w14:paraId="5DEC521A" w14:textId="77777777">
        <w:trPr>
          <w:jc w:val="center"/>
          <w:hidden/>
        </w:trPr>
        <w:tc>
          <w:tcPr>
            <w:tcW w:w="0" w:type="auto"/>
            <w:gridSpan w:val="3"/>
            <w:shd w:val="clear" w:color="auto" w:fill="auto"/>
            <w:vAlign w:val="bottom"/>
          </w:tcPr>
          <w:p w14:paraId="5DEC5211" w14:textId="77777777" w:rsidR="00B1578D" w:rsidRDefault="00B1578D">
            <w:pPr>
              <w:rPr>
                <w:rFonts w:ascii="宋体"/>
                <w:vanish/>
              </w:rPr>
            </w:pPr>
          </w:p>
        </w:tc>
        <w:tc>
          <w:tcPr>
            <w:tcW w:w="0" w:type="auto"/>
            <w:gridSpan w:val="3"/>
            <w:shd w:val="clear" w:color="auto" w:fill="auto"/>
            <w:vAlign w:val="bottom"/>
          </w:tcPr>
          <w:p w14:paraId="5DEC5212" w14:textId="77777777" w:rsidR="00B1578D" w:rsidRDefault="00B1578D">
            <w:pPr>
              <w:rPr>
                <w:rFonts w:ascii="宋体"/>
                <w:vanish/>
              </w:rPr>
            </w:pPr>
          </w:p>
        </w:tc>
        <w:tc>
          <w:tcPr>
            <w:tcW w:w="0" w:type="auto"/>
            <w:gridSpan w:val="3"/>
            <w:shd w:val="clear" w:color="auto" w:fill="auto"/>
            <w:vAlign w:val="bottom"/>
          </w:tcPr>
          <w:p w14:paraId="5DEC5213" w14:textId="77777777" w:rsidR="00B1578D" w:rsidRDefault="00B1578D">
            <w:pPr>
              <w:rPr>
                <w:rFonts w:ascii="宋体"/>
                <w:vanish/>
              </w:rPr>
            </w:pPr>
          </w:p>
        </w:tc>
        <w:tc>
          <w:tcPr>
            <w:tcW w:w="0" w:type="auto"/>
            <w:gridSpan w:val="3"/>
            <w:shd w:val="clear" w:color="auto" w:fill="auto"/>
            <w:vAlign w:val="bottom"/>
          </w:tcPr>
          <w:p w14:paraId="5DEC5214" w14:textId="77777777" w:rsidR="00B1578D" w:rsidRDefault="00B1578D">
            <w:pPr>
              <w:rPr>
                <w:rFonts w:ascii="宋体"/>
                <w:vanish/>
              </w:rPr>
            </w:pPr>
          </w:p>
        </w:tc>
        <w:tc>
          <w:tcPr>
            <w:tcW w:w="0" w:type="auto"/>
            <w:gridSpan w:val="3"/>
            <w:shd w:val="clear" w:color="auto" w:fill="auto"/>
            <w:vAlign w:val="bottom"/>
          </w:tcPr>
          <w:p w14:paraId="5DEC5215" w14:textId="77777777" w:rsidR="00B1578D" w:rsidRDefault="00B1578D">
            <w:pPr>
              <w:rPr>
                <w:rFonts w:ascii="宋体"/>
                <w:vanish/>
              </w:rPr>
            </w:pPr>
          </w:p>
        </w:tc>
        <w:tc>
          <w:tcPr>
            <w:tcW w:w="0" w:type="auto"/>
            <w:shd w:val="clear" w:color="auto" w:fill="auto"/>
            <w:vAlign w:val="bottom"/>
          </w:tcPr>
          <w:p w14:paraId="5DEC5216" w14:textId="77777777" w:rsidR="00B1578D" w:rsidRDefault="00B1578D">
            <w:pPr>
              <w:rPr>
                <w:rFonts w:ascii="宋体"/>
                <w:vanish/>
              </w:rPr>
            </w:pPr>
          </w:p>
        </w:tc>
        <w:tc>
          <w:tcPr>
            <w:tcW w:w="0" w:type="auto"/>
            <w:shd w:val="clear" w:color="auto" w:fill="auto"/>
            <w:vAlign w:val="bottom"/>
          </w:tcPr>
          <w:p w14:paraId="5DEC5217" w14:textId="77777777" w:rsidR="00B1578D" w:rsidRDefault="00B1578D">
            <w:pPr>
              <w:rPr>
                <w:rFonts w:ascii="宋体"/>
                <w:vanish/>
              </w:rPr>
            </w:pPr>
          </w:p>
        </w:tc>
        <w:tc>
          <w:tcPr>
            <w:tcW w:w="0" w:type="auto"/>
            <w:gridSpan w:val="3"/>
            <w:shd w:val="clear" w:color="auto" w:fill="auto"/>
            <w:vAlign w:val="bottom"/>
          </w:tcPr>
          <w:p w14:paraId="5DEC5218" w14:textId="77777777" w:rsidR="00B1578D" w:rsidRDefault="00B1578D">
            <w:pPr>
              <w:rPr>
                <w:rFonts w:ascii="宋体"/>
                <w:vanish/>
              </w:rPr>
            </w:pPr>
          </w:p>
        </w:tc>
        <w:tc>
          <w:tcPr>
            <w:tcW w:w="0" w:type="auto"/>
            <w:gridSpan w:val="3"/>
            <w:shd w:val="clear" w:color="auto" w:fill="auto"/>
            <w:vAlign w:val="bottom"/>
          </w:tcPr>
          <w:p w14:paraId="5DEC5219" w14:textId="77777777" w:rsidR="00B1578D" w:rsidRDefault="00B1578D">
            <w:pPr>
              <w:rPr>
                <w:rFonts w:ascii="宋体"/>
                <w:vanish/>
              </w:rPr>
            </w:pPr>
          </w:p>
        </w:tc>
      </w:tr>
      <w:tr w:rsidR="00B1578D" w14:paraId="5DEC5224" w14:textId="77777777">
        <w:trPr>
          <w:jc w:val="center"/>
          <w:hidden/>
        </w:trPr>
        <w:tc>
          <w:tcPr>
            <w:tcW w:w="0" w:type="auto"/>
            <w:gridSpan w:val="3"/>
            <w:shd w:val="clear" w:color="auto" w:fill="auto"/>
            <w:vAlign w:val="bottom"/>
          </w:tcPr>
          <w:p w14:paraId="5DEC521B" w14:textId="77777777" w:rsidR="00B1578D" w:rsidRDefault="00B1578D">
            <w:pPr>
              <w:rPr>
                <w:rFonts w:ascii="宋体"/>
                <w:vanish/>
              </w:rPr>
            </w:pPr>
          </w:p>
        </w:tc>
        <w:tc>
          <w:tcPr>
            <w:tcW w:w="0" w:type="auto"/>
            <w:gridSpan w:val="3"/>
            <w:shd w:val="clear" w:color="auto" w:fill="auto"/>
            <w:vAlign w:val="bottom"/>
          </w:tcPr>
          <w:p w14:paraId="5DEC521C" w14:textId="77777777" w:rsidR="00B1578D" w:rsidRDefault="00B1578D">
            <w:pPr>
              <w:rPr>
                <w:rFonts w:ascii="宋体"/>
                <w:vanish/>
              </w:rPr>
            </w:pPr>
          </w:p>
        </w:tc>
        <w:tc>
          <w:tcPr>
            <w:tcW w:w="0" w:type="auto"/>
            <w:gridSpan w:val="3"/>
            <w:shd w:val="clear" w:color="auto" w:fill="auto"/>
            <w:vAlign w:val="bottom"/>
          </w:tcPr>
          <w:p w14:paraId="5DEC521D" w14:textId="77777777" w:rsidR="00B1578D" w:rsidRDefault="00B1578D">
            <w:pPr>
              <w:rPr>
                <w:rFonts w:ascii="宋体"/>
                <w:vanish/>
              </w:rPr>
            </w:pPr>
          </w:p>
        </w:tc>
        <w:tc>
          <w:tcPr>
            <w:tcW w:w="0" w:type="auto"/>
            <w:gridSpan w:val="3"/>
            <w:shd w:val="clear" w:color="auto" w:fill="auto"/>
            <w:vAlign w:val="bottom"/>
          </w:tcPr>
          <w:p w14:paraId="5DEC521E" w14:textId="77777777" w:rsidR="00B1578D" w:rsidRDefault="00B1578D">
            <w:pPr>
              <w:rPr>
                <w:rFonts w:ascii="宋体"/>
                <w:vanish/>
              </w:rPr>
            </w:pPr>
          </w:p>
        </w:tc>
        <w:tc>
          <w:tcPr>
            <w:tcW w:w="0" w:type="auto"/>
            <w:gridSpan w:val="3"/>
            <w:shd w:val="clear" w:color="auto" w:fill="auto"/>
            <w:vAlign w:val="bottom"/>
          </w:tcPr>
          <w:p w14:paraId="5DEC521F" w14:textId="77777777" w:rsidR="00B1578D" w:rsidRDefault="00B1578D">
            <w:pPr>
              <w:rPr>
                <w:rFonts w:ascii="宋体"/>
                <w:vanish/>
              </w:rPr>
            </w:pPr>
          </w:p>
        </w:tc>
        <w:tc>
          <w:tcPr>
            <w:tcW w:w="0" w:type="auto"/>
            <w:shd w:val="clear" w:color="auto" w:fill="auto"/>
            <w:vAlign w:val="bottom"/>
          </w:tcPr>
          <w:p w14:paraId="5DEC5220" w14:textId="77777777" w:rsidR="00B1578D" w:rsidRDefault="00B1578D">
            <w:pPr>
              <w:rPr>
                <w:rFonts w:ascii="宋体"/>
                <w:vanish/>
              </w:rPr>
            </w:pPr>
          </w:p>
        </w:tc>
        <w:tc>
          <w:tcPr>
            <w:tcW w:w="0" w:type="auto"/>
            <w:shd w:val="clear" w:color="auto" w:fill="auto"/>
            <w:vAlign w:val="bottom"/>
          </w:tcPr>
          <w:p w14:paraId="5DEC5221" w14:textId="77777777" w:rsidR="00B1578D" w:rsidRDefault="00B1578D">
            <w:pPr>
              <w:rPr>
                <w:rFonts w:ascii="宋体"/>
                <w:vanish/>
              </w:rPr>
            </w:pPr>
          </w:p>
        </w:tc>
        <w:tc>
          <w:tcPr>
            <w:tcW w:w="0" w:type="auto"/>
            <w:gridSpan w:val="3"/>
            <w:shd w:val="clear" w:color="auto" w:fill="auto"/>
            <w:vAlign w:val="bottom"/>
          </w:tcPr>
          <w:p w14:paraId="5DEC5222" w14:textId="77777777" w:rsidR="00B1578D" w:rsidRDefault="00B1578D">
            <w:pPr>
              <w:rPr>
                <w:rFonts w:ascii="宋体"/>
                <w:vanish/>
              </w:rPr>
            </w:pPr>
          </w:p>
        </w:tc>
        <w:tc>
          <w:tcPr>
            <w:tcW w:w="0" w:type="auto"/>
            <w:gridSpan w:val="3"/>
            <w:shd w:val="clear" w:color="auto" w:fill="auto"/>
            <w:vAlign w:val="bottom"/>
          </w:tcPr>
          <w:p w14:paraId="5DEC5223" w14:textId="77777777" w:rsidR="00B1578D" w:rsidRDefault="00B1578D">
            <w:pPr>
              <w:rPr>
                <w:rFonts w:ascii="宋体"/>
                <w:vanish/>
              </w:rPr>
            </w:pPr>
          </w:p>
        </w:tc>
      </w:tr>
      <w:tr w:rsidR="00B1578D" w14:paraId="5DEC522E" w14:textId="77777777">
        <w:trPr>
          <w:jc w:val="center"/>
          <w:hidden/>
        </w:trPr>
        <w:tc>
          <w:tcPr>
            <w:tcW w:w="0" w:type="auto"/>
            <w:gridSpan w:val="3"/>
            <w:shd w:val="clear" w:color="auto" w:fill="auto"/>
            <w:vAlign w:val="bottom"/>
          </w:tcPr>
          <w:p w14:paraId="5DEC5225" w14:textId="77777777" w:rsidR="00B1578D" w:rsidRDefault="00B1578D">
            <w:pPr>
              <w:rPr>
                <w:rFonts w:ascii="宋体"/>
                <w:vanish/>
              </w:rPr>
            </w:pPr>
          </w:p>
        </w:tc>
        <w:tc>
          <w:tcPr>
            <w:tcW w:w="0" w:type="auto"/>
            <w:gridSpan w:val="3"/>
            <w:shd w:val="clear" w:color="auto" w:fill="auto"/>
            <w:vAlign w:val="bottom"/>
          </w:tcPr>
          <w:p w14:paraId="5DEC5226" w14:textId="77777777" w:rsidR="00B1578D" w:rsidRDefault="00B1578D">
            <w:pPr>
              <w:rPr>
                <w:rFonts w:ascii="宋体"/>
                <w:vanish/>
              </w:rPr>
            </w:pPr>
          </w:p>
        </w:tc>
        <w:tc>
          <w:tcPr>
            <w:tcW w:w="0" w:type="auto"/>
            <w:gridSpan w:val="3"/>
            <w:shd w:val="clear" w:color="auto" w:fill="auto"/>
            <w:vAlign w:val="bottom"/>
          </w:tcPr>
          <w:p w14:paraId="5DEC5227" w14:textId="77777777" w:rsidR="00B1578D" w:rsidRDefault="00B1578D">
            <w:pPr>
              <w:rPr>
                <w:rFonts w:ascii="宋体"/>
                <w:vanish/>
              </w:rPr>
            </w:pPr>
          </w:p>
        </w:tc>
        <w:tc>
          <w:tcPr>
            <w:tcW w:w="0" w:type="auto"/>
            <w:gridSpan w:val="3"/>
            <w:shd w:val="clear" w:color="auto" w:fill="auto"/>
            <w:vAlign w:val="bottom"/>
          </w:tcPr>
          <w:p w14:paraId="5DEC5228" w14:textId="77777777" w:rsidR="00B1578D" w:rsidRDefault="00B1578D">
            <w:pPr>
              <w:rPr>
                <w:rFonts w:ascii="宋体"/>
                <w:vanish/>
              </w:rPr>
            </w:pPr>
          </w:p>
        </w:tc>
        <w:tc>
          <w:tcPr>
            <w:tcW w:w="0" w:type="auto"/>
            <w:gridSpan w:val="3"/>
            <w:shd w:val="clear" w:color="auto" w:fill="auto"/>
            <w:vAlign w:val="bottom"/>
          </w:tcPr>
          <w:p w14:paraId="5DEC5229" w14:textId="77777777" w:rsidR="00B1578D" w:rsidRDefault="00B1578D">
            <w:pPr>
              <w:rPr>
                <w:rFonts w:ascii="宋体"/>
                <w:vanish/>
              </w:rPr>
            </w:pPr>
          </w:p>
        </w:tc>
        <w:tc>
          <w:tcPr>
            <w:tcW w:w="0" w:type="auto"/>
            <w:shd w:val="clear" w:color="auto" w:fill="auto"/>
            <w:vAlign w:val="bottom"/>
          </w:tcPr>
          <w:p w14:paraId="5DEC522A" w14:textId="77777777" w:rsidR="00B1578D" w:rsidRDefault="00B1578D">
            <w:pPr>
              <w:rPr>
                <w:rFonts w:ascii="宋体"/>
                <w:vanish/>
              </w:rPr>
            </w:pPr>
          </w:p>
        </w:tc>
        <w:tc>
          <w:tcPr>
            <w:tcW w:w="0" w:type="auto"/>
            <w:shd w:val="clear" w:color="auto" w:fill="auto"/>
            <w:vAlign w:val="bottom"/>
          </w:tcPr>
          <w:p w14:paraId="5DEC522B" w14:textId="77777777" w:rsidR="00B1578D" w:rsidRDefault="00B1578D">
            <w:pPr>
              <w:rPr>
                <w:rFonts w:ascii="宋体"/>
                <w:vanish/>
              </w:rPr>
            </w:pPr>
          </w:p>
        </w:tc>
        <w:tc>
          <w:tcPr>
            <w:tcW w:w="0" w:type="auto"/>
            <w:gridSpan w:val="3"/>
            <w:shd w:val="clear" w:color="auto" w:fill="auto"/>
            <w:vAlign w:val="bottom"/>
          </w:tcPr>
          <w:p w14:paraId="5DEC522C" w14:textId="77777777" w:rsidR="00B1578D" w:rsidRDefault="00B1578D">
            <w:pPr>
              <w:rPr>
                <w:rFonts w:ascii="宋体"/>
                <w:vanish/>
              </w:rPr>
            </w:pPr>
          </w:p>
        </w:tc>
        <w:tc>
          <w:tcPr>
            <w:tcW w:w="0" w:type="auto"/>
            <w:gridSpan w:val="3"/>
            <w:shd w:val="clear" w:color="auto" w:fill="auto"/>
            <w:vAlign w:val="bottom"/>
          </w:tcPr>
          <w:p w14:paraId="5DEC522D" w14:textId="77777777" w:rsidR="00B1578D" w:rsidRDefault="00B1578D">
            <w:pPr>
              <w:rPr>
                <w:rFonts w:ascii="宋体"/>
                <w:vanish/>
              </w:rPr>
            </w:pPr>
          </w:p>
        </w:tc>
      </w:tr>
      <w:tr w:rsidR="00B1578D" w14:paraId="5DEC5238" w14:textId="77777777">
        <w:trPr>
          <w:jc w:val="center"/>
          <w:hidden/>
        </w:trPr>
        <w:tc>
          <w:tcPr>
            <w:tcW w:w="0" w:type="auto"/>
            <w:gridSpan w:val="3"/>
            <w:shd w:val="clear" w:color="auto" w:fill="auto"/>
            <w:vAlign w:val="bottom"/>
          </w:tcPr>
          <w:p w14:paraId="5DEC522F" w14:textId="77777777" w:rsidR="00B1578D" w:rsidRDefault="00B1578D">
            <w:pPr>
              <w:rPr>
                <w:rFonts w:ascii="宋体"/>
                <w:vanish/>
              </w:rPr>
            </w:pPr>
          </w:p>
        </w:tc>
        <w:tc>
          <w:tcPr>
            <w:tcW w:w="0" w:type="auto"/>
            <w:gridSpan w:val="3"/>
            <w:shd w:val="clear" w:color="auto" w:fill="auto"/>
            <w:vAlign w:val="bottom"/>
          </w:tcPr>
          <w:p w14:paraId="5DEC5230" w14:textId="77777777" w:rsidR="00B1578D" w:rsidRDefault="00B1578D">
            <w:pPr>
              <w:rPr>
                <w:rFonts w:ascii="宋体"/>
                <w:vanish/>
              </w:rPr>
            </w:pPr>
          </w:p>
        </w:tc>
        <w:tc>
          <w:tcPr>
            <w:tcW w:w="0" w:type="auto"/>
            <w:gridSpan w:val="3"/>
            <w:shd w:val="clear" w:color="auto" w:fill="auto"/>
            <w:vAlign w:val="bottom"/>
          </w:tcPr>
          <w:p w14:paraId="5DEC5231" w14:textId="77777777" w:rsidR="00B1578D" w:rsidRDefault="00B1578D">
            <w:pPr>
              <w:rPr>
                <w:rFonts w:ascii="宋体"/>
                <w:vanish/>
              </w:rPr>
            </w:pPr>
          </w:p>
        </w:tc>
        <w:tc>
          <w:tcPr>
            <w:tcW w:w="0" w:type="auto"/>
            <w:gridSpan w:val="3"/>
            <w:shd w:val="clear" w:color="auto" w:fill="auto"/>
            <w:vAlign w:val="bottom"/>
          </w:tcPr>
          <w:p w14:paraId="5DEC5232" w14:textId="77777777" w:rsidR="00B1578D" w:rsidRDefault="00B1578D">
            <w:pPr>
              <w:rPr>
                <w:rFonts w:ascii="宋体"/>
                <w:vanish/>
              </w:rPr>
            </w:pPr>
          </w:p>
        </w:tc>
        <w:tc>
          <w:tcPr>
            <w:tcW w:w="0" w:type="auto"/>
            <w:gridSpan w:val="3"/>
            <w:shd w:val="clear" w:color="auto" w:fill="auto"/>
            <w:vAlign w:val="bottom"/>
          </w:tcPr>
          <w:p w14:paraId="5DEC5233" w14:textId="77777777" w:rsidR="00B1578D" w:rsidRDefault="00B1578D">
            <w:pPr>
              <w:rPr>
                <w:rFonts w:ascii="宋体"/>
                <w:vanish/>
              </w:rPr>
            </w:pPr>
          </w:p>
        </w:tc>
        <w:tc>
          <w:tcPr>
            <w:tcW w:w="0" w:type="auto"/>
            <w:shd w:val="clear" w:color="auto" w:fill="auto"/>
            <w:vAlign w:val="bottom"/>
          </w:tcPr>
          <w:p w14:paraId="5DEC5234" w14:textId="77777777" w:rsidR="00B1578D" w:rsidRDefault="00B1578D">
            <w:pPr>
              <w:rPr>
                <w:rFonts w:ascii="宋体"/>
                <w:vanish/>
              </w:rPr>
            </w:pPr>
          </w:p>
        </w:tc>
        <w:tc>
          <w:tcPr>
            <w:tcW w:w="0" w:type="auto"/>
            <w:shd w:val="clear" w:color="auto" w:fill="auto"/>
            <w:vAlign w:val="bottom"/>
          </w:tcPr>
          <w:p w14:paraId="5DEC5235" w14:textId="77777777" w:rsidR="00B1578D" w:rsidRDefault="00B1578D">
            <w:pPr>
              <w:rPr>
                <w:rFonts w:ascii="宋体"/>
                <w:vanish/>
              </w:rPr>
            </w:pPr>
          </w:p>
        </w:tc>
        <w:tc>
          <w:tcPr>
            <w:tcW w:w="0" w:type="auto"/>
            <w:gridSpan w:val="3"/>
            <w:shd w:val="clear" w:color="auto" w:fill="auto"/>
            <w:vAlign w:val="bottom"/>
          </w:tcPr>
          <w:p w14:paraId="5DEC5236" w14:textId="77777777" w:rsidR="00B1578D" w:rsidRDefault="00B1578D">
            <w:pPr>
              <w:rPr>
                <w:rFonts w:ascii="宋体"/>
                <w:vanish/>
              </w:rPr>
            </w:pPr>
          </w:p>
        </w:tc>
        <w:tc>
          <w:tcPr>
            <w:tcW w:w="0" w:type="auto"/>
            <w:gridSpan w:val="3"/>
            <w:shd w:val="clear" w:color="auto" w:fill="auto"/>
            <w:vAlign w:val="bottom"/>
          </w:tcPr>
          <w:p w14:paraId="5DEC5237" w14:textId="77777777" w:rsidR="00B1578D" w:rsidRDefault="00B1578D">
            <w:pPr>
              <w:rPr>
                <w:rFonts w:ascii="宋体"/>
                <w:vanish/>
              </w:rPr>
            </w:pPr>
          </w:p>
        </w:tc>
      </w:tr>
      <w:tr w:rsidR="00B1578D" w14:paraId="5DEC5244" w14:textId="77777777">
        <w:trPr>
          <w:jc w:val="center"/>
        </w:trPr>
        <w:tc>
          <w:tcPr>
            <w:tcW w:w="0" w:type="auto"/>
            <w:gridSpan w:val="3"/>
            <w:shd w:val="clear" w:color="auto" w:fill="FFFFFF"/>
            <w:tcMar>
              <w:top w:w="40" w:type="dxa"/>
              <w:left w:w="380" w:type="dxa"/>
              <w:bottom w:w="40" w:type="dxa"/>
              <w:right w:w="20" w:type="dxa"/>
            </w:tcMar>
            <w:vAlign w:val="center"/>
          </w:tcPr>
          <w:p w14:paraId="5DEC5239" w14:textId="77777777" w:rsidR="00B1578D" w:rsidRDefault="004D2C04">
            <w:pPr>
              <w:textAlignment w:val="center"/>
            </w:pPr>
            <w:r>
              <w:rPr>
                <w:rFonts w:ascii="Times New Roman" w:eastAsia="宋体" w:hAnsi="Times New Roman"/>
                <w:color w:val="000000"/>
                <w:sz w:val="16"/>
                <w:szCs w:val="16"/>
              </w:rPr>
              <w:t>Diluted net income per common share attributable to Walmart</w:t>
            </w:r>
          </w:p>
        </w:tc>
        <w:tc>
          <w:tcPr>
            <w:tcW w:w="0" w:type="auto"/>
            <w:gridSpan w:val="3"/>
            <w:shd w:val="clear" w:color="auto" w:fill="FFFFFF"/>
            <w:tcMar>
              <w:top w:w="0" w:type="dxa"/>
              <w:left w:w="20" w:type="dxa"/>
              <w:bottom w:w="0" w:type="dxa"/>
              <w:right w:w="20" w:type="dxa"/>
            </w:tcMar>
            <w:vAlign w:val="bottom"/>
          </w:tcPr>
          <w:p w14:paraId="5DEC523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23B" w14:textId="77777777" w:rsidR="00B1578D" w:rsidRDefault="004D2C04">
            <w:pPr>
              <w:jc w:val="right"/>
              <w:textAlignment w:val="center"/>
            </w:pPr>
            <w:r>
              <w:rPr>
                <w:rFonts w:ascii="Times New Roman" w:eastAsia="宋体" w:hAnsi="Times New Roman"/>
                <w:color w:val="000000"/>
                <w:sz w:val="16"/>
                <w:szCs w:val="16"/>
              </w:rPr>
              <w:t>0.74 </w:t>
            </w:r>
          </w:p>
        </w:tc>
        <w:tc>
          <w:tcPr>
            <w:tcW w:w="0" w:type="auto"/>
            <w:shd w:val="clear" w:color="auto" w:fill="FFFFFF"/>
            <w:tcMar>
              <w:top w:w="40" w:type="dxa"/>
              <w:left w:w="0" w:type="dxa"/>
              <w:bottom w:w="40" w:type="dxa"/>
              <w:right w:w="20" w:type="dxa"/>
            </w:tcMar>
            <w:vAlign w:val="center"/>
          </w:tcPr>
          <w:p w14:paraId="5DEC523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23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23E" w14:textId="77777777" w:rsidR="00B1578D" w:rsidRDefault="004D2C04">
            <w:pPr>
              <w:jc w:val="right"/>
              <w:textAlignment w:val="center"/>
            </w:pPr>
            <w:r>
              <w:rPr>
                <w:rFonts w:ascii="Times New Roman" w:eastAsia="宋体" w:hAnsi="Times New Roman"/>
                <w:color w:val="000000"/>
                <w:sz w:val="16"/>
                <w:szCs w:val="16"/>
              </w:rPr>
              <w:t>0.97 </w:t>
            </w:r>
          </w:p>
        </w:tc>
        <w:tc>
          <w:tcPr>
            <w:tcW w:w="0" w:type="auto"/>
            <w:shd w:val="clear" w:color="auto" w:fill="FFFFFF"/>
            <w:tcMar>
              <w:top w:w="40" w:type="dxa"/>
              <w:left w:w="0" w:type="dxa"/>
              <w:bottom w:w="40" w:type="dxa"/>
              <w:right w:w="20" w:type="dxa"/>
            </w:tcMar>
            <w:vAlign w:val="center"/>
          </w:tcPr>
          <w:p w14:paraId="5DEC523F" w14:textId="77777777" w:rsidR="00B1578D" w:rsidRDefault="00B1578D">
            <w:pPr>
              <w:jc w:val="right"/>
              <w:rPr>
                <w:rFonts w:ascii="宋体"/>
              </w:rPr>
            </w:pPr>
          </w:p>
        </w:tc>
        <w:tc>
          <w:tcPr>
            <w:tcW w:w="0" w:type="auto"/>
            <w:shd w:val="clear" w:color="auto" w:fill="auto"/>
            <w:vAlign w:val="bottom"/>
          </w:tcPr>
          <w:p w14:paraId="5DEC5240" w14:textId="77777777" w:rsidR="00B1578D" w:rsidRDefault="00B1578D">
            <w:pPr>
              <w:rPr>
                <w:rFonts w:ascii="宋体"/>
                <w:vanish/>
              </w:rPr>
            </w:pPr>
          </w:p>
        </w:tc>
        <w:tc>
          <w:tcPr>
            <w:tcW w:w="0" w:type="auto"/>
            <w:shd w:val="clear" w:color="auto" w:fill="auto"/>
            <w:vAlign w:val="bottom"/>
          </w:tcPr>
          <w:p w14:paraId="5DEC5241" w14:textId="77777777" w:rsidR="00B1578D" w:rsidRDefault="00B1578D">
            <w:pPr>
              <w:rPr>
                <w:rFonts w:ascii="宋体"/>
                <w:vanish/>
              </w:rPr>
            </w:pPr>
          </w:p>
        </w:tc>
        <w:tc>
          <w:tcPr>
            <w:tcW w:w="0" w:type="auto"/>
            <w:gridSpan w:val="3"/>
            <w:shd w:val="clear" w:color="auto" w:fill="auto"/>
            <w:vAlign w:val="bottom"/>
          </w:tcPr>
          <w:p w14:paraId="5DEC5242" w14:textId="77777777" w:rsidR="00B1578D" w:rsidRDefault="00B1578D">
            <w:pPr>
              <w:rPr>
                <w:rFonts w:ascii="宋体"/>
                <w:vanish/>
              </w:rPr>
            </w:pPr>
          </w:p>
        </w:tc>
        <w:tc>
          <w:tcPr>
            <w:tcW w:w="0" w:type="auto"/>
            <w:gridSpan w:val="3"/>
            <w:shd w:val="clear" w:color="auto" w:fill="auto"/>
            <w:vAlign w:val="bottom"/>
          </w:tcPr>
          <w:p w14:paraId="5DEC5243" w14:textId="77777777" w:rsidR="00B1578D" w:rsidRDefault="00B1578D">
            <w:pPr>
              <w:rPr>
                <w:rFonts w:ascii="宋体"/>
                <w:vanish/>
              </w:rPr>
            </w:pPr>
          </w:p>
        </w:tc>
      </w:tr>
      <w:tr w:rsidR="00B1578D" w14:paraId="5DEC524E" w14:textId="77777777">
        <w:trPr>
          <w:trHeight w:val="220"/>
          <w:jc w:val="center"/>
        </w:trPr>
        <w:tc>
          <w:tcPr>
            <w:tcW w:w="0" w:type="auto"/>
            <w:gridSpan w:val="3"/>
            <w:shd w:val="clear" w:color="auto" w:fill="CCEEFF"/>
            <w:tcMar>
              <w:top w:w="0" w:type="dxa"/>
              <w:left w:w="20" w:type="dxa"/>
              <w:bottom w:w="0" w:type="dxa"/>
              <w:right w:w="20" w:type="dxa"/>
            </w:tcMar>
            <w:vAlign w:val="bottom"/>
          </w:tcPr>
          <w:p w14:paraId="5DEC5245"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46"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47"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48"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49" w14:textId="77777777" w:rsidR="00B1578D" w:rsidRDefault="00B1578D">
            <w:pPr>
              <w:rPr>
                <w:rFonts w:ascii="宋体"/>
              </w:rPr>
            </w:pPr>
          </w:p>
        </w:tc>
        <w:tc>
          <w:tcPr>
            <w:tcW w:w="0" w:type="auto"/>
            <w:shd w:val="clear" w:color="auto" w:fill="auto"/>
            <w:vAlign w:val="bottom"/>
          </w:tcPr>
          <w:p w14:paraId="5DEC524A" w14:textId="77777777" w:rsidR="00B1578D" w:rsidRDefault="00B1578D">
            <w:pPr>
              <w:rPr>
                <w:rFonts w:ascii="宋体"/>
                <w:vanish/>
              </w:rPr>
            </w:pPr>
          </w:p>
        </w:tc>
        <w:tc>
          <w:tcPr>
            <w:tcW w:w="0" w:type="auto"/>
            <w:shd w:val="clear" w:color="auto" w:fill="auto"/>
            <w:vAlign w:val="bottom"/>
          </w:tcPr>
          <w:p w14:paraId="5DEC524B" w14:textId="77777777" w:rsidR="00B1578D" w:rsidRDefault="00B1578D">
            <w:pPr>
              <w:rPr>
                <w:rFonts w:ascii="宋体"/>
                <w:vanish/>
              </w:rPr>
            </w:pPr>
          </w:p>
        </w:tc>
        <w:tc>
          <w:tcPr>
            <w:tcW w:w="0" w:type="auto"/>
            <w:gridSpan w:val="3"/>
            <w:shd w:val="clear" w:color="auto" w:fill="auto"/>
            <w:vAlign w:val="bottom"/>
          </w:tcPr>
          <w:p w14:paraId="5DEC524C" w14:textId="77777777" w:rsidR="00B1578D" w:rsidRDefault="00B1578D">
            <w:pPr>
              <w:rPr>
                <w:rFonts w:ascii="宋体"/>
                <w:vanish/>
              </w:rPr>
            </w:pPr>
          </w:p>
        </w:tc>
        <w:tc>
          <w:tcPr>
            <w:tcW w:w="0" w:type="auto"/>
            <w:gridSpan w:val="3"/>
            <w:shd w:val="clear" w:color="auto" w:fill="auto"/>
            <w:vAlign w:val="bottom"/>
          </w:tcPr>
          <w:p w14:paraId="5DEC524D" w14:textId="77777777" w:rsidR="00B1578D" w:rsidRDefault="00B1578D">
            <w:pPr>
              <w:rPr>
                <w:rFonts w:ascii="宋体"/>
                <w:vanish/>
              </w:rPr>
            </w:pPr>
          </w:p>
        </w:tc>
      </w:tr>
      <w:tr w:rsidR="00B1578D" w14:paraId="5DEC5258" w14:textId="77777777">
        <w:trPr>
          <w:jc w:val="center"/>
        </w:trPr>
        <w:tc>
          <w:tcPr>
            <w:tcW w:w="0" w:type="auto"/>
            <w:gridSpan w:val="3"/>
            <w:shd w:val="clear" w:color="auto" w:fill="FFFFFF"/>
            <w:tcMar>
              <w:top w:w="40" w:type="dxa"/>
              <w:left w:w="20" w:type="dxa"/>
              <w:bottom w:w="40" w:type="dxa"/>
              <w:right w:w="20" w:type="dxa"/>
            </w:tcMar>
            <w:vAlign w:val="center"/>
          </w:tcPr>
          <w:p w14:paraId="5DEC524F" w14:textId="77777777" w:rsidR="00B1578D" w:rsidRDefault="004D2C04">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FFFFFF"/>
            <w:tcMar>
              <w:top w:w="0" w:type="dxa"/>
              <w:left w:w="20" w:type="dxa"/>
              <w:bottom w:w="0" w:type="dxa"/>
              <w:right w:w="20" w:type="dxa"/>
            </w:tcMar>
            <w:vAlign w:val="bottom"/>
          </w:tcPr>
          <w:p w14:paraId="5DEC5250"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251"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252"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253" w14:textId="77777777" w:rsidR="00B1578D" w:rsidRDefault="00B1578D">
            <w:pPr>
              <w:rPr>
                <w:rFonts w:ascii="宋体"/>
              </w:rPr>
            </w:pPr>
          </w:p>
        </w:tc>
        <w:tc>
          <w:tcPr>
            <w:tcW w:w="0" w:type="auto"/>
            <w:shd w:val="clear" w:color="auto" w:fill="auto"/>
            <w:vAlign w:val="bottom"/>
          </w:tcPr>
          <w:p w14:paraId="5DEC5254" w14:textId="77777777" w:rsidR="00B1578D" w:rsidRDefault="00B1578D">
            <w:pPr>
              <w:rPr>
                <w:rFonts w:ascii="宋体"/>
                <w:vanish/>
              </w:rPr>
            </w:pPr>
          </w:p>
        </w:tc>
        <w:tc>
          <w:tcPr>
            <w:tcW w:w="0" w:type="auto"/>
            <w:shd w:val="clear" w:color="auto" w:fill="auto"/>
            <w:vAlign w:val="bottom"/>
          </w:tcPr>
          <w:p w14:paraId="5DEC5255" w14:textId="77777777" w:rsidR="00B1578D" w:rsidRDefault="00B1578D">
            <w:pPr>
              <w:rPr>
                <w:rFonts w:ascii="宋体"/>
                <w:vanish/>
              </w:rPr>
            </w:pPr>
          </w:p>
        </w:tc>
        <w:tc>
          <w:tcPr>
            <w:tcW w:w="0" w:type="auto"/>
            <w:gridSpan w:val="3"/>
            <w:shd w:val="clear" w:color="auto" w:fill="auto"/>
            <w:vAlign w:val="bottom"/>
          </w:tcPr>
          <w:p w14:paraId="5DEC5256" w14:textId="77777777" w:rsidR="00B1578D" w:rsidRDefault="00B1578D">
            <w:pPr>
              <w:rPr>
                <w:rFonts w:ascii="宋体"/>
                <w:vanish/>
              </w:rPr>
            </w:pPr>
          </w:p>
        </w:tc>
        <w:tc>
          <w:tcPr>
            <w:tcW w:w="0" w:type="auto"/>
            <w:gridSpan w:val="3"/>
            <w:shd w:val="clear" w:color="auto" w:fill="auto"/>
            <w:vAlign w:val="bottom"/>
          </w:tcPr>
          <w:p w14:paraId="5DEC5257" w14:textId="77777777" w:rsidR="00B1578D" w:rsidRDefault="00B1578D">
            <w:pPr>
              <w:rPr>
                <w:rFonts w:ascii="宋体"/>
                <w:vanish/>
              </w:rPr>
            </w:pPr>
          </w:p>
        </w:tc>
      </w:tr>
      <w:tr w:rsidR="00B1578D" w14:paraId="5DEC5264" w14:textId="77777777">
        <w:trPr>
          <w:jc w:val="center"/>
        </w:trPr>
        <w:tc>
          <w:tcPr>
            <w:tcW w:w="0" w:type="auto"/>
            <w:gridSpan w:val="3"/>
            <w:shd w:val="clear" w:color="auto" w:fill="CCEEFF"/>
            <w:tcMar>
              <w:top w:w="40" w:type="dxa"/>
              <w:left w:w="380" w:type="dxa"/>
              <w:bottom w:w="40" w:type="dxa"/>
              <w:right w:w="20" w:type="dxa"/>
            </w:tcMar>
            <w:vAlign w:val="center"/>
          </w:tcPr>
          <w:p w14:paraId="5DEC5259" w14:textId="77777777" w:rsidR="00B1578D" w:rsidRDefault="004D2C04">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5DEC525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25B" w14:textId="77777777" w:rsidR="00B1578D" w:rsidRDefault="004D2C04">
            <w:pPr>
              <w:jc w:val="right"/>
              <w:textAlignment w:val="center"/>
            </w:pPr>
            <w:r>
              <w:rPr>
                <w:rFonts w:ascii="Times New Roman" w:eastAsia="宋体" w:hAnsi="Times New Roman"/>
                <w:color w:val="000000"/>
                <w:sz w:val="16"/>
                <w:szCs w:val="16"/>
              </w:rPr>
              <w:t>2,754 </w:t>
            </w:r>
          </w:p>
        </w:tc>
        <w:tc>
          <w:tcPr>
            <w:tcW w:w="0" w:type="auto"/>
            <w:shd w:val="clear" w:color="auto" w:fill="CCEEFF"/>
            <w:tcMar>
              <w:top w:w="40" w:type="dxa"/>
              <w:left w:w="0" w:type="dxa"/>
              <w:bottom w:w="40" w:type="dxa"/>
              <w:right w:w="20" w:type="dxa"/>
            </w:tcMar>
            <w:vAlign w:val="center"/>
          </w:tcPr>
          <w:p w14:paraId="5DEC525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25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25E" w14:textId="77777777" w:rsidR="00B1578D" w:rsidRDefault="004D2C04">
            <w:pPr>
              <w:jc w:val="right"/>
              <w:textAlignment w:val="center"/>
            </w:pPr>
            <w:r>
              <w:rPr>
                <w:rFonts w:ascii="Times New Roman" w:eastAsia="宋体" w:hAnsi="Times New Roman"/>
                <w:color w:val="000000"/>
                <w:sz w:val="16"/>
                <w:szCs w:val="16"/>
              </w:rPr>
              <w:t>2,815 </w:t>
            </w:r>
          </w:p>
        </w:tc>
        <w:tc>
          <w:tcPr>
            <w:tcW w:w="0" w:type="auto"/>
            <w:shd w:val="clear" w:color="auto" w:fill="CCEEFF"/>
            <w:tcMar>
              <w:top w:w="40" w:type="dxa"/>
              <w:left w:w="0" w:type="dxa"/>
              <w:bottom w:w="40" w:type="dxa"/>
              <w:right w:w="20" w:type="dxa"/>
            </w:tcMar>
            <w:vAlign w:val="center"/>
          </w:tcPr>
          <w:p w14:paraId="5DEC525F" w14:textId="77777777" w:rsidR="00B1578D" w:rsidRDefault="00B1578D">
            <w:pPr>
              <w:jc w:val="right"/>
              <w:rPr>
                <w:rFonts w:ascii="宋体"/>
              </w:rPr>
            </w:pPr>
          </w:p>
        </w:tc>
        <w:tc>
          <w:tcPr>
            <w:tcW w:w="0" w:type="auto"/>
            <w:shd w:val="clear" w:color="auto" w:fill="auto"/>
            <w:vAlign w:val="bottom"/>
          </w:tcPr>
          <w:p w14:paraId="5DEC5260" w14:textId="77777777" w:rsidR="00B1578D" w:rsidRDefault="00B1578D">
            <w:pPr>
              <w:rPr>
                <w:rFonts w:ascii="宋体"/>
                <w:vanish/>
              </w:rPr>
            </w:pPr>
          </w:p>
        </w:tc>
        <w:tc>
          <w:tcPr>
            <w:tcW w:w="0" w:type="auto"/>
            <w:shd w:val="clear" w:color="auto" w:fill="auto"/>
            <w:vAlign w:val="bottom"/>
          </w:tcPr>
          <w:p w14:paraId="5DEC5261" w14:textId="77777777" w:rsidR="00B1578D" w:rsidRDefault="00B1578D">
            <w:pPr>
              <w:rPr>
                <w:rFonts w:ascii="宋体"/>
                <w:vanish/>
              </w:rPr>
            </w:pPr>
          </w:p>
        </w:tc>
        <w:tc>
          <w:tcPr>
            <w:tcW w:w="0" w:type="auto"/>
            <w:gridSpan w:val="3"/>
            <w:shd w:val="clear" w:color="auto" w:fill="auto"/>
            <w:vAlign w:val="bottom"/>
          </w:tcPr>
          <w:p w14:paraId="5DEC5262" w14:textId="77777777" w:rsidR="00B1578D" w:rsidRDefault="00B1578D">
            <w:pPr>
              <w:rPr>
                <w:rFonts w:ascii="宋体"/>
                <w:vanish/>
              </w:rPr>
            </w:pPr>
          </w:p>
        </w:tc>
        <w:tc>
          <w:tcPr>
            <w:tcW w:w="0" w:type="auto"/>
            <w:gridSpan w:val="3"/>
            <w:shd w:val="clear" w:color="auto" w:fill="auto"/>
            <w:vAlign w:val="bottom"/>
          </w:tcPr>
          <w:p w14:paraId="5DEC5263" w14:textId="77777777" w:rsidR="00B1578D" w:rsidRDefault="00B1578D">
            <w:pPr>
              <w:rPr>
                <w:rFonts w:ascii="宋体"/>
                <w:vanish/>
              </w:rPr>
            </w:pPr>
          </w:p>
        </w:tc>
      </w:tr>
      <w:tr w:rsidR="00B1578D" w14:paraId="5DEC5270" w14:textId="77777777">
        <w:trPr>
          <w:jc w:val="center"/>
        </w:trPr>
        <w:tc>
          <w:tcPr>
            <w:tcW w:w="0" w:type="auto"/>
            <w:gridSpan w:val="3"/>
            <w:shd w:val="clear" w:color="auto" w:fill="FFFFFF"/>
            <w:tcMar>
              <w:top w:w="40" w:type="dxa"/>
              <w:left w:w="380" w:type="dxa"/>
              <w:bottom w:w="40" w:type="dxa"/>
              <w:right w:w="20" w:type="dxa"/>
            </w:tcMar>
            <w:vAlign w:val="center"/>
          </w:tcPr>
          <w:p w14:paraId="5DEC5265" w14:textId="77777777" w:rsidR="00B1578D" w:rsidRDefault="004D2C04">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5DEC526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267" w14:textId="77777777" w:rsidR="00B1578D" w:rsidRDefault="004D2C04">
            <w:pPr>
              <w:jc w:val="right"/>
              <w:textAlignment w:val="center"/>
            </w:pPr>
            <w:r>
              <w:rPr>
                <w:rFonts w:ascii="Times New Roman" w:eastAsia="宋体" w:hAnsi="Times New Roman"/>
                <w:color w:val="000000"/>
                <w:sz w:val="16"/>
                <w:szCs w:val="16"/>
              </w:rPr>
              <w:t>2,765 </w:t>
            </w:r>
          </w:p>
        </w:tc>
        <w:tc>
          <w:tcPr>
            <w:tcW w:w="0" w:type="auto"/>
            <w:shd w:val="clear" w:color="auto" w:fill="FFFFFF"/>
            <w:tcMar>
              <w:top w:w="40" w:type="dxa"/>
              <w:left w:w="0" w:type="dxa"/>
              <w:bottom w:w="40" w:type="dxa"/>
              <w:right w:w="20" w:type="dxa"/>
            </w:tcMar>
            <w:vAlign w:val="center"/>
          </w:tcPr>
          <w:p w14:paraId="5DEC526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26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26A" w14:textId="77777777" w:rsidR="00B1578D" w:rsidRDefault="004D2C04">
            <w:pPr>
              <w:jc w:val="right"/>
              <w:textAlignment w:val="center"/>
            </w:pPr>
            <w:r>
              <w:rPr>
                <w:rFonts w:ascii="Times New Roman" w:eastAsia="宋体" w:hAnsi="Times New Roman"/>
                <w:color w:val="000000"/>
                <w:sz w:val="16"/>
                <w:szCs w:val="16"/>
              </w:rPr>
              <w:t>2,829 </w:t>
            </w:r>
          </w:p>
        </w:tc>
        <w:tc>
          <w:tcPr>
            <w:tcW w:w="0" w:type="auto"/>
            <w:shd w:val="clear" w:color="auto" w:fill="FFFFFF"/>
            <w:tcMar>
              <w:top w:w="40" w:type="dxa"/>
              <w:left w:w="0" w:type="dxa"/>
              <w:bottom w:w="40" w:type="dxa"/>
              <w:right w:w="20" w:type="dxa"/>
            </w:tcMar>
            <w:vAlign w:val="center"/>
          </w:tcPr>
          <w:p w14:paraId="5DEC526B" w14:textId="77777777" w:rsidR="00B1578D" w:rsidRDefault="00B1578D">
            <w:pPr>
              <w:jc w:val="right"/>
              <w:rPr>
                <w:rFonts w:ascii="宋体"/>
              </w:rPr>
            </w:pPr>
          </w:p>
        </w:tc>
        <w:tc>
          <w:tcPr>
            <w:tcW w:w="0" w:type="auto"/>
            <w:shd w:val="clear" w:color="auto" w:fill="auto"/>
            <w:vAlign w:val="bottom"/>
          </w:tcPr>
          <w:p w14:paraId="5DEC526C" w14:textId="77777777" w:rsidR="00B1578D" w:rsidRDefault="00B1578D">
            <w:pPr>
              <w:rPr>
                <w:rFonts w:ascii="宋体"/>
                <w:vanish/>
              </w:rPr>
            </w:pPr>
          </w:p>
        </w:tc>
        <w:tc>
          <w:tcPr>
            <w:tcW w:w="0" w:type="auto"/>
            <w:shd w:val="clear" w:color="auto" w:fill="auto"/>
            <w:vAlign w:val="bottom"/>
          </w:tcPr>
          <w:p w14:paraId="5DEC526D" w14:textId="77777777" w:rsidR="00B1578D" w:rsidRDefault="00B1578D">
            <w:pPr>
              <w:rPr>
                <w:rFonts w:ascii="宋体"/>
                <w:vanish/>
              </w:rPr>
            </w:pPr>
          </w:p>
        </w:tc>
        <w:tc>
          <w:tcPr>
            <w:tcW w:w="0" w:type="auto"/>
            <w:gridSpan w:val="3"/>
            <w:shd w:val="clear" w:color="auto" w:fill="auto"/>
            <w:vAlign w:val="bottom"/>
          </w:tcPr>
          <w:p w14:paraId="5DEC526E" w14:textId="77777777" w:rsidR="00B1578D" w:rsidRDefault="00B1578D">
            <w:pPr>
              <w:rPr>
                <w:rFonts w:ascii="宋体"/>
                <w:vanish/>
              </w:rPr>
            </w:pPr>
          </w:p>
        </w:tc>
        <w:tc>
          <w:tcPr>
            <w:tcW w:w="0" w:type="auto"/>
            <w:gridSpan w:val="3"/>
            <w:shd w:val="clear" w:color="auto" w:fill="auto"/>
            <w:vAlign w:val="bottom"/>
          </w:tcPr>
          <w:p w14:paraId="5DEC526F" w14:textId="77777777" w:rsidR="00B1578D" w:rsidRDefault="00B1578D">
            <w:pPr>
              <w:rPr>
                <w:rFonts w:ascii="宋体"/>
                <w:vanish/>
              </w:rPr>
            </w:pPr>
          </w:p>
        </w:tc>
      </w:tr>
      <w:tr w:rsidR="00B1578D" w14:paraId="5DEC527A" w14:textId="77777777">
        <w:trPr>
          <w:trHeight w:val="220"/>
          <w:jc w:val="center"/>
        </w:trPr>
        <w:tc>
          <w:tcPr>
            <w:tcW w:w="0" w:type="auto"/>
            <w:gridSpan w:val="3"/>
            <w:shd w:val="clear" w:color="auto" w:fill="CCEEFF"/>
            <w:tcMar>
              <w:top w:w="0" w:type="dxa"/>
              <w:left w:w="20" w:type="dxa"/>
              <w:bottom w:w="0" w:type="dxa"/>
              <w:right w:w="20" w:type="dxa"/>
            </w:tcMar>
            <w:vAlign w:val="bottom"/>
          </w:tcPr>
          <w:p w14:paraId="5DEC5271"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72"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73"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74"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75" w14:textId="77777777" w:rsidR="00B1578D" w:rsidRDefault="00B1578D">
            <w:pPr>
              <w:rPr>
                <w:rFonts w:ascii="宋体"/>
              </w:rPr>
            </w:pPr>
          </w:p>
        </w:tc>
        <w:tc>
          <w:tcPr>
            <w:tcW w:w="0" w:type="auto"/>
            <w:shd w:val="clear" w:color="auto" w:fill="auto"/>
            <w:vAlign w:val="bottom"/>
          </w:tcPr>
          <w:p w14:paraId="5DEC5276" w14:textId="77777777" w:rsidR="00B1578D" w:rsidRDefault="00B1578D">
            <w:pPr>
              <w:rPr>
                <w:rFonts w:ascii="宋体"/>
                <w:vanish/>
              </w:rPr>
            </w:pPr>
          </w:p>
        </w:tc>
        <w:tc>
          <w:tcPr>
            <w:tcW w:w="0" w:type="auto"/>
            <w:shd w:val="clear" w:color="auto" w:fill="auto"/>
            <w:vAlign w:val="bottom"/>
          </w:tcPr>
          <w:p w14:paraId="5DEC5277" w14:textId="77777777" w:rsidR="00B1578D" w:rsidRDefault="00B1578D">
            <w:pPr>
              <w:rPr>
                <w:rFonts w:ascii="宋体"/>
                <w:vanish/>
              </w:rPr>
            </w:pPr>
          </w:p>
        </w:tc>
        <w:tc>
          <w:tcPr>
            <w:tcW w:w="0" w:type="auto"/>
            <w:gridSpan w:val="3"/>
            <w:shd w:val="clear" w:color="auto" w:fill="auto"/>
            <w:vAlign w:val="bottom"/>
          </w:tcPr>
          <w:p w14:paraId="5DEC5278" w14:textId="77777777" w:rsidR="00B1578D" w:rsidRDefault="00B1578D">
            <w:pPr>
              <w:rPr>
                <w:rFonts w:ascii="宋体"/>
                <w:vanish/>
              </w:rPr>
            </w:pPr>
          </w:p>
        </w:tc>
        <w:tc>
          <w:tcPr>
            <w:tcW w:w="0" w:type="auto"/>
            <w:gridSpan w:val="3"/>
            <w:shd w:val="clear" w:color="auto" w:fill="auto"/>
            <w:vAlign w:val="bottom"/>
          </w:tcPr>
          <w:p w14:paraId="5DEC5279" w14:textId="77777777" w:rsidR="00B1578D" w:rsidRDefault="00B1578D">
            <w:pPr>
              <w:rPr>
                <w:rFonts w:ascii="宋体"/>
                <w:vanish/>
              </w:rPr>
            </w:pPr>
          </w:p>
        </w:tc>
      </w:tr>
      <w:tr w:rsidR="00B1578D" w14:paraId="5DEC5288" w14:textId="77777777">
        <w:trPr>
          <w:jc w:val="center"/>
        </w:trPr>
        <w:tc>
          <w:tcPr>
            <w:tcW w:w="0" w:type="auto"/>
            <w:gridSpan w:val="3"/>
            <w:shd w:val="clear" w:color="auto" w:fill="FFFFFF"/>
            <w:tcMar>
              <w:top w:w="40" w:type="dxa"/>
              <w:left w:w="20" w:type="dxa"/>
              <w:bottom w:w="40" w:type="dxa"/>
              <w:right w:w="20" w:type="dxa"/>
            </w:tcMar>
            <w:vAlign w:val="center"/>
          </w:tcPr>
          <w:p w14:paraId="5DEC527B" w14:textId="77777777" w:rsidR="00B1578D" w:rsidRDefault="004D2C04">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FFFFFF"/>
            <w:tcMar>
              <w:top w:w="0" w:type="dxa"/>
              <w:left w:w="20" w:type="dxa"/>
              <w:bottom w:w="0" w:type="dxa"/>
              <w:right w:w="20" w:type="dxa"/>
            </w:tcMar>
            <w:vAlign w:val="bottom"/>
          </w:tcPr>
          <w:p w14:paraId="5DEC527C"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527D"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527E" w14:textId="77777777" w:rsidR="00B1578D" w:rsidRDefault="004D2C04">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5DEC527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280"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5281"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5282" w14:textId="77777777" w:rsidR="00B1578D" w:rsidRDefault="004D2C04">
            <w:pPr>
              <w:jc w:val="right"/>
              <w:textAlignment w:val="center"/>
            </w:pPr>
            <w:r>
              <w:rPr>
                <w:rFonts w:ascii="Times New Roman" w:eastAsia="宋体" w:hAnsi="Times New Roman"/>
                <w:color w:val="000000"/>
                <w:sz w:val="16"/>
                <w:szCs w:val="16"/>
              </w:rPr>
              <w:t>2.20 </w:t>
            </w:r>
          </w:p>
        </w:tc>
        <w:tc>
          <w:tcPr>
            <w:tcW w:w="0" w:type="auto"/>
            <w:shd w:val="clear" w:color="auto" w:fill="FFFFFF"/>
            <w:tcMar>
              <w:top w:w="40" w:type="dxa"/>
              <w:left w:w="0" w:type="dxa"/>
              <w:bottom w:w="40" w:type="dxa"/>
              <w:right w:w="20" w:type="dxa"/>
            </w:tcMar>
            <w:vAlign w:val="center"/>
          </w:tcPr>
          <w:p w14:paraId="5DEC5283" w14:textId="77777777" w:rsidR="00B1578D" w:rsidRDefault="00B1578D">
            <w:pPr>
              <w:jc w:val="right"/>
              <w:rPr>
                <w:rFonts w:ascii="宋体"/>
              </w:rPr>
            </w:pPr>
          </w:p>
        </w:tc>
        <w:tc>
          <w:tcPr>
            <w:tcW w:w="0" w:type="auto"/>
            <w:shd w:val="clear" w:color="auto" w:fill="auto"/>
            <w:vAlign w:val="bottom"/>
          </w:tcPr>
          <w:p w14:paraId="5DEC5284" w14:textId="77777777" w:rsidR="00B1578D" w:rsidRDefault="00B1578D">
            <w:pPr>
              <w:rPr>
                <w:rFonts w:ascii="宋体"/>
                <w:vanish/>
              </w:rPr>
            </w:pPr>
          </w:p>
        </w:tc>
        <w:tc>
          <w:tcPr>
            <w:tcW w:w="0" w:type="auto"/>
            <w:shd w:val="clear" w:color="auto" w:fill="auto"/>
            <w:vAlign w:val="bottom"/>
          </w:tcPr>
          <w:p w14:paraId="5DEC5285" w14:textId="77777777" w:rsidR="00B1578D" w:rsidRDefault="00B1578D">
            <w:pPr>
              <w:rPr>
                <w:rFonts w:ascii="宋体"/>
                <w:vanish/>
              </w:rPr>
            </w:pPr>
          </w:p>
        </w:tc>
        <w:tc>
          <w:tcPr>
            <w:tcW w:w="0" w:type="auto"/>
            <w:gridSpan w:val="3"/>
            <w:shd w:val="clear" w:color="auto" w:fill="auto"/>
            <w:vAlign w:val="bottom"/>
          </w:tcPr>
          <w:p w14:paraId="5DEC5286" w14:textId="77777777" w:rsidR="00B1578D" w:rsidRDefault="00B1578D">
            <w:pPr>
              <w:rPr>
                <w:rFonts w:ascii="宋体"/>
                <w:vanish/>
              </w:rPr>
            </w:pPr>
          </w:p>
        </w:tc>
        <w:tc>
          <w:tcPr>
            <w:tcW w:w="0" w:type="auto"/>
            <w:gridSpan w:val="3"/>
            <w:shd w:val="clear" w:color="auto" w:fill="auto"/>
            <w:vAlign w:val="bottom"/>
          </w:tcPr>
          <w:p w14:paraId="5DEC5287" w14:textId="77777777" w:rsidR="00B1578D" w:rsidRDefault="00B1578D">
            <w:pPr>
              <w:rPr>
                <w:rFonts w:ascii="宋体"/>
                <w:vanish/>
              </w:rPr>
            </w:pPr>
          </w:p>
        </w:tc>
      </w:tr>
    </w:tbl>
    <w:p w14:paraId="5DEC5289" w14:textId="77777777" w:rsidR="00B1578D" w:rsidRDefault="004D2C04">
      <w:pPr>
        <w:spacing w:before="80"/>
      </w:pPr>
      <w:r>
        <w:rPr>
          <w:rFonts w:ascii="Times New Roman" w:eastAsia="宋体" w:hAnsi="Times New Roman"/>
          <w:i/>
          <w:iCs/>
          <w:color w:val="000000"/>
          <w:sz w:val="16"/>
          <w:szCs w:val="16"/>
        </w:rPr>
        <w:t>See acco</w:t>
      </w:r>
      <w:r>
        <w:rPr>
          <w:rFonts w:ascii="Times New Roman" w:eastAsia="宋体" w:hAnsi="Times New Roman"/>
          <w:i/>
          <w:iCs/>
          <w:color w:val="000000"/>
          <w:sz w:val="16"/>
          <w:szCs w:val="16"/>
        </w:rPr>
        <w:t xml:space="preserve">mpanying notes. </w:t>
      </w:r>
    </w:p>
    <w:p w14:paraId="5DEC528A" w14:textId="77777777" w:rsidR="00B1578D" w:rsidRDefault="004D2C04">
      <w:pPr>
        <w:jc w:val="center"/>
      </w:pPr>
      <w:r>
        <w:rPr>
          <w:rFonts w:ascii="Times New Roman" w:eastAsia="宋体" w:hAnsi="Times New Roman"/>
          <w:color w:val="000000"/>
          <w:sz w:val="20"/>
          <w:szCs w:val="20"/>
        </w:rPr>
        <w:t>3</w:t>
      </w:r>
    </w:p>
    <w:p w14:paraId="5DEC528B" w14:textId="77777777" w:rsidR="00B1578D" w:rsidRDefault="004D2C04">
      <w:r>
        <w:pict w14:anchorId="5DEC6F28">
          <v:rect id="_x0000_i1027" style="width:415.3pt;height:1.5pt" o:hralign="center" o:hrstd="t" o:hr="t" fillcolor="#a0a0a0" stroked="f"/>
        </w:pict>
      </w:r>
    </w:p>
    <w:p w14:paraId="5DEC528C" w14:textId="77777777" w:rsidR="00B1578D" w:rsidRDefault="004D2C04">
      <w:hyperlink r:id="rId42" w:anchor="ia92fe4e1fa654d85928fb72942eadb02_7" w:history="1">
        <w:r>
          <w:rPr>
            <w:rStyle w:val="a5"/>
            <w:rFonts w:ascii="Times New Roman" w:eastAsia="宋体" w:hAnsi="Times New Roman"/>
            <w:sz w:val="20"/>
            <w:szCs w:val="20"/>
          </w:rPr>
          <w:t>Table of Contents</w:t>
        </w:r>
      </w:hyperlink>
    </w:p>
    <w:p w14:paraId="5DEC528D" w14:textId="77777777" w:rsidR="00B1578D" w:rsidRDefault="004D2C04">
      <w:pPr>
        <w:jc w:val="center"/>
      </w:pPr>
      <w:r>
        <w:rPr>
          <w:rFonts w:ascii="Times New Roman" w:eastAsia="宋体" w:hAnsi="Times New Roman"/>
          <w:b/>
          <w:bCs/>
          <w:color w:val="000000"/>
          <w:sz w:val="20"/>
          <w:szCs w:val="20"/>
        </w:rPr>
        <w:t>Walmart Inc.</w:t>
      </w:r>
    </w:p>
    <w:p w14:paraId="5DEC528E" w14:textId="77777777" w:rsidR="00B1578D" w:rsidRDefault="004D2C04">
      <w:pPr>
        <w:spacing w:before="60"/>
        <w:jc w:val="center"/>
      </w:pPr>
      <w:r>
        <w:rPr>
          <w:rFonts w:ascii="Times New Roman" w:eastAsia="宋体" w:hAnsi="Times New Roman"/>
          <w:b/>
          <w:bCs/>
          <w:color w:val="000000"/>
          <w:sz w:val="20"/>
          <w:szCs w:val="20"/>
        </w:rPr>
        <w:t>Condensed Consolidated Statements of Comprehensive Income</w:t>
      </w:r>
    </w:p>
    <w:p w14:paraId="5DEC528F" w14:textId="77777777" w:rsidR="00B1578D" w:rsidRDefault="004D2C04">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6643"/>
        <w:gridCol w:w="39"/>
        <w:gridCol w:w="100"/>
        <w:gridCol w:w="474"/>
        <w:gridCol w:w="36"/>
        <w:gridCol w:w="36"/>
        <w:gridCol w:w="36"/>
        <w:gridCol w:w="36"/>
        <w:gridCol w:w="100"/>
        <w:gridCol w:w="469"/>
        <w:gridCol w:w="36"/>
        <w:gridCol w:w="36"/>
        <w:gridCol w:w="36"/>
        <w:gridCol w:w="36"/>
        <w:gridCol w:w="36"/>
        <w:gridCol w:w="36"/>
        <w:gridCol w:w="36"/>
        <w:gridCol w:w="36"/>
        <w:gridCol w:w="36"/>
      </w:tblGrid>
      <w:tr w:rsidR="00B1578D" w14:paraId="5DEC52A0" w14:textId="77777777">
        <w:trPr>
          <w:jc w:val="center"/>
        </w:trPr>
        <w:tc>
          <w:tcPr>
            <w:tcW w:w="50" w:type="pct"/>
            <w:shd w:val="clear" w:color="auto" w:fill="auto"/>
            <w:vAlign w:val="bottom"/>
          </w:tcPr>
          <w:p w14:paraId="5DEC5290" w14:textId="77777777" w:rsidR="00B1578D" w:rsidRDefault="00B1578D">
            <w:pPr>
              <w:rPr>
                <w:rFonts w:ascii="宋体"/>
              </w:rPr>
            </w:pPr>
          </w:p>
        </w:tc>
        <w:tc>
          <w:tcPr>
            <w:tcW w:w="4148" w:type="pct"/>
            <w:shd w:val="clear" w:color="auto" w:fill="auto"/>
            <w:vAlign w:val="bottom"/>
          </w:tcPr>
          <w:p w14:paraId="5DEC5291" w14:textId="77777777" w:rsidR="00B1578D" w:rsidRDefault="00B1578D">
            <w:pPr>
              <w:rPr>
                <w:rFonts w:ascii="宋体"/>
              </w:rPr>
            </w:pPr>
          </w:p>
        </w:tc>
        <w:tc>
          <w:tcPr>
            <w:tcW w:w="5" w:type="pct"/>
            <w:shd w:val="clear" w:color="auto" w:fill="auto"/>
            <w:vAlign w:val="bottom"/>
          </w:tcPr>
          <w:p w14:paraId="5DEC5292" w14:textId="77777777" w:rsidR="00B1578D" w:rsidRDefault="00B1578D">
            <w:pPr>
              <w:rPr>
                <w:rFonts w:ascii="宋体"/>
              </w:rPr>
            </w:pPr>
          </w:p>
        </w:tc>
        <w:tc>
          <w:tcPr>
            <w:tcW w:w="50" w:type="pct"/>
            <w:shd w:val="clear" w:color="auto" w:fill="auto"/>
            <w:vAlign w:val="bottom"/>
          </w:tcPr>
          <w:p w14:paraId="5DEC5293" w14:textId="77777777" w:rsidR="00B1578D" w:rsidRDefault="00B1578D">
            <w:pPr>
              <w:rPr>
                <w:rFonts w:ascii="宋体"/>
              </w:rPr>
            </w:pPr>
          </w:p>
        </w:tc>
        <w:tc>
          <w:tcPr>
            <w:tcW w:w="317" w:type="pct"/>
            <w:shd w:val="clear" w:color="auto" w:fill="auto"/>
            <w:vAlign w:val="bottom"/>
          </w:tcPr>
          <w:p w14:paraId="5DEC5294" w14:textId="77777777" w:rsidR="00B1578D" w:rsidRDefault="00B1578D">
            <w:pPr>
              <w:rPr>
                <w:rFonts w:ascii="宋体"/>
              </w:rPr>
            </w:pPr>
          </w:p>
        </w:tc>
        <w:tc>
          <w:tcPr>
            <w:tcW w:w="5" w:type="pct"/>
            <w:shd w:val="clear" w:color="auto" w:fill="auto"/>
            <w:vAlign w:val="bottom"/>
          </w:tcPr>
          <w:p w14:paraId="5DEC5295" w14:textId="77777777" w:rsidR="00B1578D" w:rsidRDefault="00B1578D">
            <w:pPr>
              <w:rPr>
                <w:rFonts w:ascii="宋体"/>
              </w:rPr>
            </w:pPr>
          </w:p>
        </w:tc>
        <w:tc>
          <w:tcPr>
            <w:tcW w:w="5" w:type="pct"/>
            <w:shd w:val="clear" w:color="auto" w:fill="auto"/>
            <w:vAlign w:val="bottom"/>
          </w:tcPr>
          <w:p w14:paraId="5DEC5296" w14:textId="77777777" w:rsidR="00B1578D" w:rsidRDefault="00B1578D">
            <w:pPr>
              <w:rPr>
                <w:rFonts w:ascii="宋体"/>
              </w:rPr>
            </w:pPr>
          </w:p>
        </w:tc>
        <w:tc>
          <w:tcPr>
            <w:tcW w:w="41" w:type="pct"/>
            <w:shd w:val="clear" w:color="auto" w:fill="auto"/>
            <w:vAlign w:val="bottom"/>
          </w:tcPr>
          <w:p w14:paraId="5DEC5297" w14:textId="77777777" w:rsidR="00B1578D" w:rsidRDefault="00B1578D">
            <w:pPr>
              <w:rPr>
                <w:rFonts w:ascii="宋体"/>
              </w:rPr>
            </w:pPr>
          </w:p>
        </w:tc>
        <w:tc>
          <w:tcPr>
            <w:tcW w:w="5" w:type="pct"/>
            <w:shd w:val="clear" w:color="auto" w:fill="auto"/>
            <w:vAlign w:val="bottom"/>
          </w:tcPr>
          <w:p w14:paraId="5DEC5298" w14:textId="77777777" w:rsidR="00B1578D" w:rsidRDefault="00B1578D">
            <w:pPr>
              <w:rPr>
                <w:rFonts w:ascii="宋体"/>
              </w:rPr>
            </w:pPr>
          </w:p>
        </w:tc>
        <w:tc>
          <w:tcPr>
            <w:tcW w:w="50" w:type="pct"/>
            <w:shd w:val="clear" w:color="auto" w:fill="auto"/>
            <w:vAlign w:val="bottom"/>
          </w:tcPr>
          <w:p w14:paraId="5DEC5299" w14:textId="77777777" w:rsidR="00B1578D" w:rsidRDefault="00B1578D">
            <w:pPr>
              <w:rPr>
                <w:rFonts w:ascii="宋体"/>
              </w:rPr>
            </w:pPr>
          </w:p>
        </w:tc>
        <w:tc>
          <w:tcPr>
            <w:tcW w:w="317" w:type="pct"/>
            <w:shd w:val="clear" w:color="auto" w:fill="auto"/>
            <w:vAlign w:val="bottom"/>
          </w:tcPr>
          <w:p w14:paraId="5DEC529A" w14:textId="77777777" w:rsidR="00B1578D" w:rsidRDefault="00B1578D">
            <w:pPr>
              <w:rPr>
                <w:rFonts w:ascii="宋体"/>
              </w:rPr>
            </w:pPr>
          </w:p>
        </w:tc>
        <w:tc>
          <w:tcPr>
            <w:tcW w:w="5" w:type="pct"/>
            <w:shd w:val="clear" w:color="auto" w:fill="auto"/>
            <w:vAlign w:val="bottom"/>
          </w:tcPr>
          <w:p w14:paraId="5DEC529B" w14:textId="77777777" w:rsidR="00B1578D" w:rsidRDefault="00B1578D">
            <w:pPr>
              <w:rPr>
                <w:rFonts w:ascii="宋体"/>
              </w:rPr>
            </w:pPr>
          </w:p>
        </w:tc>
        <w:tc>
          <w:tcPr>
            <w:tcW w:w="0" w:type="auto"/>
            <w:shd w:val="clear" w:color="auto" w:fill="auto"/>
            <w:vAlign w:val="bottom"/>
          </w:tcPr>
          <w:p w14:paraId="5DEC529C" w14:textId="77777777" w:rsidR="00B1578D" w:rsidRDefault="00B1578D">
            <w:pPr>
              <w:rPr>
                <w:rFonts w:ascii="宋体"/>
                <w:vanish/>
              </w:rPr>
            </w:pPr>
          </w:p>
        </w:tc>
        <w:tc>
          <w:tcPr>
            <w:tcW w:w="0" w:type="auto"/>
            <w:shd w:val="clear" w:color="auto" w:fill="auto"/>
            <w:vAlign w:val="bottom"/>
          </w:tcPr>
          <w:p w14:paraId="5DEC529D" w14:textId="77777777" w:rsidR="00B1578D" w:rsidRDefault="00B1578D">
            <w:pPr>
              <w:rPr>
                <w:rFonts w:ascii="宋体"/>
                <w:vanish/>
              </w:rPr>
            </w:pPr>
          </w:p>
        </w:tc>
        <w:tc>
          <w:tcPr>
            <w:tcW w:w="0" w:type="auto"/>
            <w:gridSpan w:val="3"/>
            <w:shd w:val="clear" w:color="auto" w:fill="auto"/>
            <w:vAlign w:val="bottom"/>
          </w:tcPr>
          <w:p w14:paraId="5DEC529E" w14:textId="77777777" w:rsidR="00B1578D" w:rsidRDefault="00B1578D">
            <w:pPr>
              <w:rPr>
                <w:rFonts w:ascii="宋体"/>
                <w:vanish/>
              </w:rPr>
            </w:pPr>
          </w:p>
        </w:tc>
        <w:tc>
          <w:tcPr>
            <w:tcW w:w="0" w:type="auto"/>
            <w:gridSpan w:val="3"/>
            <w:shd w:val="clear" w:color="auto" w:fill="auto"/>
            <w:vAlign w:val="bottom"/>
          </w:tcPr>
          <w:p w14:paraId="5DEC529F" w14:textId="77777777" w:rsidR="00B1578D" w:rsidRDefault="00B1578D">
            <w:pPr>
              <w:rPr>
                <w:rFonts w:ascii="宋体"/>
                <w:vanish/>
              </w:rPr>
            </w:pPr>
          </w:p>
        </w:tc>
      </w:tr>
      <w:tr w:rsidR="00B1578D" w14:paraId="5DEC52AB" w14:textId="77777777">
        <w:trPr>
          <w:jc w:val="center"/>
        </w:trPr>
        <w:tc>
          <w:tcPr>
            <w:tcW w:w="0" w:type="auto"/>
            <w:gridSpan w:val="3"/>
            <w:shd w:val="clear" w:color="auto" w:fill="auto"/>
            <w:tcMar>
              <w:top w:w="40" w:type="dxa"/>
              <w:left w:w="20" w:type="dxa"/>
              <w:bottom w:w="40" w:type="dxa"/>
              <w:right w:w="20" w:type="dxa"/>
            </w:tcMar>
            <w:vAlign w:val="bottom"/>
          </w:tcPr>
          <w:p w14:paraId="5DEC52A1" w14:textId="77777777" w:rsidR="00B1578D" w:rsidRDefault="004D2C0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5DEC52A2"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52A3" w14:textId="77777777" w:rsidR="00B1578D" w:rsidRDefault="00B1578D">
            <w:pPr>
              <w:rPr>
                <w:rFonts w:ascii="宋体"/>
                <w:vanish/>
              </w:rPr>
            </w:pPr>
          </w:p>
        </w:tc>
        <w:tc>
          <w:tcPr>
            <w:tcW w:w="0" w:type="auto"/>
            <w:shd w:val="clear" w:color="auto" w:fill="auto"/>
            <w:vAlign w:val="bottom"/>
          </w:tcPr>
          <w:p w14:paraId="5DEC52A4" w14:textId="77777777" w:rsidR="00B1578D" w:rsidRDefault="00B1578D">
            <w:pPr>
              <w:rPr>
                <w:rFonts w:ascii="宋体"/>
                <w:vanish/>
              </w:rPr>
            </w:pPr>
          </w:p>
        </w:tc>
        <w:tc>
          <w:tcPr>
            <w:tcW w:w="0" w:type="auto"/>
            <w:shd w:val="clear" w:color="auto" w:fill="auto"/>
            <w:vAlign w:val="bottom"/>
          </w:tcPr>
          <w:p w14:paraId="5DEC52A5" w14:textId="77777777" w:rsidR="00B1578D" w:rsidRDefault="00B1578D">
            <w:pPr>
              <w:rPr>
                <w:rFonts w:ascii="宋体"/>
              </w:rPr>
            </w:pPr>
          </w:p>
        </w:tc>
        <w:tc>
          <w:tcPr>
            <w:tcW w:w="0" w:type="auto"/>
            <w:shd w:val="clear" w:color="auto" w:fill="auto"/>
            <w:vAlign w:val="bottom"/>
          </w:tcPr>
          <w:p w14:paraId="5DEC52A6" w14:textId="77777777" w:rsidR="00B1578D" w:rsidRDefault="00B1578D">
            <w:pPr>
              <w:rPr>
                <w:rFonts w:ascii="宋体"/>
              </w:rPr>
            </w:pPr>
          </w:p>
        </w:tc>
        <w:tc>
          <w:tcPr>
            <w:tcW w:w="0" w:type="auto"/>
            <w:shd w:val="clear" w:color="auto" w:fill="auto"/>
            <w:vAlign w:val="bottom"/>
          </w:tcPr>
          <w:p w14:paraId="5DEC52A7" w14:textId="77777777" w:rsidR="00B1578D" w:rsidRDefault="00B1578D">
            <w:pPr>
              <w:rPr>
                <w:rFonts w:ascii="宋体"/>
              </w:rPr>
            </w:pPr>
          </w:p>
        </w:tc>
        <w:tc>
          <w:tcPr>
            <w:tcW w:w="0" w:type="auto"/>
            <w:shd w:val="clear" w:color="auto" w:fill="auto"/>
            <w:vAlign w:val="bottom"/>
          </w:tcPr>
          <w:p w14:paraId="5DEC52A8" w14:textId="77777777" w:rsidR="00B1578D" w:rsidRDefault="00B1578D">
            <w:pPr>
              <w:rPr>
                <w:rFonts w:ascii="宋体"/>
              </w:rPr>
            </w:pPr>
          </w:p>
        </w:tc>
        <w:tc>
          <w:tcPr>
            <w:tcW w:w="0" w:type="auto"/>
            <w:shd w:val="clear" w:color="auto" w:fill="auto"/>
            <w:vAlign w:val="bottom"/>
          </w:tcPr>
          <w:p w14:paraId="5DEC52A9" w14:textId="77777777" w:rsidR="00B1578D" w:rsidRDefault="00B1578D">
            <w:pPr>
              <w:rPr>
                <w:rFonts w:ascii="宋体"/>
              </w:rPr>
            </w:pPr>
          </w:p>
        </w:tc>
        <w:tc>
          <w:tcPr>
            <w:tcW w:w="0" w:type="auto"/>
            <w:shd w:val="clear" w:color="auto" w:fill="auto"/>
            <w:vAlign w:val="bottom"/>
          </w:tcPr>
          <w:p w14:paraId="5DEC52AA" w14:textId="77777777" w:rsidR="00B1578D" w:rsidRDefault="00B1578D">
            <w:pPr>
              <w:rPr>
                <w:rFonts w:ascii="宋体"/>
              </w:rPr>
            </w:pPr>
          </w:p>
        </w:tc>
      </w:tr>
      <w:tr w:rsidR="00B1578D" w14:paraId="5DEC52B4" w14:textId="77777777">
        <w:trPr>
          <w:jc w:val="center"/>
        </w:trPr>
        <w:tc>
          <w:tcPr>
            <w:tcW w:w="0" w:type="auto"/>
            <w:gridSpan w:val="3"/>
            <w:shd w:val="clear" w:color="auto" w:fill="auto"/>
            <w:tcMar>
              <w:top w:w="40" w:type="dxa"/>
              <w:left w:w="20" w:type="dxa"/>
              <w:bottom w:w="40" w:type="dxa"/>
              <w:right w:w="20" w:type="dxa"/>
            </w:tcMar>
            <w:vAlign w:val="bottom"/>
          </w:tcPr>
          <w:p w14:paraId="5DEC52AC"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2AD"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2AE"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2AF"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52B0" w14:textId="77777777" w:rsidR="00B1578D" w:rsidRDefault="00B1578D">
            <w:pPr>
              <w:rPr>
                <w:rFonts w:ascii="宋体"/>
                <w:vanish/>
              </w:rPr>
            </w:pPr>
          </w:p>
        </w:tc>
        <w:tc>
          <w:tcPr>
            <w:tcW w:w="0" w:type="auto"/>
            <w:shd w:val="clear" w:color="auto" w:fill="auto"/>
            <w:vAlign w:val="bottom"/>
          </w:tcPr>
          <w:p w14:paraId="5DEC52B1" w14:textId="77777777" w:rsidR="00B1578D" w:rsidRDefault="00B1578D">
            <w:pPr>
              <w:rPr>
                <w:rFonts w:ascii="宋体"/>
                <w:vanish/>
              </w:rPr>
            </w:pPr>
          </w:p>
        </w:tc>
        <w:tc>
          <w:tcPr>
            <w:tcW w:w="0" w:type="auto"/>
            <w:gridSpan w:val="3"/>
            <w:shd w:val="clear" w:color="auto" w:fill="auto"/>
            <w:vAlign w:val="bottom"/>
          </w:tcPr>
          <w:p w14:paraId="5DEC52B2" w14:textId="77777777" w:rsidR="00B1578D" w:rsidRDefault="00B1578D">
            <w:pPr>
              <w:rPr>
                <w:rFonts w:ascii="宋体"/>
                <w:vanish/>
              </w:rPr>
            </w:pPr>
          </w:p>
        </w:tc>
        <w:tc>
          <w:tcPr>
            <w:tcW w:w="0" w:type="auto"/>
            <w:gridSpan w:val="3"/>
            <w:shd w:val="clear" w:color="auto" w:fill="auto"/>
            <w:vAlign w:val="bottom"/>
          </w:tcPr>
          <w:p w14:paraId="5DEC52B3" w14:textId="77777777" w:rsidR="00B1578D" w:rsidRDefault="00B1578D">
            <w:pPr>
              <w:rPr>
                <w:rFonts w:ascii="宋体"/>
                <w:vanish/>
              </w:rPr>
            </w:pPr>
          </w:p>
        </w:tc>
      </w:tr>
      <w:tr w:rsidR="00B1578D" w14:paraId="5DEC52C1" w14:textId="77777777">
        <w:trPr>
          <w:jc w:val="center"/>
        </w:trPr>
        <w:tc>
          <w:tcPr>
            <w:tcW w:w="0" w:type="auto"/>
            <w:gridSpan w:val="3"/>
            <w:shd w:val="clear" w:color="auto" w:fill="CCEEFF"/>
            <w:tcMar>
              <w:top w:w="40" w:type="dxa"/>
              <w:left w:w="20" w:type="dxa"/>
              <w:bottom w:w="40" w:type="dxa"/>
              <w:right w:w="20" w:type="dxa"/>
            </w:tcMar>
            <w:vAlign w:val="center"/>
          </w:tcPr>
          <w:p w14:paraId="5DEC52B5" w14:textId="77777777" w:rsidR="00B1578D" w:rsidRDefault="004D2C04">
            <w:pPr>
              <w:textAlignment w:val="center"/>
            </w:pPr>
            <w:r>
              <w:rPr>
                <w:rFonts w:ascii="Times New Roman" w:eastAsia="宋体" w:hAnsi="Times New Roman"/>
                <w:b/>
                <w:bCs/>
                <w:color w:val="000000"/>
                <w:sz w:val="16"/>
                <w:szCs w:val="16"/>
              </w:rPr>
              <w:t>Consolidated net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5DEC52B6"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2B7" w14:textId="77777777" w:rsidR="00B1578D" w:rsidRDefault="004D2C04">
            <w:pPr>
              <w:jc w:val="right"/>
              <w:textAlignment w:val="center"/>
            </w:pPr>
            <w:r>
              <w:rPr>
                <w:rFonts w:ascii="Times New Roman" w:eastAsia="宋体" w:hAnsi="Times New Roman"/>
                <w:color w:val="000000"/>
                <w:sz w:val="16"/>
                <w:szCs w:val="16"/>
              </w:rPr>
              <w:t>2,103 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2B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2B9"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2B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2BB" w14:textId="77777777" w:rsidR="00B1578D" w:rsidRDefault="004D2C04">
            <w:pPr>
              <w:jc w:val="right"/>
              <w:textAlignment w:val="center"/>
            </w:pPr>
            <w:r>
              <w:rPr>
                <w:rFonts w:ascii="Times New Roman" w:eastAsia="宋体" w:hAnsi="Times New Roman"/>
                <w:color w:val="000000"/>
                <w:sz w:val="16"/>
                <w:szCs w:val="16"/>
              </w:rPr>
              <w:t>2,811 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2BC" w14:textId="77777777" w:rsidR="00B1578D" w:rsidRDefault="00B1578D">
            <w:pPr>
              <w:jc w:val="right"/>
              <w:rPr>
                <w:rFonts w:ascii="宋体"/>
              </w:rPr>
            </w:pPr>
          </w:p>
        </w:tc>
        <w:tc>
          <w:tcPr>
            <w:tcW w:w="0" w:type="auto"/>
            <w:shd w:val="clear" w:color="auto" w:fill="auto"/>
            <w:vAlign w:val="bottom"/>
          </w:tcPr>
          <w:p w14:paraId="5DEC52BD" w14:textId="77777777" w:rsidR="00B1578D" w:rsidRDefault="00B1578D">
            <w:pPr>
              <w:rPr>
                <w:rFonts w:ascii="宋体"/>
                <w:vanish/>
              </w:rPr>
            </w:pPr>
          </w:p>
        </w:tc>
        <w:tc>
          <w:tcPr>
            <w:tcW w:w="0" w:type="auto"/>
            <w:shd w:val="clear" w:color="auto" w:fill="auto"/>
            <w:vAlign w:val="bottom"/>
          </w:tcPr>
          <w:p w14:paraId="5DEC52BE" w14:textId="77777777" w:rsidR="00B1578D" w:rsidRDefault="00B1578D">
            <w:pPr>
              <w:rPr>
                <w:rFonts w:ascii="宋体"/>
                <w:vanish/>
              </w:rPr>
            </w:pPr>
          </w:p>
        </w:tc>
        <w:tc>
          <w:tcPr>
            <w:tcW w:w="0" w:type="auto"/>
            <w:gridSpan w:val="3"/>
            <w:shd w:val="clear" w:color="auto" w:fill="auto"/>
            <w:vAlign w:val="bottom"/>
          </w:tcPr>
          <w:p w14:paraId="5DEC52BF" w14:textId="77777777" w:rsidR="00B1578D" w:rsidRDefault="00B1578D">
            <w:pPr>
              <w:rPr>
                <w:rFonts w:ascii="宋体"/>
                <w:vanish/>
              </w:rPr>
            </w:pPr>
          </w:p>
        </w:tc>
        <w:tc>
          <w:tcPr>
            <w:tcW w:w="0" w:type="auto"/>
            <w:gridSpan w:val="3"/>
            <w:shd w:val="clear" w:color="auto" w:fill="auto"/>
            <w:vAlign w:val="bottom"/>
          </w:tcPr>
          <w:p w14:paraId="5DEC52C0" w14:textId="77777777" w:rsidR="00B1578D" w:rsidRDefault="00B1578D">
            <w:pPr>
              <w:rPr>
                <w:rFonts w:ascii="宋体"/>
                <w:vanish/>
              </w:rPr>
            </w:pPr>
          </w:p>
        </w:tc>
      </w:tr>
      <w:tr w:rsidR="00B1578D" w14:paraId="5DEC52CC" w14:textId="77777777">
        <w:trPr>
          <w:jc w:val="center"/>
        </w:trPr>
        <w:tc>
          <w:tcPr>
            <w:tcW w:w="0" w:type="auto"/>
            <w:gridSpan w:val="3"/>
            <w:shd w:val="clear" w:color="auto" w:fill="FFFFFF"/>
            <w:tcMar>
              <w:top w:w="40" w:type="dxa"/>
              <w:left w:w="380" w:type="dxa"/>
              <w:bottom w:w="40" w:type="dxa"/>
              <w:right w:w="20" w:type="dxa"/>
            </w:tcMar>
            <w:vAlign w:val="center"/>
          </w:tcPr>
          <w:p w14:paraId="5DEC52C2" w14:textId="77777777" w:rsidR="00B1578D" w:rsidRDefault="004D2C04">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2"/>
            <w:shd w:val="clear" w:color="auto" w:fill="FFFFFF"/>
            <w:tcMar>
              <w:top w:w="40" w:type="dxa"/>
              <w:left w:w="20" w:type="dxa"/>
              <w:bottom w:w="40" w:type="dxa"/>
              <w:right w:w="0" w:type="dxa"/>
            </w:tcMar>
            <w:vAlign w:val="center"/>
          </w:tcPr>
          <w:p w14:paraId="5DEC52C3" w14:textId="77777777" w:rsidR="00B1578D" w:rsidRDefault="004D2C04">
            <w:pPr>
              <w:jc w:val="right"/>
              <w:textAlignment w:val="center"/>
            </w:pPr>
            <w:r>
              <w:rPr>
                <w:rFonts w:ascii="Times New Roman" w:eastAsia="宋体" w:hAnsi="Times New Roman"/>
                <w:color w:val="000000"/>
                <w:sz w:val="16"/>
                <w:szCs w:val="16"/>
              </w:rPr>
              <w:t>(49)</w:t>
            </w:r>
          </w:p>
        </w:tc>
        <w:tc>
          <w:tcPr>
            <w:tcW w:w="0" w:type="auto"/>
            <w:shd w:val="clear" w:color="auto" w:fill="FFFFFF"/>
            <w:tcMar>
              <w:top w:w="40" w:type="dxa"/>
              <w:left w:w="0" w:type="dxa"/>
              <w:bottom w:w="40" w:type="dxa"/>
              <w:right w:w="20" w:type="dxa"/>
            </w:tcMar>
            <w:vAlign w:val="center"/>
          </w:tcPr>
          <w:p w14:paraId="5DEC52C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2C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2C6" w14:textId="77777777" w:rsidR="00B1578D" w:rsidRDefault="004D2C04">
            <w:pPr>
              <w:jc w:val="right"/>
              <w:textAlignment w:val="center"/>
            </w:pPr>
            <w:r>
              <w:rPr>
                <w:rFonts w:ascii="Times New Roman" w:eastAsia="宋体" w:hAnsi="Times New Roman"/>
                <w:color w:val="000000"/>
                <w:sz w:val="16"/>
                <w:szCs w:val="16"/>
              </w:rPr>
              <w:t>(81)</w:t>
            </w:r>
          </w:p>
        </w:tc>
        <w:tc>
          <w:tcPr>
            <w:tcW w:w="0" w:type="auto"/>
            <w:shd w:val="clear" w:color="auto" w:fill="FFFFFF"/>
            <w:tcMar>
              <w:top w:w="40" w:type="dxa"/>
              <w:left w:w="0" w:type="dxa"/>
              <w:bottom w:w="40" w:type="dxa"/>
              <w:right w:w="20" w:type="dxa"/>
            </w:tcMar>
            <w:vAlign w:val="center"/>
          </w:tcPr>
          <w:p w14:paraId="5DEC52C7" w14:textId="77777777" w:rsidR="00B1578D" w:rsidRDefault="00B1578D">
            <w:pPr>
              <w:jc w:val="right"/>
              <w:rPr>
                <w:rFonts w:ascii="宋体"/>
              </w:rPr>
            </w:pPr>
          </w:p>
        </w:tc>
        <w:tc>
          <w:tcPr>
            <w:tcW w:w="0" w:type="auto"/>
            <w:shd w:val="clear" w:color="auto" w:fill="auto"/>
            <w:vAlign w:val="bottom"/>
          </w:tcPr>
          <w:p w14:paraId="5DEC52C8" w14:textId="77777777" w:rsidR="00B1578D" w:rsidRDefault="00B1578D">
            <w:pPr>
              <w:rPr>
                <w:rFonts w:ascii="宋体"/>
                <w:vanish/>
              </w:rPr>
            </w:pPr>
          </w:p>
        </w:tc>
        <w:tc>
          <w:tcPr>
            <w:tcW w:w="0" w:type="auto"/>
            <w:shd w:val="clear" w:color="auto" w:fill="auto"/>
            <w:vAlign w:val="bottom"/>
          </w:tcPr>
          <w:p w14:paraId="5DEC52C9" w14:textId="77777777" w:rsidR="00B1578D" w:rsidRDefault="00B1578D">
            <w:pPr>
              <w:rPr>
                <w:rFonts w:ascii="宋体"/>
                <w:vanish/>
              </w:rPr>
            </w:pPr>
          </w:p>
        </w:tc>
        <w:tc>
          <w:tcPr>
            <w:tcW w:w="0" w:type="auto"/>
            <w:gridSpan w:val="3"/>
            <w:shd w:val="clear" w:color="auto" w:fill="auto"/>
            <w:vAlign w:val="bottom"/>
          </w:tcPr>
          <w:p w14:paraId="5DEC52CA" w14:textId="77777777" w:rsidR="00B1578D" w:rsidRDefault="00B1578D">
            <w:pPr>
              <w:rPr>
                <w:rFonts w:ascii="宋体"/>
                <w:vanish/>
              </w:rPr>
            </w:pPr>
          </w:p>
        </w:tc>
        <w:tc>
          <w:tcPr>
            <w:tcW w:w="0" w:type="auto"/>
            <w:gridSpan w:val="3"/>
            <w:shd w:val="clear" w:color="auto" w:fill="auto"/>
            <w:vAlign w:val="bottom"/>
          </w:tcPr>
          <w:p w14:paraId="5DEC52CB" w14:textId="77777777" w:rsidR="00B1578D" w:rsidRDefault="00B1578D">
            <w:pPr>
              <w:rPr>
                <w:rFonts w:ascii="宋体"/>
                <w:vanish/>
              </w:rPr>
            </w:pPr>
          </w:p>
        </w:tc>
      </w:tr>
      <w:tr w:rsidR="00B1578D" w14:paraId="5DEC52D5" w14:textId="77777777">
        <w:trPr>
          <w:jc w:val="center"/>
          <w:hidden/>
        </w:trPr>
        <w:tc>
          <w:tcPr>
            <w:tcW w:w="0" w:type="auto"/>
            <w:gridSpan w:val="3"/>
            <w:shd w:val="clear" w:color="auto" w:fill="auto"/>
            <w:vAlign w:val="bottom"/>
          </w:tcPr>
          <w:p w14:paraId="5DEC52CD" w14:textId="77777777" w:rsidR="00B1578D" w:rsidRDefault="00B1578D">
            <w:pPr>
              <w:rPr>
                <w:rFonts w:ascii="宋体"/>
                <w:vanish/>
              </w:rPr>
            </w:pPr>
          </w:p>
        </w:tc>
        <w:tc>
          <w:tcPr>
            <w:tcW w:w="0" w:type="auto"/>
            <w:gridSpan w:val="3"/>
            <w:shd w:val="clear" w:color="auto" w:fill="auto"/>
            <w:vAlign w:val="bottom"/>
          </w:tcPr>
          <w:p w14:paraId="5DEC52CE" w14:textId="77777777" w:rsidR="00B1578D" w:rsidRDefault="00B1578D">
            <w:pPr>
              <w:rPr>
                <w:rFonts w:ascii="宋体"/>
                <w:vanish/>
              </w:rPr>
            </w:pPr>
          </w:p>
        </w:tc>
        <w:tc>
          <w:tcPr>
            <w:tcW w:w="0" w:type="auto"/>
            <w:gridSpan w:val="3"/>
            <w:shd w:val="clear" w:color="auto" w:fill="auto"/>
            <w:vAlign w:val="bottom"/>
          </w:tcPr>
          <w:p w14:paraId="5DEC52CF" w14:textId="77777777" w:rsidR="00B1578D" w:rsidRDefault="00B1578D">
            <w:pPr>
              <w:rPr>
                <w:rFonts w:ascii="宋体"/>
                <w:vanish/>
              </w:rPr>
            </w:pPr>
          </w:p>
        </w:tc>
        <w:tc>
          <w:tcPr>
            <w:tcW w:w="0" w:type="auto"/>
            <w:gridSpan w:val="3"/>
            <w:shd w:val="clear" w:color="auto" w:fill="auto"/>
            <w:vAlign w:val="bottom"/>
          </w:tcPr>
          <w:p w14:paraId="5DEC52D0" w14:textId="77777777" w:rsidR="00B1578D" w:rsidRDefault="00B1578D">
            <w:pPr>
              <w:rPr>
                <w:rFonts w:ascii="宋体"/>
                <w:vanish/>
              </w:rPr>
            </w:pPr>
          </w:p>
        </w:tc>
        <w:tc>
          <w:tcPr>
            <w:tcW w:w="0" w:type="auto"/>
            <w:shd w:val="clear" w:color="auto" w:fill="auto"/>
            <w:vAlign w:val="bottom"/>
          </w:tcPr>
          <w:p w14:paraId="5DEC52D1" w14:textId="77777777" w:rsidR="00B1578D" w:rsidRDefault="00B1578D">
            <w:pPr>
              <w:rPr>
                <w:rFonts w:ascii="宋体"/>
                <w:vanish/>
              </w:rPr>
            </w:pPr>
          </w:p>
        </w:tc>
        <w:tc>
          <w:tcPr>
            <w:tcW w:w="0" w:type="auto"/>
            <w:shd w:val="clear" w:color="auto" w:fill="auto"/>
            <w:vAlign w:val="bottom"/>
          </w:tcPr>
          <w:p w14:paraId="5DEC52D2" w14:textId="77777777" w:rsidR="00B1578D" w:rsidRDefault="00B1578D">
            <w:pPr>
              <w:rPr>
                <w:rFonts w:ascii="宋体"/>
                <w:vanish/>
              </w:rPr>
            </w:pPr>
          </w:p>
        </w:tc>
        <w:tc>
          <w:tcPr>
            <w:tcW w:w="0" w:type="auto"/>
            <w:gridSpan w:val="3"/>
            <w:shd w:val="clear" w:color="auto" w:fill="auto"/>
            <w:vAlign w:val="bottom"/>
          </w:tcPr>
          <w:p w14:paraId="5DEC52D3" w14:textId="77777777" w:rsidR="00B1578D" w:rsidRDefault="00B1578D">
            <w:pPr>
              <w:rPr>
                <w:rFonts w:ascii="宋体"/>
                <w:vanish/>
              </w:rPr>
            </w:pPr>
          </w:p>
        </w:tc>
        <w:tc>
          <w:tcPr>
            <w:tcW w:w="0" w:type="auto"/>
            <w:gridSpan w:val="3"/>
            <w:shd w:val="clear" w:color="auto" w:fill="auto"/>
            <w:vAlign w:val="bottom"/>
          </w:tcPr>
          <w:p w14:paraId="5DEC52D4" w14:textId="77777777" w:rsidR="00B1578D" w:rsidRDefault="00B1578D">
            <w:pPr>
              <w:rPr>
                <w:rFonts w:ascii="宋体"/>
                <w:vanish/>
              </w:rPr>
            </w:pPr>
          </w:p>
        </w:tc>
      </w:tr>
      <w:tr w:rsidR="00B1578D" w14:paraId="5DEC52E0" w14:textId="77777777">
        <w:trPr>
          <w:jc w:val="center"/>
        </w:trPr>
        <w:tc>
          <w:tcPr>
            <w:tcW w:w="0" w:type="auto"/>
            <w:gridSpan w:val="3"/>
            <w:shd w:val="clear" w:color="auto" w:fill="CCEEFF"/>
            <w:tcMar>
              <w:top w:w="40" w:type="dxa"/>
              <w:left w:w="20" w:type="dxa"/>
              <w:bottom w:w="40" w:type="dxa"/>
              <w:right w:w="20" w:type="dxa"/>
            </w:tcMar>
            <w:vAlign w:val="center"/>
          </w:tcPr>
          <w:p w14:paraId="5DEC52D6" w14:textId="77777777" w:rsidR="00B1578D" w:rsidRDefault="004D2C04">
            <w:pPr>
              <w:textAlignment w:val="center"/>
            </w:pPr>
            <w:r>
              <w:rPr>
                <w:rFonts w:ascii="Times New Roman" w:eastAsia="宋体" w:hAnsi="Times New Roman"/>
                <w:b/>
                <w:bCs/>
                <w:color w:val="000000"/>
                <w:sz w:val="16"/>
                <w:szCs w:val="16"/>
              </w:rPr>
              <w:t>Consolidated net income attributable to Walmart</w:t>
            </w:r>
          </w:p>
        </w:tc>
        <w:tc>
          <w:tcPr>
            <w:tcW w:w="0" w:type="auto"/>
            <w:gridSpan w:val="2"/>
            <w:shd w:val="clear" w:color="auto" w:fill="CCEEFF"/>
            <w:tcMar>
              <w:top w:w="40" w:type="dxa"/>
              <w:left w:w="20" w:type="dxa"/>
              <w:bottom w:w="40" w:type="dxa"/>
              <w:right w:w="0" w:type="dxa"/>
            </w:tcMar>
            <w:vAlign w:val="center"/>
          </w:tcPr>
          <w:p w14:paraId="5DEC52D7" w14:textId="77777777" w:rsidR="00B1578D" w:rsidRDefault="004D2C04">
            <w:pPr>
              <w:jc w:val="right"/>
              <w:textAlignment w:val="center"/>
            </w:pPr>
            <w:r>
              <w:rPr>
                <w:rFonts w:ascii="Times New Roman" w:eastAsia="宋体" w:hAnsi="Times New Roman"/>
                <w:color w:val="000000"/>
                <w:sz w:val="16"/>
                <w:szCs w:val="16"/>
              </w:rPr>
              <w:t>2,054 </w:t>
            </w:r>
          </w:p>
        </w:tc>
        <w:tc>
          <w:tcPr>
            <w:tcW w:w="0" w:type="auto"/>
            <w:shd w:val="clear" w:color="auto" w:fill="CCEEFF"/>
            <w:tcMar>
              <w:top w:w="40" w:type="dxa"/>
              <w:left w:w="0" w:type="dxa"/>
              <w:bottom w:w="40" w:type="dxa"/>
              <w:right w:w="20" w:type="dxa"/>
            </w:tcMar>
            <w:vAlign w:val="center"/>
          </w:tcPr>
          <w:p w14:paraId="5DEC52D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2D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2DA" w14:textId="77777777" w:rsidR="00B1578D" w:rsidRDefault="004D2C04">
            <w:pPr>
              <w:jc w:val="right"/>
              <w:textAlignment w:val="center"/>
            </w:pPr>
            <w:r>
              <w:rPr>
                <w:rFonts w:ascii="Times New Roman" w:eastAsia="宋体" w:hAnsi="Times New Roman"/>
                <w:color w:val="000000"/>
                <w:sz w:val="16"/>
                <w:szCs w:val="16"/>
              </w:rPr>
              <w:t>2,730 </w:t>
            </w:r>
          </w:p>
        </w:tc>
        <w:tc>
          <w:tcPr>
            <w:tcW w:w="0" w:type="auto"/>
            <w:shd w:val="clear" w:color="auto" w:fill="CCEEFF"/>
            <w:tcMar>
              <w:top w:w="40" w:type="dxa"/>
              <w:left w:w="0" w:type="dxa"/>
              <w:bottom w:w="40" w:type="dxa"/>
              <w:right w:w="20" w:type="dxa"/>
            </w:tcMar>
            <w:vAlign w:val="center"/>
          </w:tcPr>
          <w:p w14:paraId="5DEC52DB" w14:textId="77777777" w:rsidR="00B1578D" w:rsidRDefault="00B1578D">
            <w:pPr>
              <w:jc w:val="right"/>
              <w:rPr>
                <w:rFonts w:ascii="宋体"/>
              </w:rPr>
            </w:pPr>
          </w:p>
        </w:tc>
        <w:tc>
          <w:tcPr>
            <w:tcW w:w="0" w:type="auto"/>
            <w:shd w:val="clear" w:color="auto" w:fill="auto"/>
            <w:vAlign w:val="bottom"/>
          </w:tcPr>
          <w:p w14:paraId="5DEC52DC" w14:textId="77777777" w:rsidR="00B1578D" w:rsidRDefault="00B1578D">
            <w:pPr>
              <w:rPr>
                <w:rFonts w:ascii="宋体"/>
                <w:vanish/>
              </w:rPr>
            </w:pPr>
          </w:p>
        </w:tc>
        <w:tc>
          <w:tcPr>
            <w:tcW w:w="0" w:type="auto"/>
            <w:shd w:val="clear" w:color="auto" w:fill="auto"/>
            <w:vAlign w:val="bottom"/>
          </w:tcPr>
          <w:p w14:paraId="5DEC52DD" w14:textId="77777777" w:rsidR="00B1578D" w:rsidRDefault="00B1578D">
            <w:pPr>
              <w:rPr>
                <w:rFonts w:ascii="宋体"/>
                <w:vanish/>
              </w:rPr>
            </w:pPr>
          </w:p>
        </w:tc>
        <w:tc>
          <w:tcPr>
            <w:tcW w:w="0" w:type="auto"/>
            <w:gridSpan w:val="3"/>
            <w:shd w:val="clear" w:color="auto" w:fill="auto"/>
            <w:vAlign w:val="bottom"/>
          </w:tcPr>
          <w:p w14:paraId="5DEC52DE" w14:textId="77777777" w:rsidR="00B1578D" w:rsidRDefault="00B1578D">
            <w:pPr>
              <w:rPr>
                <w:rFonts w:ascii="宋体"/>
                <w:vanish/>
              </w:rPr>
            </w:pPr>
          </w:p>
        </w:tc>
        <w:tc>
          <w:tcPr>
            <w:tcW w:w="0" w:type="auto"/>
            <w:gridSpan w:val="3"/>
            <w:shd w:val="clear" w:color="auto" w:fill="auto"/>
            <w:vAlign w:val="bottom"/>
          </w:tcPr>
          <w:p w14:paraId="5DEC52DF" w14:textId="77777777" w:rsidR="00B1578D" w:rsidRDefault="00B1578D">
            <w:pPr>
              <w:rPr>
                <w:rFonts w:ascii="宋体"/>
                <w:vanish/>
              </w:rPr>
            </w:pPr>
          </w:p>
        </w:tc>
      </w:tr>
      <w:tr w:rsidR="00B1578D" w14:paraId="5DEC52E9" w14:textId="77777777">
        <w:trPr>
          <w:trHeight w:val="220"/>
          <w:jc w:val="center"/>
        </w:trPr>
        <w:tc>
          <w:tcPr>
            <w:tcW w:w="0" w:type="auto"/>
            <w:gridSpan w:val="3"/>
            <w:shd w:val="clear" w:color="auto" w:fill="FFFFFF"/>
            <w:tcMar>
              <w:top w:w="0" w:type="dxa"/>
              <w:left w:w="20" w:type="dxa"/>
              <w:bottom w:w="0" w:type="dxa"/>
              <w:right w:w="20" w:type="dxa"/>
            </w:tcMar>
            <w:vAlign w:val="bottom"/>
          </w:tcPr>
          <w:p w14:paraId="5DEC52E1" w14:textId="77777777" w:rsidR="00B1578D" w:rsidRDefault="00B1578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2E2"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2E3" w14:textId="77777777" w:rsidR="00B1578D" w:rsidRDefault="00B1578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2E4" w14:textId="77777777" w:rsidR="00B1578D" w:rsidRDefault="00B1578D">
            <w:pPr>
              <w:rPr>
                <w:rFonts w:ascii="宋体"/>
              </w:rPr>
            </w:pPr>
          </w:p>
        </w:tc>
        <w:tc>
          <w:tcPr>
            <w:tcW w:w="0" w:type="auto"/>
            <w:shd w:val="clear" w:color="auto" w:fill="auto"/>
            <w:vAlign w:val="bottom"/>
          </w:tcPr>
          <w:p w14:paraId="5DEC52E5" w14:textId="77777777" w:rsidR="00B1578D" w:rsidRDefault="00B1578D">
            <w:pPr>
              <w:rPr>
                <w:rFonts w:ascii="宋体"/>
                <w:vanish/>
              </w:rPr>
            </w:pPr>
          </w:p>
        </w:tc>
        <w:tc>
          <w:tcPr>
            <w:tcW w:w="0" w:type="auto"/>
            <w:shd w:val="clear" w:color="auto" w:fill="auto"/>
            <w:vAlign w:val="bottom"/>
          </w:tcPr>
          <w:p w14:paraId="5DEC52E6" w14:textId="77777777" w:rsidR="00B1578D" w:rsidRDefault="00B1578D">
            <w:pPr>
              <w:rPr>
                <w:rFonts w:ascii="宋体"/>
                <w:vanish/>
              </w:rPr>
            </w:pPr>
          </w:p>
        </w:tc>
        <w:tc>
          <w:tcPr>
            <w:tcW w:w="0" w:type="auto"/>
            <w:gridSpan w:val="3"/>
            <w:shd w:val="clear" w:color="auto" w:fill="auto"/>
            <w:vAlign w:val="bottom"/>
          </w:tcPr>
          <w:p w14:paraId="5DEC52E7" w14:textId="77777777" w:rsidR="00B1578D" w:rsidRDefault="00B1578D">
            <w:pPr>
              <w:rPr>
                <w:rFonts w:ascii="宋体"/>
                <w:vanish/>
              </w:rPr>
            </w:pPr>
          </w:p>
        </w:tc>
        <w:tc>
          <w:tcPr>
            <w:tcW w:w="0" w:type="auto"/>
            <w:gridSpan w:val="3"/>
            <w:shd w:val="clear" w:color="auto" w:fill="auto"/>
            <w:vAlign w:val="bottom"/>
          </w:tcPr>
          <w:p w14:paraId="5DEC52E8" w14:textId="77777777" w:rsidR="00B1578D" w:rsidRDefault="00B1578D">
            <w:pPr>
              <w:rPr>
                <w:rFonts w:ascii="宋体"/>
                <w:vanish/>
              </w:rPr>
            </w:pPr>
          </w:p>
        </w:tc>
      </w:tr>
      <w:tr w:rsidR="00B1578D" w14:paraId="5DEC52F2" w14:textId="77777777">
        <w:trPr>
          <w:jc w:val="center"/>
        </w:trPr>
        <w:tc>
          <w:tcPr>
            <w:tcW w:w="0" w:type="auto"/>
            <w:gridSpan w:val="3"/>
            <w:shd w:val="clear" w:color="auto" w:fill="CCEEFF"/>
            <w:tcMar>
              <w:top w:w="40" w:type="dxa"/>
              <w:left w:w="20" w:type="dxa"/>
              <w:bottom w:w="40" w:type="dxa"/>
              <w:right w:w="20" w:type="dxa"/>
            </w:tcMar>
            <w:vAlign w:val="center"/>
          </w:tcPr>
          <w:p w14:paraId="5DEC52EA" w14:textId="77777777" w:rsidR="00B1578D" w:rsidRDefault="004D2C04">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CCEEFF"/>
            <w:tcMar>
              <w:top w:w="0" w:type="dxa"/>
              <w:left w:w="20" w:type="dxa"/>
              <w:bottom w:w="0" w:type="dxa"/>
              <w:right w:w="20" w:type="dxa"/>
            </w:tcMar>
            <w:vAlign w:val="bottom"/>
          </w:tcPr>
          <w:p w14:paraId="5DEC52EB"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EC"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2ED" w14:textId="77777777" w:rsidR="00B1578D" w:rsidRDefault="00B1578D">
            <w:pPr>
              <w:rPr>
                <w:rFonts w:ascii="宋体"/>
              </w:rPr>
            </w:pPr>
          </w:p>
        </w:tc>
        <w:tc>
          <w:tcPr>
            <w:tcW w:w="0" w:type="auto"/>
            <w:shd w:val="clear" w:color="auto" w:fill="auto"/>
            <w:vAlign w:val="bottom"/>
          </w:tcPr>
          <w:p w14:paraId="5DEC52EE" w14:textId="77777777" w:rsidR="00B1578D" w:rsidRDefault="00B1578D">
            <w:pPr>
              <w:rPr>
                <w:rFonts w:ascii="宋体"/>
                <w:vanish/>
              </w:rPr>
            </w:pPr>
          </w:p>
        </w:tc>
        <w:tc>
          <w:tcPr>
            <w:tcW w:w="0" w:type="auto"/>
            <w:shd w:val="clear" w:color="auto" w:fill="auto"/>
            <w:vAlign w:val="bottom"/>
          </w:tcPr>
          <w:p w14:paraId="5DEC52EF" w14:textId="77777777" w:rsidR="00B1578D" w:rsidRDefault="00B1578D">
            <w:pPr>
              <w:rPr>
                <w:rFonts w:ascii="宋体"/>
                <w:vanish/>
              </w:rPr>
            </w:pPr>
          </w:p>
        </w:tc>
        <w:tc>
          <w:tcPr>
            <w:tcW w:w="0" w:type="auto"/>
            <w:gridSpan w:val="3"/>
            <w:shd w:val="clear" w:color="auto" w:fill="auto"/>
            <w:vAlign w:val="bottom"/>
          </w:tcPr>
          <w:p w14:paraId="5DEC52F0" w14:textId="77777777" w:rsidR="00B1578D" w:rsidRDefault="00B1578D">
            <w:pPr>
              <w:rPr>
                <w:rFonts w:ascii="宋体"/>
                <w:vanish/>
              </w:rPr>
            </w:pPr>
          </w:p>
        </w:tc>
        <w:tc>
          <w:tcPr>
            <w:tcW w:w="0" w:type="auto"/>
            <w:gridSpan w:val="3"/>
            <w:shd w:val="clear" w:color="auto" w:fill="auto"/>
            <w:vAlign w:val="bottom"/>
          </w:tcPr>
          <w:p w14:paraId="5DEC52F1" w14:textId="77777777" w:rsidR="00B1578D" w:rsidRDefault="00B1578D">
            <w:pPr>
              <w:rPr>
                <w:rFonts w:ascii="宋体"/>
                <w:vanish/>
              </w:rPr>
            </w:pPr>
          </w:p>
        </w:tc>
      </w:tr>
      <w:tr w:rsidR="00B1578D" w14:paraId="5DEC52FD" w14:textId="77777777">
        <w:trPr>
          <w:jc w:val="center"/>
        </w:trPr>
        <w:tc>
          <w:tcPr>
            <w:tcW w:w="0" w:type="auto"/>
            <w:gridSpan w:val="3"/>
            <w:shd w:val="clear" w:color="auto" w:fill="FFFFFF"/>
            <w:tcMar>
              <w:top w:w="40" w:type="dxa"/>
              <w:left w:w="380" w:type="dxa"/>
              <w:bottom w:w="40" w:type="dxa"/>
              <w:right w:w="20" w:type="dxa"/>
            </w:tcMar>
            <w:vAlign w:val="center"/>
          </w:tcPr>
          <w:p w14:paraId="5DEC52F3" w14:textId="77777777" w:rsidR="00B1578D" w:rsidRDefault="004D2C04">
            <w:pPr>
              <w:textAlignment w:val="center"/>
            </w:pPr>
            <w:r>
              <w:rPr>
                <w:rFonts w:ascii="Times New Roman" w:eastAsia="宋体" w:hAnsi="Times New Roman"/>
                <w:color w:val="000000"/>
                <w:sz w:val="16"/>
                <w:szCs w:val="16"/>
              </w:rPr>
              <w:t>Currency translation and other</w:t>
            </w:r>
          </w:p>
        </w:tc>
        <w:tc>
          <w:tcPr>
            <w:tcW w:w="0" w:type="auto"/>
            <w:gridSpan w:val="2"/>
            <w:shd w:val="clear" w:color="auto" w:fill="FFFFFF"/>
            <w:tcMar>
              <w:top w:w="40" w:type="dxa"/>
              <w:left w:w="20" w:type="dxa"/>
              <w:bottom w:w="40" w:type="dxa"/>
              <w:right w:w="0" w:type="dxa"/>
            </w:tcMar>
            <w:vAlign w:val="center"/>
          </w:tcPr>
          <w:p w14:paraId="5DEC52F4" w14:textId="77777777" w:rsidR="00B1578D" w:rsidRDefault="004D2C04">
            <w:pPr>
              <w:jc w:val="right"/>
              <w:textAlignment w:val="center"/>
            </w:pPr>
            <w:r>
              <w:rPr>
                <w:rFonts w:ascii="Times New Roman" w:eastAsia="宋体" w:hAnsi="Times New Roman"/>
                <w:color w:val="000000"/>
                <w:sz w:val="16"/>
                <w:szCs w:val="16"/>
              </w:rPr>
              <w:t>232 </w:t>
            </w:r>
          </w:p>
        </w:tc>
        <w:tc>
          <w:tcPr>
            <w:tcW w:w="0" w:type="auto"/>
            <w:shd w:val="clear" w:color="auto" w:fill="FFFFFF"/>
            <w:tcMar>
              <w:top w:w="40" w:type="dxa"/>
              <w:left w:w="0" w:type="dxa"/>
              <w:bottom w:w="40" w:type="dxa"/>
              <w:right w:w="20" w:type="dxa"/>
            </w:tcMar>
            <w:vAlign w:val="center"/>
          </w:tcPr>
          <w:p w14:paraId="5DEC52F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2F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2F7" w14:textId="77777777" w:rsidR="00B1578D" w:rsidRDefault="004D2C04">
            <w:pPr>
              <w:jc w:val="right"/>
              <w:textAlignment w:val="center"/>
            </w:pPr>
            <w:r>
              <w:rPr>
                <w:rFonts w:ascii="Times New Roman" w:eastAsia="宋体" w:hAnsi="Times New Roman"/>
                <w:color w:val="000000"/>
                <w:sz w:val="16"/>
                <w:szCs w:val="16"/>
              </w:rPr>
              <w:t>2,959 </w:t>
            </w:r>
          </w:p>
        </w:tc>
        <w:tc>
          <w:tcPr>
            <w:tcW w:w="0" w:type="auto"/>
            <w:shd w:val="clear" w:color="auto" w:fill="FFFFFF"/>
            <w:tcMar>
              <w:top w:w="40" w:type="dxa"/>
              <w:left w:w="0" w:type="dxa"/>
              <w:bottom w:w="40" w:type="dxa"/>
              <w:right w:w="20" w:type="dxa"/>
            </w:tcMar>
            <w:vAlign w:val="center"/>
          </w:tcPr>
          <w:p w14:paraId="5DEC52F8" w14:textId="77777777" w:rsidR="00B1578D" w:rsidRDefault="00B1578D">
            <w:pPr>
              <w:jc w:val="right"/>
              <w:rPr>
                <w:rFonts w:ascii="宋体"/>
              </w:rPr>
            </w:pPr>
          </w:p>
        </w:tc>
        <w:tc>
          <w:tcPr>
            <w:tcW w:w="0" w:type="auto"/>
            <w:shd w:val="clear" w:color="auto" w:fill="auto"/>
            <w:vAlign w:val="bottom"/>
          </w:tcPr>
          <w:p w14:paraId="5DEC52F9" w14:textId="77777777" w:rsidR="00B1578D" w:rsidRDefault="00B1578D">
            <w:pPr>
              <w:rPr>
                <w:rFonts w:ascii="宋体"/>
                <w:vanish/>
              </w:rPr>
            </w:pPr>
          </w:p>
        </w:tc>
        <w:tc>
          <w:tcPr>
            <w:tcW w:w="0" w:type="auto"/>
            <w:shd w:val="clear" w:color="auto" w:fill="auto"/>
            <w:vAlign w:val="bottom"/>
          </w:tcPr>
          <w:p w14:paraId="5DEC52FA" w14:textId="77777777" w:rsidR="00B1578D" w:rsidRDefault="00B1578D">
            <w:pPr>
              <w:rPr>
                <w:rFonts w:ascii="宋体"/>
                <w:vanish/>
              </w:rPr>
            </w:pPr>
          </w:p>
        </w:tc>
        <w:tc>
          <w:tcPr>
            <w:tcW w:w="0" w:type="auto"/>
            <w:gridSpan w:val="3"/>
            <w:shd w:val="clear" w:color="auto" w:fill="auto"/>
            <w:vAlign w:val="bottom"/>
          </w:tcPr>
          <w:p w14:paraId="5DEC52FB" w14:textId="77777777" w:rsidR="00B1578D" w:rsidRDefault="00B1578D">
            <w:pPr>
              <w:rPr>
                <w:rFonts w:ascii="宋体"/>
                <w:vanish/>
              </w:rPr>
            </w:pPr>
          </w:p>
        </w:tc>
        <w:tc>
          <w:tcPr>
            <w:tcW w:w="0" w:type="auto"/>
            <w:gridSpan w:val="3"/>
            <w:shd w:val="clear" w:color="auto" w:fill="auto"/>
            <w:vAlign w:val="bottom"/>
          </w:tcPr>
          <w:p w14:paraId="5DEC52FC" w14:textId="77777777" w:rsidR="00B1578D" w:rsidRDefault="00B1578D">
            <w:pPr>
              <w:rPr>
                <w:rFonts w:ascii="宋体"/>
                <w:vanish/>
              </w:rPr>
            </w:pPr>
          </w:p>
        </w:tc>
      </w:tr>
      <w:tr w:rsidR="00B1578D" w14:paraId="5DEC5308" w14:textId="77777777">
        <w:trPr>
          <w:jc w:val="center"/>
        </w:trPr>
        <w:tc>
          <w:tcPr>
            <w:tcW w:w="0" w:type="auto"/>
            <w:gridSpan w:val="3"/>
            <w:shd w:val="clear" w:color="auto" w:fill="CCEEFF"/>
            <w:tcMar>
              <w:top w:w="40" w:type="dxa"/>
              <w:left w:w="380" w:type="dxa"/>
              <w:bottom w:w="40" w:type="dxa"/>
              <w:right w:w="20" w:type="dxa"/>
            </w:tcMar>
            <w:vAlign w:val="center"/>
          </w:tcPr>
          <w:p w14:paraId="5DEC52FE" w14:textId="77777777" w:rsidR="00B1578D" w:rsidRDefault="004D2C04">
            <w:pPr>
              <w:textAlignment w:val="center"/>
            </w:pPr>
            <w:r>
              <w:rPr>
                <w:rFonts w:ascii="Times New Roman" w:eastAsia="宋体" w:hAnsi="Times New Roman"/>
                <w:color w:val="000000"/>
                <w:sz w:val="16"/>
                <w:szCs w:val="16"/>
              </w:rPr>
              <w:t>Net investment hedges</w:t>
            </w:r>
          </w:p>
        </w:tc>
        <w:tc>
          <w:tcPr>
            <w:tcW w:w="0" w:type="auto"/>
            <w:gridSpan w:val="2"/>
            <w:shd w:val="clear" w:color="auto" w:fill="CCEEFF"/>
            <w:tcMar>
              <w:top w:w="40" w:type="dxa"/>
              <w:left w:w="20" w:type="dxa"/>
              <w:bottom w:w="40" w:type="dxa"/>
              <w:right w:w="0" w:type="dxa"/>
            </w:tcMar>
            <w:vAlign w:val="center"/>
          </w:tcPr>
          <w:p w14:paraId="5DEC52FF"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30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0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302" w14:textId="77777777" w:rsidR="00B1578D" w:rsidRDefault="004D2C04">
            <w:pPr>
              <w:jc w:val="right"/>
              <w:textAlignment w:val="center"/>
            </w:pPr>
            <w:r>
              <w:rPr>
                <w:rFonts w:ascii="Times New Roman" w:eastAsia="宋体" w:hAnsi="Times New Roman"/>
                <w:color w:val="000000"/>
                <w:sz w:val="16"/>
                <w:szCs w:val="16"/>
              </w:rPr>
              <w:t>(1,202)</w:t>
            </w:r>
          </w:p>
        </w:tc>
        <w:tc>
          <w:tcPr>
            <w:tcW w:w="0" w:type="auto"/>
            <w:shd w:val="clear" w:color="auto" w:fill="CCEEFF"/>
            <w:tcMar>
              <w:top w:w="40" w:type="dxa"/>
              <w:left w:w="0" w:type="dxa"/>
              <w:bottom w:w="40" w:type="dxa"/>
              <w:right w:w="20" w:type="dxa"/>
            </w:tcMar>
            <w:vAlign w:val="center"/>
          </w:tcPr>
          <w:p w14:paraId="5DEC5303" w14:textId="77777777" w:rsidR="00B1578D" w:rsidRDefault="00B1578D">
            <w:pPr>
              <w:jc w:val="right"/>
              <w:rPr>
                <w:rFonts w:ascii="宋体"/>
              </w:rPr>
            </w:pPr>
          </w:p>
        </w:tc>
        <w:tc>
          <w:tcPr>
            <w:tcW w:w="0" w:type="auto"/>
            <w:shd w:val="clear" w:color="auto" w:fill="auto"/>
            <w:vAlign w:val="bottom"/>
          </w:tcPr>
          <w:p w14:paraId="5DEC5304" w14:textId="77777777" w:rsidR="00B1578D" w:rsidRDefault="00B1578D">
            <w:pPr>
              <w:rPr>
                <w:rFonts w:ascii="宋体"/>
                <w:vanish/>
              </w:rPr>
            </w:pPr>
          </w:p>
        </w:tc>
        <w:tc>
          <w:tcPr>
            <w:tcW w:w="0" w:type="auto"/>
            <w:shd w:val="clear" w:color="auto" w:fill="auto"/>
            <w:vAlign w:val="bottom"/>
          </w:tcPr>
          <w:p w14:paraId="5DEC5305" w14:textId="77777777" w:rsidR="00B1578D" w:rsidRDefault="00B1578D">
            <w:pPr>
              <w:rPr>
                <w:rFonts w:ascii="宋体"/>
                <w:vanish/>
              </w:rPr>
            </w:pPr>
          </w:p>
        </w:tc>
        <w:tc>
          <w:tcPr>
            <w:tcW w:w="0" w:type="auto"/>
            <w:gridSpan w:val="3"/>
            <w:shd w:val="clear" w:color="auto" w:fill="auto"/>
            <w:vAlign w:val="bottom"/>
          </w:tcPr>
          <w:p w14:paraId="5DEC5306" w14:textId="77777777" w:rsidR="00B1578D" w:rsidRDefault="00B1578D">
            <w:pPr>
              <w:rPr>
                <w:rFonts w:ascii="宋体"/>
                <w:vanish/>
              </w:rPr>
            </w:pPr>
          </w:p>
        </w:tc>
        <w:tc>
          <w:tcPr>
            <w:tcW w:w="0" w:type="auto"/>
            <w:gridSpan w:val="3"/>
            <w:shd w:val="clear" w:color="auto" w:fill="auto"/>
            <w:vAlign w:val="bottom"/>
          </w:tcPr>
          <w:p w14:paraId="5DEC5307" w14:textId="77777777" w:rsidR="00B1578D" w:rsidRDefault="00B1578D">
            <w:pPr>
              <w:rPr>
                <w:rFonts w:ascii="宋体"/>
                <w:vanish/>
              </w:rPr>
            </w:pPr>
          </w:p>
        </w:tc>
      </w:tr>
      <w:tr w:rsidR="00B1578D" w14:paraId="5DEC5313" w14:textId="77777777">
        <w:trPr>
          <w:jc w:val="center"/>
        </w:trPr>
        <w:tc>
          <w:tcPr>
            <w:tcW w:w="0" w:type="auto"/>
            <w:gridSpan w:val="3"/>
            <w:shd w:val="clear" w:color="auto" w:fill="FFFFFF"/>
            <w:tcMar>
              <w:top w:w="40" w:type="dxa"/>
              <w:left w:w="380" w:type="dxa"/>
              <w:bottom w:w="40" w:type="dxa"/>
              <w:right w:w="20" w:type="dxa"/>
            </w:tcMar>
            <w:vAlign w:val="center"/>
          </w:tcPr>
          <w:p w14:paraId="5DEC5309" w14:textId="77777777" w:rsidR="00B1578D" w:rsidRDefault="004D2C04">
            <w:pPr>
              <w:textAlignment w:val="center"/>
            </w:pPr>
            <w:r>
              <w:rPr>
                <w:rFonts w:ascii="Times New Roman" w:eastAsia="宋体" w:hAnsi="Times New Roman"/>
                <w:color w:val="000000"/>
                <w:sz w:val="16"/>
                <w:szCs w:val="16"/>
              </w:rPr>
              <w:t>Cash flow hedges</w:t>
            </w:r>
          </w:p>
        </w:tc>
        <w:tc>
          <w:tcPr>
            <w:tcW w:w="0" w:type="auto"/>
            <w:gridSpan w:val="2"/>
            <w:shd w:val="clear" w:color="auto" w:fill="FFFFFF"/>
            <w:tcMar>
              <w:top w:w="40" w:type="dxa"/>
              <w:left w:w="20" w:type="dxa"/>
              <w:bottom w:w="40" w:type="dxa"/>
              <w:right w:w="0" w:type="dxa"/>
            </w:tcMar>
            <w:vAlign w:val="center"/>
          </w:tcPr>
          <w:p w14:paraId="5DEC530A" w14:textId="77777777" w:rsidR="00B1578D" w:rsidRDefault="004D2C04">
            <w:pPr>
              <w:jc w:val="right"/>
              <w:textAlignment w:val="center"/>
            </w:pPr>
            <w:r>
              <w:rPr>
                <w:rFonts w:ascii="Times New Roman" w:eastAsia="宋体" w:hAnsi="Times New Roman"/>
                <w:color w:val="000000"/>
                <w:sz w:val="16"/>
                <w:szCs w:val="16"/>
              </w:rPr>
              <w:t>42 </w:t>
            </w:r>
          </w:p>
        </w:tc>
        <w:tc>
          <w:tcPr>
            <w:tcW w:w="0" w:type="auto"/>
            <w:shd w:val="clear" w:color="auto" w:fill="FFFFFF"/>
            <w:tcMar>
              <w:top w:w="40" w:type="dxa"/>
              <w:left w:w="0" w:type="dxa"/>
              <w:bottom w:w="40" w:type="dxa"/>
              <w:right w:w="20" w:type="dxa"/>
            </w:tcMar>
            <w:vAlign w:val="center"/>
          </w:tcPr>
          <w:p w14:paraId="5DEC530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0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0D" w14:textId="77777777" w:rsidR="00B1578D" w:rsidRDefault="004D2C04">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5DEC530E" w14:textId="77777777" w:rsidR="00B1578D" w:rsidRDefault="00B1578D">
            <w:pPr>
              <w:jc w:val="right"/>
              <w:rPr>
                <w:rFonts w:ascii="宋体"/>
              </w:rPr>
            </w:pPr>
          </w:p>
        </w:tc>
        <w:tc>
          <w:tcPr>
            <w:tcW w:w="0" w:type="auto"/>
            <w:shd w:val="clear" w:color="auto" w:fill="auto"/>
            <w:vAlign w:val="bottom"/>
          </w:tcPr>
          <w:p w14:paraId="5DEC530F" w14:textId="77777777" w:rsidR="00B1578D" w:rsidRDefault="00B1578D">
            <w:pPr>
              <w:rPr>
                <w:rFonts w:ascii="宋体"/>
                <w:vanish/>
              </w:rPr>
            </w:pPr>
          </w:p>
        </w:tc>
        <w:tc>
          <w:tcPr>
            <w:tcW w:w="0" w:type="auto"/>
            <w:shd w:val="clear" w:color="auto" w:fill="auto"/>
            <w:vAlign w:val="bottom"/>
          </w:tcPr>
          <w:p w14:paraId="5DEC5310" w14:textId="77777777" w:rsidR="00B1578D" w:rsidRDefault="00B1578D">
            <w:pPr>
              <w:rPr>
                <w:rFonts w:ascii="宋体"/>
                <w:vanish/>
              </w:rPr>
            </w:pPr>
          </w:p>
        </w:tc>
        <w:tc>
          <w:tcPr>
            <w:tcW w:w="0" w:type="auto"/>
            <w:gridSpan w:val="3"/>
            <w:shd w:val="clear" w:color="auto" w:fill="auto"/>
            <w:vAlign w:val="bottom"/>
          </w:tcPr>
          <w:p w14:paraId="5DEC5311" w14:textId="77777777" w:rsidR="00B1578D" w:rsidRDefault="00B1578D">
            <w:pPr>
              <w:rPr>
                <w:rFonts w:ascii="宋体"/>
                <w:vanish/>
              </w:rPr>
            </w:pPr>
          </w:p>
        </w:tc>
        <w:tc>
          <w:tcPr>
            <w:tcW w:w="0" w:type="auto"/>
            <w:gridSpan w:val="3"/>
            <w:shd w:val="clear" w:color="auto" w:fill="auto"/>
            <w:vAlign w:val="bottom"/>
          </w:tcPr>
          <w:p w14:paraId="5DEC5312" w14:textId="77777777" w:rsidR="00B1578D" w:rsidRDefault="00B1578D">
            <w:pPr>
              <w:rPr>
                <w:rFonts w:ascii="宋体"/>
                <w:vanish/>
              </w:rPr>
            </w:pPr>
          </w:p>
        </w:tc>
      </w:tr>
      <w:tr w:rsidR="00B1578D" w14:paraId="5DEC531E" w14:textId="77777777">
        <w:trPr>
          <w:jc w:val="center"/>
        </w:trPr>
        <w:tc>
          <w:tcPr>
            <w:tcW w:w="0" w:type="auto"/>
            <w:gridSpan w:val="3"/>
            <w:shd w:val="clear" w:color="auto" w:fill="CCEEFF"/>
            <w:tcMar>
              <w:top w:w="40" w:type="dxa"/>
              <w:left w:w="380" w:type="dxa"/>
              <w:bottom w:w="40" w:type="dxa"/>
              <w:right w:w="20" w:type="dxa"/>
            </w:tcMar>
            <w:vAlign w:val="center"/>
          </w:tcPr>
          <w:p w14:paraId="5DEC5314" w14:textId="77777777" w:rsidR="00B1578D" w:rsidRDefault="004D2C04">
            <w:pPr>
              <w:textAlignment w:val="center"/>
            </w:pPr>
            <w:r>
              <w:rPr>
                <w:rFonts w:ascii="Times New Roman" w:eastAsia="宋体" w:hAnsi="Times New Roman"/>
                <w:color w:val="000000"/>
                <w:sz w:val="16"/>
                <w:szCs w:val="16"/>
              </w:rPr>
              <w:t>Minimum pension liability</w:t>
            </w:r>
          </w:p>
        </w:tc>
        <w:tc>
          <w:tcPr>
            <w:tcW w:w="0" w:type="auto"/>
            <w:gridSpan w:val="2"/>
            <w:shd w:val="clear" w:color="auto" w:fill="CCEEFF"/>
            <w:tcMar>
              <w:top w:w="40" w:type="dxa"/>
              <w:left w:w="20" w:type="dxa"/>
              <w:bottom w:w="40" w:type="dxa"/>
              <w:right w:w="0" w:type="dxa"/>
            </w:tcMar>
            <w:vAlign w:val="center"/>
          </w:tcPr>
          <w:p w14:paraId="5DEC5315" w14:textId="77777777" w:rsidR="00B1578D" w:rsidRDefault="004D2C04">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5DEC531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1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318" w14:textId="77777777" w:rsidR="00B1578D" w:rsidRDefault="004D2C04">
            <w:pPr>
              <w:jc w:val="right"/>
              <w:textAlignment w:val="center"/>
            </w:pPr>
            <w:r>
              <w:rPr>
                <w:rFonts w:ascii="Times New Roman" w:eastAsia="宋体" w:hAnsi="Times New Roman"/>
                <w:color w:val="000000"/>
                <w:sz w:val="16"/>
                <w:szCs w:val="16"/>
              </w:rPr>
              <w:t>1,969 </w:t>
            </w:r>
          </w:p>
        </w:tc>
        <w:tc>
          <w:tcPr>
            <w:tcW w:w="0" w:type="auto"/>
            <w:shd w:val="clear" w:color="auto" w:fill="CCEEFF"/>
            <w:tcMar>
              <w:top w:w="40" w:type="dxa"/>
              <w:left w:w="0" w:type="dxa"/>
              <w:bottom w:w="40" w:type="dxa"/>
              <w:right w:w="20" w:type="dxa"/>
            </w:tcMar>
            <w:vAlign w:val="center"/>
          </w:tcPr>
          <w:p w14:paraId="5DEC5319" w14:textId="77777777" w:rsidR="00B1578D" w:rsidRDefault="00B1578D">
            <w:pPr>
              <w:jc w:val="right"/>
              <w:rPr>
                <w:rFonts w:ascii="宋体"/>
              </w:rPr>
            </w:pPr>
          </w:p>
        </w:tc>
        <w:tc>
          <w:tcPr>
            <w:tcW w:w="0" w:type="auto"/>
            <w:shd w:val="clear" w:color="auto" w:fill="auto"/>
            <w:vAlign w:val="bottom"/>
          </w:tcPr>
          <w:p w14:paraId="5DEC531A" w14:textId="77777777" w:rsidR="00B1578D" w:rsidRDefault="00B1578D">
            <w:pPr>
              <w:rPr>
                <w:rFonts w:ascii="宋体"/>
                <w:vanish/>
              </w:rPr>
            </w:pPr>
          </w:p>
        </w:tc>
        <w:tc>
          <w:tcPr>
            <w:tcW w:w="0" w:type="auto"/>
            <w:shd w:val="clear" w:color="auto" w:fill="auto"/>
            <w:vAlign w:val="bottom"/>
          </w:tcPr>
          <w:p w14:paraId="5DEC531B" w14:textId="77777777" w:rsidR="00B1578D" w:rsidRDefault="00B1578D">
            <w:pPr>
              <w:rPr>
                <w:rFonts w:ascii="宋体"/>
                <w:vanish/>
              </w:rPr>
            </w:pPr>
          </w:p>
        </w:tc>
        <w:tc>
          <w:tcPr>
            <w:tcW w:w="0" w:type="auto"/>
            <w:gridSpan w:val="3"/>
            <w:shd w:val="clear" w:color="auto" w:fill="auto"/>
            <w:vAlign w:val="bottom"/>
          </w:tcPr>
          <w:p w14:paraId="5DEC531C" w14:textId="77777777" w:rsidR="00B1578D" w:rsidRDefault="00B1578D">
            <w:pPr>
              <w:rPr>
                <w:rFonts w:ascii="宋体"/>
                <w:vanish/>
              </w:rPr>
            </w:pPr>
          </w:p>
        </w:tc>
        <w:tc>
          <w:tcPr>
            <w:tcW w:w="0" w:type="auto"/>
            <w:gridSpan w:val="3"/>
            <w:shd w:val="clear" w:color="auto" w:fill="auto"/>
            <w:vAlign w:val="bottom"/>
          </w:tcPr>
          <w:p w14:paraId="5DEC531D" w14:textId="77777777" w:rsidR="00B1578D" w:rsidRDefault="00B1578D">
            <w:pPr>
              <w:rPr>
                <w:rFonts w:ascii="宋体"/>
                <w:vanish/>
              </w:rPr>
            </w:pPr>
          </w:p>
        </w:tc>
      </w:tr>
      <w:tr w:rsidR="00B1578D" w14:paraId="5DEC5327" w14:textId="77777777">
        <w:trPr>
          <w:jc w:val="center"/>
          <w:hidden/>
        </w:trPr>
        <w:tc>
          <w:tcPr>
            <w:tcW w:w="0" w:type="auto"/>
            <w:gridSpan w:val="3"/>
            <w:shd w:val="clear" w:color="auto" w:fill="auto"/>
            <w:vAlign w:val="bottom"/>
          </w:tcPr>
          <w:p w14:paraId="5DEC531F" w14:textId="77777777" w:rsidR="00B1578D" w:rsidRDefault="00B1578D">
            <w:pPr>
              <w:rPr>
                <w:rFonts w:ascii="宋体"/>
                <w:vanish/>
              </w:rPr>
            </w:pPr>
          </w:p>
        </w:tc>
        <w:tc>
          <w:tcPr>
            <w:tcW w:w="0" w:type="auto"/>
            <w:gridSpan w:val="3"/>
            <w:shd w:val="clear" w:color="auto" w:fill="auto"/>
            <w:vAlign w:val="bottom"/>
          </w:tcPr>
          <w:p w14:paraId="5DEC5320" w14:textId="77777777" w:rsidR="00B1578D" w:rsidRDefault="00B1578D">
            <w:pPr>
              <w:rPr>
                <w:rFonts w:ascii="宋体"/>
                <w:vanish/>
              </w:rPr>
            </w:pPr>
          </w:p>
        </w:tc>
        <w:tc>
          <w:tcPr>
            <w:tcW w:w="0" w:type="auto"/>
            <w:gridSpan w:val="3"/>
            <w:shd w:val="clear" w:color="auto" w:fill="auto"/>
            <w:vAlign w:val="bottom"/>
          </w:tcPr>
          <w:p w14:paraId="5DEC5321" w14:textId="77777777" w:rsidR="00B1578D" w:rsidRDefault="00B1578D">
            <w:pPr>
              <w:rPr>
                <w:rFonts w:ascii="宋体"/>
                <w:vanish/>
              </w:rPr>
            </w:pPr>
          </w:p>
        </w:tc>
        <w:tc>
          <w:tcPr>
            <w:tcW w:w="0" w:type="auto"/>
            <w:gridSpan w:val="3"/>
            <w:shd w:val="clear" w:color="auto" w:fill="auto"/>
            <w:vAlign w:val="bottom"/>
          </w:tcPr>
          <w:p w14:paraId="5DEC5322" w14:textId="77777777" w:rsidR="00B1578D" w:rsidRDefault="00B1578D">
            <w:pPr>
              <w:rPr>
                <w:rFonts w:ascii="宋体"/>
                <w:vanish/>
              </w:rPr>
            </w:pPr>
          </w:p>
        </w:tc>
        <w:tc>
          <w:tcPr>
            <w:tcW w:w="0" w:type="auto"/>
            <w:shd w:val="clear" w:color="auto" w:fill="auto"/>
            <w:vAlign w:val="bottom"/>
          </w:tcPr>
          <w:p w14:paraId="5DEC5323" w14:textId="77777777" w:rsidR="00B1578D" w:rsidRDefault="00B1578D">
            <w:pPr>
              <w:rPr>
                <w:rFonts w:ascii="宋体"/>
                <w:vanish/>
              </w:rPr>
            </w:pPr>
          </w:p>
        </w:tc>
        <w:tc>
          <w:tcPr>
            <w:tcW w:w="0" w:type="auto"/>
            <w:shd w:val="clear" w:color="auto" w:fill="auto"/>
            <w:vAlign w:val="bottom"/>
          </w:tcPr>
          <w:p w14:paraId="5DEC5324" w14:textId="77777777" w:rsidR="00B1578D" w:rsidRDefault="00B1578D">
            <w:pPr>
              <w:rPr>
                <w:rFonts w:ascii="宋体"/>
                <w:vanish/>
              </w:rPr>
            </w:pPr>
          </w:p>
        </w:tc>
        <w:tc>
          <w:tcPr>
            <w:tcW w:w="0" w:type="auto"/>
            <w:gridSpan w:val="3"/>
            <w:shd w:val="clear" w:color="auto" w:fill="auto"/>
            <w:vAlign w:val="bottom"/>
          </w:tcPr>
          <w:p w14:paraId="5DEC5325" w14:textId="77777777" w:rsidR="00B1578D" w:rsidRDefault="00B1578D">
            <w:pPr>
              <w:rPr>
                <w:rFonts w:ascii="宋体"/>
                <w:vanish/>
              </w:rPr>
            </w:pPr>
          </w:p>
        </w:tc>
        <w:tc>
          <w:tcPr>
            <w:tcW w:w="0" w:type="auto"/>
            <w:gridSpan w:val="3"/>
            <w:shd w:val="clear" w:color="auto" w:fill="auto"/>
            <w:vAlign w:val="bottom"/>
          </w:tcPr>
          <w:p w14:paraId="5DEC5326" w14:textId="77777777" w:rsidR="00B1578D" w:rsidRDefault="00B1578D">
            <w:pPr>
              <w:rPr>
                <w:rFonts w:ascii="宋体"/>
                <w:vanish/>
              </w:rPr>
            </w:pPr>
          </w:p>
        </w:tc>
      </w:tr>
      <w:tr w:rsidR="00B1578D" w14:paraId="5DEC5332" w14:textId="77777777">
        <w:trPr>
          <w:jc w:val="center"/>
        </w:trPr>
        <w:tc>
          <w:tcPr>
            <w:tcW w:w="0" w:type="auto"/>
            <w:gridSpan w:val="3"/>
            <w:shd w:val="clear" w:color="auto" w:fill="FFFFFF"/>
            <w:tcMar>
              <w:top w:w="40" w:type="dxa"/>
              <w:left w:w="20" w:type="dxa"/>
              <w:bottom w:w="40" w:type="dxa"/>
              <w:right w:w="20" w:type="dxa"/>
            </w:tcMar>
            <w:vAlign w:val="center"/>
          </w:tcPr>
          <w:p w14:paraId="5DEC5328" w14:textId="77777777" w:rsidR="00B1578D" w:rsidRDefault="004D2C04">
            <w:pPr>
              <w:textAlignment w:val="center"/>
            </w:pPr>
            <w:r>
              <w:rPr>
                <w:rFonts w:ascii="Times New Roman" w:eastAsia="宋体" w:hAnsi="Times New Roman"/>
                <w:color w:val="000000"/>
                <w:sz w:val="16"/>
                <w:szCs w:val="16"/>
              </w:rPr>
              <w:t>Other comprehensive income (loss), net of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329" w14:textId="77777777" w:rsidR="00B1578D" w:rsidRDefault="004D2C04">
            <w:pPr>
              <w:jc w:val="right"/>
              <w:textAlignment w:val="center"/>
            </w:pPr>
            <w:r>
              <w:rPr>
                <w:rFonts w:ascii="Times New Roman" w:eastAsia="宋体" w:hAnsi="Times New Roman"/>
                <w:color w:val="000000"/>
                <w:sz w:val="16"/>
                <w:szCs w:val="16"/>
              </w:rPr>
              <w:t>275 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32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2B"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32C" w14:textId="77777777" w:rsidR="00B1578D" w:rsidRDefault="004D2C04">
            <w:pPr>
              <w:jc w:val="right"/>
              <w:textAlignment w:val="center"/>
            </w:pPr>
            <w:r>
              <w:rPr>
                <w:rFonts w:ascii="Times New Roman" w:eastAsia="宋体" w:hAnsi="Times New Roman"/>
                <w:color w:val="000000"/>
                <w:sz w:val="16"/>
                <w:szCs w:val="16"/>
              </w:rPr>
              <w:t>3,746 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32D" w14:textId="77777777" w:rsidR="00B1578D" w:rsidRDefault="00B1578D">
            <w:pPr>
              <w:jc w:val="right"/>
              <w:rPr>
                <w:rFonts w:ascii="宋体"/>
              </w:rPr>
            </w:pPr>
          </w:p>
        </w:tc>
        <w:tc>
          <w:tcPr>
            <w:tcW w:w="0" w:type="auto"/>
            <w:shd w:val="clear" w:color="auto" w:fill="auto"/>
            <w:vAlign w:val="bottom"/>
          </w:tcPr>
          <w:p w14:paraId="5DEC532E" w14:textId="77777777" w:rsidR="00B1578D" w:rsidRDefault="00B1578D">
            <w:pPr>
              <w:rPr>
                <w:rFonts w:ascii="宋体"/>
                <w:vanish/>
              </w:rPr>
            </w:pPr>
          </w:p>
        </w:tc>
        <w:tc>
          <w:tcPr>
            <w:tcW w:w="0" w:type="auto"/>
            <w:shd w:val="clear" w:color="auto" w:fill="auto"/>
            <w:vAlign w:val="bottom"/>
          </w:tcPr>
          <w:p w14:paraId="5DEC532F" w14:textId="77777777" w:rsidR="00B1578D" w:rsidRDefault="00B1578D">
            <w:pPr>
              <w:rPr>
                <w:rFonts w:ascii="宋体"/>
                <w:vanish/>
              </w:rPr>
            </w:pPr>
          </w:p>
        </w:tc>
        <w:tc>
          <w:tcPr>
            <w:tcW w:w="0" w:type="auto"/>
            <w:gridSpan w:val="3"/>
            <w:shd w:val="clear" w:color="auto" w:fill="auto"/>
            <w:vAlign w:val="bottom"/>
          </w:tcPr>
          <w:p w14:paraId="5DEC5330" w14:textId="77777777" w:rsidR="00B1578D" w:rsidRDefault="00B1578D">
            <w:pPr>
              <w:rPr>
                <w:rFonts w:ascii="宋体"/>
                <w:vanish/>
              </w:rPr>
            </w:pPr>
          </w:p>
        </w:tc>
        <w:tc>
          <w:tcPr>
            <w:tcW w:w="0" w:type="auto"/>
            <w:gridSpan w:val="3"/>
            <w:shd w:val="clear" w:color="auto" w:fill="auto"/>
            <w:vAlign w:val="bottom"/>
          </w:tcPr>
          <w:p w14:paraId="5DEC5331" w14:textId="77777777" w:rsidR="00B1578D" w:rsidRDefault="00B1578D">
            <w:pPr>
              <w:rPr>
                <w:rFonts w:ascii="宋体"/>
                <w:vanish/>
              </w:rPr>
            </w:pPr>
          </w:p>
        </w:tc>
      </w:tr>
      <w:tr w:rsidR="00B1578D" w14:paraId="5DEC533D" w14:textId="77777777">
        <w:trPr>
          <w:jc w:val="center"/>
        </w:trPr>
        <w:tc>
          <w:tcPr>
            <w:tcW w:w="0" w:type="auto"/>
            <w:gridSpan w:val="3"/>
            <w:shd w:val="clear" w:color="auto" w:fill="CCEEFF"/>
            <w:tcMar>
              <w:top w:w="40" w:type="dxa"/>
              <w:left w:w="380" w:type="dxa"/>
              <w:bottom w:w="40" w:type="dxa"/>
              <w:right w:w="20" w:type="dxa"/>
            </w:tcMar>
            <w:vAlign w:val="center"/>
          </w:tcPr>
          <w:p w14:paraId="5DEC5333" w14:textId="77777777" w:rsidR="00B1578D" w:rsidRDefault="004D2C04">
            <w:pPr>
              <w:textAlignment w:val="center"/>
            </w:pPr>
            <w:r>
              <w:rPr>
                <w:rFonts w:ascii="Times New Roman" w:eastAsia="宋体" w:hAnsi="Times New Roman"/>
                <w:color w:val="000000"/>
                <w:sz w:val="16"/>
                <w:szCs w:val="16"/>
              </w:rPr>
              <w:t>Other 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5DEC5334" w14:textId="77777777" w:rsidR="00B1578D" w:rsidRDefault="004D2C04">
            <w:pPr>
              <w:jc w:val="right"/>
              <w:textAlignment w:val="center"/>
            </w:pPr>
            <w:r>
              <w:rPr>
                <w:rFonts w:ascii="Times New Roman" w:eastAsia="宋体" w:hAnsi="Times New Roman"/>
                <w:color w:val="000000"/>
                <w:sz w:val="16"/>
                <w:szCs w:val="16"/>
              </w:rPr>
              <w:t>(7)</w:t>
            </w:r>
          </w:p>
        </w:tc>
        <w:tc>
          <w:tcPr>
            <w:tcW w:w="0" w:type="auto"/>
            <w:shd w:val="clear" w:color="auto" w:fill="CCEEFF"/>
            <w:tcMar>
              <w:top w:w="40" w:type="dxa"/>
              <w:left w:w="0" w:type="dxa"/>
              <w:bottom w:w="40" w:type="dxa"/>
              <w:right w:w="20" w:type="dxa"/>
            </w:tcMar>
            <w:vAlign w:val="center"/>
          </w:tcPr>
          <w:p w14:paraId="5DEC533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3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337" w14:textId="77777777" w:rsidR="00B1578D" w:rsidRDefault="004D2C04">
            <w:pPr>
              <w:jc w:val="right"/>
              <w:textAlignment w:val="center"/>
            </w:pPr>
            <w:r>
              <w:rPr>
                <w:rFonts w:ascii="Times New Roman" w:eastAsia="宋体" w:hAnsi="Times New Roman"/>
                <w:color w:val="000000"/>
                <w:sz w:val="16"/>
                <w:szCs w:val="16"/>
              </w:rPr>
              <w:t>74 </w:t>
            </w:r>
          </w:p>
        </w:tc>
        <w:tc>
          <w:tcPr>
            <w:tcW w:w="0" w:type="auto"/>
            <w:shd w:val="clear" w:color="auto" w:fill="CCEEFF"/>
            <w:tcMar>
              <w:top w:w="40" w:type="dxa"/>
              <w:left w:w="0" w:type="dxa"/>
              <w:bottom w:w="40" w:type="dxa"/>
              <w:right w:w="20" w:type="dxa"/>
            </w:tcMar>
            <w:vAlign w:val="center"/>
          </w:tcPr>
          <w:p w14:paraId="5DEC5338" w14:textId="77777777" w:rsidR="00B1578D" w:rsidRDefault="00B1578D">
            <w:pPr>
              <w:jc w:val="right"/>
              <w:rPr>
                <w:rFonts w:ascii="宋体"/>
              </w:rPr>
            </w:pPr>
          </w:p>
        </w:tc>
        <w:tc>
          <w:tcPr>
            <w:tcW w:w="0" w:type="auto"/>
            <w:shd w:val="clear" w:color="auto" w:fill="auto"/>
            <w:vAlign w:val="bottom"/>
          </w:tcPr>
          <w:p w14:paraId="5DEC5339" w14:textId="77777777" w:rsidR="00B1578D" w:rsidRDefault="00B1578D">
            <w:pPr>
              <w:rPr>
                <w:rFonts w:ascii="宋体"/>
                <w:vanish/>
              </w:rPr>
            </w:pPr>
          </w:p>
        </w:tc>
        <w:tc>
          <w:tcPr>
            <w:tcW w:w="0" w:type="auto"/>
            <w:shd w:val="clear" w:color="auto" w:fill="auto"/>
            <w:vAlign w:val="bottom"/>
          </w:tcPr>
          <w:p w14:paraId="5DEC533A" w14:textId="77777777" w:rsidR="00B1578D" w:rsidRDefault="00B1578D">
            <w:pPr>
              <w:rPr>
                <w:rFonts w:ascii="宋体"/>
                <w:vanish/>
              </w:rPr>
            </w:pPr>
          </w:p>
        </w:tc>
        <w:tc>
          <w:tcPr>
            <w:tcW w:w="0" w:type="auto"/>
            <w:gridSpan w:val="3"/>
            <w:shd w:val="clear" w:color="auto" w:fill="auto"/>
            <w:vAlign w:val="bottom"/>
          </w:tcPr>
          <w:p w14:paraId="5DEC533B" w14:textId="77777777" w:rsidR="00B1578D" w:rsidRDefault="00B1578D">
            <w:pPr>
              <w:rPr>
                <w:rFonts w:ascii="宋体"/>
                <w:vanish/>
              </w:rPr>
            </w:pPr>
          </w:p>
        </w:tc>
        <w:tc>
          <w:tcPr>
            <w:tcW w:w="0" w:type="auto"/>
            <w:gridSpan w:val="3"/>
            <w:shd w:val="clear" w:color="auto" w:fill="auto"/>
            <w:vAlign w:val="bottom"/>
          </w:tcPr>
          <w:p w14:paraId="5DEC533C" w14:textId="77777777" w:rsidR="00B1578D" w:rsidRDefault="00B1578D">
            <w:pPr>
              <w:rPr>
                <w:rFonts w:ascii="宋体"/>
                <w:vanish/>
              </w:rPr>
            </w:pPr>
          </w:p>
        </w:tc>
      </w:tr>
      <w:tr w:rsidR="00B1578D" w14:paraId="5DEC5346" w14:textId="77777777">
        <w:trPr>
          <w:jc w:val="center"/>
          <w:hidden/>
        </w:trPr>
        <w:tc>
          <w:tcPr>
            <w:tcW w:w="0" w:type="auto"/>
            <w:gridSpan w:val="3"/>
            <w:shd w:val="clear" w:color="auto" w:fill="auto"/>
            <w:vAlign w:val="bottom"/>
          </w:tcPr>
          <w:p w14:paraId="5DEC533E" w14:textId="77777777" w:rsidR="00B1578D" w:rsidRDefault="00B1578D">
            <w:pPr>
              <w:rPr>
                <w:rFonts w:ascii="宋体"/>
                <w:vanish/>
              </w:rPr>
            </w:pPr>
          </w:p>
        </w:tc>
        <w:tc>
          <w:tcPr>
            <w:tcW w:w="0" w:type="auto"/>
            <w:gridSpan w:val="3"/>
            <w:shd w:val="clear" w:color="auto" w:fill="auto"/>
            <w:vAlign w:val="bottom"/>
          </w:tcPr>
          <w:p w14:paraId="5DEC533F" w14:textId="77777777" w:rsidR="00B1578D" w:rsidRDefault="00B1578D">
            <w:pPr>
              <w:rPr>
                <w:rFonts w:ascii="宋体"/>
                <w:vanish/>
              </w:rPr>
            </w:pPr>
          </w:p>
        </w:tc>
        <w:tc>
          <w:tcPr>
            <w:tcW w:w="0" w:type="auto"/>
            <w:gridSpan w:val="3"/>
            <w:shd w:val="clear" w:color="auto" w:fill="auto"/>
            <w:vAlign w:val="bottom"/>
          </w:tcPr>
          <w:p w14:paraId="5DEC5340" w14:textId="77777777" w:rsidR="00B1578D" w:rsidRDefault="00B1578D">
            <w:pPr>
              <w:rPr>
                <w:rFonts w:ascii="宋体"/>
                <w:vanish/>
              </w:rPr>
            </w:pPr>
          </w:p>
        </w:tc>
        <w:tc>
          <w:tcPr>
            <w:tcW w:w="0" w:type="auto"/>
            <w:gridSpan w:val="3"/>
            <w:shd w:val="clear" w:color="auto" w:fill="auto"/>
            <w:vAlign w:val="bottom"/>
          </w:tcPr>
          <w:p w14:paraId="5DEC5341" w14:textId="77777777" w:rsidR="00B1578D" w:rsidRDefault="00B1578D">
            <w:pPr>
              <w:rPr>
                <w:rFonts w:ascii="宋体"/>
                <w:vanish/>
              </w:rPr>
            </w:pPr>
          </w:p>
        </w:tc>
        <w:tc>
          <w:tcPr>
            <w:tcW w:w="0" w:type="auto"/>
            <w:shd w:val="clear" w:color="auto" w:fill="auto"/>
            <w:vAlign w:val="bottom"/>
          </w:tcPr>
          <w:p w14:paraId="5DEC5342" w14:textId="77777777" w:rsidR="00B1578D" w:rsidRDefault="00B1578D">
            <w:pPr>
              <w:rPr>
                <w:rFonts w:ascii="宋体"/>
                <w:vanish/>
              </w:rPr>
            </w:pPr>
          </w:p>
        </w:tc>
        <w:tc>
          <w:tcPr>
            <w:tcW w:w="0" w:type="auto"/>
            <w:shd w:val="clear" w:color="auto" w:fill="auto"/>
            <w:vAlign w:val="bottom"/>
          </w:tcPr>
          <w:p w14:paraId="5DEC5343" w14:textId="77777777" w:rsidR="00B1578D" w:rsidRDefault="00B1578D">
            <w:pPr>
              <w:rPr>
                <w:rFonts w:ascii="宋体"/>
                <w:vanish/>
              </w:rPr>
            </w:pPr>
          </w:p>
        </w:tc>
        <w:tc>
          <w:tcPr>
            <w:tcW w:w="0" w:type="auto"/>
            <w:gridSpan w:val="3"/>
            <w:shd w:val="clear" w:color="auto" w:fill="auto"/>
            <w:vAlign w:val="bottom"/>
          </w:tcPr>
          <w:p w14:paraId="5DEC5344" w14:textId="77777777" w:rsidR="00B1578D" w:rsidRDefault="00B1578D">
            <w:pPr>
              <w:rPr>
                <w:rFonts w:ascii="宋体"/>
                <w:vanish/>
              </w:rPr>
            </w:pPr>
          </w:p>
        </w:tc>
        <w:tc>
          <w:tcPr>
            <w:tcW w:w="0" w:type="auto"/>
            <w:gridSpan w:val="3"/>
            <w:shd w:val="clear" w:color="auto" w:fill="auto"/>
            <w:vAlign w:val="bottom"/>
          </w:tcPr>
          <w:p w14:paraId="5DEC5345" w14:textId="77777777" w:rsidR="00B1578D" w:rsidRDefault="00B1578D">
            <w:pPr>
              <w:rPr>
                <w:rFonts w:ascii="宋体"/>
                <w:vanish/>
              </w:rPr>
            </w:pPr>
          </w:p>
        </w:tc>
      </w:tr>
      <w:tr w:rsidR="00B1578D" w14:paraId="5DEC5351" w14:textId="77777777">
        <w:trPr>
          <w:jc w:val="center"/>
        </w:trPr>
        <w:tc>
          <w:tcPr>
            <w:tcW w:w="0" w:type="auto"/>
            <w:gridSpan w:val="3"/>
            <w:shd w:val="clear" w:color="auto" w:fill="FFFFFF"/>
            <w:tcMar>
              <w:top w:w="40" w:type="dxa"/>
              <w:left w:w="20" w:type="dxa"/>
              <w:bottom w:w="40" w:type="dxa"/>
              <w:right w:w="20" w:type="dxa"/>
            </w:tcMar>
            <w:vAlign w:val="center"/>
          </w:tcPr>
          <w:p w14:paraId="5DEC5347" w14:textId="77777777" w:rsidR="00B1578D" w:rsidRDefault="004D2C04">
            <w:pPr>
              <w:textAlignment w:val="center"/>
            </w:pPr>
            <w:r>
              <w:rPr>
                <w:rFonts w:ascii="Times New Roman" w:eastAsia="宋体" w:hAnsi="Times New Roman"/>
                <w:b/>
                <w:bCs/>
                <w:color w:val="000000"/>
                <w:sz w:val="16"/>
                <w:szCs w:val="16"/>
              </w:rPr>
              <w:t xml:space="preserve">Other </w:t>
            </w:r>
            <w:r>
              <w:rPr>
                <w:rFonts w:ascii="Times New Roman" w:eastAsia="宋体" w:hAnsi="Times New Roman"/>
                <w:b/>
                <w:bCs/>
                <w:color w:val="000000"/>
                <w:sz w:val="16"/>
                <w:szCs w:val="16"/>
              </w:rPr>
              <w:t>comprehensive income (loss) attributable to Walmart</w:t>
            </w:r>
          </w:p>
        </w:tc>
        <w:tc>
          <w:tcPr>
            <w:tcW w:w="0" w:type="auto"/>
            <w:gridSpan w:val="2"/>
            <w:shd w:val="clear" w:color="auto" w:fill="FFFFFF"/>
            <w:tcMar>
              <w:top w:w="40" w:type="dxa"/>
              <w:left w:w="20" w:type="dxa"/>
              <w:bottom w:w="40" w:type="dxa"/>
              <w:right w:w="0" w:type="dxa"/>
            </w:tcMar>
            <w:vAlign w:val="center"/>
          </w:tcPr>
          <w:p w14:paraId="5DEC5348" w14:textId="77777777" w:rsidR="00B1578D" w:rsidRDefault="004D2C04">
            <w:pPr>
              <w:jc w:val="right"/>
              <w:textAlignment w:val="center"/>
            </w:pPr>
            <w:r>
              <w:rPr>
                <w:rFonts w:ascii="Times New Roman" w:eastAsia="宋体" w:hAnsi="Times New Roman"/>
                <w:color w:val="000000"/>
                <w:sz w:val="16"/>
                <w:szCs w:val="16"/>
              </w:rPr>
              <w:t>268 </w:t>
            </w:r>
          </w:p>
        </w:tc>
        <w:tc>
          <w:tcPr>
            <w:tcW w:w="0" w:type="auto"/>
            <w:shd w:val="clear" w:color="auto" w:fill="FFFFFF"/>
            <w:tcMar>
              <w:top w:w="40" w:type="dxa"/>
              <w:left w:w="0" w:type="dxa"/>
              <w:bottom w:w="40" w:type="dxa"/>
              <w:right w:w="20" w:type="dxa"/>
            </w:tcMar>
            <w:vAlign w:val="center"/>
          </w:tcPr>
          <w:p w14:paraId="5DEC534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4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4B" w14:textId="77777777" w:rsidR="00B1578D" w:rsidRDefault="004D2C04">
            <w:pPr>
              <w:jc w:val="right"/>
              <w:textAlignment w:val="center"/>
            </w:pPr>
            <w:r>
              <w:rPr>
                <w:rFonts w:ascii="Times New Roman" w:eastAsia="宋体" w:hAnsi="Times New Roman"/>
                <w:color w:val="000000"/>
                <w:sz w:val="16"/>
                <w:szCs w:val="16"/>
              </w:rPr>
              <w:t>3,820 </w:t>
            </w:r>
          </w:p>
        </w:tc>
        <w:tc>
          <w:tcPr>
            <w:tcW w:w="0" w:type="auto"/>
            <w:shd w:val="clear" w:color="auto" w:fill="FFFFFF"/>
            <w:tcMar>
              <w:top w:w="40" w:type="dxa"/>
              <w:left w:w="0" w:type="dxa"/>
              <w:bottom w:w="40" w:type="dxa"/>
              <w:right w:w="20" w:type="dxa"/>
            </w:tcMar>
            <w:vAlign w:val="center"/>
          </w:tcPr>
          <w:p w14:paraId="5DEC534C" w14:textId="77777777" w:rsidR="00B1578D" w:rsidRDefault="00B1578D">
            <w:pPr>
              <w:jc w:val="right"/>
              <w:rPr>
                <w:rFonts w:ascii="宋体"/>
              </w:rPr>
            </w:pPr>
          </w:p>
        </w:tc>
        <w:tc>
          <w:tcPr>
            <w:tcW w:w="0" w:type="auto"/>
            <w:shd w:val="clear" w:color="auto" w:fill="auto"/>
            <w:vAlign w:val="bottom"/>
          </w:tcPr>
          <w:p w14:paraId="5DEC534D" w14:textId="77777777" w:rsidR="00B1578D" w:rsidRDefault="00B1578D">
            <w:pPr>
              <w:rPr>
                <w:rFonts w:ascii="宋体"/>
                <w:vanish/>
              </w:rPr>
            </w:pPr>
          </w:p>
        </w:tc>
        <w:tc>
          <w:tcPr>
            <w:tcW w:w="0" w:type="auto"/>
            <w:shd w:val="clear" w:color="auto" w:fill="auto"/>
            <w:vAlign w:val="bottom"/>
          </w:tcPr>
          <w:p w14:paraId="5DEC534E" w14:textId="77777777" w:rsidR="00B1578D" w:rsidRDefault="00B1578D">
            <w:pPr>
              <w:rPr>
                <w:rFonts w:ascii="宋体"/>
                <w:vanish/>
              </w:rPr>
            </w:pPr>
          </w:p>
        </w:tc>
        <w:tc>
          <w:tcPr>
            <w:tcW w:w="0" w:type="auto"/>
            <w:gridSpan w:val="3"/>
            <w:shd w:val="clear" w:color="auto" w:fill="auto"/>
            <w:vAlign w:val="bottom"/>
          </w:tcPr>
          <w:p w14:paraId="5DEC534F" w14:textId="77777777" w:rsidR="00B1578D" w:rsidRDefault="00B1578D">
            <w:pPr>
              <w:rPr>
                <w:rFonts w:ascii="宋体"/>
                <w:vanish/>
              </w:rPr>
            </w:pPr>
          </w:p>
        </w:tc>
        <w:tc>
          <w:tcPr>
            <w:tcW w:w="0" w:type="auto"/>
            <w:gridSpan w:val="3"/>
            <w:shd w:val="clear" w:color="auto" w:fill="auto"/>
            <w:vAlign w:val="bottom"/>
          </w:tcPr>
          <w:p w14:paraId="5DEC5350" w14:textId="77777777" w:rsidR="00B1578D" w:rsidRDefault="00B1578D">
            <w:pPr>
              <w:rPr>
                <w:rFonts w:ascii="宋体"/>
                <w:vanish/>
              </w:rPr>
            </w:pPr>
          </w:p>
        </w:tc>
      </w:tr>
      <w:tr w:rsidR="00B1578D" w14:paraId="5DEC535A" w14:textId="77777777">
        <w:trPr>
          <w:trHeight w:val="220"/>
          <w:jc w:val="center"/>
        </w:trPr>
        <w:tc>
          <w:tcPr>
            <w:tcW w:w="0" w:type="auto"/>
            <w:gridSpan w:val="3"/>
            <w:shd w:val="clear" w:color="auto" w:fill="CCEEFF"/>
            <w:tcMar>
              <w:top w:w="0" w:type="dxa"/>
              <w:left w:w="20" w:type="dxa"/>
              <w:bottom w:w="0" w:type="dxa"/>
              <w:right w:w="20" w:type="dxa"/>
            </w:tcMar>
            <w:vAlign w:val="bottom"/>
          </w:tcPr>
          <w:p w14:paraId="5DEC5352" w14:textId="77777777" w:rsidR="00B1578D" w:rsidRDefault="00B1578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5353"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354" w14:textId="77777777" w:rsidR="00B1578D" w:rsidRDefault="00B1578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5355" w14:textId="77777777" w:rsidR="00B1578D" w:rsidRDefault="00B1578D">
            <w:pPr>
              <w:rPr>
                <w:rFonts w:ascii="宋体"/>
              </w:rPr>
            </w:pPr>
          </w:p>
        </w:tc>
        <w:tc>
          <w:tcPr>
            <w:tcW w:w="0" w:type="auto"/>
            <w:shd w:val="clear" w:color="auto" w:fill="auto"/>
            <w:vAlign w:val="bottom"/>
          </w:tcPr>
          <w:p w14:paraId="5DEC5356" w14:textId="77777777" w:rsidR="00B1578D" w:rsidRDefault="00B1578D">
            <w:pPr>
              <w:rPr>
                <w:rFonts w:ascii="宋体"/>
                <w:vanish/>
              </w:rPr>
            </w:pPr>
          </w:p>
        </w:tc>
        <w:tc>
          <w:tcPr>
            <w:tcW w:w="0" w:type="auto"/>
            <w:shd w:val="clear" w:color="auto" w:fill="auto"/>
            <w:vAlign w:val="bottom"/>
          </w:tcPr>
          <w:p w14:paraId="5DEC5357" w14:textId="77777777" w:rsidR="00B1578D" w:rsidRDefault="00B1578D">
            <w:pPr>
              <w:rPr>
                <w:rFonts w:ascii="宋体"/>
                <w:vanish/>
              </w:rPr>
            </w:pPr>
          </w:p>
        </w:tc>
        <w:tc>
          <w:tcPr>
            <w:tcW w:w="0" w:type="auto"/>
            <w:gridSpan w:val="3"/>
            <w:shd w:val="clear" w:color="auto" w:fill="auto"/>
            <w:vAlign w:val="bottom"/>
          </w:tcPr>
          <w:p w14:paraId="5DEC5358" w14:textId="77777777" w:rsidR="00B1578D" w:rsidRDefault="00B1578D">
            <w:pPr>
              <w:rPr>
                <w:rFonts w:ascii="宋体"/>
                <w:vanish/>
              </w:rPr>
            </w:pPr>
          </w:p>
        </w:tc>
        <w:tc>
          <w:tcPr>
            <w:tcW w:w="0" w:type="auto"/>
            <w:gridSpan w:val="3"/>
            <w:shd w:val="clear" w:color="auto" w:fill="auto"/>
            <w:vAlign w:val="bottom"/>
          </w:tcPr>
          <w:p w14:paraId="5DEC5359" w14:textId="77777777" w:rsidR="00B1578D" w:rsidRDefault="00B1578D">
            <w:pPr>
              <w:rPr>
                <w:rFonts w:ascii="宋体"/>
                <w:vanish/>
              </w:rPr>
            </w:pPr>
          </w:p>
        </w:tc>
      </w:tr>
      <w:tr w:rsidR="00B1578D" w14:paraId="5DEC5365" w14:textId="77777777">
        <w:trPr>
          <w:jc w:val="center"/>
        </w:trPr>
        <w:tc>
          <w:tcPr>
            <w:tcW w:w="0" w:type="auto"/>
            <w:gridSpan w:val="3"/>
            <w:shd w:val="clear" w:color="auto" w:fill="FFFFFF"/>
            <w:tcMar>
              <w:top w:w="40" w:type="dxa"/>
              <w:left w:w="20" w:type="dxa"/>
              <w:bottom w:w="40" w:type="dxa"/>
              <w:right w:w="20" w:type="dxa"/>
            </w:tcMar>
            <w:vAlign w:val="center"/>
          </w:tcPr>
          <w:p w14:paraId="5DEC535B" w14:textId="77777777" w:rsidR="00B1578D" w:rsidRDefault="004D2C04">
            <w:pPr>
              <w:textAlignment w:val="center"/>
            </w:pPr>
            <w:r>
              <w:rPr>
                <w:rFonts w:ascii="Times New Roman" w:eastAsia="宋体" w:hAnsi="Times New Roman"/>
                <w:color w:val="000000"/>
                <w:sz w:val="16"/>
                <w:szCs w:val="16"/>
              </w:rPr>
              <w:t>Comprehensive income, net of income taxes</w:t>
            </w:r>
          </w:p>
        </w:tc>
        <w:tc>
          <w:tcPr>
            <w:tcW w:w="0" w:type="auto"/>
            <w:gridSpan w:val="2"/>
            <w:shd w:val="clear" w:color="auto" w:fill="FFFFFF"/>
            <w:tcMar>
              <w:top w:w="40" w:type="dxa"/>
              <w:left w:w="20" w:type="dxa"/>
              <w:bottom w:w="40" w:type="dxa"/>
              <w:right w:w="0" w:type="dxa"/>
            </w:tcMar>
            <w:vAlign w:val="center"/>
          </w:tcPr>
          <w:p w14:paraId="5DEC535C" w14:textId="77777777" w:rsidR="00B1578D" w:rsidRDefault="004D2C04">
            <w:pPr>
              <w:jc w:val="right"/>
              <w:textAlignment w:val="center"/>
            </w:pPr>
            <w:r>
              <w:rPr>
                <w:rFonts w:ascii="Times New Roman" w:eastAsia="宋体" w:hAnsi="Times New Roman"/>
                <w:color w:val="000000"/>
                <w:sz w:val="16"/>
                <w:szCs w:val="16"/>
              </w:rPr>
              <w:t>2,378 </w:t>
            </w:r>
          </w:p>
        </w:tc>
        <w:tc>
          <w:tcPr>
            <w:tcW w:w="0" w:type="auto"/>
            <w:shd w:val="clear" w:color="auto" w:fill="FFFFFF"/>
            <w:tcMar>
              <w:top w:w="40" w:type="dxa"/>
              <w:left w:w="0" w:type="dxa"/>
              <w:bottom w:w="40" w:type="dxa"/>
              <w:right w:w="20" w:type="dxa"/>
            </w:tcMar>
            <w:vAlign w:val="center"/>
          </w:tcPr>
          <w:p w14:paraId="5DEC535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5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5F" w14:textId="77777777" w:rsidR="00B1578D" w:rsidRDefault="004D2C04">
            <w:pPr>
              <w:jc w:val="right"/>
              <w:textAlignment w:val="center"/>
            </w:pPr>
            <w:r>
              <w:rPr>
                <w:rFonts w:ascii="Times New Roman" w:eastAsia="宋体" w:hAnsi="Times New Roman"/>
                <w:color w:val="000000"/>
                <w:sz w:val="16"/>
                <w:szCs w:val="16"/>
              </w:rPr>
              <w:t>6,557 </w:t>
            </w:r>
          </w:p>
        </w:tc>
        <w:tc>
          <w:tcPr>
            <w:tcW w:w="0" w:type="auto"/>
            <w:shd w:val="clear" w:color="auto" w:fill="FFFFFF"/>
            <w:tcMar>
              <w:top w:w="40" w:type="dxa"/>
              <w:left w:w="0" w:type="dxa"/>
              <w:bottom w:w="40" w:type="dxa"/>
              <w:right w:w="20" w:type="dxa"/>
            </w:tcMar>
            <w:vAlign w:val="center"/>
          </w:tcPr>
          <w:p w14:paraId="5DEC5360" w14:textId="77777777" w:rsidR="00B1578D" w:rsidRDefault="00B1578D">
            <w:pPr>
              <w:jc w:val="right"/>
              <w:rPr>
                <w:rFonts w:ascii="宋体"/>
              </w:rPr>
            </w:pPr>
          </w:p>
        </w:tc>
        <w:tc>
          <w:tcPr>
            <w:tcW w:w="0" w:type="auto"/>
            <w:shd w:val="clear" w:color="auto" w:fill="auto"/>
            <w:vAlign w:val="bottom"/>
          </w:tcPr>
          <w:p w14:paraId="5DEC5361" w14:textId="77777777" w:rsidR="00B1578D" w:rsidRDefault="00B1578D">
            <w:pPr>
              <w:rPr>
                <w:rFonts w:ascii="宋体"/>
                <w:vanish/>
              </w:rPr>
            </w:pPr>
          </w:p>
        </w:tc>
        <w:tc>
          <w:tcPr>
            <w:tcW w:w="0" w:type="auto"/>
            <w:shd w:val="clear" w:color="auto" w:fill="auto"/>
            <w:vAlign w:val="bottom"/>
          </w:tcPr>
          <w:p w14:paraId="5DEC5362" w14:textId="77777777" w:rsidR="00B1578D" w:rsidRDefault="00B1578D">
            <w:pPr>
              <w:rPr>
                <w:rFonts w:ascii="宋体"/>
                <w:vanish/>
              </w:rPr>
            </w:pPr>
          </w:p>
        </w:tc>
        <w:tc>
          <w:tcPr>
            <w:tcW w:w="0" w:type="auto"/>
            <w:gridSpan w:val="3"/>
            <w:shd w:val="clear" w:color="auto" w:fill="auto"/>
            <w:vAlign w:val="bottom"/>
          </w:tcPr>
          <w:p w14:paraId="5DEC5363" w14:textId="77777777" w:rsidR="00B1578D" w:rsidRDefault="00B1578D">
            <w:pPr>
              <w:rPr>
                <w:rFonts w:ascii="宋体"/>
                <w:vanish/>
              </w:rPr>
            </w:pPr>
          </w:p>
        </w:tc>
        <w:tc>
          <w:tcPr>
            <w:tcW w:w="0" w:type="auto"/>
            <w:gridSpan w:val="3"/>
            <w:shd w:val="clear" w:color="auto" w:fill="auto"/>
            <w:vAlign w:val="bottom"/>
          </w:tcPr>
          <w:p w14:paraId="5DEC5364" w14:textId="77777777" w:rsidR="00B1578D" w:rsidRDefault="00B1578D">
            <w:pPr>
              <w:rPr>
                <w:rFonts w:ascii="宋体"/>
                <w:vanish/>
              </w:rPr>
            </w:pPr>
          </w:p>
        </w:tc>
      </w:tr>
      <w:tr w:rsidR="00B1578D" w14:paraId="5DEC5370" w14:textId="77777777">
        <w:trPr>
          <w:jc w:val="center"/>
        </w:trPr>
        <w:tc>
          <w:tcPr>
            <w:tcW w:w="0" w:type="auto"/>
            <w:gridSpan w:val="3"/>
            <w:shd w:val="clear" w:color="auto" w:fill="CCEEFF"/>
            <w:tcMar>
              <w:top w:w="40" w:type="dxa"/>
              <w:left w:w="380" w:type="dxa"/>
              <w:bottom w:w="40" w:type="dxa"/>
              <w:right w:w="20" w:type="dxa"/>
            </w:tcMar>
            <w:vAlign w:val="center"/>
          </w:tcPr>
          <w:p w14:paraId="5DEC5366" w14:textId="77777777" w:rsidR="00B1578D" w:rsidRDefault="004D2C04">
            <w:pPr>
              <w:textAlignment w:val="center"/>
            </w:pPr>
            <w:r>
              <w:rPr>
                <w:rFonts w:ascii="Times New Roman" w:eastAsia="宋体" w:hAnsi="Times New Roman"/>
                <w:color w:val="000000"/>
                <w:sz w:val="16"/>
                <w:szCs w:val="16"/>
              </w:rPr>
              <w:t>Comprehensive income attributable to noncontrolling interest</w:t>
            </w:r>
          </w:p>
        </w:tc>
        <w:tc>
          <w:tcPr>
            <w:tcW w:w="0" w:type="auto"/>
            <w:gridSpan w:val="2"/>
            <w:shd w:val="clear" w:color="auto" w:fill="CCEEFF"/>
            <w:tcMar>
              <w:top w:w="40" w:type="dxa"/>
              <w:left w:w="20" w:type="dxa"/>
              <w:bottom w:w="40" w:type="dxa"/>
              <w:right w:w="0" w:type="dxa"/>
            </w:tcMar>
            <w:vAlign w:val="center"/>
          </w:tcPr>
          <w:p w14:paraId="5DEC5367" w14:textId="77777777" w:rsidR="00B1578D" w:rsidRDefault="004D2C04">
            <w:pPr>
              <w:jc w:val="right"/>
              <w:textAlignment w:val="center"/>
            </w:pPr>
            <w:r>
              <w:rPr>
                <w:rFonts w:ascii="Times New Roman" w:eastAsia="宋体" w:hAnsi="Times New Roman"/>
                <w:color w:val="000000"/>
                <w:sz w:val="16"/>
                <w:szCs w:val="16"/>
              </w:rPr>
              <w:t>(56)</w:t>
            </w:r>
          </w:p>
        </w:tc>
        <w:tc>
          <w:tcPr>
            <w:tcW w:w="0" w:type="auto"/>
            <w:shd w:val="clear" w:color="auto" w:fill="CCEEFF"/>
            <w:tcMar>
              <w:top w:w="40" w:type="dxa"/>
              <w:left w:w="0" w:type="dxa"/>
              <w:bottom w:w="40" w:type="dxa"/>
              <w:right w:w="20" w:type="dxa"/>
            </w:tcMar>
            <w:vAlign w:val="center"/>
          </w:tcPr>
          <w:p w14:paraId="5DEC536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6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36A" w14:textId="77777777" w:rsidR="00B1578D" w:rsidRDefault="004D2C04">
            <w:pPr>
              <w:jc w:val="right"/>
              <w:textAlignment w:val="center"/>
            </w:pPr>
            <w:r>
              <w:rPr>
                <w:rFonts w:ascii="Times New Roman" w:eastAsia="宋体" w:hAnsi="Times New Roman"/>
                <w:color w:val="000000"/>
                <w:sz w:val="16"/>
                <w:szCs w:val="16"/>
              </w:rPr>
              <w:t>(7)</w:t>
            </w:r>
          </w:p>
        </w:tc>
        <w:tc>
          <w:tcPr>
            <w:tcW w:w="0" w:type="auto"/>
            <w:shd w:val="clear" w:color="auto" w:fill="CCEEFF"/>
            <w:tcMar>
              <w:top w:w="40" w:type="dxa"/>
              <w:left w:w="0" w:type="dxa"/>
              <w:bottom w:w="40" w:type="dxa"/>
              <w:right w:w="20" w:type="dxa"/>
            </w:tcMar>
            <w:vAlign w:val="center"/>
          </w:tcPr>
          <w:p w14:paraId="5DEC536B" w14:textId="77777777" w:rsidR="00B1578D" w:rsidRDefault="00B1578D">
            <w:pPr>
              <w:jc w:val="right"/>
              <w:rPr>
                <w:rFonts w:ascii="宋体"/>
              </w:rPr>
            </w:pPr>
          </w:p>
        </w:tc>
        <w:tc>
          <w:tcPr>
            <w:tcW w:w="0" w:type="auto"/>
            <w:shd w:val="clear" w:color="auto" w:fill="auto"/>
            <w:vAlign w:val="bottom"/>
          </w:tcPr>
          <w:p w14:paraId="5DEC536C" w14:textId="77777777" w:rsidR="00B1578D" w:rsidRDefault="00B1578D">
            <w:pPr>
              <w:rPr>
                <w:rFonts w:ascii="宋体"/>
                <w:vanish/>
              </w:rPr>
            </w:pPr>
          </w:p>
        </w:tc>
        <w:tc>
          <w:tcPr>
            <w:tcW w:w="0" w:type="auto"/>
            <w:shd w:val="clear" w:color="auto" w:fill="auto"/>
            <w:vAlign w:val="bottom"/>
          </w:tcPr>
          <w:p w14:paraId="5DEC536D" w14:textId="77777777" w:rsidR="00B1578D" w:rsidRDefault="00B1578D">
            <w:pPr>
              <w:rPr>
                <w:rFonts w:ascii="宋体"/>
                <w:vanish/>
              </w:rPr>
            </w:pPr>
          </w:p>
        </w:tc>
        <w:tc>
          <w:tcPr>
            <w:tcW w:w="0" w:type="auto"/>
            <w:gridSpan w:val="3"/>
            <w:shd w:val="clear" w:color="auto" w:fill="auto"/>
            <w:vAlign w:val="bottom"/>
          </w:tcPr>
          <w:p w14:paraId="5DEC536E" w14:textId="77777777" w:rsidR="00B1578D" w:rsidRDefault="00B1578D">
            <w:pPr>
              <w:rPr>
                <w:rFonts w:ascii="宋体"/>
                <w:vanish/>
              </w:rPr>
            </w:pPr>
          </w:p>
        </w:tc>
        <w:tc>
          <w:tcPr>
            <w:tcW w:w="0" w:type="auto"/>
            <w:gridSpan w:val="3"/>
            <w:shd w:val="clear" w:color="auto" w:fill="auto"/>
            <w:vAlign w:val="bottom"/>
          </w:tcPr>
          <w:p w14:paraId="5DEC536F" w14:textId="77777777" w:rsidR="00B1578D" w:rsidRDefault="00B1578D">
            <w:pPr>
              <w:rPr>
                <w:rFonts w:ascii="宋体"/>
                <w:vanish/>
              </w:rPr>
            </w:pPr>
          </w:p>
        </w:tc>
      </w:tr>
      <w:tr w:rsidR="00B1578D" w14:paraId="5DEC5379" w14:textId="77777777">
        <w:trPr>
          <w:jc w:val="center"/>
          <w:hidden/>
        </w:trPr>
        <w:tc>
          <w:tcPr>
            <w:tcW w:w="0" w:type="auto"/>
            <w:gridSpan w:val="3"/>
            <w:shd w:val="clear" w:color="auto" w:fill="auto"/>
            <w:vAlign w:val="bottom"/>
          </w:tcPr>
          <w:p w14:paraId="5DEC5371" w14:textId="77777777" w:rsidR="00B1578D" w:rsidRDefault="00B1578D">
            <w:pPr>
              <w:rPr>
                <w:rFonts w:ascii="宋体"/>
                <w:vanish/>
              </w:rPr>
            </w:pPr>
          </w:p>
        </w:tc>
        <w:tc>
          <w:tcPr>
            <w:tcW w:w="0" w:type="auto"/>
            <w:gridSpan w:val="3"/>
            <w:shd w:val="clear" w:color="auto" w:fill="auto"/>
            <w:vAlign w:val="bottom"/>
          </w:tcPr>
          <w:p w14:paraId="5DEC5372" w14:textId="77777777" w:rsidR="00B1578D" w:rsidRDefault="00B1578D">
            <w:pPr>
              <w:rPr>
                <w:rFonts w:ascii="宋体"/>
                <w:vanish/>
              </w:rPr>
            </w:pPr>
          </w:p>
        </w:tc>
        <w:tc>
          <w:tcPr>
            <w:tcW w:w="0" w:type="auto"/>
            <w:gridSpan w:val="3"/>
            <w:shd w:val="clear" w:color="auto" w:fill="auto"/>
            <w:vAlign w:val="bottom"/>
          </w:tcPr>
          <w:p w14:paraId="5DEC5373" w14:textId="77777777" w:rsidR="00B1578D" w:rsidRDefault="00B1578D">
            <w:pPr>
              <w:rPr>
                <w:rFonts w:ascii="宋体"/>
                <w:vanish/>
              </w:rPr>
            </w:pPr>
          </w:p>
        </w:tc>
        <w:tc>
          <w:tcPr>
            <w:tcW w:w="0" w:type="auto"/>
            <w:gridSpan w:val="3"/>
            <w:shd w:val="clear" w:color="auto" w:fill="auto"/>
            <w:vAlign w:val="bottom"/>
          </w:tcPr>
          <w:p w14:paraId="5DEC5374" w14:textId="77777777" w:rsidR="00B1578D" w:rsidRDefault="00B1578D">
            <w:pPr>
              <w:rPr>
                <w:rFonts w:ascii="宋体"/>
                <w:vanish/>
              </w:rPr>
            </w:pPr>
          </w:p>
        </w:tc>
        <w:tc>
          <w:tcPr>
            <w:tcW w:w="0" w:type="auto"/>
            <w:shd w:val="clear" w:color="auto" w:fill="auto"/>
            <w:vAlign w:val="bottom"/>
          </w:tcPr>
          <w:p w14:paraId="5DEC5375" w14:textId="77777777" w:rsidR="00B1578D" w:rsidRDefault="00B1578D">
            <w:pPr>
              <w:rPr>
                <w:rFonts w:ascii="宋体"/>
                <w:vanish/>
              </w:rPr>
            </w:pPr>
          </w:p>
        </w:tc>
        <w:tc>
          <w:tcPr>
            <w:tcW w:w="0" w:type="auto"/>
            <w:shd w:val="clear" w:color="auto" w:fill="auto"/>
            <w:vAlign w:val="bottom"/>
          </w:tcPr>
          <w:p w14:paraId="5DEC5376" w14:textId="77777777" w:rsidR="00B1578D" w:rsidRDefault="00B1578D">
            <w:pPr>
              <w:rPr>
                <w:rFonts w:ascii="宋体"/>
                <w:vanish/>
              </w:rPr>
            </w:pPr>
          </w:p>
        </w:tc>
        <w:tc>
          <w:tcPr>
            <w:tcW w:w="0" w:type="auto"/>
            <w:gridSpan w:val="3"/>
            <w:shd w:val="clear" w:color="auto" w:fill="auto"/>
            <w:vAlign w:val="bottom"/>
          </w:tcPr>
          <w:p w14:paraId="5DEC5377" w14:textId="77777777" w:rsidR="00B1578D" w:rsidRDefault="00B1578D">
            <w:pPr>
              <w:rPr>
                <w:rFonts w:ascii="宋体"/>
                <w:vanish/>
              </w:rPr>
            </w:pPr>
          </w:p>
        </w:tc>
        <w:tc>
          <w:tcPr>
            <w:tcW w:w="0" w:type="auto"/>
            <w:gridSpan w:val="3"/>
            <w:shd w:val="clear" w:color="auto" w:fill="auto"/>
            <w:vAlign w:val="bottom"/>
          </w:tcPr>
          <w:p w14:paraId="5DEC5378" w14:textId="77777777" w:rsidR="00B1578D" w:rsidRDefault="00B1578D">
            <w:pPr>
              <w:rPr>
                <w:rFonts w:ascii="宋体"/>
                <w:vanish/>
              </w:rPr>
            </w:pPr>
          </w:p>
        </w:tc>
      </w:tr>
      <w:tr w:rsidR="00B1578D" w14:paraId="5DEC5386" w14:textId="77777777">
        <w:trPr>
          <w:jc w:val="center"/>
        </w:trPr>
        <w:tc>
          <w:tcPr>
            <w:tcW w:w="0" w:type="auto"/>
            <w:gridSpan w:val="3"/>
            <w:shd w:val="clear" w:color="auto" w:fill="FFFFFF"/>
            <w:tcMar>
              <w:top w:w="40" w:type="dxa"/>
              <w:left w:w="20" w:type="dxa"/>
              <w:bottom w:w="40" w:type="dxa"/>
              <w:right w:w="20" w:type="dxa"/>
            </w:tcMar>
            <w:vAlign w:val="center"/>
          </w:tcPr>
          <w:p w14:paraId="5DEC537A" w14:textId="77777777" w:rsidR="00B1578D" w:rsidRDefault="004D2C04">
            <w:pPr>
              <w:textAlignment w:val="center"/>
            </w:pPr>
            <w:r>
              <w:rPr>
                <w:rFonts w:ascii="Times New Roman" w:eastAsia="宋体" w:hAnsi="Times New Roman"/>
                <w:b/>
                <w:bCs/>
                <w:color w:val="000000"/>
                <w:sz w:val="16"/>
                <w:szCs w:val="16"/>
              </w:rPr>
              <w:t>Comprehensive income attributable to Walmart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537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537C" w14:textId="77777777" w:rsidR="00B1578D" w:rsidRDefault="004D2C04">
            <w:pPr>
              <w:jc w:val="right"/>
              <w:textAlignment w:val="center"/>
            </w:pPr>
            <w:r>
              <w:rPr>
                <w:rFonts w:ascii="Times New Roman" w:eastAsia="宋体" w:hAnsi="Times New Roman"/>
                <w:color w:val="000000"/>
                <w:sz w:val="16"/>
                <w:szCs w:val="16"/>
              </w:rPr>
              <w:t>2,322 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537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7E"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537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5380" w14:textId="77777777" w:rsidR="00B1578D" w:rsidRDefault="004D2C04">
            <w:pPr>
              <w:jc w:val="right"/>
              <w:textAlignment w:val="center"/>
            </w:pPr>
            <w:r>
              <w:rPr>
                <w:rFonts w:ascii="Times New Roman" w:eastAsia="宋体" w:hAnsi="Times New Roman"/>
                <w:color w:val="000000"/>
                <w:sz w:val="16"/>
                <w:szCs w:val="16"/>
              </w:rPr>
              <w:t>6,550 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5381" w14:textId="77777777" w:rsidR="00B1578D" w:rsidRDefault="00B1578D">
            <w:pPr>
              <w:jc w:val="right"/>
              <w:rPr>
                <w:rFonts w:ascii="宋体"/>
              </w:rPr>
            </w:pPr>
          </w:p>
        </w:tc>
        <w:tc>
          <w:tcPr>
            <w:tcW w:w="0" w:type="auto"/>
            <w:shd w:val="clear" w:color="auto" w:fill="auto"/>
            <w:vAlign w:val="bottom"/>
          </w:tcPr>
          <w:p w14:paraId="5DEC5382" w14:textId="77777777" w:rsidR="00B1578D" w:rsidRDefault="00B1578D">
            <w:pPr>
              <w:rPr>
                <w:rFonts w:ascii="宋体"/>
                <w:vanish/>
              </w:rPr>
            </w:pPr>
          </w:p>
        </w:tc>
        <w:tc>
          <w:tcPr>
            <w:tcW w:w="0" w:type="auto"/>
            <w:shd w:val="clear" w:color="auto" w:fill="auto"/>
            <w:vAlign w:val="bottom"/>
          </w:tcPr>
          <w:p w14:paraId="5DEC5383" w14:textId="77777777" w:rsidR="00B1578D" w:rsidRDefault="00B1578D">
            <w:pPr>
              <w:rPr>
                <w:rFonts w:ascii="宋体"/>
                <w:vanish/>
              </w:rPr>
            </w:pPr>
          </w:p>
        </w:tc>
        <w:tc>
          <w:tcPr>
            <w:tcW w:w="0" w:type="auto"/>
            <w:gridSpan w:val="3"/>
            <w:shd w:val="clear" w:color="auto" w:fill="auto"/>
            <w:vAlign w:val="bottom"/>
          </w:tcPr>
          <w:p w14:paraId="5DEC5384" w14:textId="77777777" w:rsidR="00B1578D" w:rsidRDefault="00B1578D">
            <w:pPr>
              <w:rPr>
                <w:rFonts w:ascii="宋体"/>
                <w:vanish/>
              </w:rPr>
            </w:pPr>
          </w:p>
        </w:tc>
        <w:tc>
          <w:tcPr>
            <w:tcW w:w="0" w:type="auto"/>
            <w:gridSpan w:val="3"/>
            <w:shd w:val="clear" w:color="auto" w:fill="auto"/>
            <w:vAlign w:val="bottom"/>
          </w:tcPr>
          <w:p w14:paraId="5DEC5385" w14:textId="77777777" w:rsidR="00B1578D" w:rsidRDefault="00B1578D">
            <w:pPr>
              <w:rPr>
                <w:rFonts w:ascii="宋体"/>
                <w:vanish/>
              </w:rPr>
            </w:pPr>
          </w:p>
        </w:tc>
      </w:tr>
    </w:tbl>
    <w:p w14:paraId="5DEC5387" w14:textId="77777777" w:rsidR="00B1578D" w:rsidRDefault="004D2C04">
      <w:pPr>
        <w:spacing w:before="80"/>
      </w:pPr>
      <w:r>
        <w:rPr>
          <w:rFonts w:ascii="Times New Roman" w:eastAsia="宋体" w:hAnsi="Times New Roman"/>
          <w:i/>
          <w:iCs/>
          <w:color w:val="000000"/>
          <w:sz w:val="16"/>
          <w:szCs w:val="16"/>
        </w:rPr>
        <w:t xml:space="preserve">See accompanying notes. </w:t>
      </w:r>
    </w:p>
    <w:p w14:paraId="5DEC5388" w14:textId="77777777" w:rsidR="00B1578D" w:rsidRDefault="004D2C04">
      <w:pPr>
        <w:jc w:val="center"/>
      </w:pPr>
      <w:r>
        <w:rPr>
          <w:rFonts w:ascii="Times New Roman" w:eastAsia="宋体" w:hAnsi="Times New Roman"/>
          <w:color w:val="000000"/>
          <w:sz w:val="20"/>
          <w:szCs w:val="20"/>
        </w:rPr>
        <w:t>4</w:t>
      </w:r>
    </w:p>
    <w:p w14:paraId="5DEC5389" w14:textId="77777777" w:rsidR="00B1578D" w:rsidRDefault="004D2C04">
      <w:r>
        <w:pict w14:anchorId="5DEC6F29">
          <v:rect id="_x0000_i1028" style="width:415.3pt;height:1.5pt" o:hralign="center" o:hrstd="t" o:hr="t" fillcolor="#a0a0a0" stroked="f"/>
        </w:pict>
      </w:r>
    </w:p>
    <w:p w14:paraId="5DEC538A" w14:textId="77777777" w:rsidR="00B1578D" w:rsidRDefault="004D2C04">
      <w:hyperlink r:id="rId43" w:anchor="ia92fe4e1fa654d85928fb72942eadb02_7" w:history="1">
        <w:r>
          <w:rPr>
            <w:rStyle w:val="a5"/>
            <w:rFonts w:ascii="Times New Roman" w:eastAsia="宋体" w:hAnsi="Times New Roman"/>
            <w:sz w:val="20"/>
            <w:szCs w:val="20"/>
          </w:rPr>
          <w:t>Table of Contents</w:t>
        </w:r>
      </w:hyperlink>
    </w:p>
    <w:p w14:paraId="5DEC538B" w14:textId="77777777" w:rsidR="00B1578D" w:rsidRDefault="004D2C04">
      <w:pPr>
        <w:jc w:val="center"/>
      </w:pPr>
      <w:r>
        <w:rPr>
          <w:rFonts w:ascii="Times New Roman" w:eastAsia="宋体" w:hAnsi="Times New Roman"/>
          <w:b/>
          <w:bCs/>
          <w:color w:val="000000"/>
          <w:sz w:val="20"/>
          <w:szCs w:val="20"/>
        </w:rPr>
        <w:t>Walmart Inc.</w:t>
      </w:r>
    </w:p>
    <w:p w14:paraId="5DEC538C" w14:textId="77777777" w:rsidR="00B1578D" w:rsidRDefault="004D2C04">
      <w:pPr>
        <w:spacing w:before="60"/>
        <w:jc w:val="center"/>
      </w:pPr>
      <w:r>
        <w:rPr>
          <w:rFonts w:ascii="Times New Roman" w:eastAsia="宋体" w:hAnsi="Times New Roman"/>
          <w:b/>
          <w:bCs/>
          <w:color w:val="000000"/>
          <w:sz w:val="20"/>
          <w:szCs w:val="20"/>
        </w:rPr>
        <w:t>Condensed Consolidated Balance Sheets</w:t>
      </w:r>
    </w:p>
    <w:p w14:paraId="5DEC538D" w14:textId="77777777" w:rsidR="00B1578D" w:rsidRDefault="004D2C04">
      <w:pPr>
        <w:spacing w:before="60"/>
        <w:jc w:val="center"/>
      </w:pPr>
      <w:r>
        <w:rPr>
          <w:rFonts w:ascii="Times New Roman" w:eastAsia="宋体" w:hAnsi="Times New Roman"/>
          <w:b/>
          <w:bCs/>
          <w:color w:val="000000"/>
          <w:sz w:val="20"/>
          <w:szCs w:val="20"/>
        </w:rPr>
        <w:t>(Unaud</w:t>
      </w:r>
      <w:r>
        <w:rPr>
          <w:rFonts w:ascii="Times New Roman" w:eastAsia="宋体" w:hAnsi="Times New Roman"/>
          <w:b/>
          <w:bCs/>
          <w:color w:val="000000"/>
          <w:sz w:val="20"/>
          <w:szCs w:val="20"/>
        </w:rPr>
        <w:t>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39"/>
        <w:gridCol w:w="36"/>
        <w:gridCol w:w="36"/>
        <w:gridCol w:w="36"/>
        <w:gridCol w:w="100"/>
        <w:gridCol w:w="795"/>
        <w:gridCol w:w="36"/>
        <w:gridCol w:w="36"/>
        <w:gridCol w:w="36"/>
        <w:gridCol w:w="36"/>
        <w:gridCol w:w="100"/>
        <w:gridCol w:w="797"/>
        <w:gridCol w:w="36"/>
        <w:gridCol w:w="36"/>
        <w:gridCol w:w="36"/>
        <w:gridCol w:w="36"/>
        <w:gridCol w:w="100"/>
        <w:gridCol w:w="797"/>
        <w:gridCol w:w="36"/>
      </w:tblGrid>
      <w:tr w:rsidR="00B1578D" w14:paraId="5DEC53A3" w14:textId="77777777">
        <w:trPr>
          <w:jc w:val="center"/>
        </w:trPr>
        <w:tc>
          <w:tcPr>
            <w:tcW w:w="50" w:type="pct"/>
            <w:shd w:val="clear" w:color="auto" w:fill="auto"/>
            <w:vAlign w:val="bottom"/>
          </w:tcPr>
          <w:p w14:paraId="5DEC538E" w14:textId="77777777" w:rsidR="00B1578D" w:rsidRDefault="00B1578D">
            <w:pPr>
              <w:rPr>
                <w:rFonts w:ascii="宋体"/>
              </w:rPr>
            </w:pPr>
          </w:p>
        </w:tc>
        <w:tc>
          <w:tcPr>
            <w:tcW w:w="3102" w:type="pct"/>
            <w:shd w:val="clear" w:color="auto" w:fill="auto"/>
            <w:vAlign w:val="bottom"/>
          </w:tcPr>
          <w:p w14:paraId="5DEC538F" w14:textId="77777777" w:rsidR="00B1578D" w:rsidRDefault="00B1578D">
            <w:pPr>
              <w:rPr>
                <w:rFonts w:ascii="宋体"/>
              </w:rPr>
            </w:pPr>
          </w:p>
        </w:tc>
        <w:tc>
          <w:tcPr>
            <w:tcW w:w="5" w:type="pct"/>
            <w:shd w:val="clear" w:color="auto" w:fill="auto"/>
            <w:vAlign w:val="bottom"/>
          </w:tcPr>
          <w:p w14:paraId="5DEC5390" w14:textId="77777777" w:rsidR="00B1578D" w:rsidRDefault="00B1578D">
            <w:pPr>
              <w:rPr>
                <w:rFonts w:ascii="宋体"/>
              </w:rPr>
            </w:pPr>
          </w:p>
        </w:tc>
        <w:tc>
          <w:tcPr>
            <w:tcW w:w="5" w:type="pct"/>
            <w:shd w:val="clear" w:color="auto" w:fill="auto"/>
            <w:vAlign w:val="bottom"/>
          </w:tcPr>
          <w:p w14:paraId="5DEC5391" w14:textId="77777777" w:rsidR="00B1578D" w:rsidRDefault="00B1578D">
            <w:pPr>
              <w:rPr>
                <w:rFonts w:ascii="宋体"/>
              </w:rPr>
            </w:pPr>
          </w:p>
        </w:tc>
        <w:tc>
          <w:tcPr>
            <w:tcW w:w="26" w:type="pct"/>
            <w:shd w:val="clear" w:color="auto" w:fill="auto"/>
            <w:vAlign w:val="bottom"/>
          </w:tcPr>
          <w:p w14:paraId="5DEC5392" w14:textId="77777777" w:rsidR="00B1578D" w:rsidRDefault="00B1578D">
            <w:pPr>
              <w:rPr>
                <w:rFonts w:ascii="宋体"/>
              </w:rPr>
            </w:pPr>
          </w:p>
        </w:tc>
        <w:tc>
          <w:tcPr>
            <w:tcW w:w="5" w:type="pct"/>
            <w:shd w:val="clear" w:color="auto" w:fill="auto"/>
            <w:vAlign w:val="bottom"/>
          </w:tcPr>
          <w:p w14:paraId="5DEC5393" w14:textId="77777777" w:rsidR="00B1578D" w:rsidRDefault="00B1578D">
            <w:pPr>
              <w:rPr>
                <w:rFonts w:ascii="宋体"/>
              </w:rPr>
            </w:pPr>
          </w:p>
        </w:tc>
        <w:tc>
          <w:tcPr>
            <w:tcW w:w="50" w:type="pct"/>
            <w:shd w:val="clear" w:color="auto" w:fill="auto"/>
            <w:vAlign w:val="bottom"/>
          </w:tcPr>
          <w:p w14:paraId="5DEC5394" w14:textId="77777777" w:rsidR="00B1578D" w:rsidRDefault="00B1578D">
            <w:pPr>
              <w:rPr>
                <w:rFonts w:ascii="宋体"/>
              </w:rPr>
            </w:pPr>
          </w:p>
        </w:tc>
        <w:tc>
          <w:tcPr>
            <w:tcW w:w="522" w:type="pct"/>
            <w:shd w:val="clear" w:color="auto" w:fill="auto"/>
            <w:vAlign w:val="bottom"/>
          </w:tcPr>
          <w:p w14:paraId="5DEC5395" w14:textId="77777777" w:rsidR="00B1578D" w:rsidRDefault="00B1578D">
            <w:pPr>
              <w:rPr>
                <w:rFonts w:ascii="宋体"/>
              </w:rPr>
            </w:pPr>
          </w:p>
        </w:tc>
        <w:tc>
          <w:tcPr>
            <w:tcW w:w="5" w:type="pct"/>
            <w:shd w:val="clear" w:color="auto" w:fill="auto"/>
            <w:vAlign w:val="bottom"/>
          </w:tcPr>
          <w:p w14:paraId="5DEC5396" w14:textId="77777777" w:rsidR="00B1578D" w:rsidRDefault="00B1578D">
            <w:pPr>
              <w:rPr>
                <w:rFonts w:ascii="宋体"/>
              </w:rPr>
            </w:pPr>
          </w:p>
        </w:tc>
        <w:tc>
          <w:tcPr>
            <w:tcW w:w="5" w:type="pct"/>
            <w:shd w:val="clear" w:color="auto" w:fill="auto"/>
            <w:vAlign w:val="bottom"/>
          </w:tcPr>
          <w:p w14:paraId="5DEC5397" w14:textId="77777777" w:rsidR="00B1578D" w:rsidRDefault="00B1578D">
            <w:pPr>
              <w:rPr>
                <w:rFonts w:ascii="宋体"/>
              </w:rPr>
            </w:pPr>
          </w:p>
        </w:tc>
        <w:tc>
          <w:tcPr>
            <w:tcW w:w="26" w:type="pct"/>
            <w:shd w:val="clear" w:color="auto" w:fill="auto"/>
            <w:vAlign w:val="bottom"/>
          </w:tcPr>
          <w:p w14:paraId="5DEC5398" w14:textId="77777777" w:rsidR="00B1578D" w:rsidRDefault="00B1578D">
            <w:pPr>
              <w:rPr>
                <w:rFonts w:ascii="宋体"/>
              </w:rPr>
            </w:pPr>
          </w:p>
        </w:tc>
        <w:tc>
          <w:tcPr>
            <w:tcW w:w="5" w:type="pct"/>
            <w:shd w:val="clear" w:color="auto" w:fill="auto"/>
            <w:vAlign w:val="bottom"/>
          </w:tcPr>
          <w:p w14:paraId="5DEC5399" w14:textId="77777777" w:rsidR="00B1578D" w:rsidRDefault="00B1578D">
            <w:pPr>
              <w:rPr>
                <w:rFonts w:ascii="宋体"/>
              </w:rPr>
            </w:pPr>
          </w:p>
        </w:tc>
        <w:tc>
          <w:tcPr>
            <w:tcW w:w="50" w:type="pct"/>
            <w:shd w:val="clear" w:color="auto" w:fill="auto"/>
            <w:vAlign w:val="bottom"/>
          </w:tcPr>
          <w:p w14:paraId="5DEC539A" w14:textId="77777777" w:rsidR="00B1578D" w:rsidRDefault="00B1578D">
            <w:pPr>
              <w:rPr>
                <w:rFonts w:ascii="宋体"/>
              </w:rPr>
            </w:pPr>
          </w:p>
        </w:tc>
        <w:tc>
          <w:tcPr>
            <w:tcW w:w="522" w:type="pct"/>
            <w:shd w:val="clear" w:color="auto" w:fill="auto"/>
            <w:vAlign w:val="bottom"/>
          </w:tcPr>
          <w:p w14:paraId="5DEC539B" w14:textId="77777777" w:rsidR="00B1578D" w:rsidRDefault="00B1578D">
            <w:pPr>
              <w:rPr>
                <w:rFonts w:ascii="宋体"/>
              </w:rPr>
            </w:pPr>
          </w:p>
        </w:tc>
        <w:tc>
          <w:tcPr>
            <w:tcW w:w="5" w:type="pct"/>
            <w:shd w:val="clear" w:color="auto" w:fill="auto"/>
            <w:vAlign w:val="bottom"/>
          </w:tcPr>
          <w:p w14:paraId="5DEC539C" w14:textId="77777777" w:rsidR="00B1578D" w:rsidRDefault="00B1578D">
            <w:pPr>
              <w:rPr>
                <w:rFonts w:ascii="宋体"/>
              </w:rPr>
            </w:pPr>
          </w:p>
        </w:tc>
        <w:tc>
          <w:tcPr>
            <w:tcW w:w="5" w:type="pct"/>
            <w:shd w:val="clear" w:color="auto" w:fill="auto"/>
            <w:vAlign w:val="bottom"/>
          </w:tcPr>
          <w:p w14:paraId="5DEC539D" w14:textId="77777777" w:rsidR="00B1578D" w:rsidRDefault="00B1578D">
            <w:pPr>
              <w:rPr>
                <w:rFonts w:ascii="宋体"/>
              </w:rPr>
            </w:pPr>
          </w:p>
        </w:tc>
        <w:tc>
          <w:tcPr>
            <w:tcW w:w="26" w:type="pct"/>
            <w:shd w:val="clear" w:color="auto" w:fill="auto"/>
            <w:vAlign w:val="bottom"/>
          </w:tcPr>
          <w:p w14:paraId="5DEC539E" w14:textId="77777777" w:rsidR="00B1578D" w:rsidRDefault="00B1578D">
            <w:pPr>
              <w:rPr>
                <w:rFonts w:ascii="宋体"/>
              </w:rPr>
            </w:pPr>
          </w:p>
        </w:tc>
        <w:tc>
          <w:tcPr>
            <w:tcW w:w="5" w:type="pct"/>
            <w:shd w:val="clear" w:color="auto" w:fill="auto"/>
            <w:vAlign w:val="bottom"/>
          </w:tcPr>
          <w:p w14:paraId="5DEC539F" w14:textId="77777777" w:rsidR="00B1578D" w:rsidRDefault="00B1578D">
            <w:pPr>
              <w:rPr>
                <w:rFonts w:ascii="宋体"/>
              </w:rPr>
            </w:pPr>
          </w:p>
        </w:tc>
        <w:tc>
          <w:tcPr>
            <w:tcW w:w="50" w:type="pct"/>
            <w:shd w:val="clear" w:color="auto" w:fill="auto"/>
            <w:vAlign w:val="bottom"/>
          </w:tcPr>
          <w:p w14:paraId="5DEC53A0" w14:textId="77777777" w:rsidR="00B1578D" w:rsidRDefault="00B1578D">
            <w:pPr>
              <w:rPr>
                <w:rFonts w:ascii="宋体"/>
              </w:rPr>
            </w:pPr>
          </w:p>
        </w:tc>
        <w:tc>
          <w:tcPr>
            <w:tcW w:w="522" w:type="pct"/>
            <w:shd w:val="clear" w:color="auto" w:fill="auto"/>
            <w:vAlign w:val="bottom"/>
          </w:tcPr>
          <w:p w14:paraId="5DEC53A1" w14:textId="77777777" w:rsidR="00B1578D" w:rsidRDefault="00B1578D">
            <w:pPr>
              <w:rPr>
                <w:rFonts w:ascii="宋体"/>
              </w:rPr>
            </w:pPr>
          </w:p>
        </w:tc>
        <w:tc>
          <w:tcPr>
            <w:tcW w:w="5" w:type="pct"/>
            <w:shd w:val="clear" w:color="auto" w:fill="auto"/>
            <w:vAlign w:val="bottom"/>
          </w:tcPr>
          <w:p w14:paraId="5DEC53A2" w14:textId="77777777" w:rsidR="00B1578D" w:rsidRDefault="00B1578D">
            <w:pPr>
              <w:rPr>
                <w:rFonts w:ascii="宋体"/>
              </w:rPr>
            </w:pPr>
          </w:p>
        </w:tc>
      </w:tr>
      <w:tr w:rsidR="00B1578D" w14:paraId="5DEC53AB" w14:textId="77777777">
        <w:trPr>
          <w:jc w:val="center"/>
        </w:trPr>
        <w:tc>
          <w:tcPr>
            <w:tcW w:w="0" w:type="auto"/>
            <w:gridSpan w:val="3"/>
            <w:shd w:val="clear" w:color="auto" w:fill="auto"/>
            <w:tcMar>
              <w:top w:w="0" w:type="dxa"/>
              <w:left w:w="20" w:type="dxa"/>
              <w:bottom w:w="0" w:type="dxa"/>
              <w:right w:w="20" w:type="dxa"/>
            </w:tcMar>
            <w:vAlign w:val="bottom"/>
          </w:tcPr>
          <w:p w14:paraId="5DEC53A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A5"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3A6" w14:textId="77777777" w:rsidR="00B1578D" w:rsidRDefault="004D2C04">
            <w:pPr>
              <w:jc w:val="center"/>
              <w:textAlignment w:val="bottom"/>
            </w:pPr>
            <w:r>
              <w:rPr>
                <w:rFonts w:ascii="Times New Roman" w:eastAsia="宋体" w:hAnsi="Times New Roman"/>
                <w:b/>
                <w:bCs/>
                <w:color w:val="000000"/>
                <w:sz w:val="16"/>
                <w:szCs w:val="16"/>
              </w:rPr>
              <w:t xml:space="preserve">April </w:t>
            </w:r>
            <w:r>
              <w:rPr>
                <w:rFonts w:ascii="Times New Roman" w:eastAsia="宋体" w:hAnsi="Times New Roman"/>
                <w:b/>
                <w:bCs/>
                <w:color w:val="000000"/>
                <w:sz w:val="16"/>
                <w:szCs w:val="16"/>
              </w:rPr>
              <w:t>30,</w:t>
            </w:r>
          </w:p>
        </w:tc>
        <w:tc>
          <w:tcPr>
            <w:tcW w:w="0" w:type="auto"/>
            <w:gridSpan w:val="3"/>
            <w:shd w:val="clear" w:color="auto" w:fill="auto"/>
            <w:tcMar>
              <w:top w:w="0" w:type="dxa"/>
              <w:left w:w="20" w:type="dxa"/>
              <w:bottom w:w="0" w:type="dxa"/>
              <w:right w:w="20" w:type="dxa"/>
            </w:tcMar>
            <w:vAlign w:val="bottom"/>
          </w:tcPr>
          <w:p w14:paraId="5DEC53A7"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3A8" w14:textId="77777777" w:rsidR="00B1578D" w:rsidRDefault="004D2C04">
            <w:pPr>
              <w:jc w:val="center"/>
              <w:textAlignment w:val="bottom"/>
            </w:pPr>
            <w:r>
              <w:rPr>
                <w:rFonts w:ascii="Times New Roman" w:eastAsia="宋体" w:hAnsi="Times New Roman"/>
                <w:b/>
                <w:bCs/>
                <w:color w:val="000000"/>
                <w:sz w:val="16"/>
                <w:szCs w:val="16"/>
              </w:rPr>
              <w:t>January 31,</w:t>
            </w:r>
          </w:p>
        </w:tc>
        <w:tc>
          <w:tcPr>
            <w:tcW w:w="0" w:type="auto"/>
            <w:gridSpan w:val="3"/>
            <w:shd w:val="clear" w:color="auto" w:fill="auto"/>
            <w:tcMar>
              <w:top w:w="0" w:type="dxa"/>
              <w:left w:w="20" w:type="dxa"/>
              <w:bottom w:w="0" w:type="dxa"/>
              <w:right w:w="20" w:type="dxa"/>
            </w:tcMar>
            <w:vAlign w:val="bottom"/>
          </w:tcPr>
          <w:p w14:paraId="5DEC53A9"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3AA" w14:textId="77777777" w:rsidR="00B1578D" w:rsidRDefault="004D2C04">
            <w:pPr>
              <w:jc w:val="center"/>
              <w:textAlignment w:val="bottom"/>
            </w:pPr>
            <w:r>
              <w:rPr>
                <w:rFonts w:ascii="Times New Roman" w:eastAsia="宋体" w:hAnsi="Times New Roman"/>
                <w:b/>
                <w:bCs/>
                <w:color w:val="000000"/>
                <w:sz w:val="16"/>
                <w:szCs w:val="16"/>
              </w:rPr>
              <w:t>April 30,</w:t>
            </w:r>
          </w:p>
        </w:tc>
      </w:tr>
      <w:tr w:rsidR="00B1578D" w14:paraId="5DEC53B3" w14:textId="77777777">
        <w:trPr>
          <w:jc w:val="center"/>
        </w:trPr>
        <w:tc>
          <w:tcPr>
            <w:tcW w:w="0" w:type="auto"/>
            <w:gridSpan w:val="3"/>
            <w:shd w:val="clear" w:color="auto" w:fill="auto"/>
            <w:tcMar>
              <w:top w:w="40" w:type="dxa"/>
              <w:left w:w="20" w:type="dxa"/>
              <w:bottom w:w="40" w:type="dxa"/>
              <w:right w:w="20" w:type="dxa"/>
            </w:tcMar>
            <w:vAlign w:val="bottom"/>
          </w:tcPr>
          <w:p w14:paraId="5DEC53AC"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53AD"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3AE"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53AF"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3B0"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53B1"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3B2" w14:textId="77777777" w:rsidR="00B1578D" w:rsidRDefault="004D2C04">
            <w:pPr>
              <w:jc w:val="center"/>
              <w:textAlignment w:val="bottom"/>
            </w:pPr>
            <w:r>
              <w:rPr>
                <w:rFonts w:ascii="Times New Roman" w:eastAsia="宋体" w:hAnsi="Times New Roman"/>
                <w:b/>
                <w:bCs/>
                <w:color w:val="000000"/>
                <w:sz w:val="16"/>
                <w:szCs w:val="16"/>
              </w:rPr>
              <w:t>2021</w:t>
            </w:r>
          </w:p>
        </w:tc>
      </w:tr>
      <w:tr w:rsidR="00B1578D" w14:paraId="5DEC53BB" w14:textId="77777777">
        <w:trPr>
          <w:jc w:val="center"/>
        </w:trPr>
        <w:tc>
          <w:tcPr>
            <w:tcW w:w="0" w:type="auto"/>
            <w:gridSpan w:val="3"/>
            <w:shd w:val="clear" w:color="auto" w:fill="auto"/>
            <w:tcMar>
              <w:top w:w="40" w:type="dxa"/>
              <w:left w:w="20" w:type="dxa"/>
              <w:bottom w:w="40" w:type="dxa"/>
              <w:right w:w="20" w:type="dxa"/>
            </w:tcMar>
            <w:vAlign w:val="center"/>
          </w:tcPr>
          <w:p w14:paraId="5DEC53B4" w14:textId="77777777" w:rsidR="00B1578D" w:rsidRDefault="004D2C04">
            <w:pPr>
              <w:textAlignment w:val="center"/>
            </w:pPr>
            <w:r>
              <w:rPr>
                <w:rFonts w:ascii="Times New Roman" w:eastAsia="宋体" w:hAnsi="Times New Roman"/>
                <w:b/>
                <w:bCs/>
                <w:color w:val="000000"/>
                <w:sz w:val="16"/>
                <w:szCs w:val="16"/>
              </w:rPr>
              <w:t>ASSETS</w:t>
            </w:r>
          </w:p>
        </w:tc>
        <w:tc>
          <w:tcPr>
            <w:tcW w:w="0" w:type="auto"/>
            <w:gridSpan w:val="3"/>
            <w:shd w:val="clear" w:color="auto" w:fill="auto"/>
            <w:tcMar>
              <w:top w:w="0" w:type="dxa"/>
              <w:left w:w="20" w:type="dxa"/>
              <w:bottom w:w="0" w:type="dxa"/>
              <w:right w:w="20" w:type="dxa"/>
            </w:tcMar>
            <w:vAlign w:val="bottom"/>
          </w:tcPr>
          <w:p w14:paraId="5DEC53B5"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3B6"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B7"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3B8"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B9"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3BA" w14:textId="77777777" w:rsidR="00B1578D" w:rsidRDefault="00B1578D">
            <w:pPr>
              <w:rPr>
                <w:rFonts w:ascii="宋体"/>
              </w:rPr>
            </w:pPr>
          </w:p>
        </w:tc>
      </w:tr>
      <w:tr w:rsidR="00B1578D" w14:paraId="5DEC53C3" w14:textId="77777777">
        <w:trPr>
          <w:jc w:val="center"/>
        </w:trPr>
        <w:tc>
          <w:tcPr>
            <w:tcW w:w="0" w:type="auto"/>
            <w:gridSpan w:val="3"/>
            <w:shd w:val="clear" w:color="auto" w:fill="auto"/>
            <w:tcMar>
              <w:top w:w="40" w:type="dxa"/>
              <w:left w:w="20" w:type="dxa"/>
              <w:bottom w:w="40" w:type="dxa"/>
              <w:right w:w="20" w:type="dxa"/>
            </w:tcMar>
            <w:vAlign w:val="center"/>
          </w:tcPr>
          <w:p w14:paraId="5DEC53BC" w14:textId="77777777" w:rsidR="00B1578D" w:rsidRDefault="004D2C04">
            <w:pPr>
              <w:textAlignment w:val="center"/>
            </w:pPr>
            <w:r>
              <w:rPr>
                <w:rFonts w:ascii="Times New Roman" w:eastAsia="宋体" w:hAnsi="Times New Roman"/>
                <w:b/>
                <w:bCs/>
                <w:color w:val="000000"/>
                <w:sz w:val="16"/>
                <w:szCs w:val="16"/>
              </w:rPr>
              <w:t>Current assets:</w:t>
            </w:r>
          </w:p>
        </w:tc>
        <w:tc>
          <w:tcPr>
            <w:tcW w:w="0" w:type="auto"/>
            <w:gridSpan w:val="3"/>
            <w:shd w:val="clear" w:color="auto" w:fill="auto"/>
            <w:tcMar>
              <w:top w:w="0" w:type="dxa"/>
              <w:left w:w="20" w:type="dxa"/>
              <w:bottom w:w="0" w:type="dxa"/>
              <w:right w:w="20" w:type="dxa"/>
            </w:tcMar>
            <w:vAlign w:val="bottom"/>
          </w:tcPr>
          <w:p w14:paraId="5DEC53BD"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BE"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BF"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C0"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C1"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3C2" w14:textId="77777777" w:rsidR="00B1578D" w:rsidRDefault="00B1578D">
            <w:pPr>
              <w:rPr>
                <w:rFonts w:ascii="宋体"/>
              </w:rPr>
            </w:pPr>
          </w:p>
        </w:tc>
      </w:tr>
      <w:tr w:rsidR="00B1578D" w14:paraId="5DEC53D1" w14:textId="77777777">
        <w:trPr>
          <w:jc w:val="center"/>
        </w:trPr>
        <w:tc>
          <w:tcPr>
            <w:tcW w:w="0" w:type="auto"/>
            <w:gridSpan w:val="3"/>
            <w:shd w:val="clear" w:color="auto" w:fill="CCEEFF"/>
            <w:tcMar>
              <w:top w:w="40" w:type="dxa"/>
              <w:left w:w="380" w:type="dxa"/>
              <w:bottom w:w="40" w:type="dxa"/>
              <w:right w:w="20" w:type="dxa"/>
            </w:tcMar>
            <w:vAlign w:val="center"/>
          </w:tcPr>
          <w:p w14:paraId="5DEC53C4" w14:textId="77777777" w:rsidR="00B1578D" w:rsidRDefault="004D2C04">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bottom"/>
          </w:tcPr>
          <w:p w14:paraId="5DEC53C5"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3C6"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3C7" w14:textId="77777777" w:rsidR="00B1578D" w:rsidRDefault="004D2C04">
            <w:pPr>
              <w:jc w:val="right"/>
              <w:textAlignment w:val="center"/>
            </w:pPr>
            <w:r>
              <w:rPr>
                <w:rFonts w:ascii="Times New Roman" w:eastAsia="宋体" w:hAnsi="Times New Roman"/>
                <w:color w:val="000000"/>
                <w:sz w:val="16"/>
                <w:szCs w:val="16"/>
              </w:rPr>
              <w:t>11,817 </w:t>
            </w:r>
          </w:p>
        </w:tc>
        <w:tc>
          <w:tcPr>
            <w:tcW w:w="0" w:type="auto"/>
            <w:shd w:val="clear" w:color="auto" w:fill="CCEEFF"/>
            <w:tcMar>
              <w:top w:w="40" w:type="dxa"/>
              <w:left w:w="0" w:type="dxa"/>
              <w:bottom w:w="40" w:type="dxa"/>
              <w:right w:w="20" w:type="dxa"/>
            </w:tcMar>
            <w:vAlign w:val="center"/>
          </w:tcPr>
          <w:p w14:paraId="5DEC53C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C9"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3CA"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3CB" w14:textId="77777777" w:rsidR="00B1578D" w:rsidRDefault="004D2C04">
            <w:pPr>
              <w:jc w:val="right"/>
              <w:textAlignment w:val="center"/>
            </w:pPr>
            <w:r>
              <w:rPr>
                <w:rFonts w:ascii="Times New Roman" w:eastAsia="宋体" w:hAnsi="Times New Roman"/>
                <w:color w:val="000000"/>
                <w:sz w:val="16"/>
                <w:szCs w:val="16"/>
              </w:rPr>
              <w:t>14,760 </w:t>
            </w:r>
          </w:p>
        </w:tc>
        <w:tc>
          <w:tcPr>
            <w:tcW w:w="0" w:type="auto"/>
            <w:shd w:val="clear" w:color="auto" w:fill="CCEEFF"/>
            <w:tcMar>
              <w:top w:w="40" w:type="dxa"/>
              <w:left w:w="0" w:type="dxa"/>
              <w:bottom w:w="40" w:type="dxa"/>
              <w:right w:w="20" w:type="dxa"/>
            </w:tcMar>
            <w:vAlign w:val="center"/>
          </w:tcPr>
          <w:p w14:paraId="5DEC53C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CD"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3CE"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3CF" w14:textId="77777777" w:rsidR="00B1578D" w:rsidRDefault="004D2C04">
            <w:pPr>
              <w:jc w:val="right"/>
              <w:textAlignment w:val="center"/>
            </w:pPr>
            <w:r>
              <w:rPr>
                <w:rFonts w:ascii="Times New Roman" w:eastAsia="宋体" w:hAnsi="Times New Roman"/>
                <w:color w:val="000000"/>
                <w:sz w:val="16"/>
                <w:szCs w:val="16"/>
              </w:rPr>
              <w:t>22,846 </w:t>
            </w:r>
          </w:p>
        </w:tc>
        <w:tc>
          <w:tcPr>
            <w:tcW w:w="0" w:type="auto"/>
            <w:shd w:val="clear" w:color="auto" w:fill="CCEEFF"/>
            <w:tcMar>
              <w:top w:w="40" w:type="dxa"/>
              <w:left w:w="0" w:type="dxa"/>
              <w:bottom w:w="40" w:type="dxa"/>
              <w:right w:w="20" w:type="dxa"/>
            </w:tcMar>
            <w:vAlign w:val="center"/>
          </w:tcPr>
          <w:p w14:paraId="5DEC53D0" w14:textId="77777777" w:rsidR="00B1578D" w:rsidRDefault="00B1578D">
            <w:pPr>
              <w:jc w:val="right"/>
              <w:rPr>
                <w:rFonts w:ascii="宋体"/>
              </w:rPr>
            </w:pPr>
          </w:p>
        </w:tc>
      </w:tr>
      <w:tr w:rsidR="00B1578D" w14:paraId="5DEC53DC" w14:textId="77777777">
        <w:trPr>
          <w:jc w:val="center"/>
        </w:trPr>
        <w:tc>
          <w:tcPr>
            <w:tcW w:w="0" w:type="auto"/>
            <w:gridSpan w:val="3"/>
            <w:shd w:val="clear" w:color="auto" w:fill="FFFFFF"/>
            <w:tcMar>
              <w:top w:w="40" w:type="dxa"/>
              <w:left w:w="380" w:type="dxa"/>
              <w:bottom w:w="40" w:type="dxa"/>
              <w:right w:w="20" w:type="dxa"/>
            </w:tcMar>
            <w:vAlign w:val="center"/>
          </w:tcPr>
          <w:p w14:paraId="5DEC53D2" w14:textId="77777777" w:rsidR="00B1578D" w:rsidRDefault="004D2C04">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5DEC53D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D4" w14:textId="77777777" w:rsidR="00B1578D" w:rsidRDefault="004D2C04">
            <w:pPr>
              <w:jc w:val="right"/>
              <w:textAlignment w:val="center"/>
            </w:pPr>
            <w:r>
              <w:rPr>
                <w:rFonts w:ascii="Times New Roman" w:eastAsia="宋体" w:hAnsi="Times New Roman"/>
                <w:color w:val="000000"/>
                <w:sz w:val="16"/>
                <w:szCs w:val="16"/>
              </w:rPr>
              <w:t>7,674 </w:t>
            </w:r>
          </w:p>
        </w:tc>
        <w:tc>
          <w:tcPr>
            <w:tcW w:w="0" w:type="auto"/>
            <w:shd w:val="clear" w:color="auto" w:fill="FFFFFF"/>
            <w:tcMar>
              <w:top w:w="40" w:type="dxa"/>
              <w:left w:w="0" w:type="dxa"/>
              <w:bottom w:w="40" w:type="dxa"/>
              <w:right w:w="20" w:type="dxa"/>
            </w:tcMar>
            <w:vAlign w:val="center"/>
          </w:tcPr>
          <w:p w14:paraId="5DEC53D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D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D7" w14:textId="77777777" w:rsidR="00B1578D" w:rsidRDefault="004D2C04">
            <w:pPr>
              <w:jc w:val="right"/>
              <w:textAlignment w:val="center"/>
            </w:pPr>
            <w:r>
              <w:rPr>
                <w:rFonts w:ascii="Times New Roman" w:eastAsia="宋体" w:hAnsi="Times New Roman"/>
                <w:color w:val="000000"/>
                <w:sz w:val="16"/>
                <w:szCs w:val="16"/>
              </w:rPr>
              <w:t>8,280 </w:t>
            </w:r>
          </w:p>
        </w:tc>
        <w:tc>
          <w:tcPr>
            <w:tcW w:w="0" w:type="auto"/>
            <w:shd w:val="clear" w:color="auto" w:fill="FFFFFF"/>
            <w:tcMar>
              <w:top w:w="40" w:type="dxa"/>
              <w:left w:w="0" w:type="dxa"/>
              <w:bottom w:w="40" w:type="dxa"/>
              <w:right w:w="20" w:type="dxa"/>
            </w:tcMar>
            <w:vAlign w:val="center"/>
          </w:tcPr>
          <w:p w14:paraId="5DEC53D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D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DA" w14:textId="77777777" w:rsidR="00B1578D" w:rsidRDefault="004D2C04">
            <w:pPr>
              <w:jc w:val="right"/>
              <w:textAlignment w:val="center"/>
            </w:pPr>
            <w:r>
              <w:rPr>
                <w:rFonts w:ascii="Times New Roman" w:eastAsia="宋体" w:hAnsi="Times New Roman"/>
                <w:color w:val="000000"/>
                <w:sz w:val="16"/>
                <w:szCs w:val="16"/>
              </w:rPr>
              <w:t>5,797 </w:t>
            </w:r>
          </w:p>
        </w:tc>
        <w:tc>
          <w:tcPr>
            <w:tcW w:w="0" w:type="auto"/>
            <w:shd w:val="clear" w:color="auto" w:fill="FFFFFF"/>
            <w:tcMar>
              <w:top w:w="40" w:type="dxa"/>
              <w:left w:w="0" w:type="dxa"/>
              <w:bottom w:w="40" w:type="dxa"/>
              <w:right w:w="20" w:type="dxa"/>
            </w:tcMar>
            <w:vAlign w:val="center"/>
          </w:tcPr>
          <w:p w14:paraId="5DEC53DB" w14:textId="77777777" w:rsidR="00B1578D" w:rsidRDefault="00B1578D">
            <w:pPr>
              <w:jc w:val="right"/>
              <w:rPr>
                <w:rFonts w:ascii="宋体"/>
              </w:rPr>
            </w:pPr>
          </w:p>
        </w:tc>
      </w:tr>
      <w:tr w:rsidR="00B1578D" w14:paraId="5DEC53E7" w14:textId="77777777">
        <w:trPr>
          <w:jc w:val="center"/>
        </w:trPr>
        <w:tc>
          <w:tcPr>
            <w:tcW w:w="0" w:type="auto"/>
            <w:gridSpan w:val="3"/>
            <w:shd w:val="clear" w:color="auto" w:fill="CCEEFF"/>
            <w:tcMar>
              <w:top w:w="40" w:type="dxa"/>
              <w:left w:w="380" w:type="dxa"/>
              <w:bottom w:w="40" w:type="dxa"/>
              <w:right w:w="20" w:type="dxa"/>
            </w:tcMar>
            <w:vAlign w:val="center"/>
          </w:tcPr>
          <w:p w14:paraId="5DEC53DD" w14:textId="77777777" w:rsidR="00B1578D" w:rsidRDefault="004D2C04">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5DEC53D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3DF" w14:textId="77777777" w:rsidR="00B1578D" w:rsidRDefault="004D2C04">
            <w:pPr>
              <w:jc w:val="right"/>
              <w:textAlignment w:val="center"/>
            </w:pPr>
            <w:r>
              <w:rPr>
                <w:rFonts w:ascii="Times New Roman" w:eastAsia="宋体" w:hAnsi="Times New Roman"/>
                <w:color w:val="000000"/>
                <w:sz w:val="16"/>
                <w:szCs w:val="16"/>
              </w:rPr>
              <w:t>61,229 </w:t>
            </w:r>
          </w:p>
        </w:tc>
        <w:tc>
          <w:tcPr>
            <w:tcW w:w="0" w:type="auto"/>
            <w:shd w:val="clear" w:color="auto" w:fill="CCEEFF"/>
            <w:tcMar>
              <w:top w:w="40" w:type="dxa"/>
              <w:left w:w="0" w:type="dxa"/>
              <w:bottom w:w="40" w:type="dxa"/>
              <w:right w:w="20" w:type="dxa"/>
            </w:tcMar>
            <w:vAlign w:val="center"/>
          </w:tcPr>
          <w:p w14:paraId="5DEC53E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E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3E2" w14:textId="77777777" w:rsidR="00B1578D" w:rsidRDefault="004D2C04">
            <w:pPr>
              <w:jc w:val="right"/>
              <w:textAlignment w:val="center"/>
            </w:pPr>
            <w:r>
              <w:rPr>
                <w:rFonts w:ascii="Times New Roman" w:eastAsia="宋体" w:hAnsi="Times New Roman"/>
                <w:color w:val="000000"/>
                <w:sz w:val="16"/>
                <w:szCs w:val="16"/>
              </w:rPr>
              <w:t>56,511 </w:t>
            </w:r>
          </w:p>
        </w:tc>
        <w:tc>
          <w:tcPr>
            <w:tcW w:w="0" w:type="auto"/>
            <w:shd w:val="clear" w:color="auto" w:fill="CCEEFF"/>
            <w:tcMar>
              <w:top w:w="40" w:type="dxa"/>
              <w:left w:w="0" w:type="dxa"/>
              <w:bottom w:w="40" w:type="dxa"/>
              <w:right w:w="20" w:type="dxa"/>
            </w:tcMar>
            <w:vAlign w:val="center"/>
          </w:tcPr>
          <w:p w14:paraId="5DEC53E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E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3E5" w14:textId="77777777" w:rsidR="00B1578D" w:rsidRDefault="004D2C04">
            <w:pPr>
              <w:jc w:val="right"/>
              <w:textAlignment w:val="center"/>
            </w:pPr>
            <w:r>
              <w:rPr>
                <w:rFonts w:ascii="Times New Roman" w:eastAsia="宋体" w:hAnsi="Times New Roman"/>
                <w:color w:val="000000"/>
                <w:sz w:val="16"/>
                <w:szCs w:val="16"/>
              </w:rPr>
              <w:t>46,383 </w:t>
            </w:r>
          </w:p>
        </w:tc>
        <w:tc>
          <w:tcPr>
            <w:tcW w:w="0" w:type="auto"/>
            <w:shd w:val="clear" w:color="auto" w:fill="CCEEFF"/>
            <w:tcMar>
              <w:top w:w="40" w:type="dxa"/>
              <w:left w:w="0" w:type="dxa"/>
              <w:bottom w:w="40" w:type="dxa"/>
              <w:right w:w="20" w:type="dxa"/>
            </w:tcMar>
            <w:vAlign w:val="center"/>
          </w:tcPr>
          <w:p w14:paraId="5DEC53E6" w14:textId="77777777" w:rsidR="00B1578D" w:rsidRDefault="00B1578D">
            <w:pPr>
              <w:jc w:val="right"/>
              <w:rPr>
                <w:rFonts w:ascii="宋体"/>
              </w:rPr>
            </w:pPr>
          </w:p>
        </w:tc>
      </w:tr>
      <w:tr w:rsidR="00B1578D" w14:paraId="5DEC53F2" w14:textId="77777777">
        <w:trPr>
          <w:jc w:val="center"/>
        </w:trPr>
        <w:tc>
          <w:tcPr>
            <w:tcW w:w="0" w:type="auto"/>
            <w:gridSpan w:val="3"/>
            <w:shd w:val="clear" w:color="auto" w:fill="FFFFFF"/>
            <w:tcMar>
              <w:top w:w="40" w:type="dxa"/>
              <w:left w:w="380" w:type="dxa"/>
              <w:bottom w:w="40" w:type="dxa"/>
              <w:right w:w="20" w:type="dxa"/>
            </w:tcMar>
            <w:vAlign w:val="center"/>
          </w:tcPr>
          <w:p w14:paraId="5DEC53E8" w14:textId="77777777" w:rsidR="00B1578D" w:rsidRDefault="004D2C04">
            <w:pPr>
              <w:textAlignment w:val="center"/>
            </w:pPr>
            <w:r>
              <w:rPr>
                <w:rFonts w:ascii="Times New Roman" w:eastAsia="宋体" w:hAnsi="Times New Roman"/>
                <w:color w:val="000000"/>
                <w:sz w:val="16"/>
                <w:szCs w:val="16"/>
              </w:rPr>
              <w:t>Prepaid expenses and other</w:t>
            </w:r>
          </w:p>
        </w:tc>
        <w:tc>
          <w:tcPr>
            <w:tcW w:w="0" w:type="auto"/>
            <w:gridSpan w:val="3"/>
            <w:shd w:val="clear" w:color="auto" w:fill="FFFFFF"/>
            <w:tcMar>
              <w:top w:w="0" w:type="dxa"/>
              <w:left w:w="20" w:type="dxa"/>
              <w:bottom w:w="0" w:type="dxa"/>
              <w:right w:w="20" w:type="dxa"/>
            </w:tcMar>
            <w:vAlign w:val="bottom"/>
          </w:tcPr>
          <w:p w14:paraId="5DEC53E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EA" w14:textId="77777777" w:rsidR="00B1578D" w:rsidRDefault="004D2C04">
            <w:pPr>
              <w:jc w:val="right"/>
              <w:textAlignment w:val="center"/>
            </w:pPr>
            <w:r>
              <w:rPr>
                <w:rFonts w:ascii="Times New Roman" w:eastAsia="宋体" w:hAnsi="Times New Roman"/>
                <w:color w:val="000000"/>
                <w:sz w:val="16"/>
                <w:szCs w:val="16"/>
              </w:rPr>
              <w:t>2,500 </w:t>
            </w:r>
          </w:p>
        </w:tc>
        <w:tc>
          <w:tcPr>
            <w:tcW w:w="0" w:type="auto"/>
            <w:shd w:val="clear" w:color="auto" w:fill="FFFFFF"/>
            <w:tcMar>
              <w:top w:w="40" w:type="dxa"/>
              <w:left w:w="0" w:type="dxa"/>
              <w:bottom w:w="40" w:type="dxa"/>
              <w:right w:w="20" w:type="dxa"/>
            </w:tcMar>
            <w:vAlign w:val="center"/>
          </w:tcPr>
          <w:p w14:paraId="5DEC53E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E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ED" w14:textId="77777777" w:rsidR="00B1578D" w:rsidRDefault="004D2C04">
            <w:pPr>
              <w:jc w:val="right"/>
              <w:textAlignment w:val="center"/>
            </w:pPr>
            <w:r>
              <w:rPr>
                <w:rFonts w:ascii="Times New Roman" w:eastAsia="宋体" w:hAnsi="Times New Roman"/>
                <w:color w:val="000000"/>
                <w:sz w:val="16"/>
                <w:szCs w:val="16"/>
              </w:rPr>
              <w:t>1,519 </w:t>
            </w:r>
          </w:p>
        </w:tc>
        <w:tc>
          <w:tcPr>
            <w:tcW w:w="0" w:type="auto"/>
            <w:shd w:val="clear" w:color="auto" w:fill="FFFFFF"/>
            <w:tcMar>
              <w:top w:w="40" w:type="dxa"/>
              <w:left w:w="0" w:type="dxa"/>
              <w:bottom w:w="40" w:type="dxa"/>
              <w:right w:w="20" w:type="dxa"/>
            </w:tcMar>
            <w:vAlign w:val="center"/>
          </w:tcPr>
          <w:p w14:paraId="5DEC53E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3E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3F0" w14:textId="77777777" w:rsidR="00B1578D" w:rsidRDefault="004D2C04">
            <w:pPr>
              <w:jc w:val="right"/>
              <w:textAlignment w:val="center"/>
            </w:pPr>
            <w:r>
              <w:rPr>
                <w:rFonts w:ascii="Times New Roman" w:eastAsia="宋体" w:hAnsi="Times New Roman"/>
                <w:color w:val="000000"/>
                <w:sz w:val="16"/>
                <w:szCs w:val="16"/>
              </w:rPr>
              <w:t>1,565 </w:t>
            </w:r>
          </w:p>
        </w:tc>
        <w:tc>
          <w:tcPr>
            <w:tcW w:w="0" w:type="auto"/>
            <w:shd w:val="clear" w:color="auto" w:fill="FFFFFF"/>
            <w:tcMar>
              <w:top w:w="40" w:type="dxa"/>
              <w:left w:w="0" w:type="dxa"/>
              <w:bottom w:w="40" w:type="dxa"/>
              <w:right w:w="20" w:type="dxa"/>
            </w:tcMar>
            <w:vAlign w:val="center"/>
          </w:tcPr>
          <w:p w14:paraId="5DEC53F1" w14:textId="77777777" w:rsidR="00B1578D" w:rsidRDefault="00B1578D">
            <w:pPr>
              <w:jc w:val="right"/>
              <w:rPr>
                <w:rFonts w:ascii="宋体"/>
              </w:rPr>
            </w:pPr>
          </w:p>
        </w:tc>
      </w:tr>
      <w:tr w:rsidR="00B1578D" w14:paraId="5DEC53FA" w14:textId="77777777">
        <w:trPr>
          <w:jc w:val="center"/>
          <w:hidden/>
        </w:trPr>
        <w:tc>
          <w:tcPr>
            <w:tcW w:w="0" w:type="auto"/>
            <w:gridSpan w:val="3"/>
            <w:shd w:val="clear" w:color="auto" w:fill="auto"/>
            <w:vAlign w:val="bottom"/>
          </w:tcPr>
          <w:p w14:paraId="5DEC53F3" w14:textId="77777777" w:rsidR="00B1578D" w:rsidRDefault="00B1578D">
            <w:pPr>
              <w:rPr>
                <w:rFonts w:ascii="宋体"/>
                <w:vanish/>
              </w:rPr>
            </w:pPr>
          </w:p>
        </w:tc>
        <w:tc>
          <w:tcPr>
            <w:tcW w:w="0" w:type="auto"/>
            <w:gridSpan w:val="3"/>
            <w:shd w:val="clear" w:color="auto" w:fill="auto"/>
            <w:vAlign w:val="bottom"/>
          </w:tcPr>
          <w:p w14:paraId="5DEC53F4" w14:textId="77777777" w:rsidR="00B1578D" w:rsidRDefault="00B1578D">
            <w:pPr>
              <w:rPr>
                <w:rFonts w:ascii="宋体"/>
                <w:vanish/>
              </w:rPr>
            </w:pPr>
          </w:p>
        </w:tc>
        <w:tc>
          <w:tcPr>
            <w:tcW w:w="0" w:type="auto"/>
            <w:gridSpan w:val="3"/>
            <w:shd w:val="clear" w:color="auto" w:fill="auto"/>
            <w:vAlign w:val="bottom"/>
          </w:tcPr>
          <w:p w14:paraId="5DEC53F5" w14:textId="77777777" w:rsidR="00B1578D" w:rsidRDefault="00B1578D">
            <w:pPr>
              <w:rPr>
                <w:rFonts w:ascii="宋体"/>
                <w:vanish/>
              </w:rPr>
            </w:pPr>
          </w:p>
        </w:tc>
        <w:tc>
          <w:tcPr>
            <w:tcW w:w="0" w:type="auto"/>
            <w:gridSpan w:val="3"/>
            <w:shd w:val="clear" w:color="auto" w:fill="auto"/>
            <w:vAlign w:val="bottom"/>
          </w:tcPr>
          <w:p w14:paraId="5DEC53F6" w14:textId="77777777" w:rsidR="00B1578D" w:rsidRDefault="00B1578D">
            <w:pPr>
              <w:rPr>
                <w:rFonts w:ascii="宋体"/>
                <w:vanish/>
              </w:rPr>
            </w:pPr>
          </w:p>
        </w:tc>
        <w:tc>
          <w:tcPr>
            <w:tcW w:w="0" w:type="auto"/>
            <w:gridSpan w:val="3"/>
            <w:shd w:val="clear" w:color="auto" w:fill="auto"/>
            <w:vAlign w:val="bottom"/>
          </w:tcPr>
          <w:p w14:paraId="5DEC53F7" w14:textId="77777777" w:rsidR="00B1578D" w:rsidRDefault="00B1578D">
            <w:pPr>
              <w:rPr>
                <w:rFonts w:ascii="宋体"/>
                <w:vanish/>
              </w:rPr>
            </w:pPr>
          </w:p>
        </w:tc>
        <w:tc>
          <w:tcPr>
            <w:tcW w:w="0" w:type="auto"/>
            <w:gridSpan w:val="3"/>
            <w:shd w:val="clear" w:color="auto" w:fill="auto"/>
            <w:vAlign w:val="bottom"/>
          </w:tcPr>
          <w:p w14:paraId="5DEC53F8" w14:textId="77777777" w:rsidR="00B1578D" w:rsidRDefault="00B1578D">
            <w:pPr>
              <w:rPr>
                <w:rFonts w:ascii="宋体"/>
                <w:vanish/>
              </w:rPr>
            </w:pPr>
          </w:p>
        </w:tc>
        <w:tc>
          <w:tcPr>
            <w:tcW w:w="0" w:type="auto"/>
            <w:gridSpan w:val="3"/>
            <w:shd w:val="clear" w:color="auto" w:fill="auto"/>
            <w:vAlign w:val="bottom"/>
          </w:tcPr>
          <w:p w14:paraId="5DEC53F9" w14:textId="77777777" w:rsidR="00B1578D" w:rsidRDefault="00B1578D">
            <w:pPr>
              <w:rPr>
                <w:rFonts w:ascii="宋体"/>
                <w:vanish/>
              </w:rPr>
            </w:pPr>
          </w:p>
        </w:tc>
      </w:tr>
      <w:tr w:rsidR="00B1578D" w14:paraId="5DEC5405" w14:textId="77777777">
        <w:trPr>
          <w:jc w:val="center"/>
        </w:trPr>
        <w:tc>
          <w:tcPr>
            <w:tcW w:w="0" w:type="auto"/>
            <w:gridSpan w:val="3"/>
            <w:shd w:val="clear" w:color="auto" w:fill="CCEEFF"/>
            <w:tcMar>
              <w:top w:w="40" w:type="dxa"/>
              <w:left w:w="740" w:type="dxa"/>
              <w:bottom w:w="40" w:type="dxa"/>
              <w:right w:w="20" w:type="dxa"/>
            </w:tcMar>
            <w:vAlign w:val="center"/>
          </w:tcPr>
          <w:p w14:paraId="5DEC53FB" w14:textId="77777777" w:rsidR="00B1578D" w:rsidRDefault="004D2C04">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vAlign w:val="bottom"/>
          </w:tcPr>
          <w:p w14:paraId="5DEC53FC"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3FD" w14:textId="77777777" w:rsidR="00B1578D" w:rsidRDefault="004D2C04">
            <w:pPr>
              <w:jc w:val="right"/>
              <w:textAlignment w:val="center"/>
            </w:pPr>
            <w:r>
              <w:rPr>
                <w:rFonts w:ascii="Times New Roman" w:eastAsia="宋体" w:hAnsi="Times New Roman"/>
                <w:color w:val="000000"/>
                <w:sz w:val="16"/>
                <w:szCs w:val="16"/>
              </w:rPr>
              <w:t>83,220 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3F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3FF"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400" w14:textId="77777777" w:rsidR="00B1578D" w:rsidRDefault="004D2C04">
            <w:pPr>
              <w:jc w:val="right"/>
              <w:textAlignment w:val="center"/>
            </w:pPr>
            <w:r>
              <w:rPr>
                <w:rFonts w:ascii="Times New Roman" w:eastAsia="宋体" w:hAnsi="Times New Roman"/>
                <w:color w:val="000000"/>
                <w:sz w:val="16"/>
                <w:szCs w:val="16"/>
              </w:rPr>
              <w:t>81,070 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40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02"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403" w14:textId="77777777" w:rsidR="00B1578D" w:rsidRDefault="004D2C04">
            <w:pPr>
              <w:jc w:val="right"/>
              <w:textAlignment w:val="center"/>
            </w:pPr>
            <w:r>
              <w:rPr>
                <w:rFonts w:ascii="Times New Roman" w:eastAsia="宋体" w:hAnsi="Times New Roman"/>
                <w:color w:val="000000"/>
                <w:sz w:val="16"/>
                <w:szCs w:val="16"/>
              </w:rPr>
              <w:t>76,591 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404" w14:textId="77777777" w:rsidR="00B1578D" w:rsidRDefault="00B1578D">
            <w:pPr>
              <w:jc w:val="right"/>
              <w:rPr>
                <w:rFonts w:ascii="宋体"/>
              </w:rPr>
            </w:pPr>
          </w:p>
        </w:tc>
      </w:tr>
      <w:tr w:rsidR="00B1578D" w14:paraId="5DEC540D" w14:textId="77777777">
        <w:trPr>
          <w:trHeight w:val="240"/>
          <w:jc w:val="center"/>
        </w:trPr>
        <w:tc>
          <w:tcPr>
            <w:tcW w:w="0" w:type="auto"/>
            <w:gridSpan w:val="3"/>
            <w:shd w:val="clear" w:color="auto" w:fill="FFFFFF"/>
            <w:tcMar>
              <w:top w:w="0" w:type="dxa"/>
              <w:left w:w="20" w:type="dxa"/>
              <w:bottom w:w="0" w:type="dxa"/>
              <w:right w:w="20" w:type="dxa"/>
            </w:tcMar>
            <w:vAlign w:val="bottom"/>
          </w:tcPr>
          <w:p w14:paraId="5DEC540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07"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0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09"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0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0B"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0C" w14:textId="77777777" w:rsidR="00B1578D" w:rsidRDefault="00B1578D">
            <w:pPr>
              <w:rPr>
                <w:rFonts w:ascii="宋体"/>
              </w:rPr>
            </w:pPr>
          </w:p>
        </w:tc>
      </w:tr>
      <w:tr w:rsidR="00B1578D" w14:paraId="5DEC5415" w14:textId="77777777">
        <w:trPr>
          <w:jc w:val="center"/>
          <w:hidden/>
        </w:trPr>
        <w:tc>
          <w:tcPr>
            <w:tcW w:w="0" w:type="auto"/>
            <w:gridSpan w:val="3"/>
            <w:shd w:val="clear" w:color="auto" w:fill="auto"/>
            <w:vAlign w:val="bottom"/>
          </w:tcPr>
          <w:p w14:paraId="5DEC540E" w14:textId="77777777" w:rsidR="00B1578D" w:rsidRDefault="00B1578D">
            <w:pPr>
              <w:rPr>
                <w:rFonts w:ascii="宋体"/>
                <w:vanish/>
              </w:rPr>
            </w:pPr>
          </w:p>
        </w:tc>
        <w:tc>
          <w:tcPr>
            <w:tcW w:w="0" w:type="auto"/>
            <w:gridSpan w:val="3"/>
            <w:shd w:val="clear" w:color="auto" w:fill="auto"/>
            <w:vAlign w:val="bottom"/>
          </w:tcPr>
          <w:p w14:paraId="5DEC540F" w14:textId="77777777" w:rsidR="00B1578D" w:rsidRDefault="00B1578D">
            <w:pPr>
              <w:rPr>
                <w:rFonts w:ascii="宋体"/>
                <w:vanish/>
              </w:rPr>
            </w:pPr>
          </w:p>
        </w:tc>
        <w:tc>
          <w:tcPr>
            <w:tcW w:w="0" w:type="auto"/>
            <w:gridSpan w:val="3"/>
            <w:shd w:val="clear" w:color="auto" w:fill="auto"/>
            <w:vAlign w:val="bottom"/>
          </w:tcPr>
          <w:p w14:paraId="5DEC5410" w14:textId="77777777" w:rsidR="00B1578D" w:rsidRDefault="00B1578D">
            <w:pPr>
              <w:rPr>
                <w:rFonts w:ascii="宋体"/>
                <w:vanish/>
              </w:rPr>
            </w:pPr>
          </w:p>
        </w:tc>
        <w:tc>
          <w:tcPr>
            <w:tcW w:w="0" w:type="auto"/>
            <w:gridSpan w:val="3"/>
            <w:shd w:val="clear" w:color="auto" w:fill="auto"/>
            <w:vAlign w:val="bottom"/>
          </w:tcPr>
          <w:p w14:paraId="5DEC5411" w14:textId="77777777" w:rsidR="00B1578D" w:rsidRDefault="00B1578D">
            <w:pPr>
              <w:rPr>
                <w:rFonts w:ascii="宋体"/>
                <w:vanish/>
              </w:rPr>
            </w:pPr>
          </w:p>
        </w:tc>
        <w:tc>
          <w:tcPr>
            <w:tcW w:w="0" w:type="auto"/>
            <w:gridSpan w:val="3"/>
            <w:shd w:val="clear" w:color="auto" w:fill="auto"/>
            <w:vAlign w:val="bottom"/>
          </w:tcPr>
          <w:p w14:paraId="5DEC5412" w14:textId="77777777" w:rsidR="00B1578D" w:rsidRDefault="00B1578D">
            <w:pPr>
              <w:rPr>
                <w:rFonts w:ascii="宋体"/>
                <w:vanish/>
              </w:rPr>
            </w:pPr>
          </w:p>
        </w:tc>
        <w:tc>
          <w:tcPr>
            <w:tcW w:w="0" w:type="auto"/>
            <w:gridSpan w:val="3"/>
            <w:shd w:val="clear" w:color="auto" w:fill="auto"/>
            <w:vAlign w:val="bottom"/>
          </w:tcPr>
          <w:p w14:paraId="5DEC5413" w14:textId="77777777" w:rsidR="00B1578D" w:rsidRDefault="00B1578D">
            <w:pPr>
              <w:rPr>
                <w:rFonts w:ascii="宋体"/>
                <w:vanish/>
              </w:rPr>
            </w:pPr>
          </w:p>
        </w:tc>
        <w:tc>
          <w:tcPr>
            <w:tcW w:w="0" w:type="auto"/>
            <w:gridSpan w:val="3"/>
            <w:shd w:val="clear" w:color="auto" w:fill="auto"/>
            <w:vAlign w:val="bottom"/>
          </w:tcPr>
          <w:p w14:paraId="5DEC5414" w14:textId="77777777" w:rsidR="00B1578D" w:rsidRDefault="00B1578D">
            <w:pPr>
              <w:rPr>
                <w:rFonts w:ascii="宋体"/>
                <w:vanish/>
              </w:rPr>
            </w:pPr>
          </w:p>
        </w:tc>
      </w:tr>
      <w:tr w:rsidR="00B1578D" w14:paraId="5DEC541D" w14:textId="77777777">
        <w:trPr>
          <w:jc w:val="center"/>
          <w:hidden/>
        </w:trPr>
        <w:tc>
          <w:tcPr>
            <w:tcW w:w="0" w:type="auto"/>
            <w:gridSpan w:val="3"/>
            <w:shd w:val="clear" w:color="auto" w:fill="auto"/>
            <w:vAlign w:val="bottom"/>
          </w:tcPr>
          <w:p w14:paraId="5DEC5416" w14:textId="77777777" w:rsidR="00B1578D" w:rsidRDefault="00B1578D">
            <w:pPr>
              <w:rPr>
                <w:rFonts w:ascii="宋体"/>
                <w:vanish/>
              </w:rPr>
            </w:pPr>
          </w:p>
        </w:tc>
        <w:tc>
          <w:tcPr>
            <w:tcW w:w="0" w:type="auto"/>
            <w:gridSpan w:val="3"/>
            <w:shd w:val="clear" w:color="auto" w:fill="auto"/>
            <w:vAlign w:val="bottom"/>
          </w:tcPr>
          <w:p w14:paraId="5DEC5417" w14:textId="77777777" w:rsidR="00B1578D" w:rsidRDefault="00B1578D">
            <w:pPr>
              <w:rPr>
                <w:rFonts w:ascii="宋体"/>
                <w:vanish/>
              </w:rPr>
            </w:pPr>
          </w:p>
        </w:tc>
        <w:tc>
          <w:tcPr>
            <w:tcW w:w="0" w:type="auto"/>
            <w:gridSpan w:val="3"/>
            <w:shd w:val="clear" w:color="auto" w:fill="auto"/>
            <w:vAlign w:val="bottom"/>
          </w:tcPr>
          <w:p w14:paraId="5DEC5418" w14:textId="77777777" w:rsidR="00B1578D" w:rsidRDefault="00B1578D">
            <w:pPr>
              <w:rPr>
                <w:rFonts w:ascii="宋体"/>
                <w:vanish/>
              </w:rPr>
            </w:pPr>
          </w:p>
        </w:tc>
        <w:tc>
          <w:tcPr>
            <w:tcW w:w="0" w:type="auto"/>
            <w:gridSpan w:val="3"/>
            <w:shd w:val="clear" w:color="auto" w:fill="auto"/>
            <w:vAlign w:val="bottom"/>
          </w:tcPr>
          <w:p w14:paraId="5DEC5419" w14:textId="77777777" w:rsidR="00B1578D" w:rsidRDefault="00B1578D">
            <w:pPr>
              <w:rPr>
                <w:rFonts w:ascii="宋体"/>
                <w:vanish/>
              </w:rPr>
            </w:pPr>
          </w:p>
        </w:tc>
        <w:tc>
          <w:tcPr>
            <w:tcW w:w="0" w:type="auto"/>
            <w:gridSpan w:val="3"/>
            <w:shd w:val="clear" w:color="auto" w:fill="auto"/>
            <w:vAlign w:val="bottom"/>
          </w:tcPr>
          <w:p w14:paraId="5DEC541A" w14:textId="77777777" w:rsidR="00B1578D" w:rsidRDefault="00B1578D">
            <w:pPr>
              <w:rPr>
                <w:rFonts w:ascii="宋体"/>
                <w:vanish/>
              </w:rPr>
            </w:pPr>
          </w:p>
        </w:tc>
        <w:tc>
          <w:tcPr>
            <w:tcW w:w="0" w:type="auto"/>
            <w:gridSpan w:val="3"/>
            <w:shd w:val="clear" w:color="auto" w:fill="auto"/>
            <w:vAlign w:val="bottom"/>
          </w:tcPr>
          <w:p w14:paraId="5DEC541B" w14:textId="77777777" w:rsidR="00B1578D" w:rsidRDefault="00B1578D">
            <w:pPr>
              <w:rPr>
                <w:rFonts w:ascii="宋体"/>
                <w:vanish/>
              </w:rPr>
            </w:pPr>
          </w:p>
        </w:tc>
        <w:tc>
          <w:tcPr>
            <w:tcW w:w="0" w:type="auto"/>
            <w:gridSpan w:val="3"/>
            <w:shd w:val="clear" w:color="auto" w:fill="auto"/>
            <w:vAlign w:val="bottom"/>
          </w:tcPr>
          <w:p w14:paraId="5DEC541C" w14:textId="77777777" w:rsidR="00B1578D" w:rsidRDefault="00B1578D">
            <w:pPr>
              <w:rPr>
                <w:rFonts w:ascii="宋体"/>
                <w:vanish/>
              </w:rPr>
            </w:pPr>
          </w:p>
        </w:tc>
      </w:tr>
      <w:tr w:rsidR="00B1578D" w14:paraId="5DEC5428" w14:textId="77777777">
        <w:trPr>
          <w:jc w:val="center"/>
        </w:trPr>
        <w:tc>
          <w:tcPr>
            <w:tcW w:w="0" w:type="auto"/>
            <w:gridSpan w:val="3"/>
            <w:shd w:val="clear" w:color="auto" w:fill="CCEEFF"/>
            <w:tcMar>
              <w:top w:w="40" w:type="dxa"/>
              <w:left w:w="20" w:type="dxa"/>
              <w:bottom w:w="40" w:type="dxa"/>
              <w:right w:w="20" w:type="dxa"/>
            </w:tcMar>
            <w:vAlign w:val="center"/>
          </w:tcPr>
          <w:p w14:paraId="5DEC541E" w14:textId="77777777" w:rsidR="00B1578D" w:rsidRDefault="004D2C04">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bottom"/>
          </w:tcPr>
          <w:p w14:paraId="5DEC541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20" w14:textId="77777777" w:rsidR="00B1578D" w:rsidRDefault="004D2C04">
            <w:pPr>
              <w:jc w:val="right"/>
              <w:textAlignment w:val="center"/>
            </w:pPr>
            <w:r>
              <w:rPr>
                <w:rFonts w:ascii="Times New Roman" w:eastAsia="宋体" w:hAnsi="Times New Roman"/>
                <w:color w:val="000000"/>
                <w:sz w:val="16"/>
                <w:szCs w:val="16"/>
              </w:rPr>
              <w:t>94,741 </w:t>
            </w:r>
          </w:p>
        </w:tc>
        <w:tc>
          <w:tcPr>
            <w:tcW w:w="0" w:type="auto"/>
            <w:shd w:val="clear" w:color="auto" w:fill="CCEEFF"/>
            <w:tcMar>
              <w:top w:w="40" w:type="dxa"/>
              <w:left w:w="0" w:type="dxa"/>
              <w:bottom w:w="40" w:type="dxa"/>
              <w:right w:w="20" w:type="dxa"/>
            </w:tcMar>
            <w:vAlign w:val="center"/>
          </w:tcPr>
          <w:p w14:paraId="5DEC542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2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23" w14:textId="77777777" w:rsidR="00B1578D" w:rsidRDefault="004D2C04">
            <w:pPr>
              <w:jc w:val="right"/>
              <w:textAlignment w:val="center"/>
            </w:pPr>
            <w:r>
              <w:rPr>
                <w:rFonts w:ascii="Times New Roman" w:eastAsia="宋体" w:hAnsi="Times New Roman"/>
                <w:color w:val="000000"/>
                <w:sz w:val="16"/>
                <w:szCs w:val="16"/>
              </w:rPr>
              <w:t>94,515 </w:t>
            </w:r>
          </w:p>
        </w:tc>
        <w:tc>
          <w:tcPr>
            <w:tcW w:w="0" w:type="auto"/>
            <w:shd w:val="clear" w:color="auto" w:fill="CCEEFF"/>
            <w:tcMar>
              <w:top w:w="40" w:type="dxa"/>
              <w:left w:w="0" w:type="dxa"/>
              <w:bottom w:w="40" w:type="dxa"/>
              <w:right w:w="20" w:type="dxa"/>
            </w:tcMar>
            <w:vAlign w:val="center"/>
          </w:tcPr>
          <w:p w14:paraId="5DEC542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2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26" w14:textId="77777777" w:rsidR="00B1578D" w:rsidRDefault="004D2C04">
            <w:pPr>
              <w:jc w:val="right"/>
              <w:textAlignment w:val="center"/>
            </w:pPr>
            <w:r>
              <w:rPr>
                <w:rFonts w:ascii="Times New Roman" w:eastAsia="宋体" w:hAnsi="Times New Roman"/>
                <w:color w:val="000000"/>
                <w:sz w:val="16"/>
                <w:szCs w:val="16"/>
              </w:rPr>
              <w:t>90,996 </w:t>
            </w:r>
          </w:p>
        </w:tc>
        <w:tc>
          <w:tcPr>
            <w:tcW w:w="0" w:type="auto"/>
            <w:shd w:val="clear" w:color="auto" w:fill="CCEEFF"/>
            <w:tcMar>
              <w:top w:w="40" w:type="dxa"/>
              <w:left w:w="0" w:type="dxa"/>
              <w:bottom w:w="40" w:type="dxa"/>
              <w:right w:w="20" w:type="dxa"/>
            </w:tcMar>
            <w:vAlign w:val="center"/>
          </w:tcPr>
          <w:p w14:paraId="5DEC5427" w14:textId="77777777" w:rsidR="00B1578D" w:rsidRDefault="00B1578D">
            <w:pPr>
              <w:jc w:val="right"/>
              <w:rPr>
                <w:rFonts w:ascii="宋体"/>
              </w:rPr>
            </w:pPr>
          </w:p>
        </w:tc>
      </w:tr>
      <w:tr w:rsidR="00B1578D" w14:paraId="5DEC5433" w14:textId="77777777">
        <w:trPr>
          <w:jc w:val="center"/>
        </w:trPr>
        <w:tc>
          <w:tcPr>
            <w:tcW w:w="0" w:type="auto"/>
            <w:gridSpan w:val="3"/>
            <w:shd w:val="clear" w:color="auto" w:fill="FFFFFF"/>
            <w:tcMar>
              <w:top w:w="40" w:type="dxa"/>
              <w:left w:w="20" w:type="dxa"/>
              <w:bottom w:w="40" w:type="dxa"/>
              <w:right w:w="20" w:type="dxa"/>
            </w:tcMar>
            <w:vAlign w:val="center"/>
          </w:tcPr>
          <w:p w14:paraId="5DEC5429" w14:textId="77777777" w:rsidR="00B1578D" w:rsidRDefault="004D2C04">
            <w:pPr>
              <w:textAlignment w:val="center"/>
            </w:pPr>
            <w:r>
              <w:rPr>
                <w:rFonts w:ascii="Times New Roman" w:eastAsia="宋体" w:hAnsi="Times New Roman"/>
                <w:color w:val="000000"/>
                <w:sz w:val="16"/>
                <w:szCs w:val="16"/>
              </w:rPr>
              <w:t>Op</w:t>
            </w:r>
            <w:r>
              <w:rPr>
                <w:rFonts w:ascii="Times New Roman" w:eastAsia="宋体" w:hAnsi="Times New Roman"/>
                <w:color w:val="000000"/>
                <w:sz w:val="16"/>
                <w:szCs w:val="16"/>
              </w:rPr>
              <w:t>erating lease right-of-use assets</w:t>
            </w:r>
          </w:p>
        </w:tc>
        <w:tc>
          <w:tcPr>
            <w:tcW w:w="0" w:type="auto"/>
            <w:gridSpan w:val="3"/>
            <w:shd w:val="clear" w:color="auto" w:fill="FFFFFF"/>
            <w:tcMar>
              <w:top w:w="0" w:type="dxa"/>
              <w:left w:w="20" w:type="dxa"/>
              <w:bottom w:w="0" w:type="dxa"/>
              <w:right w:w="20" w:type="dxa"/>
            </w:tcMar>
            <w:vAlign w:val="bottom"/>
          </w:tcPr>
          <w:p w14:paraId="5DEC542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2B" w14:textId="77777777" w:rsidR="00B1578D" w:rsidRDefault="004D2C04">
            <w:pPr>
              <w:jc w:val="right"/>
              <w:textAlignment w:val="center"/>
            </w:pPr>
            <w:r>
              <w:rPr>
                <w:rFonts w:ascii="Times New Roman" w:eastAsia="宋体" w:hAnsi="Times New Roman"/>
                <w:color w:val="000000"/>
                <w:sz w:val="16"/>
                <w:szCs w:val="16"/>
              </w:rPr>
              <w:t>13,971 </w:t>
            </w:r>
          </w:p>
        </w:tc>
        <w:tc>
          <w:tcPr>
            <w:tcW w:w="0" w:type="auto"/>
            <w:shd w:val="clear" w:color="auto" w:fill="FFFFFF"/>
            <w:tcMar>
              <w:top w:w="40" w:type="dxa"/>
              <w:left w:w="0" w:type="dxa"/>
              <w:bottom w:w="40" w:type="dxa"/>
              <w:right w:w="20" w:type="dxa"/>
            </w:tcMar>
            <w:vAlign w:val="center"/>
          </w:tcPr>
          <w:p w14:paraId="5DEC542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2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2E" w14:textId="77777777" w:rsidR="00B1578D" w:rsidRDefault="004D2C04">
            <w:pPr>
              <w:jc w:val="right"/>
              <w:textAlignment w:val="center"/>
            </w:pPr>
            <w:r>
              <w:rPr>
                <w:rFonts w:ascii="Times New Roman" w:eastAsia="宋体" w:hAnsi="Times New Roman"/>
                <w:color w:val="000000"/>
                <w:sz w:val="16"/>
                <w:szCs w:val="16"/>
              </w:rPr>
              <w:t>13,758 </w:t>
            </w:r>
          </w:p>
        </w:tc>
        <w:tc>
          <w:tcPr>
            <w:tcW w:w="0" w:type="auto"/>
            <w:shd w:val="clear" w:color="auto" w:fill="FFFFFF"/>
            <w:tcMar>
              <w:top w:w="40" w:type="dxa"/>
              <w:left w:w="0" w:type="dxa"/>
              <w:bottom w:w="40" w:type="dxa"/>
              <w:right w:w="20" w:type="dxa"/>
            </w:tcMar>
            <w:vAlign w:val="center"/>
          </w:tcPr>
          <w:p w14:paraId="5DEC542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3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31" w14:textId="77777777" w:rsidR="00B1578D" w:rsidRDefault="004D2C04">
            <w:pPr>
              <w:jc w:val="right"/>
              <w:textAlignment w:val="center"/>
            </w:pPr>
            <w:r>
              <w:rPr>
                <w:rFonts w:ascii="Times New Roman" w:eastAsia="宋体" w:hAnsi="Times New Roman"/>
                <w:color w:val="000000"/>
                <w:sz w:val="16"/>
                <w:szCs w:val="16"/>
              </w:rPr>
              <w:t>13,650 </w:t>
            </w:r>
          </w:p>
        </w:tc>
        <w:tc>
          <w:tcPr>
            <w:tcW w:w="0" w:type="auto"/>
            <w:shd w:val="clear" w:color="auto" w:fill="FFFFFF"/>
            <w:tcMar>
              <w:top w:w="40" w:type="dxa"/>
              <w:left w:w="0" w:type="dxa"/>
              <w:bottom w:w="40" w:type="dxa"/>
              <w:right w:w="20" w:type="dxa"/>
            </w:tcMar>
            <w:vAlign w:val="center"/>
          </w:tcPr>
          <w:p w14:paraId="5DEC5432" w14:textId="77777777" w:rsidR="00B1578D" w:rsidRDefault="00B1578D">
            <w:pPr>
              <w:jc w:val="right"/>
              <w:rPr>
                <w:rFonts w:ascii="宋体"/>
              </w:rPr>
            </w:pPr>
          </w:p>
        </w:tc>
      </w:tr>
      <w:tr w:rsidR="00B1578D" w14:paraId="5DEC543E" w14:textId="77777777">
        <w:trPr>
          <w:jc w:val="center"/>
        </w:trPr>
        <w:tc>
          <w:tcPr>
            <w:tcW w:w="0" w:type="auto"/>
            <w:gridSpan w:val="3"/>
            <w:shd w:val="clear" w:color="auto" w:fill="CCEEFF"/>
            <w:tcMar>
              <w:top w:w="40" w:type="dxa"/>
              <w:left w:w="20" w:type="dxa"/>
              <w:bottom w:w="40" w:type="dxa"/>
              <w:right w:w="20" w:type="dxa"/>
            </w:tcMar>
            <w:vAlign w:val="center"/>
          </w:tcPr>
          <w:p w14:paraId="5DEC5434" w14:textId="77777777" w:rsidR="00B1578D" w:rsidRDefault="004D2C04">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vAlign w:val="bottom"/>
          </w:tcPr>
          <w:p w14:paraId="5DEC543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36" w14:textId="77777777" w:rsidR="00B1578D" w:rsidRDefault="004D2C04">
            <w:pPr>
              <w:jc w:val="right"/>
              <w:textAlignment w:val="center"/>
            </w:pPr>
            <w:r>
              <w:rPr>
                <w:rFonts w:ascii="Times New Roman" w:eastAsia="宋体" w:hAnsi="Times New Roman"/>
                <w:color w:val="000000"/>
                <w:sz w:val="16"/>
                <w:szCs w:val="16"/>
              </w:rPr>
              <w:t>4,505 </w:t>
            </w:r>
          </w:p>
        </w:tc>
        <w:tc>
          <w:tcPr>
            <w:tcW w:w="0" w:type="auto"/>
            <w:shd w:val="clear" w:color="auto" w:fill="CCEEFF"/>
            <w:tcMar>
              <w:top w:w="40" w:type="dxa"/>
              <w:left w:w="0" w:type="dxa"/>
              <w:bottom w:w="40" w:type="dxa"/>
              <w:right w:w="20" w:type="dxa"/>
            </w:tcMar>
            <w:vAlign w:val="center"/>
          </w:tcPr>
          <w:p w14:paraId="5DEC543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3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39" w14:textId="77777777" w:rsidR="00B1578D" w:rsidRDefault="004D2C04">
            <w:pPr>
              <w:jc w:val="right"/>
              <w:textAlignment w:val="center"/>
            </w:pPr>
            <w:r>
              <w:rPr>
                <w:rFonts w:ascii="Times New Roman" w:eastAsia="宋体" w:hAnsi="Times New Roman"/>
                <w:color w:val="000000"/>
                <w:sz w:val="16"/>
                <w:szCs w:val="16"/>
              </w:rPr>
              <w:t>4,351 </w:t>
            </w:r>
          </w:p>
        </w:tc>
        <w:tc>
          <w:tcPr>
            <w:tcW w:w="0" w:type="auto"/>
            <w:shd w:val="clear" w:color="auto" w:fill="CCEEFF"/>
            <w:tcMar>
              <w:top w:w="40" w:type="dxa"/>
              <w:left w:w="0" w:type="dxa"/>
              <w:bottom w:w="40" w:type="dxa"/>
              <w:right w:w="20" w:type="dxa"/>
            </w:tcMar>
            <w:vAlign w:val="center"/>
          </w:tcPr>
          <w:p w14:paraId="5DEC543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3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3C" w14:textId="77777777" w:rsidR="00B1578D" w:rsidRDefault="004D2C04">
            <w:pPr>
              <w:jc w:val="right"/>
              <w:textAlignment w:val="center"/>
            </w:pPr>
            <w:r>
              <w:rPr>
                <w:rFonts w:ascii="Times New Roman" w:eastAsia="宋体" w:hAnsi="Times New Roman"/>
                <w:color w:val="000000"/>
                <w:sz w:val="16"/>
                <w:szCs w:val="16"/>
              </w:rPr>
              <w:t>3,979 </w:t>
            </w:r>
          </w:p>
        </w:tc>
        <w:tc>
          <w:tcPr>
            <w:tcW w:w="0" w:type="auto"/>
            <w:shd w:val="clear" w:color="auto" w:fill="CCEEFF"/>
            <w:tcMar>
              <w:top w:w="40" w:type="dxa"/>
              <w:left w:w="0" w:type="dxa"/>
              <w:bottom w:w="40" w:type="dxa"/>
              <w:right w:w="20" w:type="dxa"/>
            </w:tcMar>
            <w:vAlign w:val="center"/>
          </w:tcPr>
          <w:p w14:paraId="5DEC543D" w14:textId="77777777" w:rsidR="00B1578D" w:rsidRDefault="00B1578D">
            <w:pPr>
              <w:jc w:val="right"/>
              <w:rPr>
                <w:rFonts w:ascii="宋体"/>
              </w:rPr>
            </w:pPr>
          </w:p>
        </w:tc>
      </w:tr>
      <w:tr w:rsidR="00B1578D" w14:paraId="5DEC5446" w14:textId="77777777">
        <w:trPr>
          <w:jc w:val="center"/>
          <w:hidden/>
        </w:trPr>
        <w:tc>
          <w:tcPr>
            <w:tcW w:w="0" w:type="auto"/>
            <w:gridSpan w:val="3"/>
            <w:shd w:val="clear" w:color="auto" w:fill="auto"/>
            <w:vAlign w:val="bottom"/>
          </w:tcPr>
          <w:p w14:paraId="5DEC543F" w14:textId="77777777" w:rsidR="00B1578D" w:rsidRDefault="00B1578D">
            <w:pPr>
              <w:rPr>
                <w:rFonts w:ascii="宋体"/>
                <w:vanish/>
              </w:rPr>
            </w:pPr>
          </w:p>
        </w:tc>
        <w:tc>
          <w:tcPr>
            <w:tcW w:w="0" w:type="auto"/>
            <w:gridSpan w:val="3"/>
            <w:shd w:val="clear" w:color="auto" w:fill="auto"/>
            <w:vAlign w:val="bottom"/>
          </w:tcPr>
          <w:p w14:paraId="5DEC5440" w14:textId="77777777" w:rsidR="00B1578D" w:rsidRDefault="00B1578D">
            <w:pPr>
              <w:rPr>
                <w:rFonts w:ascii="宋体"/>
                <w:vanish/>
              </w:rPr>
            </w:pPr>
          </w:p>
        </w:tc>
        <w:tc>
          <w:tcPr>
            <w:tcW w:w="0" w:type="auto"/>
            <w:gridSpan w:val="3"/>
            <w:shd w:val="clear" w:color="auto" w:fill="auto"/>
            <w:vAlign w:val="bottom"/>
          </w:tcPr>
          <w:p w14:paraId="5DEC5441" w14:textId="77777777" w:rsidR="00B1578D" w:rsidRDefault="00B1578D">
            <w:pPr>
              <w:rPr>
                <w:rFonts w:ascii="宋体"/>
                <w:vanish/>
              </w:rPr>
            </w:pPr>
          </w:p>
        </w:tc>
        <w:tc>
          <w:tcPr>
            <w:tcW w:w="0" w:type="auto"/>
            <w:gridSpan w:val="3"/>
            <w:shd w:val="clear" w:color="auto" w:fill="auto"/>
            <w:vAlign w:val="bottom"/>
          </w:tcPr>
          <w:p w14:paraId="5DEC5442" w14:textId="77777777" w:rsidR="00B1578D" w:rsidRDefault="00B1578D">
            <w:pPr>
              <w:rPr>
                <w:rFonts w:ascii="宋体"/>
                <w:vanish/>
              </w:rPr>
            </w:pPr>
          </w:p>
        </w:tc>
        <w:tc>
          <w:tcPr>
            <w:tcW w:w="0" w:type="auto"/>
            <w:gridSpan w:val="3"/>
            <w:shd w:val="clear" w:color="auto" w:fill="auto"/>
            <w:vAlign w:val="bottom"/>
          </w:tcPr>
          <w:p w14:paraId="5DEC5443" w14:textId="77777777" w:rsidR="00B1578D" w:rsidRDefault="00B1578D">
            <w:pPr>
              <w:rPr>
                <w:rFonts w:ascii="宋体"/>
                <w:vanish/>
              </w:rPr>
            </w:pPr>
          </w:p>
        </w:tc>
        <w:tc>
          <w:tcPr>
            <w:tcW w:w="0" w:type="auto"/>
            <w:gridSpan w:val="3"/>
            <w:shd w:val="clear" w:color="auto" w:fill="auto"/>
            <w:vAlign w:val="bottom"/>
          </w:tcPr>
          <w:p w14:paraId="5DEC5444" w14:textId="77777777" w:rsidR="00B1578D" w:rsidRDefault="00B1578D">
            <w:pPr>
              <w:rPr>
                <w:rFonts w:ascii="宋体"/>
                <w:vanish/>
              </w:rPr>
            </w:pPr>
          </w:p>
        </w:tc>
        <w:tc>
          <w:tcPr>
            <w:tcW w:w="0" w:type="auto"/>
            <w:gridSpan w:val="3"/>
            <w:shd w:val="clear" w:color="auto" w:fill="auto"/>
            <w:vAlign w:val="bottom"/>
          </w:tcPr>
          <w:p w14:paraId="5DEC5445" w14:textId="77777777" w:rsidR="00B1578D" w:rsidRDefault="00B1578D">
            <w:pPr>
              <w:rPr>
                <w:rFonts w:ascii="宋体"/>
                <w:vanish/>
              </w:rPr>
            </w:pPr>
          </w:p>
        </w:tc>
      </w:tr>
      <w:tr w:rsidR="00B1578D" w14:paraId="5DEC5451" w14:textId="77777777">
        <w:trPr>
          <w:jc w:val="center"/>
        </w:trPr>
        <w:tc>
          <w:tcPr>
            <w:tcW w:w="0" w:type="auto"/>
            <w:gridSpan w:val="3"/>
            <w:shd w:val="clear" w:color="auto" w:fill="FFFFFF"/>
            <w:tcMar>
              <w:top w:w="40" w:type="dxa"/>
              <w:left w:w="20" w:type="dxa"/>
              <w:bottom w:w="40" w:type="dxa"/>
              <w:right w:w="20" w:type="dxa"/>
            </w:tcMar>
            <w:vAlign w:val="center"/>
          </w:tcPr>
          <w:p w14:paraId="5DEC5447" w14:textId="77777777" w:rsidR="00B1578D" w:rsidRDefault="004D2C04">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vAlign w:val="bottom"/>
          </w:tcPr>
          <w:p w14:paraId="5DEC544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49" w14:textId="77777777" w:rsidR="00B1578D" w:rsidRDefault="004D2C04">
            <w:pPr>
              <w:jc w:val="right"/>
              <w:textAlignment w:val="center"/>
            </w:pPr>
            <w:r>
              <w:rPr>
                <w:rFonts w:ascii="Times New Roman" w:eastAsia="宋体" w:hAnsi="Times New Roman"/>
                <w:color w:val="000000"/>
                <w:sz w:val="16"/>
                <w:szCs w:val="16"/>
              </w:rPr>
              <w:t>29,438 </w:t>
            </w:r>
          </w:p>
        </w:tc>
        <w:tc>
          <w:tcPr>
            <w:tcW w:w="0" w:type="auto"/>
            <w:shd w:val="clear" w:color="auto" w:fill="FFFFFF"/>
            <w:tcMar>
              <w:top w:w="40" w:type="dxa"/>
              <w:left w:w="0" w:type="dxa"/>
              <w:bottom w:w="40" w:type="dxa"/>
              <w:right w:w="20" w:type="dxa"/>
            </w:tcMar>
            <w:vAlign w:val="center"/>
          </w:tcPr>
          <w:p w14:paraId="5DEC544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4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4C" w14:textId="77777777" w:rsidR="00B1578D" w:rsidRDefault="004D2C04">
            <w:pPr>
              <w:jc w:val="right"/>
              <w:textAlignment w:val="center"/>
            </w:pPr>
            <w:r>
              <w:rPr>
                <w:rFonts w:ascii="Times New Roman" w:eastAsia="宋体" w:hAnsi="Times New Roman"/>
                <w:color w:val="000000"/>
                <w:sz w:val="16"/>
                <w:szCs w:val="16"/>
              </w:rPr>
              <w:t>29,014 </w:t>
            </w:r>
          </w:p>
        </w:tc>
        <w:tc>
          <w:tcPr>
            <w:tcW w:w="0" w:type="auto"/>
            <w:shd w:val="clear" w:color="auto" w:fill="FFFFFF"/>
            <w:tcMar>
              <w:top w:w="40" w:type="dxa"/>
              <w:left w:w="0" w:type="dxa"/>
              <w:bottom w:w="40" w:type="dxa"/>
              <w:right w:w="20" w:type="dxa"/>
            </w:tcMar>
            <w:vAlign w:val="center"/>
          </w:tcPr>
          <w:p w14:paraId="5DEC544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4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4F" w14:textId="77777777" w:rsidR="00B1578D" w:rsidRDefault="004D2C04">
            <w:pPr>
              <w:jc w:val="right"/>
              <w:textAlignment w:val="center"/>
            </w:pPr>
            <w:r>
              <w:rPr>
                <w:rFonts w:ascii="Times New Roman" w:eastAsia="宋体" w:hAnsi="Times New Roman"/>
                <w:color w:val="000000"/>
                <w:sz w:val="16"/>
                <w:szCs w:val="16"/>
              </w:rPr>
              <w:t>28,872 </w:t>
            </w:r>
          </w:p>
        </w:tc>
        <w:tc>
          <w:tcPr>
            <w:tcW w:w="0" w:type="auto"/>
            <w:shd w:val="clear" w:color="auto" w:fill="FFFFFF"/>
            <w:tcMar>
              <w:top w:w="40" w:type="dxa"/>
              <w:left w:w="0" w:type="dxa"/>
              <w:bottom w:w="40" w:type="dxa"/>
              <w:right w:w="20" w:type="dxa"/>
            </w:tcMar>
            <w:vAlign w:val="center"/>
          </w:tcPr>
          <w:p w14:paraId="5DEC5450" w14:textId="77777777" w:rsidR="00B1578D" w:rsidRDefault="00B1578D">
            <w:pPr>
              <w:jc w:val="right"/>
              <w:rPr>
                <w:rFonts w:ascii="宋体"/>
              </w:rPr>
            </w:pPr>
          </w:p>
        </w:tc>
      </w:tr>
      <w:tr w:rsidR="00B1578D" w14:paraId="5DEC545C" w14:textId="77777777">
        <w:trPr>
          <w:jc w:val="center"/>
        </w:trPr>
        <w:tc>
          <w:tcPr>
            <w:tcW w:w="0" w:type="auto"/>
            <w:gridSpan w:val="3"/>
            <w:shd w:val="clear" w:color="auto" w:fill="CCEEFF"/>
            <w:tcMar>
              <w:top w:w="40" w:type="dxa"/>
              <w:left w:w="20" w:type="dxa"/>
              <w:bottom w:w="40" w:type="dxa"/>
              <w:right w:w="20" w:type="dxa"/>
            </w:tcMar>
            <w:vAlign w:val="center"/>
          </w:tcPr>
          <w:p w14:paraId="5DEC5452" w14:textId="77777777" w:rsidR="00B1578D" w:rsidRDefault="004D2C04">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5DEC545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54" w14:textId="77777777" w:rsidR="00B1578D" w:rsidRDefault="004D2C04">
            <w:pPr>
              <w:jc w:val="right"/>
              <w:textAlignment w:val="center"/>
            </w:pPr>
            <w:r>
              <w:rPr>
                <w:rFonts w:ascii="Times New Roman" w:eastAsia="宋体" w:hAnsi="Times New Roman"/>
                <w:color w:val="000000"/>
                <w:sz w:val="16"/>
                <w:szCs w:val="16"/>
              </w:rPr>
              <w:t>20,267 </w:t>
            </w:r>
          </w:p>
        </w:tc>
        <w:tc>
          <w:tcPr>
            <w:tcW w:w="0" w:type="auto"/>
            <w:shd w:val="clear" w:color="auto" w:fill="CCEEFF"/>
            <w:tcMar>
              <w:top w:w="40" w:type="dxa"/>
              <w:left w:w="0" w:type="dxa"/>
              <w:bottom w:w="40" w:type="dxa"/>
              <w:right w:w="20" w:type="dxa"/>
            </w:tcMar>
            <w:vAlign w:val="center"/>
          </w:tcPr>
          <w:p w14:paraId="5DEC545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5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57" w14:textId="77777777" w:rsidR="00B1578D" w:rsidRDefault="004D2C04">
            <w:pPr>
              <w:jc w:val="right"/>
              <w:textAlignment w:val="center"/>
            </w:pPr>
            <w:r>
              <w:rPr>
                <w:rFonts w:ascii="Times New Roman" w:eastAsia="宋体" w:hAnsi="Times New Roman"/>
                <w:color w:val="000000"/>
                <w:sz w:val="16"/>
                <w:szCs w:val="16"/>
              </w:rPr>
              <w:t>22,152 </w:t>
            </w:r>
          </w:p>
        </w:tc>
        <w:tc>
          <w:tcPr>
            <w:tcW w:w="0" w:type="auto"/>
            <w:shd w:val="clear" w:color="auto" w:fill="CCEEFF"/>
            <w:tcMar>
              <w:top w:w="40" w:type="dxa"/>
              <w:left w:w="0" w:type="dxa"/>
              <w:bottom w:w="40" w:type="dxa"/>
              <w:right w:w="20" w:type="dxa"/>
            </w:tcMar>
            <w:vAlign w:val="center"/>
          </w:tcPr>
          <w:p w14:paraId="5DEC545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5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5A" w14:textId="77777777" w:rsidR="00B1578D" w:rsidRDefault="004D2C04">
            <w:pPr>
              <w:jc w:val="right"/>
              <w:textAlignment w:val="center"/>
            </w:pPr>
            <w:r>
              <w:rPr>
                <w:rFonts w:ascii="Times New Roman" w:eastAsia="宋体" w:hAnsi="Times New Roman"/>
                <w:color w:val="000000"/>
                <w:sz w:val="16"/>
                <w:szCs w:val="16"/>
              </w:rPr>
              <w:t>22,493 </w:t>
            </w:r>
          </w:p>
        </w:tc>
        <w:tc>
          <w:tcPr>
            <w:tcW w:w="0" w:type="auto"/>
            <w:shd w:val="clear" w:color="auto" w:fill="CCEEFF"/>
            <w:tcMar>
              <w:top w:w="40" w:type="dxa"/>
              <w:left w:w="0" w:type="dxa"/>
              <w:bottom w:w="40" w:type="dxa"/>
              <w:right w:w="20" w:type="dxa"/>
            </w:tcMar>
            <w:vAlign w:val="center"/>
          </w:tcPr>
          <w:p w14:paraId="5DEC545B" w14:textId="77777777" w:rsidR="00B1578D" w:rsidRDefault="00B1578D">
            <w:pPr>
              <w:jc w:val="right"/>
              <w:rPr>
                <w:rFonts w:ascii="宋体"/>
              </w:rPr>
            </w:pPr>
          </w:p>
        </w:tc>
      </w:tr>
      <w:tr w:rsidR="00B1578D" w14:paraId="5DEC546A" w14:textId="77777777">
        <w:trPr>
          <w:jc w:val="center"/>
        </w:trPr>
        <w:tc>
          <w:tcPr>
            <w:tcW w:w="0" w:type="auto"/>
            <w:gridSpan w:val="3"/>
            <w:shd w:val="clear" w:color="auto" w:fill="FFFFFF"/>
            <w:tcMar>
              <w:top w:w="40" w:type="dxa"/>
              <w:left w:w="20" w:type="dxa"/>
              <w:bottom w:w="40" w:type="dxa"/>
              <w:right w:w="20" w:type="dxa"/>
            </w:tcMar>
            <w:vAlign w:val="center"/>
          </w:tcPr>
          <w:p w14:paraId="5DEC545D" w14:textId="77777777" w:rsidR="00B1578D" w:rsidRDefault="004D2C04">
            <w:pPr>
              <w:textAlignment w:val="center"/>
            </w:pPr>
            <w:r>
              <w:rPr>
                <w:rFonts w:ascii="Times New Roman" w:eastAsia="宋体" w:hAnsi="Times New Roman"/>
                <w:b/>
                <w:bCs/>
                <w:color w:val="000000"/>
                <w:sz w:val="16"/>
                <w:szCs w:val="16"/>
              </w:rPr>
              <w:t>To</w:t>
            </w:r>
            <w:r>
              <w:rPr>
                <w:rFonts w:ascii="Times New Roman" w:eastAsia="宋体" w:hAnsi="Times New Roman"/>
                <w:b/>
                <w:bCs/>
                <w:color w:val="000000"/>
                <w:sz w:val="16"/>
                <w:szCs w:val="16"/>
              </w:rPr>
              <w:t>tal assets</w:t>
            </w:r>
          </w:p>
        </w:tc>
        <w:tc>
          <w:tcPr>
            <w:tcW w:w="0" w:type="auto"/>
            <w:gridSpan w:val="3"/>
            <w:shd w:val="clear" w:color="auto" w:fill="FFFFFF"/>
            <w:tcMar>
              <w:top w:w="0" w:type="dxa"/>
              <w:left w:w="20" w:type="dxa"/>
              <w:bottom w:w="0" w:type="dxa"/>
              <w:right w:w="20" w:type="dxa"/>
            </w:tcMar>
            <w:vAlign w:val="bottom"/>
          </w:tcPr>
          <w:p w14:paraId="5DEC545E"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45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460" w14:textId="77777777" w:rsidR="00B1578D" w:rsidRDefault="004D2C04">
            <w:pPr>
              <w:jc w:val="right"/>
              <w:textAlignment w:val="center"/>
            </w:pPr>
            <w:r>
              <w:rPr>
                <w:rFonts w:ascii="Times New Roman" w:eastAsia="宋体" w:hAnsi="Times New Roman"/>
                <w:color w:val="000000"/>
                <w:sz w:val="16"/>
                <w:szCs w:val="16"/>
              </w:rPr>
              <w:t>246,142 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46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62"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463"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464" w14:textId="77777777" w:rsidR="00B1578D" w:rsidRDefault="004D2C04">
            <w:pPr>
              <w:jc w:val="right"/>
              <w:textAlignment w:val="center"/>
            </w:pPr>
            <w:r>
              <w:rPr>
                <w:rFonts w:ascii="Times New Roman" w:eastAsia="宋体" w:hAnsi="Times New Roman"/>
                <w:color w:val="000000"/>
                <w:sz w:val="16"/>
                <w:szCs w:val="16"/>
              </w:rPr>
              <w:t>244,860 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46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66"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467"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468" w14:textId="77777777" w:rsidR="00B1578D" w:rsidRDefault="004D2C04">
            <w:pPr>
              <w:jc w:val="right"/>
              <w:textAlignment w:val="center"/>
            </w:pPr>
            <w:r>
              <w:rPr>
                <w:rFonts w:ascii="Times New Roman" w:eastAsia="宋体" w:hAnsi="Times New Roman"/>
                <w:color w:val="000000"/>
                <w:sz w:val="16"/>
                <w:szCs w:val="16"/>
              </w:rPr>
              <w:t>236,581 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469" w14:textId="77777777" w:rsidR="00B1578D" w:rsidRDefault="00B1578D">
            <w:pPr>
              <w:jc w:val="right"/>
              <w:rPr>
                <w:rFonts w:ascii="宋体"/>
              </w:rPr>
            </w:pPr>
          </w:p>
        </w:tc>
      </w:tr>
      <w:tr w:rsidR="00B1578D" w14:paraId="5DEC5472" w14:textId="77777777">
        <w:trPr>
          <w:trHeight w:val="240"/>
          <w:jc w:val="center"/>
        </w:trPr>
        <w:tc>
          <w:tcPr>
            <w:tcW w:w="0" w:type="auto"/>
            <w:gridSpan w:val="3"/>
            <w:shd w:val="clear" w:color="auto" w:fill="CCEEFF"/>
            <w:tcMar>
              <w:top w:w="0" w:type="dxa"/>
              <w:left w:w="20" w:type="dxa"/>
              <w:bottom w:w="0" w:type="dxa"/>
              <w:right w:w="20" w:type="dxa"/>
            </w:tcMar>
            <w:vAlign w:val="bottom"/>
          </w:tcPr>
          <w:p w14:paraId="5DEC546B"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6C"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546D"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6E"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546F"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70"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5471" w14:textId="77777777" w:rsidR="00B1578D" w:rsidRDefault="00B1578D">
            <w:pPr>
              <w:rPr>
                <w:rFonts w:ascii="宋体"/>
              </w:rPr>
            </w:pPr>
          </w:p>
        </w:tc>
      </w:tr>
      <w:tr w:rsidR="00B1578D" w14:paraId="5DEC547A" w14:textId="77777777">
        <w:trPr>
          <w:jc w:val="center"/>
        </w:trPr>
        <w:tc>
          <w:tcPr>
            <w:tcW w:w="0" w:type="auto"/>
            <w:gridSpan w:val="3"/>
            <w:shd w:val="clear" w:color="auto" w:fill="FFFFFF"/>
            <w:tcMar>
              <w:top w:w="40" w:type="dxa"/>
              <w:left w:w="20" w:type="dxa"/>
              <w:bottom w:w="40" w:type="dxa"/>
              <w:right w:w="20" w:type="dxa"/>
            </w:tcMar>
            <w:vAlign w:val="center"/>
          </w:tcPr>
          <w:p w14:paraId="5DEC5473" w14:textId="77777777" w:rsidR="00B1578D" w:rsidRDefault="004D2C04">
            <w:pPr>
              <w:textAlignment w:val="center"/>
            </w:pPr>
            <w:r>
              <w:rPr>
                <w:rFonts w:ascii="Times New Roman" w:eastAsia="宋体" w:hAnsi="Times New Roman"/>
                <w:b/>
                <w:bCs/>
                <w:color w:val="000000"/>
                <w:sz w:val="16"/>
                <w:szCs w:val="16"/>
              </w:rPr>
              <w:t>LIABILITIES, REDEEMABLE NONCONTROLLING INTEREST, AND EQUITY</w:t>
            </w:r>
          </w:p>
        </w:tc>
        <w:tc>
          <w:tcPr>
            <w:tcW w:w="0" w:type="auto"/>
            <w:gridSpan w:val="3"/>
            <w:shd w:val="clear" w:color="auto" w:fill="FFFFFF"/>
            <w:tcMar>
              <w:top w:w="0" w:type="dxa"/>
              <w:left w:w="20" w:type="dxa"/>
              <w:bottom w:w="0" w:type="dxa"/>
              <w:right w:w="20" w:type="dxa"/>
            </w:tcMar>
            <w:vAlign w:val="bottom"/>
          </w:tcPr>
          <w:p w14:paraId="5DEC5474"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7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7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77"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7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479" w14:textId="77777777" w:rsidR="00B1578D" w:rsidRDefault="00B1578D">
            <w:pPr>
              <w:rPr>
                <w:rFonts w:ascii="宋体"/>
              </w:rPr>
            </w:pPr>
          </w:p>
        </w:tc>
      </w:tr>
      <w:tr w:rsidR="00B1578D" w14:paraId="5DEC5482" w14:textId="77777777">
        <w:trPr>
          <w:jc w:val="center"/>
        </w:trPr>
        <w:tc>
          <w:tcPr>
            <w:tcW w:w="0" w:type="auto"/>
            <w:gridSpan w:val="3"/>
            <w:shd w:val="clear" w:color="auto" w:fill="CCEEFF"/>
            <w:tcMar>
              <w:top w:w="40" w:type="dxa"/>
              <w:left w:w="20" w:type="dxa"/>
              <w:bottom w:w="40" w:type="dxa"/>
              <w:right w:w="20" w:type="dxa"/>
            </w:tcMar>
            <w:vAlign w:val="center"/>
          </w:tcPr>
          <w:p w14:paraId="5DEC547B" w14:textId="77777777" w:rsidR="00B1578D" w:rsidRDefault="004D2C04">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vAlign w:val="bottom"/>
          </w:tcPr>
          <w:p w14:paraId="5DEC547C"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7D"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7E"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7F"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80"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81" w14:textId="77777777" w:rsidR="00B1578D" w:rsidRDefault="00B1578D">
            <w:pPr>
              <w:rPr>
                <w:rFonts w:ascii="宋体"/>
              </w:rPr>
            </w:pPr>
          </w:p>
        </w:tc>
      </w:tr>
      <w:tr w:rsidR="00B1578D" w14:paraId="5DEC5490" w14:textId="77777777">
        <w:trPr>
          <w:jc w:val="center"/>
        </w:trPr>
        <w:tc>
          <w:tcPr>
            <w:tcW w:w="0" w:type="auto"/>
            <w:gridSpan w:val="3"/>
            <w:shd w:val="clear" w:color="auto" w:fill="FFFFFF"/>
            <w:tcMar>
              <w:top w:w="40" w:type="dxa"/>
              <w:left w:w="380" w:type="dxa"/>
              <w:bottom w:w="40" w:type="dxa"/>
              <w:right w:w="20" w:type="dxa"/>
            </w:tcMar>
            <w:vAlign w:val="center"/>
          </w:tcPr>
          <w:p w14:paraId="5DEC5483" w14:textId="77777777" w:rsidR="00B1578D" w:rsidRDefault="004D2C04">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5DEC5484"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5485"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5486" w14:textId="77777777" w:rsidR="00B1578D" w:rsidRDefault="004D2C04">
            <w:pPr>
              <w:jc w:val="right"/>
              <w:textAlignment w:val="center"/>
            </w:pPr>
            <w:r>
              <w:rPr>
                <w:rFonts w:ascii="Times New Roman" w:eastAsia="宋体" w:hAnsi="Times New Roman"/>
                <w:color w:val="000000"/>
                <w:sz w:val="16"/>
                <w:szCs w:val="16"/>
              </w:rPr>
              <w:t>11,432 </w:t>
            </w:r>
          </w:p>
        </w:tc>
        <w:tc>
          <w:tcPr>
            <w:tcW w:w="0" w:type="auto"/>
            <w:shd w:val="clear" w:color="auto" w:fill="FFFFFF"/>
            <w:tcMar>
              <w:top w:w="40" w:type="dxa"/>
              <w:left w:w="0" w:type="dxa"/>
              <w:bottom w:w="40" w:type="dxa"/>
              <w:right w:w="20" w:type="dxa"/>
            </w:tcMar>
            <w:vAlign w:val="center"/>
          </w:tcPr>
          <w:p w14:paraId="5DEC548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88"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5489"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548A" w14:textId="77777777" w:rsidR="00B1578D" w:rsidRDefault="004D2C04">
            <w:pPr>
              <w:jc w:val="right"/>
              <w:textAlignment w:val="center"/>
            </w:pPr>
            <w:r>
              <w:rPr>
                <w:rFonts w:ascii="Times New Roman" w:eastAsia="宋体" w:hAnsi="Times New Roman"/>
                <w:color w:val="000000"/>
                <w:sz w:val="16"/>
                <w:szCs w:val="16"/>
              </w:rPr>
              <w:t>410 </w:t>
            </w:r>
          </w:p>
        </w:tc>
        <w:tc>
          <w:tcPr>
            <w:tcW w:w="0" w:type="auto"/>
            <w:shd w:val="clear" w:color="auto" w:fill="FFFFFF"/>
            <w:tcMar>
              <w:top w:w="40" w:type="dxa"/>
              <w:left w:w="0" w:type="dxa"/>
              <w:bottom w:w="40" w:type="dxa"/>
              <w:right w:w="20" w:type="dxa"/>
            </w:tcMar>
            <w:vAlign w:val="center"/>
          </w:tcPr>
          <w:p w14:paraId="5DEC548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8C"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548D"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548E" w14:textId="77777777" w:rsidR="00B1578D" w:rsidRDefault="004D2C04">
            <w:pPr>
              <w:jc w:val="right"/>
              <w:textAlignment w:val="center"/>
            </w:pPr>
            <w:r>
              <w:rPr>
                <w:rFonts w:ascii="Times New Roman" w:eastAsia="宋体" w:hAnsi="Times New Roman"/>
                <w:color w:val="000000"/>
                <w:sz w:val="16"/>
                <w:szCs w:val="16"/>
              </w:rPr>
              <w:t>362 </w:t>
            </w:r>
          </w:p>
        </w:tc>
        <w:tc>
          <w:tcPr>
            <w:tcW w:w="0" w:type="auto"/>
            <w:shd w:val="clear" w:color="auto" w:fill="FFFFFF"/>
            <w:tcMar>
              <w:top w:w="40" w:type="dxa"/>
              <w:left w:w="0" w:type="dxa"/>
              <w:bottom w:w="40" w:type="dxa"/>
              <w:right w:w="20" w:type="dxa"/>
            </w:tcMar>
            <w:vAlign w:val="center"/>
          </w:tcPr>
          <w:p w14:paraId="5DEC548F" w14:textId="77777777" w:rsidR="00B1578D" w:rsidRDefault="00B1578D">
            <w:pPr>
              <w:jc w:val="right"/>
              <w:rPr>
                <w:rFonts w:ascii="宋体"/>
              </w:rPr>
            </w:pPr>
          </w:p>
        </w:tc>
      </w:tr>
      <w:tr w:rsidR="00B1578D" w14:paraId="5DEC549B" w14:textId="77777777">
        <w:trPr>
          <w:jc w:val="center"/>
        </w:trPr>
        <w:tc>
          <w:tcPr>
            <w:tcW w:w="0" w:type="auto"/>
            <w:gridSpan w:val="3"/>
            <w:shd w:val="clear" w:color="auto" w:fill="CCEEFF"/>
            <w:tcMar>
              <w:top w:w="40" w:type="dxa"/>
              <w:left w:w="380" w:type="dxa"/>
              <w:bottom w:w="40" w:type="dxa"/>
              <w:right w:w="20" w:type="dxa"/>
            </w:tcMar>
            <w:vAlign w:val="center"/>
          </w:tcPr>
          <w:p w14:paraId="5DEC5491" w14:textId="77777777" w:rsidR="00B1578D" w:rsidRDefault="004D2C04">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5DEC549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93" w14:textId="77777777" w:rsidR="00B1578D" w:rsidRDefault="004D2C04">
            <w:pPr>
              <w:jc w:val="right"/>
              <w:textAlignment w:val="center"/>
            </w:pPr>
            <w:r>
              <w:rPr>
                <w:rFonts w:ascii="Times New Roman" w:eastAsia="宋体" w:hAnsi="Times New Roman"/>
                <w:color w:val="000000"/>
                <w:sz w:val="16"/>
                <w:szCs w:val="16"/>
              </w:rPr>
              <w:t>52,926 </w:t>
            </w:r>
          </w:p>
        </w:tc>
        <w:tc>
          <w:tcPr>
            <w:tcW w:w="0" w:type="auto"/>
            <w:shd w:val="clear" w:color="auto" w:fill="CCEEFF"/>
            <w:tcMar>
              <w:top w:w="40" w:type="dxa"/>
              <w:left w:w="0" w:type="dxa"/>
              <w:bottom w:w="40" w:type="dxa"/>
              <w:right w:w="20" w:type="dxa"/>
            </w:tcMar>
            <w:vAlign w:val="center"/>
          </w:tcPr>
          <w:p w14:paraId="5DEC549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9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96" w14:textId="77777777" w:rsidR="00B1578D" w:rsidRDefault="004D2C04">
            <w:pPr>
              <w:jc w:val="right"/>
              <w:textAlignment w:val="center"/>
            </w:pPr>
            <w:r>
              <w:rPr>
                <w:rFonts w:ascii="Times New Roman" w:eastAsia="宋体" w:hAnsi="Times New Roman"/>
                <w:color w:val="000000"/>
                <w:sz w:val="16"/>
                <w:szCs w:val="16"/>
              </w:rPr>
              <w:t>55,261 </w:t>
            </w:r>
          </w:p>
        </w:tc>
        <w:tc>
          <w:tcPr>
            <w:tcW w:w="0" w:type="auto"/>
            <w:shd w:val="clear" w:color="auto" w:fill="CCEEFF"/>
            <w:tcMar>
              <w:top w:w="40" w:type="dxa"/>
              <w:left w:w="0" w:type="dxa"/>
              <w:bottom w:w="40" w:type="dxa"/>
              <w:right w:w="20" w:type="dxa"/>
            </w:tcMar>
            <w:vAlign w:val="center"/>
          </w:tcPr>
          <w:p w14:paraId="5DEC549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9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99" w14:textId="77777777" w:rsidR="00B1578D" w:rsidRDefault="004D2C04">
            <w:pPr>
              <w:jc w:val="right"/>
              <w:textAlignment w:val="center"/>
            </w:pPr>
            <w:r>
              <w:rPr>
                <w:rFonts w:ascii="Times New Roman" w:eastAsia="宋体" w:hAnsi="Times New Roman"/>
                <w:color w:val="000000"/>
                <w:sz w:val="16"/>
                <w:szCs w:val="16"/>
              </w:rPr>
              <w:t>48,151 </w:t>
            </w:r>
          </w:p>
        </w:tc>
        <w:tc>
          <w:tcPr>
            <w:tcW w:w="0" w:type="auto"/>
            <w:shd w:val="clear" w:color="auto" w:fill="CCEEFF"/>
            <w:tcMar>
              <w:top w:w="40" w:type="dxa"/>
              <w:left w:w="0" w:type="dxa"/>
              <w:bottom w:w="40" w:type="dxa"/>
              <w:right w:w="20" w:type="dxa"/>
            </w:tcMar>
            <w:vAlign w:val="center"/>
          </w:tcPr>
          <w:p w14:paraId="5DEC549A" w14:textId="77777777" w:rsidR="00B1578D" w:rsidRDefault="00B1578D">
            <w:pPr>
              <w:jc w:val="right"/>
              <w:rPr>
                <w:rFonts w:ascii="宋体"/>
              </w:rPr>
            </w:pPr>
          </w:p>
        </w:tc>
      </w:tr>
      <w:tr w:rsidR="00B1578D" w14:paraId="5DEC54A6" w14:textId="77777777">
        <w:trPr>
          <w:jc w:val="center"/>
        </w:trPr>
        <w:tc>
          <w:tcPr>
            <w:tcW w:w="0" w:type="auto"/>
            <w:gridSpan w:val="3"/>
            <w:shd w:val="clear" w:color="auto" w:fill="FFFFFF"/>
            <w:tcMar>
              <w:top w:w="40" w:type="dxa"/>
              <w:left w:w="380" w:type="dxa"/>
              <w:bottom w:w="40" w:type="dxa"/>
              <w:right w:w="20" w:type="dxa"/>
            </w:tcMar>
            <w:vAlign w:val="center"/>
          </w:tcPr>
          <w:p w14:paraId="5DEC549C" w14:textId="77777777" w:rsidR="00B1578D" w:rsidRDefault="004D2C04">
            <w:pPr>
              <w:textAlignment w:val="center"/>
            </w:pPr>
            <w:r>
              <w:rPr>
                <w:rFonts w:ascii="Times New Roman" w:eastAsia="宋体" w:hAnsi="Times New Roman"/>
                <w:color w:val="000000"/>
                <w:sz w:val="16"/>
                <w:szCs w:val="16"/>
              </w:rPr>
              <w:t>Dividends payable</w:t>
            </w:r>
          </w:p>
        </w:tc>
        <w:tc>
          <w:tcPr>
            <w:tcW w:w="0" w:type="auto"/>
            <w:gridSpan w:val="3"/>
            <w:shd w:val="clear" w:color="auto" w:fill="FFFFFF"/>
            <w:tcMar>
              <w:top w:w="0" w:type="dxa"/>
              <w:left w:w="20" w:type="dxa"/>
              <w:bottom w:w="0" w:type="dxa"/>
              <w:right w:w="20" w:type="dxa"/>
            </w:tcMar>
            <w:vAlign w:val="bottom"/>
          </w:tcPr>
          <w:p w14:paraId="5DEC549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9E" w14:textId="77777777" w:rsidR="00B1578D" w:rsidRDefault="004D2C04">
            <w:pPr>
              <w:jc w:val="right"/>
              <w:textAlignment w:val="center"/>
            </w:pPr>
            <w:r>
              <w:rPr>
                <w:rFonts w:ascii="Times New Roman" w:eastAsia="宋体" w:hAnsi="Times New Roman"/>
                <w:color w:val="000000"/>
                <w:sz w:val="16"/>
                <w:szCs w:val="16"/>
              </w:rPr>
              <w:t>4,631 </w:t>
            </w:r>
          </w:p>
        </w:tc>
        <w:tc>
          <w:tcPr>
            <w:tcW w:w="0" w:type="auto"/>
            <w:shd w:val="clear" w:color="auto" w:fill="FFFFFF"/>
            <w:tcMar>
              <w:top w:w="40" w:type="dxa"/>
              <w:left w:w="0" w:type="dxa"/>
              <w:bottom w:w="40" w:type="dxa"/>
              <w:right w:w="20" w:type="dxa"/>
            </w:tcMar>
            <w:vAlign w:val="center"/>
          </w:tcPr>
          <w:p w14:paraId="5DEC549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A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A1"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4A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A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A4" w14:textId="77777777" w:rsidR="00B1578D" w:rsidRDefault="004D2C04">
            <w:pPr>
              <w:jc w:val="right"/>
              <w:textAlignment w:val="center"/>
            </w:pPr>
            <w:r>
              <w:rPr>
                <w:rFonts w:ascii="Times New Roman" w:eastAsia="宋体" w:hAnsi="Times New Roman"/>
                <w:color w:val="000000"/>
                <w:sz w:val="16"/>
                <w:szCs w:val="16"/>
              </w:rPr>
              <w:t>4,651 </w:t>
            </w:r>
          </w:p>
        </w:tc>
        <w:tc>
          <w:tcPr>
            <w:tcW w:w="0" w:type="auto"/>
            <w:shd w:val="clear" w:color="auto" w:fill="FFFFFF"/>
            <w:tcMar>
              <w:top w:w="40" w:type="dxa"/>
              <w:left w:w="0" w:type="dxa"/>
              <w:bottom w:w="40" w:type="dxa"/>
              <w:right w:w="20" w:type="dxa"/>
            </w:tcMar>
            <w:vAlign w:val="center"/>
          </w:tcPr>
          <w:p w14:paraId="5DEC54A5" w14:textId="77777777" w:rsidR="00B1578D" w:rsidRDefault="00B1578D">
            <w:pPr>
              <w:jc w:val="right"/>
              <w:rPr>
                <w:rFonts w:ascii="宋体"/>
              </w:rPr>
            </w:pPr>
          </w:p>
        </w:tc>
      </w:tr>
      <w:tr w:rsidR="00B1578D" w14:paraId="5DEC54B1" w14:textId="77777777">
        <w:trPr>
          <w:jc w:val="center"/>
        </w:trPr>
        <w:tc>
          <w:tcPr>
            <w:tcW w:w="0" w:type="auto"/>
            <w:gridSpan w:val="3"/>
            <w:shd w:val="clear" w:color="auto" w:fill="CCEEFF"/>
            <w:tcMar>
              <w:top w:w="40" w:type="dxa"/>
              <w:left w:w="380" w:type="dxa"/>
              <w:bottom w:w="40" w:type="dxa"/>
              <w:right w:w="20" w:type="dxa"/>
            </w:tcMar>
            <w:vAlign w:val="center"/>
          </w:tcPr>
          <w:p w14:paraId="5DEC54A7" w14:textId="77777777" w:rsidR="00B1578D" w:rsidRDefault="004D2C04">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5DEC54A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A9" w14:textId="77777777" w:rsidR="00B1578D" w:rsidRDefault="004D2C04">
            <w:pPr>
              <w:jc w:val="right"/>
              <w:textAlignment w:val="center"/>
            </w:pPr>
            <w:r>
              <w:rPr>
                <w:rFonts w:ascii="Times New Roman" w:eastAsia="宋体" w:hAnsi="Times New Roman"/>
                <w:color w:val="000000"/>
                <w:sz w:val="16"/>
                <w:szCs w:val="16"/>
              </w:rPr>
              <w:t>21,061 </w:t>
            </w:r>
          </w:p>
        </w:tc>
        <w:tc>
          <w:tcPr>
            <w:tcW w:w="0" w:type="auto"/>
            <w:shd w:val="clear" w:color="auto" w:fill="CCEEFF"/>
            <w:tcMar>
              <w:top w:w="40" w:type="dxa"/>
              <w:left w:w="0" w:type="dxa"/>
              <w:bottom w:w="40" w:type="dxa"/>
              <w:right w:w="20" w:type="dxa"/>
            </w:tcMar>
            <w:vAlign w:val="center"/>
          </w:tcPr>
          <w:p w14:paraId="5DEC54A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A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AC" w14:textId="77777777" w:rsidR="00B1578D" w:rsidRDefault="004D2C04">
            <w:pPr>
              <w:jc w:val="right"/>
              <w:textAlignment w:val="center"/>
            </w:pPr>
            <w:r>
              <w:rPr>
                <w:rFonts w:ascii="Times New Roman" w:eastAsia="宋体" w:hAnsi="Times New Roman"/>
                <w:color w:val="000000"/>
                <w:sz w:val="16"/>
                <w:szCs w:val="16"/>
              </w:rPr>
              <w:t>26,060 </w:t>
            </w:r>
          </w:p>
        </w:tc>
        <w:tc>
          <w:tcPr>
            <w:tcW w:w="0" w:type="auto"/>
            <w:shd w:val="clear" w:color="auto" w:fill="CCEEFF"/>
            <w:tcMar>
              <w:top w:w="40" w:type="dxa"/>
              <w:left w:w="0" w:type="dxa"/>
              <w:bottom w:w="40" w:type="dxa"/>
              <w:right w:w="20" w:type="dxa"/>
            </w:tcMar>
            <w:vAlign w:val="center"/>
          </w:tcPr>
          <w:p w14:paraId="5DEC54A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A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AF" w14:textId="77777777" w:rsidR="00B1578D" w:rsidRDefault="004D2C04">
            <w:pPr>
              <w:jc w:val="right"/>
              <w:textAlignment w:val="center"/>
            </w:pPr>
            <w:r>
              <w:rPr>
                <w:rFonts w:ascii="Times New Roman" w:eastAsia="宋体" w:hAnsi="Times New Roman"/>
                <w:color w:val="000000"/>
                <w:sz w:val="16"/>
                <w:szCs w:val="16"/>
              </w:rPr>
              <w:t>21,371 </w:t>
            </w:r>
          </w:p>
        </w:tc>
        <w:tc>
          <w:tcPr>
            <w:tcW w:w="0" w:type="auto"/>
            <w:shd w:val="clear" w:color="auto" w:fill="CCEEFF"/>
            <w:tcMar>
              <w:top w:w="40" w:type="dxa"/>
              <w:left w:w="0" w:type="dxa"/>
              <w:bottom w:w="40" w:type="dxa"/>
              <w:right w:w="20" w:type="dxa"/>
            </w:tcMar>
            <w:vAlign w:val="center"/>
          </w:tcPr>
          <w:p w14:paraId="5DEC54B0" w14:textId="77777777" w:rsidR="00B1578D" w:rsidRDefault="00B1578D">
            <w:pPr>
              <w:jc w:val="right"/>
              <w:rPr>
                <w:rFonts w:ascii="宋体"/>
              </w:rPr>
            </w:pPr>
          </w:p>
        </w:tc>
      </w:tr>
      <w:tr w:rsidR="00B1578D" w14:paraId="5DEC54BC" w14:textId="77777777">
        <w:trPr>
          <w:jc w:val="center"/>
        </w:trPr>
        <w:tc>
          <w:tcPr>
            <w:tcW w:w="0" w:type="auto"/>
            <w:gridSpan w:val="3"/>
            <w:shd w:val="clear" w:color="auto" w:fill="FFFFFF"/>
            <w:tcMar>
              <w:top w:w="40" w:type="dxa"/>
              <w:left w:w="380" w:type="dxa"/>
              <w:bottom w:w="40" w:type="dxa"/>
              <w:right w:w="20" w:type="dxa"/>
            </w:tcMar>
            <w:vAlign w:val="center"/>
          </w:tcPr>
          <w:p w14:paraId="5DEC54B2" w14:textId="77777777" w:rsidR="00B1578D" w:rsidRDefault="004D2C04">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bottom"/>
          </w:tcPr>
          <w:p w14:paraId="5DEC54B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B4" w14:textId="77777777" w:rsidR="00B1578D" w:rsidRDefault="004D2C04">
            <w:pPr>
              <w:jc w:val="right"/>
              <w:textAlignment w:val="center"/>
            </w:pPr>
            <w:r>
              <w:rPr>
                <w:rFonts w:ascii="Times New Roman" w:eastAsia="宋体" w:hAnsi="Times New Roman"/>
                <w:color w:val="000000"/>
                <w:sz w:val="16"/>
                <w:szCs w:val="16"/>
              </w:rPr>
              <w:t>904 </w:t>
            </w:r>
          </w:p>
        </w:tc>
        <w:tc>
          <w:tcPr>
            <w:tcW w:w="0" w:type="auto"/>
            <w:shd w:val="clear" w:color="auto" w:fill="FFFFFF"/>
            <w:tcMar>
              <w:top w:w="40" w:type="dxa"/>
              <w:left w:w="0" w:type="dxa"/>
              <w:bottom w:w="40" w:type="dxa"/>
              <w:right w:w="20" w:type="dxa"/>
            </w:tcMar>
            <w:vAlign w:val="center"/>
          </w:tcPr>
          <w:p w14:paraId="5DEC54B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B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B7" w14:textId="77777777" w:rsidR="00B1578D" w:rsidRDefault="004D2C04">
            <w:pPr>
              <w:jc w:val="right"/>
              <w:textAlignment w:val="center"/>
            </w:pPr>
            <w:r>
              <w:rPr>
                <w:rFonts w:ascii="Times New Roman" w:eastAsia="宋体" w:hAnsi="Times New Roman"/>
                <w:color w:val="000000"/>
                <w:sz w:val="16"/>
                <w:szCs w:val="16"/>
              </w:rPr>
              <w:t>851 </w:t>
            </w:r>
          </w:p>
        </w:tc>
        <w:tc>
          <w:tcPr>
            <w:tcW w:w="0" w:type="auto"/>
            <w:shd w:val="clear" w:color="auto" w:fill="FFFFFF"/>
            <w:tcMar>
              <w:top w:w="40" w:type="dxa"/>
              <w:left w:w="0" w:type="dxa"/>
              <w:bottom w:w="40" w:type="dxa"/>
              <w:right w:w="20" w:type="dxa"/>
            </w:tcMar>
            <w:vAlign w:val="center"/>
          </w:tcPr>
          <w:p w14:paraId="5DEC54B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B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BA" w14:textId="77777777" w:rsidR="00B1578D" w:rsidRDefault="004D2C04">
            <w:pPr>
              <w:jc w:val="right"/>
              <w:textAlignment w:val="center"/>
            </w:pPr>
            <w:r>
              <w:rPr>
                <w:rFonts w:ascii="Times New Roman" w:eastAsia="宋体" w:hAnsi="Times New Roman"/>
                <w:color w:val="000000"/>
                <w:sz w:val="16"/>
                <w:szCs w:val="16"/>
              </w:rPr>
              <w:t>851 </w:t>
            </w:r>
          </w:p>
        </w:tc>
        <w:tc>
          <w:tcPr>
            <w:tcW w:w="0" w:type="auto"/>
            <w:shd w:val="clear" w:color="auto" w:fill="FFFFFF"/>
            <w:tcMar>
              <w:top w:w="40" w:type="dxa"/>
              <w:left w:w="0" w:type="dxa"/>
              <w:bottom w:w="40" w:type="dxa"/>
              <w:right w:w="20" w:type="dxa"/>
            </w:tcMar>
            <w:vAlign w:val="center"/>
          </w:tcPr>
          <w:p w14:paraId="5DEC54BB" w14:textId="77777777" w:rsidR="00B1578D" w:rsidRDefault="00B1578D">
            <w:pPr>
              <w:jc w:val="right"/>
              <w:rPr>
                <w:rFonts w:ascii="宋体"/>
              </w:rPr>
            </w:pPr>
          </w:p>
        </w:tc>
      </w:tr>
      <w:tr w:rsidR="00B1578D" w14:paraId="5DEC54C7" w14:textId="77777777">
        <w:trPr>
          <w:jc w:val="center"/>
        </w:trPr>
        <w:tc>
          <w:tcPr>
            <w:tcW w:w="0" w:type="auto"/>
            <w:gridSpan w:val="3"/>
            <w:shd w:val="clear" w:color="auto" w:fill="CCEEFF"/>
            <w:tcMar>
              <w:top w:w="40" w:type="dxa"/>
              <w:left w:w="380" w:type="dxa"/>
              <w:bottom w:w="40" w:type="dxa"/>
              <w:right w:w="20" w:type="dxa"/>
            </w:tcMar>
            <w:vAlign w:val="center"/>
          </w:tcPr>
          <w:p w14:paraId="5DEC54BD" w14:textId="77777777" w:rsidR="00B1578D" w:rsidRDefault="004D2C04">
            <w:pPr>
              <w:textAlignment w:val="center"/>
            </w:pPr>
            <w:r>
              <w:rPr>
                <w:rFonts w:ascii="Times New Roman" w:eastAsia="宋体" w:hAnsi="Times New Roman"/>
                <w:color w:val="000000"/>
                <w:sz w:val="16"/>
                <w:szCs w:val="16"/>
              </w:rPr>
              <w:t>Long-term debt due within one year</w:t>
            </w:r>
          </w:p>
        </w:tc>
        <w:tc>
          <w:tcPr>
            <w:tcW w:w="0" w:type="auto"/>
            <w:gridSpan w:val="3"/>
            <w:shd w:val="clear" w:color="auto" w:fill="CCEEFF"/>
            <w:tcMar>
              <w:top w:w="0" w:type="dxa"/>
              <w:left w:w="20" w:type="dxa"/>
              <w:bottom w:w="0" w:type="dxa"/>
              <w:right w:w="20" w:type="dxa"/>
            </w:tcMar>
            <w:vAlign w:val="bottom"/>
          </w:tcPr>
          <w:p w14:paraId="5DEC54B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BF" w14:textId="77777777" w:rsidR="00B1578D" w:rsidRDefault="004D2C04">
            <w:pPr>
              <w:jc w:val="right"/>
              <w:textAlignment w:val="center"/>
            </w:pPr>
            <w:r>
              <w:rPr>
                <w:rFonts w:ascii="Times New Roman" w:eastAsia="宋体" w:hAnsi="Times New Roman"/>
                <w:color w:val="000000"/>
                <w:sz w:val="16"/>
                <w:szCs w:val="16"/>
              </w:rPr>
              <w:t>3,580 </w:t>
            </w:r>
          </w:p>
        </w:tc>
        <w:tc>
          <w:tcPr>
            <w:tcW w:w="0" w:type="auto"/>
            <w:shd w:val="clear" w:color="auto" w:fill="CCEEFF"/>
            <w:tcMar>
              <w:top w:w="40" w:type="dxa"/>
              <w:left w:w="0" w:type="dxa"/>
              <w:bottom w:w="40" w:type="dxa"/>
              <w:right w:w="20" w:type="dxa"/>
            </w:tcMar>
            <w:vAlign w:val="center"/>
          </w:tcPr>
          <w:p w14:paraId="5DEC54C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C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C2" w14:textId="77777777" w:rsidR="00B1578D" w:rsidRDefault="004D2C04">
            <w:pPr>
              <w:jc w:val="right"/>
              <w:textAlignment w:val="center"/>
            </w:pPr>
            <w:r>
              <w:rPr>
                <w:rFonts w:ascii="Times New Roman" w:eastAsia="宋体" w:hAnsi="Times New Roman"/>
                <w:color w:val="000000"/>
                <w:sz w:val="16"/>
                <w:szCs w:val="16"/>
              </w:rPr>
              <w:t>2,803 </w:t>
            </w:r>
          </w:p>
        </w:tc>
        <w:tc>
          <w:tcPr>
            <w:tcW w:w="0" w:type="auto"/>
            <w:shd w:val="clear" w:color="auto" w:fill="CCEEFF"/>
            <w:tcMar>
              <w:top w:w="40" w:type="dxa"/>
              <w:left w:w="0" w:type="dxa"/>
              <w:bottom w:w="40" w:type="dxa"/>
              <w:right w:w="20" w:type="dxa"/>
            </w:tcMar>
            <w:vAlign w:val="center"/>
          </w:tcPr>
          <w:p w14:paraId="5DEC54C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C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C5" w14:textId="77777777" w:rsidR="00B1578D" w:rsidRDefault="004D2C04">
            <w:pPr>
              <w:jc w:val="right"/>
              <w:textAlignment w:val="center"/>
            </w:pPr>
            <w:r>
              <w:rPr>
                <w:rFonts w:ascii="Times New Roman" w:eastAsia="宋体" w:hAnsi="Times New Roman"/>
                <w:color w:val="000000"/>
                <w:sz w:val="16"/>
                <w:szCs w:val="16"/>
              </w:rPr>
              <w:t>3,500 </w:t>
            </w:r>
          </w:p>
        </w:tc>
        <w:tc>
          <w:tcPr>
            <w:tcW w:w="0" w:type="auto"/>
            <w:shd w:val="clear" w:color="auto" w:fill="CCEEFF"/>
            <w:tcMar>
              <w:top w:w="40" w:type="dxa"/>
              <w:left w:w="0" w:type="dxa"/>
              <w:bottom w:w="40" w:type="dxa"/>
              <w:right w:w="20" w:type="dxa"/>
            </w:tcMar>
            <w:vAlign w:val="center"/>
          </w:tcPr>
          <w:p w14:paraId="5DEC54C6" w14:textId="77777777" w:rsidR="00B1578D" w:rsidRDefault="00B1578D">
            <w:pPr>
              <w:jc w:val="right"/>
              <w:rPr>
                <w:rFonts w:ascii="宋体"/>
              </w:rPr>
            </w:pPr>
          </w:p>
        </w:tc>
      </w:tr>
      <w:tr w:rsidR="00B1578D" w14:paraId="5DEC54D2" w14:textId="77777777">
        <w:trPr>
          <w:jc w:val="center"/>
        </w:trPr>
        <w:tc>
          <w:tcPr>
            <w:tcW w:w="0" w:type="auto"/>
            <w:gridSpan w:val="3"/>
            <w:shd w:val="clear" w:color="auto" w:fill="FFFFFF"/>
            <w:tcMar>
              <w:top w:w="40" w:type="dxa"/>
              <w:left w:w="380" w:type="dxa"/>
              <w:bottom w:w="40" w:type="dxa"/>
              <w:right w:w="20" w:type="dxa"/>
            </w:tcMar>
            <w:vAlign w:val="center"/>
          </w:tcPr>
          <w:p w14:paraId="5DEC54C8" w14:textId="77777777" w:rsidR="00B1578D" w:rsidRDefault="004D2C04">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FFFFFF"/>
            <w:tcMar>
              <w:top w:w="0" w:type="dxa"/>
              <w:left w:w="20" w:type="dxa"/>
              <w:bottom w:w="0" w:type="dxa"/>
              <w:right w:w="20" w:type="dxa"/>
            </w:tcMar>
            <w:vAlign w:val="bottom"/>
          </w:tcPr>
          <w:p w14:paraId="5DEC54C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CA" w14:textId="77777777" w:rsidR="00B1578D" w:rsidRDefault="004D2C04">
            <w:pPr>
              <w:jc w:val="right"/>
              <w:textAlignment w:val="center"/>
            </w:pPr>
            <w:r>
              <w:rPr>
                <w:rFonts w:ascii="Times New Roman" w:eastAsia="宋体" w:hAnsi="Times New Roman"/>
                <w:color w:val="000000"/>
                <w:sz w:val="16"/>
                <w:szCs w:val="16"/>
              </w:rPr>
              <w:t>1,485 </w:t>
            </w:r>
          </w:p>
        </w:tc>
        <w:tc>
          <w:tcPr>
            <w:tcW w:w="0" w:type="auto"/>
            <w:shd w:val="clear" w:color="auto" w:fill="FFFFFF"/>
            <w:tcMar>
              <w:top w:w="40" w:type="dxa"/>
              <w:left w:w="0" w:type="dxa"/>
              <w:bottom w:w="40" w:type="dxa"/>
              <w:right w:w="20" w:type="dxa"/>
            </w:tcMar>
            <w:vAlign w:val="center"/>
          </w:tcPr>
          <w:p w14:paraId="5DEC54C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C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CD" w14:textId="77777777" w:rsidR="00B1578D" w:rsidRDefault="004D2C04">
            <w:pPr>
              <w:jc w:val="right"/>
              <w:textAlignment w:val="center"/>
            </w:pPr>
            <w:r>
              <w:rPr>
                <w:rFonts w:ascii="Times New Roman" w:eastAsia="宋体" w:hAnsi="Times New Roman"/>
                <w:color w:val="000000"/>
                <w:sz w:val="16"/>
                <w:szCs w:val="16"/>
              </w:rPr>
              <w:t>1,483 </w:t>
            </w:r>
          </w:p>
        </w:tc>
        <w:tc>
          <w:tcPr>
            <w:tcW w:w="0" w:type="auto"/>
            <w:shd w:val="clear" w:color="auto" w:fill="FFFFFF"/>
            <w:tcMar>
              <w:top w:w="40" w:type="dxa"/>
              <w:left w:w="0" w:type="dxa"/>
              <w:bottom w:w="40" w:type="dxa"/>
              <w:right w:w="20" w:type="dxa"/>
            </w:tcMar>
            <w:vAlign w:val="center"/>
          </w:tcPr>
          <w:p w14:paraId="5DEC54C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C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4D0" w14:textId="77777777" w:rsidR="00B1578D" w:rsidRDefault="004D2C04">
            <w:pPr>
              <w:jc w:val="right"/>
              <w:textAlignment w:val="center"/>
            </w:pPr>
            <w:r>
              <w:rPr>
                <w:rFonts w:ascii="Times New Roman" w:eastAsia="宋体" w:hAnsi="Times New Roman"/>
                <w:color w:val="000000"/>
                <w:sz w:val="16"/>
                <w:szCs w:val="16"/>
              </w:rPr>
              <w:t>1,448 </w:t>
            </w:r>
          </w:p>
        </w:tc>
        <w:tc>
          <w:tcPr>
            <w:tcW w:w="0" w:type="auto"/>
            <w:shd w:val="clear" w:color="auto" w:fill="FFFFFF"/>
            <w:tcMar>
              <w:top w:w="40" w:type="dxa"/>
              <w:left w:w="0" w:type="dxa"/>
              <w:bottom w:w="40" w:type="dxa"/>
              <w:right w:w="20" w:type="dxa"/>
            </w:tcMar>
            <w:vAlign w:val="center"/>
          </w:tcPr>
          <w:p w14:paraId="5DEC54D1" w14:textId="77777777" w:rsidR="00B1578D" w:rsidRDefault="00B1578D">
            <w:pPr>
              <w:jc w:val="right"/>
              <w:rPr>
                <w:rFonts w:ascii="宋体"/>
              </w:rPr>
            </w:pPr>
          </w:p>
        </w:tc>
      </w:tr>
      <w:tr w:rsidR="00B1578D" w14:paraId="5DEC54DD" w14:textId="77777777">
        <w:trPr>
          <w:jc w:val="center"/>
        </w:trPr>
        <w:tc>
          <w:tcPr>
            <w:tcW w:w="0" w:type="auto"/>
            <w:gridSpan w:val="3"/>
            <w:shd w:val="clear" w:color="auto" w:fill="CCEEFF"/>
            <w:tcMar>
              <w:top w:w="40" w:type="dxa"/>
              <w:left w:w="380" w:type="dxa"/>
              <w:bottom w:w="40" w:type="dxa"/>
              <w:right w:w="20" w:type="dxa"/>
            </w:tcMar>
            <w:vAlign w:val="center"/>
          </w:tcPr>
          <w:p w14:paraId="5DEC54D3" w14:textId="77777777" w:rsidR="00B1578D" w:rsidRDefault="004D2C04">
            <w:pPr>
              <w:textAlignment w:val="center"/>
            </w:pPr>
            <w:r>
              <w:rPr>
                <w:rFonts w:ascii="Times New Roman" w:eastAsia="宋体" w:hAnsi="Times New Roman"/>
                <w:color w:val="000000"/>
                <w:sz w:val="16"/>
                <w:szCs w:val="16"/>
              </w:rPr>
              <w:t>Finance lease obligations due within one year</w:t>
            </w:r>
          </w:p>
        </w:tc>
        <w:tc>
          <w:tcPr>
            <w:tcW w:w="0" w:type="auto"/>
            <w:gridSpan w:val="3"/>
            <w:shd w:val="clear" w:color="auto" w:fill="CCEEFF"/>
            <w:tcMar>
              <w:top w:w="0" w:type="dxa"/>
              <w:left w:w="20" w:type="dxa"/>
              <w:bottom w:w="0" w:type="dxa"/>
              <w:right w:w="20" w:type="dxa"/>
            </w:tcMar>
            <w:vAlign w:val="bottom"/>
          </w:tcPr>
          <w:p w14:paraId="5DEC54D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D5" w14:textId="77777777" w:rsidR="00B1578D" w:rsidRDefault="004D2C04">
            <w:pPr>
              <w:jc w:val="right"/>
              <w:textAlignment w:val="center"/>
            </w:pPr>
            <w:r>
              <w:rPr>
                <w:rFonts w:ascii="Times New Roman" w:eastAsia="宋体" w:hAnsi="Times New Roman"/>
                <w:color w:val="000000"/>
                <w:sz w:val="16"/>
                <w:szCs w:val="16"/>
              </w:rPr>
              <w:t>511 </w:t>
            </w:r>
          </w:p>
        </w:tc>
        <w:tc>
          <w:tcPr>
            <w:tcW w:w="0" w:type="auto"/>
            <w:shd w:val="clear" w:color="auto" w:fill="CCEEFF"/>
            <w:tcMar>
              <w:top w:w="40" w:type="dxa"/>
              <w:left w:w="0" w:type="dxa"/>
              <w:bottom w:w="40" w:type="dxa"/>
              <w:right w:w="20" w:type="dxa"/>
            </w:tcMar>
            <w:vAlign w:val="center"/>
          </w:tcPr>
          <w:p w14:paraId="5DEC54D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D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D8" w14:textId="77777777" w:rsidR="00B1578D" w:rsidRDefault="004D2C04">
            <w:pPr>
              <w:jc w:val="right"/>
              <w:textAlignment w:val="center"/>
            </w:pPr>
            <w:r>
              <w:rPr>
                <w:rFonts w:ascii="Times New Roman" w:eastAsia="宋体" w:hAnsi="Times New Roman"/>
                <w:color w:val="000000"/>
                <w:sz w:val="16"/>
                <w:szCs w:val="16"/>
              </w:rPr>
              <w:t>511 </w:t>
            </w:r>
          </w:p>
        </w:tc>
        <w:tc>
          <w:tcPr>
            <w:tcW w:w="0" w:type="auto"/>
            <w:shd w:val="clear" w:color="auto" w:fill="CCEEFF"/>
            <w:tcMar>
              <w:top w:w="40" w:type="dxa"/>
              <w:left w:w="0" w:type="dxa"/>
              <w:bottom w:w="40" w:type="dxa"/>
              <w:right w:w="20" w:type="dxa"/>
            </w:tcMar>
            <w:vAlign w:val="center"/>
          </w:tcPr>
          <w:p w14:paraId="5DEC54D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4D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4DB" w14:textId="77777777" w:rsidR="00B1578D" w:rsidRDefault="004D2C04">
            <w:pPr>
              <w:jc w:val="right"/>
              <w:textAlignment w:val="center"/>
            </w:pPr>
            <w:r>
              <w:rPr>
                <w:rFonts w:ascii="Times New Roman" w:eastAsia="宋体" w:hAnsi="Times New Roman"/>
                <w:color w:val="000000"/>
                <w:sz w:val="16"/>
                <w:szCs w:val="16"/>
              </w:rPr>
              <w:t>507 </w:t>
            </w:r>
          </w:p>
        </w:tc>
        <w:tc>
          <w:tcPr>
            <w:tcW w:w="0" w:type="auto"/>
            <w:shd w:val="clear" w:color="auto" w:fill="CCEEFF"/>
            <w:tcMar>
              <w:top w:w="40" w:type="dxa"/>
              <w:left w:w="0" w:type="dxa"/>
              <w:bottom w:w="40" w:type="dxa"/>
              <w:right w:w="20" w:type="dxa"/>
            </w:tcMar>
            <w:vAlign w:val="center"/>
          </w:tcPr>
          <w:p w14:paraId="5DEC54DC" w14:textId="77777777" w:rsidR="00B1578D" w:rsidRDefault="00B1578D">
            <w:pPr>
              <w:jc w:val="right"/>
              <w:rPr>
                <w:rFonts w:ascii="宋体"/>
              </w:rPr>
            </w:pPr>
          </w:p>
        </w:tc>
      </w:tr>
      <w:tr w:rsidR="00B1578D" w14:paraId="5DEC54E5" w14:textId="77777777">
        <w:trPr>
          <w:jc w:val="center"/>
          <w:hidden/>
        </w:trPr>
        <w:tc>
          <w:tcPr>
            <w:tcW w:w="0" w:type="auto"/>
            <w:gridSpan w:val="3"/>
            <w:shd w:val="clear" w:color="auto" w:fill="auto"/>
            <w:vAlign w:val="bottom"/>
          </w:tcPr>
          <w:p w14:paraId="5DEC54DE" w14:textId="77777777" w:rsidR="00B1578D" w:rsidRDefault="00B1578D">
            <w:pPr>
              <w:rPr>
                <w:rFonts w:ascii="宋体"/>
                <w:vanish/>
              </w:rPr>
            </w:pPr>
          </w:p>
        </w:tc>
        <w:tc>
          <w:tcPr>
            <w:tcW w:w="0" w:type="auto"/>
            <w:gridSpan w:val="3"/>
            <w:shd w:val="clear" w:color="auto" w:fill="auto"/>
            <w:vAlign w:val="bottom"/>
          </w:tcPr>
          <w:p w14:paraId="5DEC54DF" w14:textId="77777777" w:rsidR="00B1578D" w:rsidRDefault="00B1578D">
            <w:pPr>
              <w:rPr>
                <w:rFonts w:ascii="宋体"/>
                <w:vanish/>
              </w:rPr>
            </w:pPr>
          </w:p>
        </w:tc>
        <w:tc>
          <w:tcPr>
            <w:tcW w:w="0" w:type="auto"/>
            <w:gridSpan w:val="3"/>
            <w:shd w:val="clear" w:color="auto" w:fill="auto"/>
            <w:vAlign w:val="bottom"/>
          </w:tcPr>
          <w:p w14:paraId="5DEC54E0" w14:textId="77777777" w:rsidR="00B1578D" w:rsidRDefault="00B1578D">
            <w:pPr>
              <w:rPr>
                <w:rFonts w:ascii="宋体"/>
                <w:vanish/>
              </w:rPr>
            </w:pPr>
          </w:p>
        </w:tc>
        <w:tc>
          <w:tcPr>
            <w:tcW w:w="0" w:type="auto"/>
            <w:gridSpan w:val="3"/>
            <w:shd w:val="clear" w:color="auto" w:fill="auto"/>
            <w:vAlign w:val="bottom"/>
          </w:tcPr>
          <w:p w14:paraId="5DEC54E1" w14:textId="77777777" w:rsidR="00B1578D" w:rsidRDefault="00B1578D">
            <w:pPr>
              <w:rPr>
                <w:rFonts w:ascii="宋体"/>
                <w:vanish/>
              </w:rPr>
            </w:pPr>
          </w:p>
        </w:tc>
        <w:tc>
          <w:tcPr>
            <w:tcW w:w="0" w:type="auto"/>
            <w:gridSpan w:val="3"/>
            <w:shd w:val="clear" w:color="auto" w:fill="auto"/>
            <w:vAlign w:val="bottom"/>
          </w:tcPr>
          <w:p w14:paraId="5DEC54E2" w14:textId="77777777" w:rsidR="00B1578D" w:rsidRDefault="00B1578D">
            <w:pPr>
              <w:rPr>
                <w:rFonts w:ascii="宋体"/>
                <w:vanish/>
              </w:rPr>
            </w:pPr>
          </w:p>
        </w:tc>
        <w:tc>
          <w:tcPr>
            <w:tcW w:w="0" w:type="auto"/>
            <w:gridSpan w:val="3"/>
            <w:shd w:val="clear" w:color="auto" w:fill="auto"/>
            <w:vAlign w:val="bottom"/>
          </w:tcPr>
          <w:p w14:paraId="5DEC54E3" w14:textId="77777777" w:rsidR="00B1578D" w:rsidRDefault="00B1578D">
            <w:pPr>
              <w:rPr>
                <w:rFonts w:ascii="宋体"/>
                <w:vanish/>
              </w:rPr>
            </w:pPr>
          </w:p>
        </w:tc>
        <w:tc>
          <w:tcPr>
            <w:tcW w:w="0" w:type="auto"/>
            <w:gridSpan w:val="3"/>
            <w:shd w:val="clear" w:color="auto" w:fill="auto"/>
            <w:vAlign w:val="bottom"/>
          </w:tcPr>
          <w:p w14:paraId="5DEC54E4" w14:textId="77777777" w:rsidR="00B1578D" w:rsidRDefault="00B1578D">
            <w:pPr>
              <w:rPr>
                <w:rFonts w:ascii="宋体"/>
                <w:vanish/>
              </w:rPr>
            </w:pPr>
          </w:p>
        </w:tc>
      </w:tr>
      <w:tr w:rsidR="00B1578D" w14:paraId="5DEC54ED" w14:textId="77777777">
        <w:trPr>
          <w:jc w:val="center"/>
          <w:hidden/>
        </w:trPr>
        <w:tc>
          <w:tcPr>
            <w:tcW w:w="0" w:type="auto"/>
            <w:gridSpan w:val="3"/>
            <w:shd w:val="clear" w:color="auto" w:fill="auto"/>
            <w:vAlign w:val="bottom"/>
          </w:tcPr>
          <w:p w14:paraId="5DEC54E6" w14:textId="77777777" w:rsidR="00B1578D" w:rsidRDefault="00B1578D">
            <w:pPr>
              <w:rPr>
                <w:rFonts w:ascii="宋体"/>
                <w:vanish/>
              </w:rPr>
            </w:pPr>
          </w:p>
        </w:tc>
        <w:tc>
          <w:tcPr>
            <w:tcW w:w="0" w:type="auto"/>
            <w:gridSpan w:val="3"/>
            <w:shd w:val="clear" w:color="auto" w:fill="auto"/>
            <w:vAlign w:val="bottom"/>
          </w:tcPr>
          <w:p w14:paraId="5DEC54E7" w14:textId="77777777" w:rsidR="00B1578D" w:rsidRDefault="00B1578D">
            <w:pPr>
              <w:rPr>
                <w:rFonts w:ascii="宋体"/>
                <w:vanish/>
              </w:rPr>
            </w:pPr>
          </w:p>
        </w:tc>
        <w:tc>
          <w:tcPr>
            <w:tcW w:w="0" w:type="auto"/>
            <w:gridSpan w:val="3"/>
            <w:shd w:val="clear" w:color="auto" w:fill="auto"/>
            <w:vAlign w:val="bottom"/>
          </w:tcPr>
          <w:p w14:paraId="5DEC54E8" w14:textId="77777777" w:rsidR="00B1578D" w:rsidRDefault="00B1578D">
            <w:pPr>
              <w:rPr>
                <w:rFonts w:ascii="宋体"/>
                <w:vanish/>
              </w:rPr>
            </w:pPr>
          </w:p>
        </w:tc>
        <w:tc>
          <w:tcPr>
            <w:tcW w:w="0" w:type="auto"/>
            <w:gridSpan w:val="3"/>
            <w:shd w:val="clear" w:color="auto" w:fill="auto"/>
            <w:vAlign w:val="bottom"/>
          </w:tcPr>
          <w:p w14:paraId="5DEC54E9" w14:textId="77777777" w:rsidR="00B1578D" w:rsidRDefault="00B1578D">
            <w:pPr>
              <w:rPr>
                <w:rFonts w:ascii="宋体"/>
                <w:vanish/>
              </w:rPr>
            </w:pPr>
          </w:p>
        </w:tc>
        <w:tc>
          <w:tcPr>
            <w:tcW w:w="0" w:type="auto"/>
            <w:gridSpan w:val="3"/>
            <w:shd w:val="clear" w:color="auto" w:fill="auto"/>
            <w:vAlign w:val="bottom"/>
          </w:tcPr>
          <w:p w14:paraId="5DEC54EA" w14:textId="77777777" w:rsidR="00B1578D" w:rsidRDefault="00B1578D">
            <w:pPr>
              <w:rPr>
                <w:rFonts w:ascii="宋体"/>
                <w:vanish/>
              </w:rPr>
            </w:pPr>
          </w:p>
        </w:tc>
        <w:tc>
          <w:tcPr>
            <w:tcW w:w="0" w:type="auto"/>
            <w:gridSpan w:val="3"/>
            <w:shd w:val="clear" w:color="auto" w:fill="auto"/>
            <w:vAlign w:val="bottom"/>
          </w:tcPr>
          <w:p w14:paraId="5DEC54EB" w14:textId="77777777" w:rsidR="00B1578D" w:rsidRDefault="00B1578D">
            <w:pPr>
              <w:rPr>
                <w:rFonts w:ascii="宋体"/>
                <w:vanish/>
              </w:rPr>
            </w:pPr>
          </w:p>
        </w:tc>
        <w:tc>
          <w:tcPr>
            <w:tcW w:w="0" w:type="auto"/>
            <w:gridSpan w:val="3"/>
            <w:shd w:val="clear" w:color="auto" w:fill="auto"/>
            <w:vAlign w:val="bottom"/>
          </w:tcPr>
          <w:p w14:paraId="5DEC54EC" w14:textId="77777777" w:rsidR="00B1578D" w:rsidRDefault="00B1578D">
            <w:pPr>
              <w:rPr>
                <w:rFonts w:ascii="宋体"/>
                <w:vanish/>
              </w:rPr>
            </w:pPr>
          </w:p>
        </w:tc>
      </w:tr>
      <w:tr w:rsidR="00B1578D" w14:paraId="5DEC54F8" w14:textId="77777777">
        <w:trPr>
          <w:jc w:val="center"/>
        </w:trPr>
        <w:tc>
          <w:tcPr>
            <w:tcW w:w="0" w:type="auto"/>
            <w:gridSpan w:val="3"/>
            <w:shd w:val="clear" w:color="auto" w:fill="FFFFFF"/>
            <w:tcMar>
              <w:top w:w="40" w:type="dxa"/>
              <w:left w:w="740" w:type="dxa"/>
              <w:bottom w:w="40" w:type="dxa"/>
              <w:right w:w="20" w:type="dxa"/>
            </w:tcMar>
            <w:vAlign w:val="center"/>
          </w:tcPr>
          <w:p w14:paraId="5DEC54EE" w14:textId="77777777" w:rsidR="00B1578D" w:rsidRDefault="004D2C04">
            <w:pPr>
              <w:textAlignment w:val="center"/>
            </w:pPr>
            <w:r>
              <w:rPr>
                <w:rFonts w:ascii="Times New Roman" w:eastAsia="宋体" w:hAnsi="Times New Roman"/>
                <w:color w:val="000000"/>
                <w:sz w:val="16"/>
                <w:szCs w:val="16"/>
              </w:rPr>
              <w:t>Total current liabilities</w:t>
            </w:r>
          </w:p>
        </w:tc>
        <w:tc>
          <w:tcPr>
            <w:tcW w:w="0" w:type="auto"/>
            <w:gridSpan w:val="3"/>
            <w:shd w:val="clear" w:color="auto" w:fill="FFFFFF"/>
            <w:tcMar>
              <w:top w:w="0" w:type="dxa"/>
              <w:left w:w="20" w:type="dxa"/>
              <w:bottom w:w="0" w:type="dxa"/>
              <w:right w:w="20" w:type="dxa"/>
            </w:tcMar>
            <w:vAlign w:val="bottom"/>
          </w:tcPr>
          <w:p w14:paraId="5DEC54EF"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4F0" w14:textId="77777777" w:rsidR="00B1578D" w:rsidRDefault="004D2C04">
            <w:pPr>
              <w:jc w:val="right"/>
              <w:textAlignment w:val="center"/>
            </w:pPr>
            <w:r>
              <w:rPr>
                <w:rFonts w:ascii="Times New Roman" w:eastAsia="宋体" w:hAnsi="Times New Roman"/>
                <w:color w:val="000000"/>
                <w:sz w:val="16"/>
                <w:szCs w:val="16"/>
              </w:rPr>
              <w:t>96,530 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4F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F2"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4F3" w14:textId="77777777" w:rsidR="00B1578D" w:rsidRDefault="004D2C04">
            <w:pPr>
              <w:jc w:val="right"/>
              <w:textAlignment w:val="center"/>
            </w:pPr>
            <w:r>
              <w:rPr>
                <w:rFonts w:ascii="Times New Roman" w:eastAsia="宋体" w:hAnsi="Times New Roman"/>
                <w:color w:val="000000"/>
                <w:sz w:val="16"/>
                <w:szCs w:val="16"/>
              </w:rPr>
              <w:t>87,379 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4F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4F5"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4F6" w14:textId="77777777" w:rsidR="00B1578D" w:rsidRDefault="004D2C04">
            <w:pPr>
              <w:jc w:val="right"/>
              <w:textAlignment w:val="center"/>
            </w:pPr>
            <w:r>
              <w:rPr>
                <w:rFonts w:ascii="Times New Roman" w:eastAsia="宋体" w:hAnsi="Times New Roman"/>
                <w:color w:val="000000"/>
                <w:sz w:val="16"/>
                <w:szCs w:val="16"/>
              </w:rPr>
              <w:t>80,841 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4F7" w14:textId="77777777" w:rsidR="00B1578D" w:rsidRDefault="00B1578D">
            <w:pPr>
              <w:jc w:val="right"/>
              <w:rPr>
                <w:rFonts w:ascii="宋体"/>
              </w:rPr>
            </w:pPr>
          </w:p>
        </w:tc>
      </w:tr>
      <w:tr w:rsidR="00B1578D" w14:paraId="5DEC5500" w14:textId="77777777">
        <w:trPr>
          <w:trHeight w:val="240"/>
          <w:jc w:val="center"/>
        </w:trPr>
        <w:tc>
          <w:tcPr>
            <w:tcW w:w="0" w:type="auto"/>
            <w:gridSpan w:val="3"/>
            <w:shd w:val="clear" w:color="auto" w:fill="CCEEFF"/>
            <w:tcMar>
              <w:top w:w="0" w:type="dxa"/>
              <w:left w:w="20" w:type="dxa"/>
              <w:bottom w:w="0" w:type="dxa"/>
              <w:right w:w="20" w:type="dxa"/>
            </w:tcMar>
            <w:vAlign w:val="bottom"/>
          </w:tcPr>
          <w:p w14:paraId="5DEC54F9"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FA"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FB"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FC"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FD"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FE"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4FF" w14:textId="77777777" w:rsidR="00B1578D" w:rsidRDefault="00B1578D">
            <w:pPr>
              <w:rPr>
                <w:rFonts w:ascii="宋体"/>
              </w:rPr>
            </w:pPr>
          </w:p>
        </w:tc>
      </w:tr>
      <w:tr w:rsidR="00B1578D" w14:paraId="5DEC550B" w14:textId="77777777">
        <w:trPr>
          <w:jc w:val="center"/>
        </w:trPr>
        <w:tc>
          <w:tcPr>
            <w:tcW w:w="0" w:type="auto"/>
            <w:gridSpan w:val="3"/>
            <w:shd w:val="clear" w:color="auto" w:fill="FFFFFF"/>
            <w:tcMar>
              <w:top w:w="40" w:type="dxa"/>
              <w:left w:w="20" w:type="dxa"/>
              <w:bottom w:w="40" w:type="dxa"/>
              <w:right w:w="20" w:type="dxa"/>
            </w:tcMar>
            <w:vAlign w:val="center"/>
          </w:tcPr>
          <w:p w14:paraId="5DEC5501" w14:textId="77777777" w:rsidR="00B1578D" w:rsidRDefault="004D2C04">
            <w:pPr>
              <w:textAlignment w:val="center"/>
            </w:pP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vAlign w:val="bottom"/>
          </w:tcPr>
          <w:p w14:paraId="5DEC550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03" w14:textId="77777777" w:rsidR="00B1578D" w:rsidRDefault="004D2C04">
            <w:pPr>
              <w:jc w:val="right"/>
              <w:textAlignment w:val="center"/>
            </w:pPr>
            <w:r>
              <w:rPr>
                <w:rFonts w:ascii="Times New Roman" w:eastAsia="宋体" w:hAnsi="Times New Roman"/>
                <w:color w:val="000000"/>
                <w:sz w:val="16"/>
                <w:szCs w:val="16"/>
              </w:rPr>
              <w:t>32,174 </w:t>
            </w:r>
          </w:p>
        </w:tc>
        <w:tc>
          <w:tcPr>
            <w:tcW w:w="0" w:type="auto"/>
            <w:shd w:val="clear" w:color="auto" w:fill="FFFFFF"/>
            <w:tcMar>
              <w:top w:w="40" w:type="dxa"/>
              <w:left w:w="0" w:type="dxa"/>
              <w:bottom w:w="40" w:type="dxa"/>
              <w:right w:w="20" w:type="dxa"/>
            </w:tcMar>
            <w:vAlign w:val="center"/>
          </w:tcPr>
          <w:p w14:paraId="5DEC550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0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06" w14:textId="77777777" w:rsidR="00B1578D" w:rsidRDefault="004D2C04">
            <w:pPr>
              <w:jc w:val="right"/>
              <w:textAlignment w:val="center"/>
            </w:pPr>
            <w:r>
              <w:rPr>
                <w:rFonts w:ascii="Times New Roman" w:eastAsia="宋体" w:hAnsi="Times New Roman"/>
                <w:color w:val="000000"/>
                <w:sz w:val="16"/>
                <w:szCs w:val="16"/>
              </w:rPr>
              <w:t>34,864 </w:t>
            </w:r>
          </w:p>
        </w:tc>
        <w:tc>
          <w:tcPr>
            <w:tcW w:w="0" w:type="auto"/>
            <w:shd w:val="clear" w:color="auto" w:fill="FFFFFF"/>
            <w:tcMar>
              <w:top w:w="40" w:type="dxa"/>
              <w:left w:w="0" w:type="dxa"/>
              <w:bottom w:w="40" w:type="dxa"/>
              <w:right w:w="20" w:type="dxa"/>
            </w:tcMar>
            <w:vAlign w:val="center"/>
          </w:tcPr>
          <w:p w14:paraId="5DEC550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0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09" w14:textId="77777777" w:rsidR="00B1578D" w:rsidRDefault="004D2C04">
            <w:pPr>
              <w:jc w:val="right"/>
              <w:textAlignment w:val="center"/>
            </w:pPr>
            <w:r>
              <w:rPr>
                <w:rFonts w:ascii="Times New Roman" w:eastAsia="宋体" w:hAnsi="Times New Roman"/>
                <w:color w:val="000000"/>
                <w:sz w:val="16"/>
                <w:szCs w:val="16"/>
              </w:rPr>
              <w:t>40,273 </w:t>
            </w:r>
          </w:p>
        </w:tc>
        <w:tc>
          <w:tcPr>
            <w:tcW w:w="0" w:type="auto"/>
            <w:shd w:val="clear" w:color="auto" w:fill="FFFFFF"/>
            <w:tcMar>
              <w:top w:w="40" w:type="dxa"/>
              <w:left w:w="0" w:type="dxa"/>
              <w:bottom w:w="40" w:type="dxa"/>
              <w:right w:w="20" w:type="dxa"/>
            </w:tcMar>
            <w:vAlign w:val="center"/>
          </w:tcPr>
          <w:p w14:paraId="5DEC550A" w14:textId="77777777" w:rsidR="00B1578D" w:rsidRDefault="00B1578D">
            <w:pPr>
              <w:jc w:val="right"/>
              <w:rPr>
                <w:rFonts w:ascii="宋体"/>
              </w:rPr>
            </w:pPr>
          </w:p>
        </w:tc>
      </w:tr>
      <w:tr w:rsidR="00B1578D" w14:paraId="5DEC5516" w14:textId="77777777">
        <w:trPr>
          <w:jc w:val="center"/>
        </w:trPr>
        <w:tc>
          <w:tcPr>
            <w:tcW w:w="0" w:type="auto"/>
            <w:gridSpan w:val="3"/>
            <w:shd w:val="clear" w:color="auto" w:fill="CCEEFF"/>
            <w:tcMar>
              <w:top w:w="40" w:type="dxa"/>
              <w:left w:w="20" w:type="dxa"/>
              <w:bottom w:w="40" w:type="dxa"/>
              <w:right w:w="20" w:type="dxa"/>
            </w:tcMar>
            <w:vAlign w:val="center"/>
          </w:tcPr>
          <w:p w14:paraId="5DEC550C" w14:textId="77777777" w:rsidR="00B1578D" w:rsidRDefault="004D2C04">
            <w:pPr>
              <w:textAlignment w:val="center"/>
            </w:pPr>
            <w:r>
              <w:rPr>
                <w:rFonts w:ascii="Times New Roman" w:eastAsia="宋体" w:hAnsi="Times New Roman"/>
                <w:color w:val="000000"/>
                <w:sz w:val="16"/>
                <w:szCs w:val="16"/>
              </w:rPr>
              <w:t>Lo</w:t>
            </w:r>
            <w:r>
              <w:rPr>
                <w:rFonts w:ascii="Times New Roman" w:eastAsia="宋体" w:hAnsi="Times New Roman"/>
                <w:color w:val="000000"/>
                <w:sz w:val="16"/>
                <w:szCs w:val="16"/>
              </w:rPr>
              <w:t>ng-term operating lease obligations</w:t>
            </w:r>
          </w:p>
        </w:tc>
        <w:tc>
          <w:tcPr>
            <w:tcW w:w="0" w:type="auto"/>
            <w:gridSpan w:val="3"/>
            <w:shd w:val="clear" w:color="auto" w:fill="CCEEFF"/>
            <w:tcMar>
              <w:top w:w="0" w:type="dxa"/>
              <w:left w:w="20" w:type="dxa"/>
              <w:bottom w:w="0" w:type="dxa"/>
              <w:right w:w="20" w:type="dxa"/>
            </w:tcMar>
            <w:vAlign w:val="bottom"/>
          </w:tcPr>
          <w:p w14:paraId="5DEC550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0E" w14:textId="77777777" w:rsidR="00B1578D" w:rsidRDefault="004D2C04">
            <w:pPr>
              <w:jc w:val="right"/>
              <w:textAlignment w:val="center"/>
            </w:pPr>
            <w:r>
              <w:rPr>
                <w:rFonts w:ascii="Times New Roman" w:eastAsia="宋体" w:hAnsi="Times New Roman"/>
                <w:color w:val="000000"/>
                <w:sz w:val="16"/>
                <w:szCs w:val="16"/>
              </w:rPr>
              <w:t>13,226 </w:t>
            </w:r>
          </w:p>
        </w:tc>
        <w:tc>
          <w:tcPr>
            <w:tcW w:w="0" w:type="auto"/>
            <w:shd w:val="clear" w:color="auto" w:fill="CCEEFF"/>
            <w:tcMar>
              <w:top w:w="40" w:type="dxa"/>
              <w:left w:w="0" w:type="dxa"/>
              <w:bottom w:w="40" w:type="dxa"/>
              <w:right w:w="20" w:type="dxa"/>
            </w:tcMar>
            <w:vAlign w:val="center"/>
          </w:tcPr>
          <w:p w14:paraId="5DEC550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1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11" w14:textId="77777777" w:rsidR="00B1578D" w:rsidRDefault="004D2C04">
            <w:pPr>
              <w:jc w:val="right"/>
              <w:textAlignment w:val="center"/>
            </w:pPr>
            <w:r>
              <w:rPr>
                <w:rFonts w:ascii="Times New Roman" w:eastAsia="宋体" w:hAnsi="Times New Roman"/>
                <w:color w:val="000000"/>
                <w:sz w:val="16"/>
                <w:szCs w:val="16"/>
              </w:rPr>
              <w:t>13,009 </w:t>
            </w:r>
          </w:p>
        </w:tc>
        <w:tc>
          <w:tcPr>
            <w:tcW w:w="0" w:type="auto"/>
            <w:shd w:val="clear" w:color="auto" w:fill="CCEEFF"/>
            <w:tcMar>
              <w:top w:w="40" w:type="dxa"/>
              <w:left w:w="0" w:type="dxa"/>
              <w:bottom w:w="40" w:type="dxa"/>
              <w:right w:w="20" w:type="dxa"/>
            </w:tcMar>
            <w:vAlign w:val="center"/>
          </w:tcPr>
          <w:p w14:paraId="5DEC551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1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14" w14:textId="77777777" w:rsidR="00B1578D" w:rsidRDefault="004D2C04">
            <w:pPr>
              <w:jc w:val="right"/>
              <w:textAlignment w:val="center"/>
            </w:pPr>
            <w:r>
              <w:rPr>
                <w:rFonts w:ascii="Times New Roman" w:eastAsia="宋体" w:hAnsi="Times New Roman"/>
                <w:color w:val="000000"/>
                <w:sz w:val="16"/>
                <w:szCs w:val="16"/>
              </w:rPr>
              <w:t>12,930 </w:t>
            </w:r>
          </w:p>
        </w:tc>
        <w:tc>
          <w:tcPr>
            <w:tcW w:w="0" w:type="auto"/>
            <w:shd w:val="clear" w:color="auto" w:fill="CCEEFF"/>
            <w:tcMar>
              <w:top w:w="40" w:type="dxa"/>
              <w:left w:w="0" w:type="dxa"/>
              <w:bottom w:w="40" w:type="dxa"/>
              <w:right w:w="20" w:type="dxa"/>
            </w:tcMar>
            <w:vAlign w:val="center"/>
          </w:tcPr>
          <w:p w14:paraId="5DEC5515" w14:textId="77777777" w:rsidR="00B1578D" w:rsidRDefault="00B1578D">
            <w:pPr>
              <w:jc w:val="right"/>
              <w:rPr>
                <w:rFonts w:ascii="宋体"/>
              </w:rPr>
            </w:pPr>
          </w:p>
        </w:tc>
      </w:tr>
      <w:tr w:rsidR="00B1578D" w14:paraId="5DEC5521" w14:textId="77777777">
        <w:trPr>
          <w:jc w:val="center"/>
        </w:trPr>
        <w:tc>
          <w:tcPr>
            <w:tcW w:w="0" w:type="auto"/>
            <w:gridSpan w:val="3"/>
            <w:shd w:val="clear" w:color="auto" w:fill="FFFFFF"/>
            <w:tcMar>
              <w:top w:w="40" w:type="dxa"/>
              <w:left w:w="20" w:type="dxa"/>
              <w:bottom w:w="40" w:type="dxa"/>
              <w:right w:w="20" w:type="dxa"/>
            </w:tcMar>
            <w:vAlign w:val="center"/>
          </w:tcPr>
          <w:p w14:paraId="5DEC5517" w14:textId="77777777" w:rsidR="00B1578D" w:rsidRDefault="004D2C04">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FFFFFF"/>
            <w:tcMar>
              <w:top w:w="0" w:type="dxa"/>
              <w:left w:w="20" w:type="dxa"/>
              <w:bottom w:w="0" w:type="dxa"/>
              <w:right w:w="20" w:type="dxa"/>
            </w:tcMar>
            <w:vAlign w:val="bottom"/>
          </w:tcPr>
          <w:p w14:paraId="5DEC551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19" w14:textId="77777777" w:rsidR="00B1578D" w:rsidRDefault="004D2C04">
            <w:pPr>
              <w:jc w:val="right"/>
              <w:textAlignment w:val="center"/>
            </w:pPr>
            <w:r>
              <w:rPr>
                <w:rFonts w:ascii="Times New Roman" w:eastAsia="宋体" w:hAnsi="Times New Roman"/>
                <w:color w:val="000000"/>
                <w:sz w:val="16"/>
                <w:szCs w:val="16"/>
              </w:rPr>
              <w:t>4,409 </w:t>
            </w:r>
          </w:p>
        </w:tc>
        <w:tc>
          <w:tcPr>
            <w:tcW w:w="0" w:type="auto"/>
            <w:shd w:val="clear" w:color="auto" w:fill="FFFFFF"/>
            <w:tcMar>
              <w:top w:w="40" w:type="dxa"/>
              <w:left w:w="0" w:type="dxa"/>
              <w:bottom w:w="40" w:type="dxa"/>
              <w:right w:w="20" w:type="dxa"/>
            </w:tcMar>
            <w:vAlign w:val="center"/>
          </w:tcPr>
          <w:p w14:paraId="5DEC551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1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1C" w14:textId="77777777" w:rsidR="00B1578D" w:rsidRDefault="004D2C04">
            <w:pPr>
              <w:jc w:val="right"/>
              <w:textAlignment w:val="center"/>
            </w:pPr>
            <w:r>
              <w:rPr>
                <w:rFonts w:ascii="Times New Roman" w:eastAsia="宋体" w:hAnsi="Times New Roman"/>
                <w:color w:val="000000"/>
                <w:sz w:val="16"/>
                <w:szCs w:val="16"/>
              </w:rPr>
              <w:t>4,243 </w:t>
            </w:r>
          </w:p>
        </w:tc>
        <w:tc>
          <w:tcPr>
            <w:tcW w:w="0" w:type="auto"/>
            <w:shd w:val="clear" w:color="auto" w:fill="FFFFFF"/>
            <w:tcMar>
              <w:top w:w="40" w:type="dxa"/>
              <w:left w:w="0" w:type="dxa"/>
              <w:bottom w:w="40" w:type="dxa"/>
              <w:right w:w="20" w:type="dxa"/>
            </w:tcMar>
            <w:vAlign w:val="center"/>
          </w:tcPr>
          <w:p w14:paraId="5DEC551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1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1F" w14:textId="77777777" w:rsidR="00B1578D" w:rsidRDefault="004D2C04">
            <w:pPr>
              <w:jc w:val="right"/>
              <w:textAlignment w:val="center"/>
            </w:pPr>
            <w:r>
              <w:rPr>
                <w:rFonts w:ascii="Times New Roman" w:eastAsia="宋体" w:hAnsi="Times New Roman"/>
                <w:color w:val="000000"/>
                <w:sz w:val="16"/>
                <w:szCs w:val="16"/>
              </w:rPr>
              <w:t>3,802 </w:t>
            </w:r>
          </w:p>
        </w:tc>
        <w:tc>
          <w:tcPr>
            <w:tcW w:w="0" w:type="auto"/>
            <w:shd w:val="clear" w:color="auto" w:fill="FFFFFF"/>
            <w:tcMar>
              <w:top w:w="40" w:type="dxa"/>
              <w:left w:w="0" w:type="dxa"/>
              <w:bottom w:w="40" w:type="dxa"/>
              <w:right w:w="20" w:type="dxa"/>
            </w:tcMar>
            <w:vAlign w:val="center"/>
          </w:tcPr>
          <w:p w14:paraId="5DEC5520" w14:textId="77777777" w:rsidR="00B1578D" w:rsidRDefault="00B1578D">
            <w:pPr>
              <w:jc w:val="right"/>
              <w:rPr>
                <w:rFonts w:ascii="宋体"/>
              </w:rPr>
            </w:pPr>
          </w:p>
        </w:tc>
      </w:tr>
      <w:tr w:rsidR="00B1578D" w14:paraId="5DEC5529" w14:textId="77777777">
        <w:trPr>
          <w:jc w:val="center"/>
          <w:hidden/>
        </w:trPr>
        <w:tc>
          <w:tcPr>
            <w:tcW w:w="0" w:type="auto"/>
            <w:gridSpan w:val="3"/>
            <w:shd w:val="clear" w:color="auto" w:fill="auto"/>
            <w:vAlign w:val="bottom"/>
          </w:tcPr>
          <w:p w14:paraId="5DEC5522" w14:textId="77777777" w:rsidR="00B1578D" w:rsidRDefault="00B1578D">
            <w:pPr>
              <w:rPr>
                <w:rFonts w:ascii="宋体"/>
                <w:vanish/>
              </w:rPr>
            </w:pPr>
          </w:p>
        </w:tc>
        <w:tc>
          <w:tcPr>
            <w:tcW w:w="0" w:type="auto"/>
            <w:gridSpan w:val="3"/>
            <w:shd w:val="clear" w:color="auto" w:fill="auto"/>
            <w:vAlign w:val="bottom"/>
          </w:tcPr>
          <w:p w14:paraId="5DEC5523" w14:textId="77777777" w:rsidR="00B1578D" w:rsidRDefault="00B1578D">
            <w:pPr>
              <w:rPr>
                <w:rFonts w:ascii="宋体"/>
                <w:vanish/>
              </w:rPr>
            </w:pPr>
          </w:p>
        </w:tc>
        <w:tc>
          <w:tcPr>
            <w:tcW w:w="0" w:type="auto"/>
            <w:gridSpan w:val="3"/>
            <w:shd w:val="clear" w:color="auto" w:fill="auto"/>
            <w:vAlign w:val="bottom"/>
          </w:tcPr>
          <w:p w14:paraId="5DEC5524" w14:textId="77777777" w:rsidR="00B1578D" w:rsidRDefault="00B1578D">
            <w:pPr>
              <w:rPr>
                <w:rFonts w:ascii="宋体"/>
                <w:vanish/>
              </w:rPr>
            </w:pPr>
          </w:p>
        </w:tc>
        <w:tc>
          <w:tcPr>
            <w:tcW w:w="0" w:type="auto"/>
            <w:gridSpan w:val="3"/>
            <w:shd w:val="clear" w:color="auto" w:fill="auto"/>
            <w:vAlign w:val="bottom"/>
          </w:tcPr>
          <w:p w14:paraId="5DEC5525" w14:textId="77777777" w:rsidR="00B1578D" w:rsidRDefault="00B1578D">
            <w:pPr>
              <w:rPr>
                <w:rFonts w:ascii="宋体"/>
                <w:vanish/>
              </w:rPr>
            </w:pPr>
          </w:p>
        </w:tc>
        <w:tc>
          <w:tcPr>
            <w:tcW w:w="0" w:type="auto"/>
            <w:gridSpan w:val="3"/>
            <w:shd w:val="clear" w:color="auto" w:fill="auto"/>
            <w:vAlign w:val="bottom"/>
          </w:tcPr>
          <w:p w14:paraId="5DEC5526" w14:textId="77777777" w:rsidR="00B1578D" w:rsidRDefault="00B1578D">
            <w:pPr>
              <w:rPr>
                <w:rFonts w:ascii="宋体"/>
                <w:vanish/>
              </w:rPr>
            </w:pPr>
          </w:p>
        </w:tc>
        <w:tc>
          <w:tcPr>
            <w:tcW w:w="0" w:type="auto"/>
            <w:gridSpan w:val="3"/>
            <w:shd w:val="clear" w:color="auto" w:fill="auto"/>
            <w:vAlign w:val="bottom"/>
          </w:tcPr>
          <w:p w14:paraId="5DEC5527" w14:textId="77777777" w:rsidR="00B1578D" w:rsidRDefault="00B1578D">
            <w:pPr>
              <w:rPr>
                <w:rFonts w:ascii="宋体"/>
                <w:vanish/>
              </w:rPr>
            </w:pPr>
          </w:p>
        </w:tc>
        <w:tc>
          <w:tcPr>
            <w:tcW w:w="0" w:type="auto"/>
            <w:gridSpan w:val="3"/>
            <w:shd w:val="clear" w:color="auto" w:fill="auto"/>
            <w:vAlign w:val="bottom"/>
          </w:tcPr>
          <w:p w14:paraId="5DEC5528" w14:textId="77777777" w:rsidR="00B1578D" w:rsidRDefault="00B1578D">
            <w:pPr>
              <w:rPr>
                <w:rFonts w:ascii="宋体"/>
                <w:vanish/>
              </w:rPr>
            </w:pPr>
          </w:p>
        </w:tc>
      </w:tr>
      <w:tr w:rsidR="00B1578D" w14:paraId="5DEC5534" w14:textId="77777777">
        <w:trPr>
          <w:jc w:val="center"/>
        </w:trPr>
        <w:tc>
          <w:tcPr>
            <w:tcW w:w="0" w:type="auto"/>
            <w:gridSpan w:val="3"/>
            <w:shd w:val="clear" w:color="auto" w:fill="CCEEFF"/>
            <w:tcMar>
              <w:top w:w="40" w:type="dxa"/>
              <w:left w:w="20" w:type="dxa"/>
              <w:bottom w:w="40" w:type="dxa"/>
              <w:right w:w="20" w:type="dxa"/>
            </w:tcMar>
            <w:vAlign w:val="center"/>
          </w:tcPr>
          <w:p w14:paraId="5DEC552A" w14:textId="77777777" w:rsidR="00B1578D" w:rsidRDefault="004D2C04">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vAlign w:val="bottom"/>
          </w:tcPr>
          <w:p w14:paraId="5DEC552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2C" w14:textId="77777777" w:rsidR="00B1578D" w:rsidRDefault="004D2C04">
            <w:pPr>
              <w:jc w:val="right"/>
              <w:textAlignment w:val="center"/>
            </w:pPr>
            <w:r>
              <w:rPr>
                <w:rFonts w:ascii="Times New Roman" w:eastAsia="宋体" w:hAnsi="Times New Roman"/>
                <w:color w:val="000000"/>
                <w:sz w:val="16"/>
                <w:szCs w:val="16"/>
              </w:rPr>
              <w:t>13,943 </w:t>
            </w:r>
          </w:p>
        </w:tc>
        <w:tc>
          <w:tcPr>
            <w:tcW w:w="0" w:type="auto"/>
            <w:shd w:val="clear" w:color="auto" w:fill="CCEEFF"/>
            <w:tcMar>
              <w:top w:w="40" w:type="dxa"/>
              <w:left w:w="0" w:type="dxa"/>
              <w:bottom w:w="40" w:type="dxa"/>
              <w:right w:w="20" w:type="dxa"/>
            </w:tcMar>
            <w:vAlign w:val="center"/>
          </w:tcPr>
          <w:p w14:paraId="5DEC552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2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2F" w14:textId="77777777" w:rsidR="00B1578D" w:rsidRDefault="004D2C04">
            <w:pPr>
              <w:jc w:val="right"/>
              <w:textAlignment w:val="center"/>
            </w:pPr>
            <w:r>
              <w:rPr>
                <w:rFonts w:ascii="Times New Roman" w:eastAsia="宋体" w:hAnsi="Times New Roman"/>
                <w:color w:val="000000"/>
                <w:sz w:val="16"/>
                <w:szCs w:val="16"/>
              </w:rPr>
              <w:t>13,474 </w:t>
            </w:r>
          </w:p>
        </w:tc>
        <w:tc>
          <w:tcPr>
            <w:tcW w:w="0" w:type="auto"/>
            <w:shd w:val="clear" w:color="auto" w:fill="CCEEFF"/>
            <w:tcMar>
              <w:top w:w="40" w:type="dxa"/>
              <w:left w:w="0" w:type="dxa"/>
              <w:bottom w:w="40" w:type="dxa"/>
              <w:right w:w="20" w:type="dxa"/>
            </w:tcMar>
            <w:vAlign w:val="center"/>
          </w:tcPr>
          <w:p w14:paraId="5DEC553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3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32" w14:textId="77777777" w:rsidR="00B1578D" w:rsidRDefault="004D2C04">
            <w:pPr>
              <w:jc w:val="right"/>
              <w:textAlignment w:val="center"/>
            </w:pPr>
            <w:r>
              <w:rPr>
                <w:rFonts w:ascii="Times New Roman" w:eastAsia="宋体" w:hAnsi="Times New Roman"/>
                <w:color w:val="000000"/>
                <w:sz w:val="16"/>
                <w:szCs w:val="16"/>
              </w:rPr>
              <w:t>14,143 </w:t>
            </w:r>
          </w:p>
        </w:tc>
        <w:tc>
          <w:tcPr>
            <w:tcW w:w="0" w:type="auto"/>
            <w:shd w:val="clear" w:color="auto" w:fill="CCEEFF"/>
            <w:tcMar>
              <w:top w:w="40" w:type="dxa"/>
              <w:left w:w="0" w:type="dxa"/>
              <w:bottom w:w="40" w:type="dxa"/>
              <w:right w:w="20" w:type="dxa"/>
            </w:tcMar>
            <w:vAlign w:val="center"/>
          </w:tcPr>
          <w:p w14:paraId="5DEC5533" w14:textId="77777777" w:rsidR="00B1578D" w:rsidRDefault="00B1578D">
            <w:pPr>
              <w:jc w:val="right"/>
              <w:rPr>
                <w:rFonts w:ascii="宋体"/>
              </w:rPr>
            </w:pPr>
          </w:p>
        </w:tc>
      </w:tr>
      <w:tr w:rsidR="00B1578D" w14:paraId="5DEC553C" w14:textId="77777777">
        <w:trPr>
          <w:trHeight w:val="240"/>
          <w:jc w:val="center"/>
        </w:trPr>
        <w:tc>
          <w:tcPr>
            <w:tcW w:w="0" w:type="auto"/>
            <w:gridSpan w:val="3"/>
            <w:shd w:val="clear" w:color="auto" w:fill="FFFFFF"/>
            <w:tcMar>
              <w:top w:w="0" w:type="dxa"/>
              <w:left w:w="20" w:type="dxa"/>
              <w:bottom w:w="0" w:type="dxa"/>
              <w:right w:w="20" w:type="dxa"/>
            </w:tcMar>
            <w:vAlign w:val="bottom"/>
          </w:tcPr>
          <w:p w14:paraId="5DEC553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3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37"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3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39"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3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3B" w14:textId="77777777" w:rsidR="00B1578D" w:rsidRDefault="00B1578D">
            <w:pPr>
              <w:rPr>
                <w:rFonts w:ascii="宋体"/>
              </w:rPr>
            </w:pPr>
          </w:p>
        </w:tc>
      </w:tr>
      <w:tr w:rsidR="00B1578D" w14:paraId="5DEC5544" w14:textId="77777777">
        <w:trPr>
          <w:jc w:val="center"/>
        </w:trPr>
        <w:tc>
          <w:tcPr>
            <w:tcW w:w="0" w:type="auto"/>
            <w:gridSpan w:val="3"/>
            <w:shd w:val="clear" w:color="auto" w:fill="CCEEFF"/>
            <w:tcMar>
              <w:top w:w="40" w:type="dxa"/>
              <w:left w:w="20" w:type="dxa"/>
              <w:bottom w:w="40" w:type="dxa"/>
              <w:right w:w="20" w:type="dxa"/>
            </w:tcMar>
            <w:vAlign w:val="center"/>
          </w:tcPr>
          <w:p w14:paraId="5DEC553D" w14:textId="77777777" w:rsidR="00B1578D" w:rsidRDefault="004D2C04">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CCEEFF"/>
            <w:tcMar>
              <w:top w:w="0" w:type="dxa"/>
              <w:left w:w="20" w:type="dxa"/>
              <w:bottom w:w="0" w:type="dxa"/>
              <w:right w:w="20" w:type="dxa"/>
            </w:tcMar>
            <w:vAlign w:val="bottom"/>
          </w:tcPr>
          <w:p w14:paraId="5DEC553E"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3F"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40"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41"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42"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43" w14:textId="77777777" w:rsidR="00B1578D" w:rsidRDefault="00B1578D">
            <w:pPr>
              <w:rPr>
                <w:rFonts w:ascii="宋体"/>
              </w:rPr>
            </w:pPr>
          </w:p>
        </w:tc>
      </w:tr>
      <w:tr w:rsidR="00B1578D" w14:paraId="5DEC554C" w14:textId="77777777">
        <w:trPr>
          <w:trHeight w:val="240"/>
          <w:jc w:val="center"/>
        </w:trPr>
        <w:tc>
          <w:tcPr>
            <w:tcW w:w="0" w:type="auto"/>
            <w:gridSpan w:val="3"/>
            <w:shd w:val="clear" w:color="auto" w:fill="FFFFFF"/>
            <w:tcMar>
              <w:top w:w="0" w:type="dxa"/>
              <w:left w:w="20" w:type="dxa"/>
              <w:bottom w:w="0" w:type="dxa"/>
              <w:right w:w="20" w:type="dxa"/>
            </w:tcMar>
            <w:vAlign w:val="bottom"/>
          </w:tcPr>
          <w:p w14:paraId="5DEC554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4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47"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4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49"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4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4B" w14:textId="77777777" w:rsidR="00B1578D" w:rsidRDefault="00B1578D">
            <w:pPr>
              <w:rPr>
                <w:rFonts w:ascii="宋体"/>
              </w:rPr>
            </w:pPr>
          </w:p>
        </w:tc>
      </w:tr>
      <w:tr w:rsidR="00B1578D" w14:paraId="5DEC5557" w14:textId="77777777">
        <w:trPr>
          <w:jc w:val="center"/>
        </w:trPr>
        <w:tc>
          <w:tcPr>
            <w:tcW w:w="0" w:type="auto"/>
            <w:gridSpan w:val="3"/>
            <w:shd w:val="clear" w:color="auto" w:fill="CCEEFF"/>
            <w:tcMar>
              <w:top w:w="40" w:type="dxa"/>
              <w:left w:w="20" w:type="dxa"/>
              <w:bottom w:w="40" w:type="dxa"/>
              <w:right w:w="20" w:type="dxa"/>
            </w:tcMar>
            <w:vAlign w:val="center"/>
          </w:tcPr>
          <w:p w14:paraId="5DEC554D" w14:textId="77777777" w:rsidR="00B1578D" w:rsidRDefault="004D2C04">
            <w:pPr>
              <w:textAlignment w:val="center"/>
            </w:pPr>
            <w:r>
              <w:rPr>
                <w:rFonts w:ascii="Times New Roman" w:eastAsia="宋体" w:hAnsi="Times New Roman"/>
                <w:color w:val="000000"/>
                <w:sz w:val="16"/>
                <w:szCs w:val="16"/>
              </w:rPr>
              <w:t>Redeemable noncontrolling interest</w:t>
            </w:r>
          </w:p>
        </w:tc>
        <w:tc>
          <w:tcPr>
            <w:tcW w:w="0" w:type="auto"/>
            <w:gridSpan w:val="3"/>
            <w:shd w:val="clear" w:color="auto" w:fill="CCEEFF"/>
            <w:tcMar>
              <w:top w:w="0" w:type="dxa"/>
              <w:left w:w="20" w:type="dxa"/>
              <w:bottom w:w="0" w:type="dxa"/>
              <w:right w:w="20" w:type="dxa"/>
            </w:tcMar>
            <w:vAlign w:val="bottom"/>
          </w:tcPr>
          <w:p w14:paraId="5DEC554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4F" w14:textId="77777777" w:rsidR="00B1578D" w:rsidRDefault="004D2C04">
            <w:pPr>
              <w:jc w:val="right"/>
              <w:textAlignment w:val="center"/>
            </w:pPr>
            <w:r>
              <w:rPr>
                <w:rFonts w:ascii="Times New Roman" w:eastAsia="宋体" w:hAnsi="Times New Roman"/>
                <w:color w:val="000000"/>
                <w:sz w:val="16"/>
                <w:szCs w:val="16"/>
              </w:rPr>
              <w:t>260 </w:t>
            </w:r>
          </w:p>
        </w:tc>
        <w:tc>
          <w:tcPr>
            <w:tcW w:w="0" w:type="auto"/>
            <w:shd w:val="clear" w:color="auto" w:fill="CCEEFF"/>
            <w:tcMar>
              <w:top w:w="40" w:type="dxa"/>
              <w:left w:w="0" w:type="dxa"/>
              <w:bottom w:w="40" w:type="dxa"/>
              <w:right w:w="20" w:type="dxa"/>
            </w:tcMar>
            <w:vAlign w:val="center"/>
          </w:tcPr>
          <w:p w14:paraId="5DEC555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5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52"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55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5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55"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556" w14:textId="77777777" w:rsidR="00B1578D" w:rsidRDefault="00B1578D">
            <w:pPr>
              <w:jc w:val="right"/>
              <w:rPr>
                <w:rFonts w:ascii="宋体"/>
              </w:rPr>
            </w:pPr>
          </w:p>
        </w:tc>
      </w:tr>
      <w:tr w:rsidR="00B1578D" w14:paraId="5DEC555F" w14:textId="77777777">
        <w:trPr>
          <w:trHeight w:val="240"/>
          <w:jc w:val="center"/>
        </w:trPr>
        <w:tc>
          <w:tcPr>
            <w:tcW w:w="0" w:type="auto"/>
            <w:gridSpan w:val="3"/>
            <w:shd w:val="clear" w:color="auto" w:fill="FFFFFF"/>
            <w:tcMar>
              <w:top w:w="0" w:type="dxa"/>
              <w:left w:w="20" w:type="dxa"/>
              <w:bottom w:w="0" w:type="dxa"/>
              <w:right w:w="20" w:type="dxa"/>
            </w:tcMar>
            <w:vAlign w:val="bottom"/>
          </w:tcPr>
          <w:p w14:paraId="5DEC555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59"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5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5B"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5C"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5D"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55E" w14:textId="77777777" w:rsidR="00B1578D" w:rsidRDefault="00B1578D">
            <w:pPr>
              <w:rPr>
                <w:rFonts w:ascii="宋体"/>
              </w:rPr>
            </w:pPr>
          </w:p>
        </w:tc>
      </w:tr>
      <w:tr w:rsidR="00B1578D" w14:paraId="5DEC5567" w14:textId="77777777">
        <w:trPr>
          <w:jc w:val="center"/>
        </w:trPr>
        <w:tc>
          <w:tcPr>
            <w:tcW w:w="0" w:type="auto"/>
            <w:gridSpan w:val="3"/>
            <w:shd w:val="clear" w:color="auto" w:fill="CCEEFF"/>
            <w:tcMar>
              <w:top w:w="40" w:type="dxa"/>
              <w:left w:w="20" w:type="dxa"/>
              <w:bottom w:w="40" w:type="dxa"/>
              <w:right w:w="20" w:type="dxa"/>
            </w:tcMar>
            <w:vAlign w:val="center"/>
          </w:tcPr>
          <w:p w14:paraId="5DEC5560" w14:textId="77777777" w:rsidR="00B1578D" w:rsidRDefault="004D2C04">
            <w:pPr>
              <w:textAlignment w:val="center"/>
            </w:pPr>
            <w:r>
              <w:rPr>
                <w:rFonts w:ascii="Times New Roman" w:eastAsia="宋体" w:hAnsi="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bottom"/>
          </w:tcPr>
          <w:p w14:paraId="5DEC5561"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62"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63"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64"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65"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566" w14:textId="77777777" w:rsidR="00B1578D" w:rsidRDefault="00B1578D">
            <w:pPr>
              <w:rPr>
                <w:rFonts w:ascii="宋体"/>
              </w:rPr>
            </w:pPr>
          </w:p>
        </w:tc>
      </w:tr>
      <w:tr w:rsidR="00B1578D" w14:paraId="5DEC5572" w14:textId="77777777">
        <w:trPr>
          <w:jc w:val="center"/>
        </w:trPr>
        <w:tc>
          <w:tcPr>
            <w:tcW w:w="0" w:type="auto"/>
            <w:gridSpan w:val="3"/>
            <w:shd w:val="clear" w:color="auto" w:fill="FFFFFF"/>
            <w:tcMar>
              <w:top w:w="40" w:type="dxa"/>
              <w:left w:w="380" w:type="dxa"/>
              <w:bottom w:w="40" w:type="dxa"/>
              <w:right w:w="20" w:type="dxa"/>
            </w:tcMar>
            <w:vAlign w:val="center"/>
          </w:tcPr>
          <w:p w14:paraId="5DEC5568" w14:textId="77777777" w:rsidR="00B1578D" w:rsidRDefault="004D2C04">
            <w:pPr>
              <w:textAlignment w:val="center"/>
            </w:pPr>
            <w:r>
              <w:rPr>
                <w:rFonts w:ascii="Times New Roman" w:eastAsia="宋体" w:hAnsi="Times New Roman"/>
                <w:color w:val="000000"/>
                <w:sz w:val="16"/>
                <w:szCs w:val="16"/>
              </w:rPr>
              <w:t>Common stock</w:t>
            </w:r>
          </w:p>
        </w:tc>
        <w:tc>
          <w:tcPr>
            <w:tcW w:w="0" w:type="auto"/>
            <w:gridSpan w:val="3"/>
            <w:shd w:val="clear" w:color="auto" w:fill="FFFFFF"/>
            <w:tcMar>
              <w:top w:w="0" w:type="dxa"/>
              <w:left w:w="20" w:type="dxa"/>
              <w:bottom w:w="0" w:type="dxa"/>
              <w:right w:w="20" w:type="dxa"/>
            </w:tcMar>
            <w:vAlign w:val="bottom"/>
          </w:tcPr>
          <w:p w14:paraId="5DEC556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6A" w14:textId="77777777" w:rsidR="00B1578D" w:rsidRDefault="004D2C04">
            <w:pPr>
              <w:jc w:val="right"/>
              <w:textAlignment w:val="center"/>
            </w:pPr>
            <w:r>
              <w:rPr>
                <w:rFonts w:ascii="Times New Roman" w:eastAsia="宋体" w:hAnsi="Times New Roman"/>
                <w:color w:val="000000"/>
                <w:sz w:val="16"/>
                <w:szCs w:val="16"/>
              </w:rPr>
              <w:t>275 </w:t>
            </w:r>
          </w:p>
        </w:tc>
        <w:tc>
          <w:tcPr>
            <w:tcW w:w="0" w:type="auto"/>
            <w:shd w:val="clear" w:color="auto" w:fill="FFFFFF"/>
            <w:tcMar>
              <w:top w:w="40" w:type="dxa"/>
              <w:left w:w="0" w:type="dxa"/>
              <w:bottom w:w="40" w:type="dxa"/>
              <w:right w:w="20" w:type="dxa"/>
            </w:tcMar>
            <w:vAlign w:val="center"/>
          </w:tcPr>
          <w:p w14:paraId="5DEC556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6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6D" w14:textId="77777777" w:rsidR="00B1578D" w:rsidRDefault="004D2C04">
            <w:pPr>
              <w:jc w:val="right"/>
              <w:textAlignment w:val="center"/>
            </w:pPr>
            <w:r>
              <w:rPr>
                <w:rFonts w:ascii="Times New Roman" w:eastAsia="宋体" w:hAnsi="Times New Roman"/>
                <w:color w:val="000000"/>
                <w:sz w:val="16"/>
                <w:szCs w:val="16"/>
              </w:rPr>
              <w:t>276 </w:t>
            </w:r>
          </w:p>
        </w:tc>
        <w:tc>
          <w:tcPr>
            <w:tcW w:w="0" w:type="auto"/>
            <w:shd w:val="clear" w:color="auto" w:fill="FFFFFF"/>
            <w:tcMar>
              <w:top w:w="40" w:type="dxa"/>
              <w:left w:w="0" w:type="dxa"/>
              <w:bottom w:w="40" w:type="dxa"/>
              <w:right w:w="20" w:type="dxa"/>
            </w:tcMar>
            <w:vAlign w:val="center"/>
          </w:tcPr>
          <w:p w14:paraId="5DEC556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6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70" w14:textId="77777777" w:rsidR="00B1578D" w:rsidRDefault="004D2C04">
            <w:pPr>
              <w:jc w:val="right"/>
              <w:textAlignment w:val="center"/>
            </w:pPr>
            <w:r>
              <w:rPr>
                <w:rFonts w:ascii="Times New Roman" w:eastAsia="宋体" w:hAnsi="Times New Roman"/>
                <w:color w:val="000000"/>
                <w:sz w:val="16"/>
                <w:szCs w:val="16"/>
              </w:rPr>
              <w:t>280 </w:t>
            </w:r>
          </w:p>
        </w:tc>
        <w:tc>
          <w:tcPr>
            <w:tcW w:w="0" w:type="auto"/>
            <w:shd w:val="clear" w:color="auto" w:fill="FFFFFF"/>
            <w:tcMar>
              <w:top w:w="40" w:type="dxa"/>
              <w:left w:w="0" w:type="dxa"/>
              <w:bottom w:w="40" w:type="dxa"/>
              <w:right w:w="20" w:type="dxa"/>
            </w:tcMar>
            <w:vAlign w:val="center"/>
          </w:tcPr>
          <w:p w14:paraId="5DEC5571" w14:textId="77777777" w:rsidR="00B1578D" w:rsidRDefault="00B1578D">
            <w:pPr>
              <w:jc w:val="right"/>
              <w:rPr>
                <w:rFonts w:ascii="宋体"/>
              </w:rPr>
            </w:pPr>
          </w:p>
        </w:tc>
      </w:tr>
      <w:tr w:rsidR="00B1578D" w14:paraId="5DEC557D" w14:textId="77777777">
        <w:trPr>
          <w:jc w:val="center"/>
        </w:trPr>
        <w:tc>
          <w:tcPr>
            <w:tcW w:w="0" w:type="auto"/>
            <w:gridSpan w:val="3"/>
            <w:shd w:val="clear" w:color="auto" w:fill="CCEEFF"/>
            <w:tcMar>
              <w:top w:w="40" w:type="dxa"/>
              <w:left w:w="380" w:type="dxa"/>
              <w:bottom w:w="40" w:type="dxa"/>
              <w:right w:w="20" w:type="dxa"/>
            </w:tcMar>
            <w:vAlign w:val="center"/>
          </w:tcPr>
          <w:p w14:paraId="5DEC5573" w14:textId="77777777" w:rsidR="00B1578D" w:rsidRDefault="004D2C04">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CCEEFF"/>
            <w:tcMar>
              <w:top w:w="0" w:type="dxa"/>
              <w:left w:w="20" w:type="dxa"/>
              <w:bottom w:w="0" w:type="dxa"/>
              <w:right w:w="20" w:type="dxa"/>
            </w:tcMar>
            <w:vAlign w:val="bottom"/>
          </w:tcPr>
          <w:p w14:paraId="5DEC557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75" w14:textId="77777777" w:rsidR="00B1578D" w:rsidRDefault="004D2C04">
            <w:pPr>
              <w:jc w:val="right"/>
              <w:textAlignment w:val="center"/>
            </w:pPr>
            <w:r>
              <w:rPr>
                <w:rFonts w:ascii="Times New Roman" w:eastAsia="宋体" w:hAnsi="Times New Roman"/>
                <w:color w:val="000000"/>
                <w:sz w:val="16"/>
                <w:szCs w:val="16"/>
              </w:rPr>
              <w:t>4,587 </w:t>
            </w:r>
          </w:p>
        </w:tc>
        <w:tc>
          <w:tcPr>
            <w:tcW w:w="0" w:type="auto"/>
            <w:shd w:val="clear" w:color="auto" w:fill="CCEEFF"/>
            <w:tcMar>
              <w:top w:w="40" w:type="dxa"/>
              <w:left w:w="0" w:type="dxa"/>
              <w:bottom w:w="40" w:type="dxa"/>
              <w:right w:w="20" w:type="dxa"/>
            </w:tcMar>
            <w:vAlign w:val="center"/>
          </w:tcPr>
          <w:p w14:paraId="5DEC557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7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78" w14:textId="77777777" w:rsidR="00B1578D" w:rsidRDefault="004D2C04">
            <w:pPr>
              <w:jc w:val="right"/>
              <w:textAlignment w:val="center"/>
            </w:pPr>
            <w:r>
              <w:rPr>
                <w:rFonts w:ascii="Times New Roman" w:eastAsia="宋体" w:hAnsi="Times New Roman"/>
                <w:color w:val="000000"/>
                <w:sz w:val="16"/>
                <w:szCs w:val="16"/>
              </w:rPr>
              <w:t>4,839 </w:t>
            </w:r>
          </w:p>
        </w:tc>
        <w:tc>
          <w:tcPr>
            <w:tcW w:w="0" w:type="auto"/>
            <w:shd w:val="clear" w:color="auto" w:fill="CCEEFF"/>
            <w:tcMar>
              <w:top w:w="40" w:type="dxa"/>
              <w:left w:w="0" w:type="dxa"/>
              <w:bottom w:w="40" w:type="dxa"/>
              <w:right w:w="20" w:type="dxa"/>
            </w:tcMar>
            <w:vAlign w:val="center"/>
          </w:tcPr>
          <w:p w14:paraId="5DEC557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7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7B" w14:textId="77777777" w:rsidR="00B1578D" w:rsidRDefault="004D2C04">
            <w:pPr>
              <w:jc w:val="right"/>
              <w:textAlignment w:val="center"/>
            </w:pPr>
            <w:r>
              <w:rPr>
                <w:rFonts w:ascii="Times New Roman" w:eastAsia="宋体" w:hAnsi="Times New Roman"/>
                <w:color w:val="000000"/>
                <w:sz w:val="16"/>
                <w:szCs w:val="16"/>
              </w:rPr>
              <w:t>3,424 </w:t>
            </w:r>
          </w:p>
        </w:tc>
        <w:tc>
          <w:tcPr>
            <w:tcW w:w="0" w:type="auto"/>
            <w:shd w:val="clear" w:color="auto" w:fill="CCEEFF"/>
            <w:tcMar>
              <w:top w:w="40" w:type="dxa"/>
              <w:left w:w="0" w:type="dxa"/>
              <w:bottom w:w="40" w:type="dxa"/>
              <w:right w:w="20" w:type="dxa"/>
            </w:tcMar>
            <w:vAlign w:val="center"/>
          </w:tcPr>
          <w:p w14:paraId="5DEC557C" w14:textId="77777777" w:rsidR="00B1578D" w:rsidRDefault="00B1578D">
            <w:pPr>
              <w:jc w:val="right"/>
              <w:rPr>
                <w:rFonts w:ascii="宋体"/>
              </w:rPr>
            </w:pPr>
          </w:p>
        </w:tc>
      </w:tr>
      <w:tr w:rsidR="00B1578D" w14:paraId="5DEC5588" w14:textId="77777777">
        <w:trPr>
          <w:jc w:val="center"/>
        </w:trPr>
        <w:tc>
          <w:tcPr>
            <w:tcW w:w="0" w:type="auto"/>
            <w:gridSpan w:val="3"/>
            <w:shd w:val="clear" w:color="auto" w:fill="FFFFFF"/>
            <w:tcMar>
              <w:top w:w="40" w:type="dxa"/>
              <w:left w:w="380" w:type="dxa"/>
              <w:bottom w:w="40" w:type="dxa"/>
              <w:right w:w="20" w:type="dxa"/>
            </w:tcMar>
            <w:vAlign w:val="center"/>
          </w:tcPr>
          <w:p w14:paraId="5DEC557E" w14:textId="77777777" w:rsidR="00B1578D" w:rsidRDefault="004D2C04">
            <w:pPr>
              <w:textAlignment w:val="center"/>
            </w:pPr>
            <w:r>
              <w:rPr>
                <w:rFonts w:ascii="Times New Roman" w:eastAsia="宋体" w:hAnsi="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bottom"/>
          </w:tcPr>
          <w:p w14:paraId="5DEC557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80" w14:textId="77777777" w:rsidR="00B1578D" w:rsidRDefault="004D2C04">
            <w:pPr>
              <w:jc w:val="right"/>
              <w:textAlignment w:val="center"/>
            </w:pPr>
            <w:r>
              <w:rPr>
                <w:rFonts w:ascii="Times New Roman" w:eastAsia="宋体" w:hAnsi="Times New Roman"/>
                <w:color w:val="000000"/>
                <w:sz w:val="16"/>
                <w:szCs w:val="16"/>
              </w:rPr>
              <w:t>80,532 </w:t>
            </w:r>
          </w:p>
        </w:tc>
        <w:tc>
          <w:tcPr>
            <w:tcW w:w="0" w:type="auto"/>
            <w:shd w:val="clear" w:color="auto" w:fill="FFFFFF"/>
            <w:tcMar>
              <w:top w:w="40" w:type="dxa"/>
              <w:left w:w="0" w:type="dxa"/>
              <w:bottom w:w="40" w:type="dxa"/>
              <w:right w:w="20" w:type="dxa"/>
            </w:tcMar>
            <w:vAlign w:val="center"/>
          </w:tcPr>
          <w:p w14:paraId="5DEC558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8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83" w14:textId="77777777" w:rsidR="00B1578D" w:rsidRDefault="004D2C04">
            <w:pPr>
              <w:jc w:val="right"/>
              <w:textAlignment w:val="center"/>
            </w:pPr>
            <w:r>
              <w:rPr>
                <w:rFonts w:ascii="Times New Roman" w:eastAsia="宋体" w:hAnsi="Times New Roman"/>
                <w:color w:val="000000"/>
                <w:sz w:val="16"/>
                <w:szCs w:val="16"/>
              </w:rPr>
              <w:t>86,904 </w:t>
            </w:r>
          </w:p>
        </w:tc>
        <w:tc>
          <w:tcPr>
            <w:tcW w:w="0" w:type="auto"/>
            <w:shd w:val="clear" w:color="auto" w:fill="FFFFFF"/>
            <w:tcMar>
              <w:top w:w="40" w:type="dxa"/>
              <w:left w:w="0" w:type="dxa"/>
              <w:bottom w:w="40" w:type="dxa"/>
              <w:right w:w="20" w:type="dxa"/>
            </w:tcMar>
            <w:vAlign w:val="center"/>
          </w:tcPr>
          <w:p w14:paraId="5DEC558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8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586" w14:textId="77777777" w:rsidR="00B1578D" w:rsidRDefault="004D2C04">
            <w:pPr>
              <w:jc w:val="right"/>
              <w:textAlignment w:val="center"/>
            </w:pPr>
            <w:r>
              <w:rPr>
                <w:rFonts w:ascii="Times New Roman" w:eastAsia="宋体" w:hAnsi="Times New Roman"/>
                <w:color w:val="000000"/>
                <w:sz w:val="16"/>
                <w:szCs w:val="16"/>
              </w:rPr>
              <w:t>82,577 </w:t>
            </w:r>
          </w:p>
        </w:tc>
        <w:tc>
          <w:tcPr>
            <w:tcW w:w="0" w:type="auto"/>
            <w:shd w:val="clear" w:color="auto" w:fill="FFFFFF"/>
            <w:tcMar>
              <w:top w:w="40" w:type="dxa"/>
              <w:left w:w="0" w:type="dxa"/>
              <w:bottom w:w="40" w:type="dxa"/>
              <w:right w:w="20" w:type="dxa"/>
            </w:tcMar>
            <w:vAlign w:val="center"/>
          </w:tcPr>
          <w:p w14:paraId="5DEC5587" w14:textId="77777777" w:rsidR="00B1578D" w:rsidRDefault="00B1578D">
            <w:pPr>
              <w:jc w:val="right"/>
              <w:rPr>
                <w:rFonts w:ascii="宋体"/>
              </w:rPr>
            </w:pPr>
          </w:p>
        </w:tc>
      </w:tr>
      <w:tr w:rsidR="00B1578D" w14:paraId="5DEC5593" w14:textId="77777777">
        <w:trPr>
          <w:jc w:val="center"/>
        </w:trPr>
        <w:tc>
          <w:tcPr>
            <w:tcW w:w="0" w:type="auto"/>
            <w:gridSpan w:val="3"/>
            <w:shd w:val="clear" w:color="auto" w:fill="CCEEFF"/>
            <w:tcMar>
              <w:top w:w="40" w:type="dxa"/>
              <w:left w:w="380" w:type="dxa"/>
              <w:bottom w:w="40" w:type="dxa"/>
              <w:right w:w="20" w:type="dxa"/>
            </w:tcMar>
            <w:vAlign w:val="center"/>
          </w:tcPr>
          <w:p w14:paraId="5DEC5589" w14:textId="77777777" w:rsidR="00B1578D" w:rsidRDefault="004D2C04">
            <w:pPr>
              <w:textAlignment w:val="center"/>
            </w:pPr>
            <w:r>
              <w:rPr>
                <w:rFonts w:ascii="Times New Roman" w:eastAsia="宋体" w:hAnsi="Times New Roman"/>
                <w:color w:val="000000"/>
                <w:sz w:val="16"/>
                <w:szCs w:val="16"/>
              </w:rPr>
              <w:t>Accumulated other comprehensive loss</w:t>
            </w:r>
          </w:p>
        </w:tc>
        <w:tc>
          <w:tcPr>
            <w:tcW w:w="0" w:type="auto"/>
            <w:gridSpan w:val="3"/>
            <w:shd w:val="clear" w:color="auto" w:fill="CCEEFF"/>
            <w:tcMar>
              <w:top w:w="0" w:type="dxa"/>
              <w:left w:w="20" w:type="dxa"/>
              <w:bottom w:w="0" w:type="dxa"/>
              <w:right w:w="20" w:type="dxa"/>
            </w:tcMar>
            <w:vAlign w:val="bottom"/>
          </w:tcPr>
          <w:p w14:paraId="5DEC558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8B" w14:textId="77777777" w:rsidR="00B1578D" w:rsidRDefault="004D2C04">
            <w:pPr>
              <w:jc w:val="right"/>
              <w:textAlignment w:val="center"/>
            </w:pPr>
            <w:r>
              <w:rPr>
                <w:rFonts w:ascii="Times New Roman" w:eastAsia="宋体" w:hAnsi="Times New Roman"/>
                <w:color w:val="000000"/>
                <w:sz w:val="16"/>
                <w:szCs w:val="16"/>
              </w:rPr>
              <w:t>(8,498)</w:t>
            </w:r>
          </w:p>
        </w:tc>
        <w:tc>
          <w:tcPr>
            <w:tcW w:w="0" w:type="auto"/>
            <w:shd w:val="clear" w:color="auto" w:fill="CCEEFF"/>
            <w:tcMar>
              <w:top w:w="40" w:type="dxa"/>
              <w:left w:w="0" w:type="dxa"/>
              <w:bottom w:w="40" w:type="dxa"/>
              <w:right w:w="20" w:type="dxa"/>
            </w:tcMar>
            <w:vAlign w:val="center"/>
          </w:tcPr>
          <w:p w14:paraId="5DEC558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8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8E" w14:textId="77777777" w:rsidR="00B1578D" w:rsidRDefault="004D2C04">
            <w:pPr>
              <w:jc w:val="right"/>
              <w:textAlignment w:val="center"/>
            </w:pPr>
            <w:r>
              <w:rPr>
                <w:rFonts w:ascii="Times New Roman" w:eastAsia="宋体" w:hAnsi="Times New Roman"/>
                <w:color w:val="000000"/>
                <w:sz w:val="16"/>
                <w:szCs w:val="16"/>
              </w:rPr>
              <w:t>(8,766)</w:t>
            </w:r>
          </w:p>
        </w:tc>
        <w:tc>
          <w:tcPr>
            <w:tcW w:w="0" w:type="auto"/>
            <w:shd w:val="clear" w:color="auto" w:fill="CCEEFF"/>
            <w:tcMar>
              <w:top w:w="40" w:type="dxa"/>
              <w:left w:w="0" w:type="dxa"/>
              <w:bottom w:w="40" w:type="dxa"/>
              <w:right w:w="20" w:type="dxa"/>
            </w:tcMar>
            <w:vAlign w:val="center"/>
          </w:tcPr>
          <w:p w14:paraId="5DEC558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9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91" w14:textId="77777777" w:rsidR="00B1578D" w:rsidRDefault="004D2C04">
            <w:pPr>
              <w:jc w:val="right"/>
              <w:textAlignment w:val="center"/>
            </w:pPr>
            <w:r>
              <w:rPr>
                <w:rFonts w:ascii="Times New Roman" w:eastAsia="宋体" w:hAnsi="Times New Roman"/>
                <w:color w:val="000000"/>
                <w:sz w:val="16"/>
                <w:szCs w:val="16"/>
              </w:rPr>
              <w:t>(7,946)</w:t>
            </w:r>
          </w:p>
        </w:tc>
        <w:tc>
          <w:tcPr>
            <w:tcW w:w="0" w:type="auto"/>
            <w:shd w:val="clear" w:color="auto" w:fill="CCEEFF"/>
            <w:tcMar>
              <w:top w:w="40" w:type="dxa"/>
              <w:left w:w="0" w:type="dxa"/>
              <w:bottom w:w="40" w:type="dxa"/>
              <w:right w:w="20" w:type="dxa"/>
            </w:tcMar>
            <w:vAlign w:val="center"/>
          </w:tcPr>
          <w:p w14:paraId="5DEC5592" w14:textId="77777777" w:rsidR="00B1578D" w:rsidRDefault="00B1578D">
            <w:pPr>
              <w:jc w:val="right"/>
              <w:rPr>
                <w:rFonts w:ascii="宋体"/>
              </w:rPr>
            </w:pPr>
          </w:p>
        </w:tc>
      </w:tr>
      <w:tr w:rsidR="00B1578D" w14:paraId="5DEC559E" w14:textId="77777777">
        <w:trPr>
          <w:jc w:val="center"/>
        </w:trPr>
        <w:tc>
          <w:tcPr>
            <w:tcW w:w="0" w:type="auto"/>
            <w:gridSpan w:val="3"/>
            <w:shd w:val="clear" w:color="auto" w:fill="FFFFFF"/>
            <w:tcMar>
              <w:top w:w="40" w:type="dxa"/>
              <w:left w:w="740" w:type="dxa"/>
              <w:bottom w:w="40" w:type="dxa"/>
              <w:right w:w="20" w:type="dxa"/>
            </w:tcMar>
            <w:vAlign w:val="center"/>
          </w:tcPr>
          <w:p w14:paraId="5DEC5594" w14:textId="77777777" w:rsidR="00B1578D" w:rsidRDefault="004D2C04">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FFFFFF"/>
            <w:tcMar>
              <w:top w:w="0" w:type="dxa"/>
              <w:left w:w="20" w:type="dxa"/>
              <w:bottom w:w="0" w:type="dxa"/>
              <w:right w:w="20" w:type="dxa"/>
            </w:tcMar>
            <w:vAlign w:val="bottom"/>
          </w:tcPr>
          <w:p w14:paraId="5DEC5595"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596" w14:textId="77777777" w:rsidR="00B1578D" w:rsidRDefault="004D2C04">
            <w:pPr>
              <w:jc w:val="right"/>
              <w:textAlignment w:val="center"/>
            </w:pPr>
            <w:r>
              <w:rPr>
                <w:rFonts w:ascii="Times New Roman" w:eastAsia="宋体" w:hAnsi="Times New Roman"/>
                <w:color w:val="000000"/>
                <w:sz w:val="16"/>
                <w:szCs w:val="16"/>
              </w:rPr>
              <w:t>76,896 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59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98"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599" w14:textId="77777777" w:rsidR="00B1578D" w:rsidRDefault="004D2C04">
            <w:pPr>
              <w:jc w:val="right"/>
              <w:textAlignment w:val="center"/>
            </w:pPr>
            <w:r>
              <w:rPr>
                <w:rFonts w:ascii="Times New Roman" w:eastAsia="宋体" w:hAnsi="Times New Roman"/>
                <w:color w:val="000000"/>
                <w:sz w:val="16"/>
                <w:szCs w:val="16"/>
              </w:rPr>
              <w:t>83,253 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59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9B"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59C" w14:textId="77777777" w:rsidR="00B1578D" w:rsidRDefault="004D2C04">
            <w:pPr>
              <w:jc w:val="right"/>
              <w:textAlignment w:val="center"/>
            </w:pPr>
            <w:r>
              <w:rPr>
                <w:rFonts w:ascii="Times New Roman" w:eastAsia="宋体" w:hAnsi="Times New Roman"/>
                <w:color w:val="000000"/>
                <w:sz w:val="16"/>
                <w:szCs w:val="16"/>
              </w:rPr>
              <w:t>78,335 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59D" w14:textId="77777777" w:rsidR="00B1578D" w:rsidRDefault="00B1578D">
            <w:pPr>
              <w:jc w:val="right"/>
              <w:rPr>
                <w:rFonts w:ascii="宋体"/>
              </w:rPr>
            </w:pPr>
          </w:p>
        </w:tc>
      </w:tr>
      <w:tr w:rsidR="00B1578D" w14:paraId="5DEC55A9" w14:textId="77777777">
        <w:trPr>
          <w:jc w:val="center"/>
        </w:trPr>
        <w:tc>
          <w:tcPr>
            <w:tcW w:w="0" w:type="auto"/>
            <w:gridSpan w:val="3"/>
            <w:shd w:val="clear" w:color="auto" w:fill="CCEEFF"/>
            <w:tcMar>
              <w:top w:w="40" w:type="dxa"/>
              <w:left w:w="380" w:type="dxa"/>
              <w:bottom w:w="40" w:type="dxa"/>
              <w:right w:w="20" w:type="dxa"/>
            </w:tcMar>
            <w:vAlign w:val="center"/>
          </w:tcPr>
          <w:p w14:paraId="5DEC559F" w14:textId="77777777" w:rsidR="00B1578D" w:rsidRDefault="004D2C04">
            <w:pPr>
              <w:textAlignment w:val="center"/>
            </w:pPr>
            <w:r>
              <w:rPr>
                <w:rFonts w:ascii="Times New Roman" w:eastAsia="宋体" w:hAnsi="Times New Roman"/>
                <w:color w:val="000000"/>
                <w:sz w:val="16"/>
                <w:szCs w:val="16"/>
              </w:rPr>
              <w:t>Nonredeemable noncontrolling interest</w:t>
            </w:r>
          </w:p>
        </w:tc>
        <w:tc>
          <w:tcPr>
            <w:tcW w:w="0" w:type="auto"/>
            <w:gridSpan w:val="3"/>
            <w:shd w:val="clear" w:color="auto" w:fill="CCEEFF"/>
            <w:tcMar>
              <w:top w:w="0" w:type="dxa"/>
              <w:left w:w="20" w:type="dxa"/>
              <w:bottom w:w="0" w:type="dxa"/>
              <w:right w:w="20" w:type="dxa"/>
            </w:tcMar>
            <w:vAlign w:val="bottom"/>
          </w:tcPr>
          <w:p w14:paraId="5DEC55A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A1" w14:textId="77777777" w:rsidR="00B1578D" w:rsidRDefault="004D2C04">
            <w:pPr>
              <w:jc w:val="right"/>
              <w:textAlignment w:val="center"/>
            </w:pPr>
            <w:r>
              <w:rPr>
                <w:rFonts w:ascii="Times New Roman" w:eastAsia="宋体" w:hAnsi="Times New Roman"/>
                <w:color w:val="000000"/>
                <w:sz w:val="16"/>
                <w:szCs w:val="16"/>
              </w:rPr>
              <w:t>8,704 </w:t>
            </w:r>
          </w:p>
        </w:tc>
        <w:tc>
          <w:tcPr>
            <w:tcW w:w="0" w:type="auto"/>
            <w:shd w:val="clear" w:color="auto" w:fill="CCEEFF"/>
            <w:tcMar>
              <w:top w:w="40" w:type="dxa"/>
              <w:left w:w="0" w:type="dxa"/>
              <w:bottom w:w="40" w:type="dxa"/>
              <w:right w:w="20" w:type="dxa"/>
            </w:tcMar>
            <w:vAlign w:val="center"/>
          </w:tcPr>
          <w:p w14:paraId="5DEC55A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A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A4" w14:textId="77777777" w:rsidR="00B1578D" w:rsidRDefault="004D2C04">
            <w:pPr>
              <w:jc w:val="right"/>
              <w:textAlignment w:val="center"/>
            </w:pPr>
            <w:r>
              <w:rPr>
                <w:rFonts w:ascii="Times New Roman" w:eastAsia="宋体" w:hAnsi="Times New Roman"/>
                <w:color w:val="000000"/>
                <w:sz w:val="16"/>
                <w:szCs w:val="16"/>
              </w:rPr>
              <w:t>8,638 </w:t>
            </w:r>
          </w:p>
        </w:tc>
        <w:tc>
          <w:tcPr>
            <w:tcW w:w="0" w:type="auto"/>
            <w:shd w:val="clear" w:color="auto" w:fill="CCEEFF"/>
            <w:tcMar>
              <w:top w:w="40" w:type="dxa"/>
              <w:left w:w="0" w:type="dxa"/>
              <w:bottom w:w="40" w:type="dxa"/>
              <w:right w:w="20" w:type="dxa"/>
            </w:tcMar>
            <w:vAlign w:val="center"/>
          </w:tcPr>
          <w:p w14:paraId="5DEC55A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A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5A7" w14:textId="77777777" w:rsidR="00B1578D" w:rsidRDefault="004D2C04">
            <w:pPr>
              <w:jc w:val="right"/>
              <w:textAlignment w:val="center"/>
            </w:pPr>
            <w:r>
              <w:rPr>
                <w:rFonts w:ascii="Times New Roman" w:eastAsia="宋体" w:hAnsi="Times New Roman"/>
                <w:color w:val="000000"/>
                <w:sz w:val="16"/>
                <w:szCs w:val="16"/>
              </w:rPr>
              <w:t>6,257 </w:t>
            </w:r>
          </w:p>
        </w:tc>
        <w:tc>
          <w:tcPr>
            <w:tcW w:w="0" w:type="auto"/>
            <w:shd w:val="clear" w:color="auto" w:fill="CCEEFF"/>
            <w:tcMar>
              <w:top w:w="40" w:type="dxa"/>
              <w:left w:w="0" w:type="dxa"/>
              <w:bottom w:w="40" w:type="dxa"/>
              <w:right w:w="20" w:type="dxa"/>
            </w:tcMar>
            <w:vAlign w:val="center"/>
          </w:tcPr>
          <w:p w14:paraId="5DEC55A8" w14:textId="77777777" w:rsidR="00B1578D" w:rsidRDefault="00B1578D">
            <w:pPr>
              <w:jc w:val="right"/>
              <w:rPr>
                <w:rFonts w:ascii="宋体"/>
              </w:rPr>
            </w:pPr>
          </w:p>
        </w:tc>
      </w:tr>
      <w:tr w:rsidR="00B1578D" w14:paraId="5DEC55B4" w14:textId="77777777">
        <w:trPr>
          <w:jc w:val="center"/>
        </w:trPr>
        <w:tc>
          <w:tcPr>
            <w:tcW w:w="0" w:type="auto"/>
            <w:gridSpan w:val="3"/>
            <w:shd w:val="clear" w:color="auto" w:fill="FFFFFF"/>
            <w:tcMar>
              <w:top w:w="40" w:type="dxa"/>
              <w:left w:w="740" w:type="dxa"/>
              <w:bottom w:w="40" w:type="dxa"/>
              <w:right w:w="20" w:type="dxa"/>
            </w:tcMar>
            <w:vAlign w:val="center"/>
          </w:tcPr>
          <w:p w14:paraId="5DEC55AA" w14:textId="77777777" w:rsidR="00B1578D" w:rsidRDefault="004D2C04">
            <w:pPr>
              <w:textAlignment w:val="center"/>
            </w:pPr>
            <w:r>
              <w:rPr>
                <w:rFonts w:ascii="Times New Roman" w:eastAsia="宋体" w:hAnsi="Times New Roman"/>
                <w:color w:val="000000"/>
                <w:sz w:val="16"/>
                <w:szCs w:val="16"/>
              </w:rPr>
              <w:t>Total equity</w:t>
            </w:r>
          </w:p>
        </w:tc>
        <w:tc>
          <w:tcPr>
            <w:tcW w:w="0" w:type="auto"/>
            <w:gridSpan w:val="3"/>
            <w:shd w:val="clear" w:color="auto" w:fill="FFFFFF"/>
            <w:tcMar>
              <w:top w:w="0" w:type="dxa"/>
              <w:left w:w="20" w:type="dxa"/>
              <w:bottom w:w="0" w:type="dxa"/>
              <w:right w:w="20" w:type="dxa"/>
            </w:tcMar>
            <w:vAlign w:val="bottom"/>
          </w:tcPr>
          <w:p w14:paraId="5DEC55AB"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5AC" w14:textId="77777777" w:rsidR="00B1578D" w:rsidRDefault="004D2C04">
            <w:pPr>
              <w:jc w:val="right"/>
              <w:textAlignment w:val="center"/>
            </w:pPr>
            <w:r>
              <w:rPr>
                <w:rFonts w:ascii="Times New Roman" w:eastAsia="宋体" w:hAnsi="Times New Roman"/>
                <w:color w:val="000000"/>
                <w:sz w:val="16"/>
                <w:szCs w:val="16"/>
              </w:rPr>
              <w:t>85,600 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5A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AE"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5AF" w14:textId="77777777" w:rsidR="00B1578D" w:rsidRDefault="004D2C04">
            <w:pPr>
              <w:jc w:val="right"/>
              <w:textAlignment w:val="center"/>
            </w:pPr>
            <w:r>
              <w:rPr>
                <w:rFonts w:ascii="Times New Roman" w:eastAsia="宋体" w:hAnsi="Times New Roman"/>
                <w:color w:val="000000"/>
                <w:sz w:val="16"/>
                <w:szCs w:val="16"/>
              </w:rPr>
              <w:t>91,891 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5B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5B1"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5B2" w14:textId="77777777" w:rsidR="00B1578D" w:rsidRDefault="004D2C04">
            <w:pPr>
              <w:jc w:val="right"/>
              <w:textAlignment w:val="center"/>
            </w:pPr>
            <w:r>
              <w:rPr>
                <w:rFonts w:ascii="Times New Roman" w:eastAsia="宋体" w:hAnsi="Times New Roman"/>
                <w:color w:val="000000"/>
                <w:sz w:val="16"/>
                <w:szCs w:val="16"/>
              </w:rPr>
              <w:t>84,592 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5B3" w14:textId="77777777" w:rsidR="00B1578D" w:rsidRDefault="00B1578D">
            <w:pPr>
              <w:jc w:val="right"/>
              <w:rPr>
                <w:rFonts w:ascii="宋体"/>
              </w:rPr>
            </w:pPr>
          </w:p>
        </w:tc>
      </w:tr>
      <w:tr w:rsidR="00B1578D" w14:paraId="5DEC55C2" w14:textId="77777777">
        <w:trPr>
          <w:jc w:val="center"/>
        </w:trPr>
        <w:tc>
          <w:tcPr>
            <w:tcW w:w="0" w:type="auto"/>
            <w:gridSpan w:val="3"/>
            <w:shd w:val="clear" w:color="auto" w:fill="CCEEFF"/>
            <w:tcMar>
              <w:top w:w="40" w:type="dxa"/>
              <w:left w:w="20" w:type="dxa"/>
              <w:bottom w:w="40" w:type="dxa"/>
              <w:right w:w="20" w:type="dxa"/>
            </w:tcMar>
            <w:vAlign w:val="center"/>
          </w:tcPr>
          <w:p w14:paraId="5DEC55B5" w14:textId="77777777" w:rsidR="00B1578D" w:rsidRDefault="004D2C04">
            <w:pPr>
              <w:textAlignment w:val="center"/>
            </w:pPr>
            <w:r>
              <w:rPr>
                <w:rFonts w:ascii="Times New Roman" w:eastAsia="宋体" w:hAnsi="Times New Roman"/>
                <w:b/>
                <w:bCs/>
                <w:color w:val="000000"/>
                <w:sz w:val="16"/>
                <w:szCs w:val="16"/>
              </w:rPr>
              <w:t>Total liabilities, redeemable noncontrolling interest, and equity</w:t>
            </w:r>
          </w:p>
        </w:tc>
        <w:tc>
          <w:tcPr>
            <w:tcW w:w="0" w:type="auto"/>
            <w:gridSpan w:val="3"/>
            <w:shd w:val="clear" w:color="auto" w:fill="CCEEFF"/>
            <w:tcMar>
              <w:top w:w="0" w:type="dxa"/>
              <w:left w:w="20" w:type="dxa"/>
              <w:bottom w:w="0" w:type="dxa"/>
              <w:right w:w="20" w:type="dxa"/>
            </w:tcMar>
            <w:vAlign w:val="bottom"/>
          </w:tcPr>
          <w:p w14:paraId="5DEC55B6"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55B7"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55B8" w14:textId="77777777" w:rsidR="00B1578D" w:rsidRDefault="004D2C04">
            <w:pPr>
              <w:jc w:val="right"/>
              <w:textAlignment w:val="center"/>
            </w:pPr>
            <w:r>
              <w:rPr>
                <w:rFonts w:ascii="Times New Roman" w:eastAsia="宋体" w:hAnsi="Times New Roman"/>
                <w:color w:val="000000"/>
                <w:sz w:val="16"/>
                <w:szCs w:val="16"/>
              </w:rPr>
              <w:t>246,142 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55B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BA"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55B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55BC" w14:textId="77777777" w:rsidR="00B1578D" w:rsidRDefault="004D2C04">
            <w:pPr>
              <w:jc w:val="right"/>
              <w:textAlignment w:val="center"/>
            </w:pPr>
            <w:r>
              <w:rPr>
                <w:rFonts w:ascii="Times New Roman" w:eastAsia="宋体" w:hAnsi="Times New Roman"/>
                <w:color w:val="000000"/>
                <w:sz w:val="16"/>
                <w:szCs w:val="16"/>
              </w:rPr>
              <w:t>244,860 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55B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5BE"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55B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55C0" w14:textId="77777777" w:rsidR="00B1578D" w:rsidRDefault="004D2C04">
            <w:pPr>
              <w:jc w:val="right"/>
              <w:textAlignment w:val="center"/>
            </w:pPr>
            <w:r>
              <w:rPr>
                <w:rFonts w:ascii="Times New Roman" w:eastAsia="宋体" w:hAnsi="Times New Roman"/>
                <w:color w:val="000000"/>
                <w:sz w:val="16"/>
                <w:szCs w:val="16"/>
              </w:rPr>
              <w:t>236,581 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55C1" w14:textId="77777777" w:rsidR="00B1578D" w:rsidRDefault="00B1578D">
            <w:pPr>
              <w:jc w:val="right"/>
              <w:rPr>
                <w:rFonts w:ascii="宋体"/>
              </w:rPr>
            </w:pPr>
          </w:p>
        </w:tc>
      </w:tr>
    </w:tbl>
    <w:p w14:paraId="5DEC55C3" w14:textId="77777777" w:rsidR="00B1578D" w:rsidRDefault="004D2C04">
      <w:pPr>
        <w:spacing w:before="80"/>
      </w:pPr>
      <w:r>
        <w:rPr>
          <w:rFonts w:ascii="Times New Roman" w:eastAsia="宋体" w:hAnsi="Times New Roman"/>
          <w:i/>
          <w:iCs/>
          <w:color w:val="000000"/>
          <w:sz w:val="16"/>
          <w:szCs w:val="16"/>
        </w:rPr>
        <w:t xml:space="preserve">See accompanying notes. </w:t>
      </w:r>
    </w:p>
    <w:p w14:paraId="5DEC55C4" w14:textId="77777777" w:rsidR="00B1578D" w:rsidRDefault="004D2C04">
      <w:pPr>
        <w:jc w:val="center"/>
      </w:pPr>
      <w:r>
        <w:rPr>
          <w:rFonts w:ascii="Times New Roman" w:eastAsia="宋体" w:hAnsi="Times New Roman"/>
          <w:color w:val="000000"/>
          <w:sz w:val="20"/>
          <w:szCs w:val="20"/>
        </w:rPr>
        <w:t>5</w:t>
      </w:r>
    </w:p>
    <w:p w14:paraId="5DEC55C5" w14:textId="77777777" w:rsidR="00B1578D" w:rsidRDefault="004D2C04">
      <w:r>
        <w:pict w14:anchorId="5DEC6F2A">
          <v:rect id="_x0000_i1029" style="width:415.3pt;height:1.5pt" o:hralign="center" o:hrstd="t" o:hr="t" fillcolor="#a0a0a0" stroked="f"/>
        </w:pict>
      </w:r>
    </w:p>
    <w:p w14:paraId="5DEC55C6" w14:textId="77777777" w:rsidR="00B1578D" w:rsidRDefault="004D2C04">
      <w:hyperlink r:id="rId44" w:anchor="ia92fe4e1fa654d85928fb72942eadb02_7" w:history="1">
        <w:r>
          <w:rPr>
            <w:rStyle w:val="a5"/>
            <w:rFonts w:ascii="Times New Roman" w:eastAsia="宋体" w:hAnsi="Times New Roman"/>
            <w:sz w:val="20"/>
            <w:szCs w:val="20"/>
          </w:rPr>
          <w:t>Table of Contents</w:t>
        </w:r>
      </w:hyperlink>
    </w:p>
    <w:p w14:paraId="5DEC55C7" w14:textId="77777777" w:rsidR="00B1578D" w:rsidRDefault="004D2C04">
      <w:pPr>
        <w:jc w:val="center"/>
      </w:pPr>
      <w:r>
        <w:rPr>
          <w:rFonts w:ascii="Times New Roman" w:eastAsia="宋体" w:hAnsi="Times New Roman"/>
          <w:b/>
          <w:bCs/>
          <w:color w:val="000000"/>
          <w:sz w:val="20"/>
          <w:szCs w:val="20"/>
        </w:rPr>
        <w:t>Walmart Inc.</w:t>
      </w:r>
    </w:p>
    <w:p w14:paraId="5DEC55C8" w14:textId="77777777" w:rsidR="00B1578D" w:rsidRDefault="004D2C04">
      <w:pPr>
        <w:spacing w:before="60"/>
        <w:jc w:val="center"/>
      </w:pPr>
      <w:r>
        <w:rPr>
          <w:rFonts w:ascii="Times New Roman" w:eastAsia="宋体" w:hAnsi="Times New Roman"/>
          <w:b/>
          <w:bCs/>
          <w:color w:val="000000"/>
          <w:sz w:val="20"/>
          <w:szCs w:val="20"/>
        </w:rPr>
        <w:t xml:space="preserve">Condensed Consolidated Statements of </w:t>
      </w:r>
      <w:r>
        <w:rPr>
          <w:rFonts w:ascii="Times New Roman" w:eastAsia="宋体" w:hAnsi="Times New Roman"/>
          <w:b/>
          <w:bCs/>
          <w:color w:val="000000"/>
          <w:sz w:val="20"/>
          <w:szCs w:val="20"/>
        </w:rPr>
        <w:t>Shareholders' Equity</w:t>
      </w:r>
    </w:p>
    <w:p w14:paraId="5DEC55C9" w14:textId="77777777" w:rsidR="00B1578D" w:rsidRDefault="004D2C04">
      <w:pPr>
        <w:spacing w:before="60"/>
        <w:jc w:val="center"/>
      </w:pPr>
      <w:r>
        <w:rPr>
          <w:rFonts w:ascii="Times New Roman" w:eastAsia="宋体" w:hAnsi="Times New Roman"/>
          <w:b/>
          <w:bCs/>
          <w:color w:val="000000"/>
          <w:sz w:val="20"/>
          <w:szCs w:val="20"/>
        </w:rPr>
        <w:t>(Unaudited)</w:t>
      </w:r>
    </w:p>
    <w:tbl>
      <w:tblPr>
        <w:tblW w:w="4980" w:type="pct"/>
        <w:tblCellMar>
          <w:top w:w="15" w:type="dxa"/>
          <w:left w:w="15" w:type="dxa"/>
          <w:bottom w:w="15" w:type="dxa"/>
          <w:right w:w="15" w:type="dxa"/>
        </w:tblCellMar>
        <w:tblLook w:val="04A0" w:firstRow="1" w:lastRow="0" w:firstColumn="1" w:lastColumn="0" w:noHBand="0" w:noVBand="1"/>
      </w:tblPr>
      <w:tblGrid>
        <w:gridCol w:w="39"/>
        <w:gridCol w:w="961"/>
        <w:gridCol w:w="37"/>
        <w:gridCol w:w="82"/>
        <w:gridCol w:w="404"/>
        <w:gridCol w:w="37"/>
        <w:gridCol w:w="37"/>
        <w:gridCol w:w="37"/>
        <w:gridCol w:w="36"/>
        <w:gridCol w:w="100"/>
        <w:gridCol w:w="486"/>
        <w:gridCol w:w="36"/>
        <w:gridCol w:w="36"/>
        <w:gridCol w:w="36"/>
        <w:gridCol w:w="36"/>
        <w:gridCol w:w="101"/>
        <w:gridCol w:w="619"/>
        <w:gridCol w:w="36"/>
        <w:gridCol w:w="36"/>
        <w:gridCol w:w="36"/>
        <w:gridCol w:w="36"/>
        <w:gridCol w:w="100"/>
        <w:gridCol w:w="555"/>
        <w:gridCol w:w="36"/>
        <w:gridCol w:w="36"/>
        <w:gridCol w:w="36"/>
        <w:gridCol w:w="36"/>
        <w:gridCol w:w="136"/>
        <w:gridCol w:w="940"/>
        <w:gridCol w:w="36"/>
        <w:gridCol w:w="36"/>
        <w:gridCol w:w="36"/>
        <w:gridCol w:w="36"/>
        <w:gridCol w:w="123"/>
        <w:gridCol w:w="842"/>
        <w:gridCol w:w="36"/>
        <w:gridCol w:w="36"/>
        <w:gridCol w:w="36"/>
        <w:gridCol w:w="36"/>
        <w:gridCol w:w="137"/>
        <w:gridCol w:w="948"/>
        <w:gridCol w:w="36"/>
        <w:gridCol w:w="36"/>
        <w:gridCol w:w="36"/>
        <w:gridCol w:w="36"/>
        <w:gridCol w:w="99"/>
        <w:gridCol w:w="472"/>
        <w:gridCol w:w="36"/>
        <w:gridCol w:w="36"/>
        <w:gridCol w:w="36"/>
        <w:gridCol w:w="36"/>
      </w:tblGrid>
      <w:tr w:rsidR="00B1578D" w14:paraId="5DEC55FD" w14:textId="77777777">
        <w:tc>
          <w:tcPr>
            <w:tcW w:w="50" w:type="pct"/>
            <w:shd w:val="clear" w:color="auto" w:fill="auto"/>
            <w:vAlign w:val="bottom"/>
          </w:tcPr>
          <w:p w14:paraId="5DEC55CA" w14:textId="77777777" w:rsidR="00B1578D" w:rsidRDefault="00B1578D">
            <w:pPr>
              <w:rPr>
                <w:rFonts w:ascii="宋体"/>
              </w:rPr>
            </w:pPr>
          </w:p>
        </w:tc>
        <w:tc>
          <w:tcPr>
            <w:tcW w:w="1739" w:type="pct"/>
            <w:shd w:val="clear" w:color="auto" w:fill="auto"/>
            <w:vAlign w:val="bottom"/>
          </w:tcPr>
          <w:p w14:paraId="5DEC55CB" w14:textId="77777777" w:rsidR="00B1578D" w:rsidRDefault="00B1578D">
            <w:pPr>
              <w:rPr>
                <w:rFonts w:ascii="宋体"/>
              </w:rPr>
            </w:pPr>
          </w:p>
        </w:tc>
        <w:tc>
          <w:tcPr>
            <w:tcW w:w="5" w:type="pct"/>
            <w:shd w:val="clear" w:color="auto" w:fill="auto"/>
            <w:vAlign w:val="bottom"/>
          </w:tcPr>
          <w:p w14:paraId="5DEC55CC" w14:textId="77777777" w:rsidR="00B1578D" w:rsidRDefault="00B1578D">
            <w:pPr>
              <w:rPr>
                <w:rFonts w:ascii="宋体"/>
              </w:rPr>
            </w:pPr>
          </w:p>
        </w:tc>
        <w:tc>
          <w:tcPr>
            <w:tcW w:w="50" w:type="pct"/>
            <w:shd w:val="clear" w:color="auto" w:fill="auto"/>
            <w:vAlign w:val="bottom"/>
          </w:tcPr>
          <w:p w14:paraId="5DEC55CD" w14:textId="77777777" w:rsidR="00B1578D" w:rsidRDefault="00B1578D">
            <w:pPr>
              <w:rPr>
                <w:rFonts w:ascii="宋体"/>
              </w:rPr>
            </w:pPr>
          </w:p>
        </w:tc>
        <w:tc>
          <w:tcPr>
            <w:tcW w:w="247" w:type="pct"/>
            <w:shd w:val="clear" w:color="auto" w:fill="auto"/>
            <w:vAlign w:val="bottom"/>
          </w:tcPr>
          <w:p w14:paraId="5DEC55CE" w14:textId="77777777" w:rsidR="00B1578D" w:rsidRDefault="00B1578D">
            <w:pPr>
              <w:rPr>
                <w:rFonts w:ascii="宋体"/>
              </w:rPr>
            </w:pPr>
          </w:p>
        </w:tc>
        <w:tc>
          <w:tcPr>
            <w:tcW w:w="5" w:type="pct"/>
            <w:shd w:val="clear" w:color="auto" w:fill="auto"/>
            <w:vAlign w:val="bottom"/>
          </w:tcPr>
          <w:p w14:paraId="5DEC55CF" w14:textId="77777777" w:rsidR="00B1578D" w:rsidRDefault="00B1578D">
            <w:pPr>
              <w:rPr>
                <w:rFonts w:ascii="宋体"/>
              </w:rPr>
            </w:pPr>
          </w:p>
        </w:tc>
        <w:tc>
          <w:tcPr>
            <w:tcW w:w="5" w:type="pct"/>
            <w:shd w:val="clear" w:color="auto" w:fill="auto"/>
            <w:vAlign w:val="bottom"/>
          </w:tcPr>
          <w:p w14:paraId="5DEC55D0" w14:textId="77777777" w:rsidR="00B1578D" w:rsidRDefault="00B1578D">
            <w:pPr>
              <w:rPr>
                <w:rFonts w:ascii="宋体"/>
              </w:rPr>
            </w:pPr>
          </w:p>
        </w:tc>
        <w:tc>
          <w:tcPr>
            <w:tcW w:w="15" w:type="pct"/>
            <w:shd w:val="clear" w:color="auto" w:fill="auto"/>
            <w:vAlign w:val="bottom"/>
          </w:tcPr>
          <w:p w14:paraId="5DEC55D1" w14:textId="77777777" w:rsidR="00B1578D" w:rsidRDefault="00B1578D">
            <w:pPr>
              <w:rPr>
                <w:rFonts w:ascii="宋体"/>
              </w:rPr>
            </w:pPr>
          </w:p>
        </w:tc>
        <w:tc>
          <w:tcPr>
            <w:tcW w:w="5" w:type="pct"/>
            <w:shd w:val="clear" w:color="auto" w:fill="auto"/>
            <w:vAlign w:val="bottom"/>
          </w:tcPr>
          <w:p w14:paraId="5DEC55D2" w14:textId="77777777" w:rsidR="00B1578D" w:rsidRDefault="00B1578D">
            <w:pPr>
              <w:rPr>
                <w:rFonts w:ascii="宋体"/>
              </w:rPr>
            </w:pPr>
          </w:p>
        </w:tc>
        <w:tc>
          <w:tcPr>
            <w:tcW w:w="50" w:type="pct"/>
            <w:shd w:val="clear" w:color="auto" w:fill="auto"/>
            <w:vAlign w:val="bottom"/>
          </w:tcPr>
          <w:p w14:paraId="5DEC55D3" w14:textId="77777777" w:rsidR="00B1578D" w:rsidRDefault="00B1578D">
            <w:pPr>
              <w:rPr>
                <w:rFonts w:ascii="宋体"/>
              </w:rPr>
            </w:pPr>
          </w:p>
        </w:tc>
        <w:tc>
          <w:tcPr>
            <w:tcW w:w="252" w:type="pct"/>
            <w:shd w:val="clear" w:color="auto" w:fill="auto"/>
            <w:vAlign w:val="bottom"/>
          </w:tcPr>
          <w:p w14:paraId="5DEC55D4" w14:textId="77777777" w:rsidR="00B1578D" w:rsidRDefault="00B1578D">
            <w:pPr>
              <w:rPr>
                <w:rFonts w:ascii="宋体"/>
              </w:rPr>
            </w:pPr>
          </w:p>
        </w:tc>
        <w:tc>
          <w:tcPr>
            <w:tcW w:w="5" w:type="pct"/>
            <w:shd w:val="clear" w:color="auto" w:fill="auto"/>
            <w:vAlign w:val="bottom"/>
          </w:tcPr>
          <w:p w14:paraId="5DEC55D5" w14:textId="77777777" w:rsidR="00B1578D" w:rsidRDefault="00B1578D">
            <w:pPr>
              <w:rPr>
                <w:rFonts w:ascii="宋体"/>
              </w:rPr>
            </w:pPr>
          </w:p>
        </w:tc>
        <w:tc>
          <w:tcPr>
            <w:tcW w:w="5" w:type="pct"/>
            <w:shd w:val="clear" w:color="auto" w:fill="auto"/>
            <w:vAlign w:val="bottom"/>
          </w:tcPr>
          <w:p w14:paraId="5DEC55D6" w14:textId="77777777" w:rsidR="00B1578D" w:rsidRDefault="00B1578D">
            <w:pPr>
              <w:rPr>
                <w:rFonts w:ascii="宋体"/>
              </w:rPr>
            </w:pPr>
          </w:p>
        </w:tc>
        <w:tc>
          <w:tcPr>
            <w:tcW w:w="15" w:type="pct"/>
            <w:shd w:val="clear" w:color="auto" w:fill="auto"/>
            <w:vAlign w:val="bottom"/>
          </w:tcPr>
          <w:p w14:paraId="5DEC55D7" w14:textId="77777777" w:rsidR="00B1578D" w:rsidRDefault="00B1578D">
            <w:pPr>
              <w:rPr>
                <w:rFonts w:ascii="宋体"/>
              </w:rPr>
            </w:pPr>
          </w:p>
        </w:tc>
        <w:tc>
          <w:tcPr>
            <w:tcW w:w="5" w:type="pct"/>
            <w:shd w:val="clear" w:color="auto" w:fill="auto"/>
            <w:vAlign w:val="bottom"/>
          </w:tcPr>
          <w:p w14:paraId="5DEC55D8" w14:textId="77777777" w:rsidR="00B1578D" w:rsidRDefault="00B1578D">
            <w:pPr>
              <w:rPr>
                <w:rFonts w:ascii="宋体"/>
              </w:rPr>
            </w:pPr>
          </w:p>
        </w:tc>
        <w:tc>
          <w:tcPr>
            <w:tcW w:w="50" w:type="pct"/>
            <w:shd w:val="clear" w:color="auto" w:fill="auto"/>
            <w:vAlign w:val="bottom"/>
          </w:tcPr>
          <w:p w14:paraId="5DEC55D9" w14:textId="77777777" w:rsidR="00B1578D" w:rsidRDefault="00B1578D">
            <w:pPr>
              <w:rPr>
                <w:rFonts w:ascii="宋体"/>
              </w:rPr>
            </w:pPr>
          </w:p>
        </w:tc>
        <w:tc>
          <w:tcPr>
            <w:tcW w:w="348" w:type="pct"/>
            <w:shd w:val="clear" w:color="auto" w:fill="auto"/>
            <w:vAlign w:val="bottom"/>
          </w:tcPr>
          <w:p w14:paraId="5DEC55DA" w14:textId="77777777" w:rsidR="00B1578D" w:rsidRDefault="00B1578D">
            <w:pPr>
              <w:rPr>
                <w:rFonts w:ascii="宋体"/>
              </w:rPr>
            </w:pPr>
          </w:p>
        </w:tc>
        <w:tc>
          <w:tcPr>
            <w:tcW w:w="5" w:type="pct"/>
            <w:shd w:val="clear" w:color="auto" w:fill="auto"/>
            <w:vAlign w:val="bottom"/>
          </w:tcPr>
          <w:p w14:paraId="5DEC55DB" w14:textId="77777777" w:rsidR="00B1578D" w:rsidRDefault="00B1578D">
            <w:pPr>
              <w:rPr>
                <w:rFonts w:ascii="宋体"/>
              </w:rPr>
            </w:pPr>
          </w:p>
        </w:tc>
        <w:tc>
          <w:tcPr>
            <w:tcW w:w="5" w:type="pct"/>
            <w:shd w:val="clear" w:color="auto" w:fill="auto"/>
            <w:vAlign w:val="bottom"/>
          </w:tcPr>
          <w:p w14:paraId="5DEC55DC" w14:textId="77777777" w:rsidR="00B1578D" w:rsidRDefault="00B1578D">
            <w:pPr>
              <w:rPr>
                <w:rFonts w:ascii="宋体"/>
              </w:rPr>
            </w:pPr>
          </w:p>
        </w:tc>
        <w:tc>
          <w:tcPr>
            <w:tcW w:w="15" w:type="pct"/>
            <w:shd w:val="clear" w:color="auto" w:fill="auto"/>
            <w:vAlign w:val="bottom"/>
          </w:tcPr>
          <w:p w14:paraId="5DEC55DD" w14:textId="77777777" w:rsidR="00B1578D" w:rsidRDefault="00B1578D">
            <w:pPr>
              <w:rPr>
                <w:rFonts w:ascii="宋体"/>
              </w:rPr>
            </w:pPr>
          </w:p>
        </w:tc>
        <w:tc>
          <w:tcPr>
            <w:tcW w:w="5" w:type="pct"/>
            <w:shd w:val="clear" w:color="auto" w:fill="auto"/>
            <w:vAlign w:val="bottom"/>
          </w:tcPr>
          <w:p w14:paraId="5DEC55DE" w14:textId="77777777" w:rsidR="00B1578D" w:rsidRDefault="00B1578D">
            <w:pPr>
              <w:rPr>
                <w:rFonts w:ascii="宋体"/>
              </w:rPr>
            </w:pPr>
          </w:p>
        </w:tc>
        <w:tc>
          <w:tcPr>
            <w:tcW w:w="50" w:type="pct"/>
            <w:shd w:val="clear" w:color="auto" w:fill="auto"/>
            <w:vAlign w:val="bottom"/>
          </w:tcPr>
          <w:p w14:paraId="5DEC55DF" w14:textId="77777777" w:rsidR="00B1578D" w:rsidRDefault="00B1578D">
            <w:pPr>
              <w:rPr>
                <w:rFonts w:ascii="宋体"/>
              </w:rPr>
            </w:pPr>
          </w:p>
        </w:tc>
        <w:tc>
          <w:tcPr>
            <w:tcW w:w="348" w:type="pct"/>
            <w:shd w:val="clear" w:color="auto" w:fill="auto"/>
            <w:vAlign w:val="bottom"/>
          </w:tcPr>
          <w:p w14:paraId="5DEC55E0" w14:textId="77777777" w:rsidR="00B1578D" w:rsidRDefault="00B1578D">
            <w:pPr>
              <w:rPr>
                <w:rFonts w:ascii="宋体"/>
              </w:rPr>
            </w:pPr>
          </w:p>
        </w:tc>
        <w:tc>
          <w:tcPr>
            <w:tcW w:w="5" w:type="pct"/>
            <w:shd w:val="clear" w:color="auto" w:fill="auto"/>
            <w:vAlign w:val="bottom"/>
          </w:tcPr>
          <w:p w14:paraId="5DEC55E1" w14:textId="77777777" w:rsidR="00B1578D" w:rsidRDefault="00B1578D">
            <w:pPr>
              <w:rPr>
                <w:rFonts w:ascii="宋体"/>
              </w:rPr>
            </w:pPr>
          </w:p>
        </w:tc>
        <w:tc>
          <w:tcPr>
            <w:tcW w:w="5" w:type="pct"/>
            <w:shd w:val="clear" w:color="auto" w:fill="auto"/>
            <w:vAlign w:val="bottom"/>
          </w:tcPr>
          <w:p w14:paraId="5DEC55E2" w14:textId="77777777" w:rsidR="00B1578D" w:rsidRDefault="00B1578D">
            <w:pPr>
              <w:rPr>
                <w:rFonts w:ascii="宋体"/>
              </w:rPr>
            </w:pPr>
          </w:p>
        </w:tc>
        <w:tc>
          <w:tcPr>
            <w:tcW w:w="15" w:type="pct"/>
            <w:shd w:val="clear" w:color="auto" w:fill="auto"/>
            <w:vAlign w:val="bottom"/>
          </w:tcPr>
          <w:p w14:paraId="5DEC55E3" w14:textId="77777777" w:rsidR="00B1578D" w:rsidRDefault="00B1578D">
            <w:pPr>
              <w:rPr>
                <w:rFonts w:ascii="宋体"/>
              </w:rPr>
            </w:pPr>
          </w:p>
        </w:tc>
        <w:tc>
          <w:tcPr>
            <w:tcW w:w="5" w:type="pct"/>
            <w:shd w:val="clear" w:color="auto" w:fill="auto"/>
            <w:vAlign w:val="bottom"/>
          </w:tcPr>
          <w:p w14:paraId="5DEC55E4" w14:textId="77777777" w:rsidR="00B1578D" w:rsidRDefault="00B1578D">
            <w:pPr>
              <w:rPr>
                <w:rFonts w:ascii="宋体"/>
              </w:rPr>
            </w:pPr>
          </w:p>
        </w:tc>
        <w:tc>
          <w:tcPr>
            <w:tcW w:w="50" w:type="pct"/>
            <w:shd w:val="clear" w:color="auto" w:fill="auto"/>
            <w:vAlign w:val="bottom"/>
          </w:tcPr>
          <w:p w14:paraId="5DEC55E5" w14:textId="77777777" w:rsidR="00B1578D" w:rsidRDefault="00B1578D">
            <w:pPr>
              <w:rPr>
                <w:rFonts w:ascii="宋体"/>
              </w:rPr>
            </w:pPr>
          </w:p>
        </w:tc>
        <w:tc>
          <w:tcPr>
            <w:tcW w:w="348" w:type="pct"/>
            <w:shd w:val="clear" w:color="auto" w:fill="auto"/>
            <w:vAlign w:val="bottom"/>
          </w:tcPr>
          <w:p w14:paraId="5DEC55E6" w14:textId="77777777" w:rsidR="00B1578D" w:rsidRDefault="00B1578D">
            <w:pPr>
              <w:rPr>
                <w:rFonts w:ascii="宋体"/>
              </w:rPr>
            </w:pPr>
          </w:p>
        </w:tc>
        <w:tc>
          <w:tcPr>
            <w:tcW w:w="5" w:type="pct"/>
            <w:shd w:val="clear" w:color="auto" w:fill="auto"/>
            <w:vAlign w:val="bottom"/>
          </w:tcPr>
          <w:p w14:paraId="5DEC55E7" w14:textId="77777777" w:rsidR="00B1578D" w:rsidRDefault="00B1578D">
            <w:pPr>
              <w:rPr>
                <w:rFonts w:ascii="宋体"/>
              </w:rPr>
            </w:pPr>
          </w:p>
        </w:tc>
        <w:tc>
          <w:tcPr>
            <w:tcW w:w="5" w:type="pct"/>
            <w:shd w:val="clear" w:color="auto" w:fill="auto"/>
            <w:vAlign w:val="bottom"/>
          </w:tcPr>
          <w:p w14:paraId="5DEC55E8" w14:textId="77777777" w:rsidR="00B1578D" w:rsidRDefault="00B1578D">
            <w:pPr>
              <w:rPr>
                <w:rFonts w:ascii="宋体"/>
              </w:rPr>
            </w:pPr>
          </w:p>
        </w:tc>
        <w:tc>
          <w:tcPr>
            <w:tcW w:w="15" w:type="pct"/>
            <w:shd w:val="clear" w:color="auto" w:fill="auto"/>
            <w:vAlign w:val="bottom"/>
          </w:tcPr>
          <w:p w14:paraId="5DEC55E9" w14:textId="77777777" w:rsidR="00B1578D" w:rsidRDefault="00B1578D">
            <w:pPr>
              <w:rPr>
                <w:rFonts w:ascii="宋体"/>
              </w:rPr>
            </w:pPr>
          </w:p>
        </w:tc>
        <w:tc>
          <w:tcPr>
            <w:tcW w:w="5" w:type="pct"/>
            <w:shd w:val="clear" w:color="auto" w:fill="auto"/>
            <w:vAlign w:val="bottom"/>
          </w:tcPr>
          <w:p w14:paraId="5DEC55EA" w14:textId="77777777" w:rsidR="00B1578D" w:rsidRDefault="00B1578D">
            <w:pPr>
              <w:rPr>
                <w:rFonts w:ascii="宋体"/>
              </w:rPr>
            </w:pPr>
          </w:p>
        </w:tc>
        <w:tc>
          <w:tcPr>
            <w:tcW w:w="50" w:type="pct"/>
            <w:shd w:val="clear" w:color="auto" w:fill="auto"/>
            <w:vAlign w:val="bottom"/>
          </w:tcPr>
          <w:p w14:paraId="5DEC55EB" w14:textId="77777777" w:rsidR="00B1578D" w:rsidRDefault="00B1578D">
            <w:pPr>
              <w:rPr>
                <w:rFonts w:ascii="宋体"/>
              </w:rPr>
            </w:pPr>
          </w:p>
        </w:tc>
        <w:tc>
          <w:tcPr>
            <w:tcW w:w="348" w:type="pct"/>
            <w:shd w:val="clear" w:color="auto" w:fill="auto"/>
            <w:vAlign w:val="bottom"/>
          </w:tcPr>
          <w:p w14:paraId="5DEC55EC" w14:textId="77777777" w:rsidR="00B1578D" w:rsidRDefault="00B1578D">
            <w:pPr>
              <w:rPr>
                <w:rFonts w:ascii="宋体"/>
              </w:rPr>
            </w:pPr>
          </w:p>
        </w:tc>
        <w:tc>
          <w:tcPr>
            <w:tcW w:w="5" w:type="pct"/>
            <w:shd w:val="clear" w:color="auto" w:fill="auto"/>
            <w:vAlign w:val="bottom"/>
          </w:tcPr>
          <w:p w14:paraId="5DEC55ED" w14:textId="77777777" w:rsidR="00B1578D" w:rsidRDefault="00B1578D">
            <w:pPr>
              <w:rPr>
                <w:rFonts w:ascii="宋体"/>
              </w:rPr>
            </w:pPr>
          </w:p>
        </w:tc>
        <w:tc>
          <w:tcPr>
            <w:tcW w:w="5" w:type="pct"/>
            <w:shd w:val="clear" w:color="auto" w:fill="auto"/>
            <w:vAlign w:val="bottom"/>
          </w:tcPr>
          <w:p w14:paraId="5DEC55EE" w14:textId="77777777" w:rsidR="00B1578D" w:rsidRDefault="00B1578D">
            <w:pPr>
              <w:rPr>
                <w:rFonts w:ascii="宋体"/>
              </w:rPr>
            </w:pPr>
          </w:p>
        </w:tc>
        <w:tc>
          <w:tcPr>
            <w:tcW w:w="15" w:type="pct"/>
            <w:shd w:val="clear" w:color="auto" w:fill="auto"/>
            <w:vAlign w:val="bottom"/>
          </w:tcPr>
          <w:p w14:paraId="5DEC55EF" w14:textId="77777777" w:rsidR="00B1578D" w:rsidRDefault="00B1578D">
            <w:pPr>
              <w:rPr>
                <w:rFonts w:ascii="宋体"/>
              </w:rPr>
            </w:pPr>
          </w:p>
        </w:tc>
        <w:tc>
          <w:tcPr>
            <w:tcW w:w="5" w:type="pct"/>
            <w:shd w:val="clear" w:color="auto" w:fill="auto"/>
            <w:vAlign w:val="bottom"/>
          </w:tcPr>
          <w:p w14:paraId="5DEC55F0" w14:textId="77777777" w:rsidR="00B1578D" w:rsidRDefault="00B1578D">
            <w:pPr>
              <w:rPr>
                <w:rFonts w:ascii="宋体"/>
              </w:rPr>
            </w:pPr>
          </w:p>
        </w:tc>
        <w:tc>
          <w:tcPr>
            <w:tcW w:w="50" w:type="pct"/>
            <w:shd w:val="clear" w:color="auto" w:fill="auto"/>
            <w:vAlign w:val="bottom"/>
          </w:tcPr>
          <w:p w14:paraId="5DEC55F1" w14:textId="77777777" w:rsidR="00B1578D" w:rsidRDefault="00B1578D">
            <w:pPr>
              <w:rPr>
                <w:rFonts w:ascii="宋体"/>
              </w:rPr>
            </w:pPr>
          </w:p>
        </w:tc>
        <w:tc>
          <w:tcPr>
            <w:tcW w:w="348" w:type="pct"/>
            <w:shd w:val="clear" w:color="auto" w:fill="auto"/>
            <w:vAlign w:val="bottom"/>
          </w:tcPr>
          <w:p w14:paraId="5DEC55F2" w14:textId="77777777" w:rsidR="00B1578D" w:rsidRDefault="00B1578D">
            <w:pPr>
              <w:rPr>
                <w:rFonts w:ascii="宋体"/>
              </w:rPr>
            </w:pPr>
          </w:p>
        </w:tc>
        <w:tc>
          <w:tcPr>
            <w:tcW w:w="5" w:type="pct"/>
            <w:shd w:val="clear" w:color="auto" w:fill="auto"/>
            <w:vAlign w:val="bottom"/>
          </w:tcPr>
          <w:p w14:paraId="5DEC55F3" w14:textId="77777777" w:rsidR="00B1578D" w:rsidRDefault="00B1578D">
            <w:pPr>
              <w:rPr>
                <w:rFonts w:ascii="宋体"/>
              </w:rPr>
            </w:pPr>
          </w:p>
        </w:tc>
        <w:tc>
          <w:tcPr>
            <w:tcW w:w="5" w:type="pct"/>
            <w:shd w:val="clear" w:color="auto" w:fill="auto"/>
            <w:vAlign w:val="bottom"/>
          </w:tcPr>
          <w:p w14:paraId="5DEC55F4" w14:textId="77777777" w:rsidR="00B1578D" w:rsidRDefault="00B1578D">
            <w:pPr>
              <w:rPr>
                <w:rFonts w:ascii="宋体"/>
              </w:rPr>
            </w:pPr>
          </w:p>
        </w:tc>
        <w:tc>
          <w:tcPr>
            <w:tcW w:w="15" w:type="pct"/>
            <w:shd w:val="clear" w:color="auto" w:fill="auto"/>
            <w:vAlign w:val="bottom"/>
          </w:tcPr>
          <w:p w14:paraId="5DEC55F5" w14:textId="77777777" w:rsidR="00B1578D" w:rsidRDefault="00B1578D">
            <w:pPr>
              <w:rPr>
                <w:rFonts w:ascii="宋体"/>
              </w:rPr>
            </w:pPr>
          </w:p>
        </w:tc>
        <w:tc>
          <w:tcPr>
            <w:tcW w:w="5" w:type="pct"/>
            <w:shd w:val="clear" w:color="auto" w:fill="auto"/>
            <w:vAlign w:val="bottom"/>
          </w:tcPr>
          <w:p w14:paraId="5DEC55F6" w14:textId="77777777" w:rsidR="00B1578D" w:rsidRDefault="00B1578D">
            <w:pPr>
              <w:rPr>
                <w:rFonts w:ascii="宋体"/>
              </w:rPr>
            </w:pPr>
          </w:p>
        </w:tc>
        <w:tc>
          <w:tcPr>
            <w:tcW w:w="50" w:type="pct"/>
            <w:shd w:val="clear" w:color="auto" w:fill="auto"/>
            <w:vAlign w:val="bottom"/>
          </w:tcPr>
          <w:p w14:paraId="5DEC55F7" w14:textId="77777777" w:rsidR="00B1578D" w:rsidRDefault="00B1578D">
            <w:pPr>
              <w:rPr>
                <w:rFonts w:ascii="宋体"/>
              </w:rPr>
            </w:pPr>
          </w:p>
        </w:tc>
        <w:tc>
          <w:tcPr>
            <w:tcW w:w="348" w:type="pct"/>
            <w:shd w:val="clear" w:color="auto" w:fill="auto"/>
            <w:vAlign w:val="bottom"/>
          </w:tcPr>
          <w:p w14:paraId="5DEC55F8" w14:textId="77777777" w:rsidR="00B1578D" w:rsidRDefault="00B1578D">
            <w:pPr>
              <w:rPr>
                <w:rFonts w:ascii="宋体"/>
              </w:rPr>
            </w:pPr>
          </w:p>
        </w:tc>
        <w:tc>
          <w:tcPr>
            <w:tcW w:w="5" w:type="pct"/>
            <w:shd w:val="clear" w:color="auto" w:fill="auto"/>
            <w:vAlign w:val="bottom"/>
          </w:tcPr>
          <w:p w14:paraId="5DEC55F9" w14:textId="77777777" w:rsidR="00B1578D" w:rsidRDefault="00B1578D">
            <w:pPr>
              <w:rPr>
                <w:rFonts w:ascii="宋体"/>
              </w:rPr>
            </w:pPr>
          </w:p>
        </w:tc>
        <w:tc>
          <w:tcPr>
            <w:tcW w:w="0" w:type="auto"/>
            <w:shd w:val="clear" w:color="auto" w:fill="auto"/>
            <w:vAlign w:val="bottom"/>
          </w:tcPr>
          <w:p w14:paraId="5DEC55FA" w14:textId="77777777" w:rsidR="00B1578D" w:rsidRDefault="00B1578D">
            <w:pPr>
              <w:rPr>
                <w:rFonts w:ascii="宋体"/>
                <w:vanish/>
              </w:rPr>
            </w:pPr>
          </w:p>
        </w:tc>
        <w:tc>
          <w:tcPr>
            <w:tcW w:w="0" w:type="auto"/>
            <w:shd w:val="clear" w:color="auto" w:fill="auto"/>
            <w:vAlign w:val="bottom"/>
          </w:tcPr>
          <w:p w14:paraId="5DEC55FB" w14:textId="77777777" w:rsidR="00B1578D" w:rsidRDefault="00B1578D">
            <w:pPr>
              <w:rPr>
                <w:rFonts w:ascii="宋体"/>
                <w:vanish/>
              </w:rPr>
            </w:pPr>
          </w:p>
        </w:tc>
        <w:tc>
          <w:tcPr>
            <w:tcW w:w="0" w:type="auto"/>
            <w:shd w:val="clear" w:color="auto" w:fill="auto"/>
            <w:vAlign w:val="bottom"/>
          </w:tcPr>
          <w:p w14:paraId="5DEC55FC" w14:textId="77777777" w:rsidR="00B1578D" w:rsidRDefault="00B1578D">
            <w:pPr>
              <w:rPr>
                <w:rFonts w:ascii="宋体"/>
                <w:vanish/>
              </w:rPr>
            </w:pPr>
          </w:p>
        </w:tc>
      </w:tr>
      <w:tr w:rsidR="00B1578D" w14:paraId="5DEC5611" w14:textId="77777777">
        <w:tc>
          <w:tcPr>
            <w:tcW w:w="0" w:type="auto"/>
            <w:gridSpan w:val="3"/>
            <w:shd w:val="clear" w:color="auto" w:fill="auto"/>
            <w:tcMar>
              <w:top w:w="0" w:type="dxa"/>
              <w:left w:w="20" w:type="dxa"/>
              <w:bottom w:w="0" w:type="dxa"/>
              <w:right w:w="20" w:type="dxa"/>
            </w:tcMar>
            <w:vAlign w:val="bottom"/>
          </w:tcPr>
          <w:p w14:paraId="5DEC55FE"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5FF"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0"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1"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2"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3"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5"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07" w14:textId="77777777" w:rsidR="00B1578D" w:rsidRDefault="004D2C04">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5DEC560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09" w14:textId="77777777" w:rsidR="00B1578D" w:rsidRDefault="004D2C04">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DEC560A"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C"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0D" w14:textId="77777777" w:rsidR="00B1578D" w:rsidRDefault="00B1578D">
            <w:pPr>
              <w:rPr>
                <w:rFonts w:ascii="宋体"/>
              </w:rPr>
            </w:pPr>
          </w:p>
        </w:tc>
        <w:tc>
          <w:tcPr>
            <w:tcW w:w="0" w:type="auto"/>
            <w:shd w:val="clear" w:color="auto" w:fill="auto"/>
            <w:vAlign w:val="bottom"/>
          </w:tcPr>
          <w:p w14:paraId="5DEC560E" w14:textId="77777777" w:rsidR="00B1578D" w:rsidRDefault="00B1578D">
            <w:pPr>
              <w:rPr>
                <w:rFonts w:ascii="宋体"/>
                <w:vanish/>
              </w:rPr>
            </w:pPr>
          </w:p>
        </w:tc>
        <w:tc>
          <w:tcPr>
            <w:tcW w:w="0" w:type="auto"/>
            <w:shd w:val="clear" w:color="auto" w:fill="auto"/>
            <w:vAlign w:val="bottom"/>
          </w:tcPr>
          <w:p w14:paraId="5DEC560F" w14:textId="77777777" w:rsidR="00B1578D" w:rsidRDefault="00B1578D">
            <w:pPr>
              <w:rPr>
                <w:rFonts w:ascii="宋体"/>
                <w:vanish/>
              </w:rPr>
            </w:pPr>
          </w:p>
        </w:tc>
        <w:tc>
          <w:tcPr>
            <w:tcW w:w="0" w:type="auto"/>
            <w:shd w:val="clear" w:color="auto" w:fill="auto"/>
            <w:vAlign w:val="bottom"/>
          </w:tcPr>
          <w:p w14:paraId="5DEC5610" w14:textId="77777777" w:rsidR="00B1578D" w:rsidRDefault="00B1578D">
            <w:pPr>
              <w:rPr>
                <w:rFonts w:ascii="宋体"/>
                <w:vanish/>
              </w:rPr>
            </w:pPr>
          </w:p>
        </w:tc>
      </w:tr>
      <w:tr w:rsidR="00B1578D" w14:paraId="5DEC5625" w14:textId="77777777">
        <w:tc>
          <w:tcPr>
            <w:tcW w:w="0" w:type="auto"/>
            <w:gridSpan w:val="3"/>
            <w:shd w:val="clear" w:color="auto" w:fill="auto"/>
            <w:tcMar>
              <w:top w:w="0" w:type="dxa"/>
              <w:left w:w="20" w:type="dxa"/>
              <w:bottom w:w="0" w:type="dxa"/>
              <w:right w:w="20" w:type="dxa"/>
            </w:tcMar>
            <w:vAlign w:val="bottom"/>
          </w:tcPr>
          <w:p w14:paraId="5DEC5612"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13"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1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15"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1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17" w14:textId="77777777" w:rsidR="00B1578D" w:rsidRDefault="004D2C04">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5DEC5618"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19"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1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1B" w14:textId="77777777" w:rsidR="00B1578D" w:rsidRDefault="004D2C04">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5DEC561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1D" w14:textId="77777777" w:rsidR="00B1578D" w:rsidRDefault="004D2C04">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5DEC561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1F" w14:textId="77777777" w:rsidR="00B1578D" w:rsidRDefault="004D2C04">
            <w:pPr>
              <w:jc w:val="center"/>
              <w:textAlignment w:val="bottom"/>
            </w:pPr>
            <w:r>
              <w:rPr>
                <w:rFonts w:ascii="Times New Roman" w:eastAsia="宋体" w:hAnsi="Times New Roman"/>
                <w:b/>
                <w:bCs/>
                <w:color w:val="000000"/>
                <w:sz w:val="16"/>
                <w:szCs w:val="16"/>
              </w:rPr>
              <w:t>Nonredeemable</w:t>
            </w:r>
          </w:p>
        </w:tc>
        <w:tc>
          <w:tcPr>
            <w:tcW w:w="0" w:type="auto"/>
            <w:gridSpan w:val="3"/>
            <w:shd w:val="clear" w:color="auto" w:fill="auto"/>
            <w:tcMar>
              <w:top w:w="0" w:type="dxa"/>
              <w:left w:w="20" w:type="dxa"/>
              <w:bottom w:w="0" w:type="dxa"/>
              <w:right w:w="20" w:type="dxa"/>
            </w:tcMar>
            <w:vAlign w:val="bottom"/>
          </w:tcPr>
          <w:p w14:paraId="5DEC5620"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621" w14:textId="77777777" w:rsidR="00B1578D" w:rsidRDefault="00B1578D">
            <w:pPr>
              <w:rPr>
                <w:rFonts w:ascii="宋体"/>
              </w:rPr>
            </w:pPr>
          </w:p>
        </w:tc>
        <w:tc>
          <w:tcPr>
            <w:tcW w:w="0" w:type="auto"/>
            <w:shd w:val="clear" w:color="auto" w:fill="auto"/>
            <w:vAlign w:val="bottom"/>
          </w:tcPr>
          <w:p w14:paraId="5DEC5622" w14:textId="77777777" w:rsidR="00B1578D" w:rsidRDefault="00B1578D">
            <w:pPr>
              <w:rPr>
                <w:rFonts w:ascii="宋体"/>
                <w:vanish/>
              </w:rPr>
            </w:pPr>
          </w:p>
        </w:tc>
        <w:tc>
          <w:tcPr>
            <w:tcW w:w="0" w:type="auto"/>
            <w:shd w:val="clear" w:color="auto" w:fill="auto"/>
            <w:vAlign w:val="bottom"/>
          </w:tcPr>
          <w:p w14:paraId="5DEC5623" w14:textId="77777777" w:rsidR="00B1578D" w:rsidRDefault="00B1578D">
            <w:pPr>
              <w:rPr>
                <w:rFonts w:ascii="宋体"/>
                <w:vanish/>
              </w:rPr>
            </w:pPr>
          </w:p>
        </w:tc>
        <w:tc>
          <w:tcPr>
            <w:tcW w:w="0" w:type="auto"/>
            <w:shd w:val="clear" w:color="auto" w:fill="auto"/>
            <w:vAlign w:val="bottom"/>
          </w:tcPr>
          <w:p w14:paraId="5DEC5624" w14:textId="77777777" w:rsidR="00B1578D" w:rsidRDefault="00B1578D">
            <w:pPr>
              <w:rPr>
                <w:rFonts w:ascii="宋体"/>
                <w:vanish/>
              </w:rPr>
            </w:pPr>
          </w:p>
        </w:tc>
      </w:tr>
      <w:tr w:rsidR="00B1578D" w14:paraId="5DEC5637"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5DEC5626"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5DEC5627" w14:textId="77777777" w:rsidR="00B1578D" w:rsidRDefault="004D2C04">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5DEC562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29" w14:textId="77777777" w:rsidR="00B1578D" w:rsidRDefault="004D2C04">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5DEC562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2B" w14:textId="77777777" w:rsidR="00B1578D" w:rsidRDefault="004D2C04">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5DEC562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2D" w14:textId="77777777" w:rsidR="00B1578D" w:rsidRDefault="004D2C04">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5DEC562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2F" w14:textId="77777777" w:rsidR="00B1578D" w:rsidRDefault="004D2C04">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5DEC563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31" w14:textId="77777777" w:rsidR="00B1578D" w:rsidRDefault="004D2C04">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5DEC563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33" w14:textId="77777777" w:rsidR="00B1578D" w:rsidRDefault="004D2C04">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5DEC5634" w14:textId="77777777" w:rsidR="00B1578D" w:rsidRDefault="00B1578D">
            <w:pPr>
              <w:rPr>
                <w:rFonts w:ascii="宋体"/>
                <w:vanish/>
              </w:rPr>
            </w:pPr>
          </w:p>
        </w:tc>
        <w:tc>
          <w:tcPr>
            <w:tcW w:w="0" w:type="auto"/>
            <w:shd w:val="clear" w:color="auto" w:fill="auto"/>
            <w:vAlign w:val="bottom"/>
          </w:tcPr>
          <w:p w14:paraId="5DEC5635" w14:textId="77777777" w:rsidR="00B1578D" w:rsidRDefault="00B1578D">
            <w:pPr>
              <w:rPr>
                <w:rFonts w:ascii="宋体"/>
                <w:vanish/>
              </w:rPr>
            </w:pPr>
          </w:p>
        </w:tc>
        <w:tc>
          <w:tcPr>
            <w:tcW w:w="0" w:type="auto"/>
            <w:shd w:val="clear" w:color="auto" w:fill="auto"/>
            <w:vAlign w:val="bottom"/>
          </w:tcPr>
          <w:p w14:paraId="5DEC5636" w14:textId="77777777" w:rsidR="00B1578D" w:rsidRDefault="00B1578D">
            <w:pPr>
              <w:rPr>
                <w:rFonts w:ascii="宋体"/>
                <w:vanish/>
              </w:rPr>
            </w:pPr>
          </w:p>
        </w:tc>
      </w:tr>
      <w:tr w:rsidR="00B1578D" w14:paraId="5DEC564B" w14:textId="77777777">
        <w:trPr>
          <w:trHeight w:val="180"/>
        </w:trPr>
        <w:tc>
          <w:tcPr>
            <w:tcW w:w="0" w:type="auto"/>
            <w:gridSpan w:val="3"/>
            <w:vMerge/>
            <w:shd w:val="clear" w:color="auto" w:fill="auto"/>
            <w:tcMar>
              <w:top w:w="40" w:type="dxa"/>
              <w:left w:w="20" w:type="dxa"/>
              <w:bottom w:w="40" w:type="dxa"/>
              <w:right w:w="20" w:type="dxa"/>
            </w:tcMar>
            <w:vAlign w:val="bottom"/>
          </w:tcPr>
          <w:p w14:paraId="5DEC5638"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639" w14:textId="77777777" w:rsidR="00B1578D" w:rsidRDefault="004D2C04">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63A"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63B" w14:textId="77777777" w:rsidR="00B1578D" w:rsidRDefault="004D2C04">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DEC563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3D" w14:textId="77777777" w:rsidR="00B1578D" w:rsidRDefault="004D2C04">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5DEC563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3F" w14:textId="77777777" w:rsidR="00B1578D" w:rsidRDefault="004D2C04">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5DEC564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41" w14:textId="77777777" w:rsidR="00B1578D" w:rsidRDefault="004D2C04">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5DEC564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43" w14:textId="77777777" w:rsidR="00B1578D" w:rsidRDefault="004D2C04">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5DEC564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45" w14:textId="77777777" w:rsidR="00B1578D" w:rsidRDefault="004D2C04">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5DEC564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647" w14:textId="77777777" w:rsidR="00B1578D" w:rsidRDefault="004D2C04">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5DEC5648" w14:textId="77777777" w:rsidR="00B1578D" w:rsidRDefault="00B1578D">
            <w:pPr>
              <w:rPr>
                <w:rFonts w:ascii="宋体"/>
                <w:vanish/>
              </w:rPr>
            </w:pPr>
          </w:p>
        </w:tc>
        <w:tc>
          <w:tcPr>
            <w:tcW w:w="0" w:type="auto"/>
            <w:shd w:val="clear" w:color="auto" w:fill="auto"/>
            <w:vAlign w:val="bottom"/>
          </w:tcPr>
          <w:p w14:paraId="5DEC5649" w14:textId="77777777" w:rsidR="00B1578D" w:rsidRDefault="00B1578D">
            <w:pPr>
              <w:rPr>
                <w:rFonts w:ascii="宋体"/>
                <w:vanish/>
              </w:rPr>
            </w:pPr>
          </w:p>
        </w:tc>
        <w:tc>
          <w:tcPr>
            <w:tcW w:w="0" w:type="auto"/>
            <w:shd w:val="clear" w:color="auto" w:fill="auto"/>
            <w:vAlign w:val="bottom"/>
          </w:tcPr>
          <w:p w14:paraId="5DEC564A" w14:textId="77777777" w:rsidR="00B1578D" w:rsidRDefault="00B1578D">
            <w:pPr>
              <w:rPr>
                <w:rFonts w:ascii="宋体"/>
                <w:vanish/>
              </w:rPr>
            </w:pPr>
          </w:p>
        </w:tc>
      </w:tr>
      <w:tr w:rsidR="004D2C04" w14:paraId="5DEC566E" w14:textId="77777777">
        <w:tc>
          <w:tcPr>
            <w:tcW w:w="0" w:type="auto"/>
            <w:gridSpan w:val="3"/>
            <w:shd w:val="clear" w:color="auto" w:fill="CCEEFF"/>
            <w:tcMar>
              <w:top w:w="40" w:type="dxa"/>
              <w:left w:w="20" w:type="dxa"/>
              <w:bottom w:w="40" w:type="dxa"/>
              <w:right w:w="20" w:type="dxa"/>
            </w:tcMar>
            <w:vAlign w:val="center"/>
          </w:tcPr>
          <w:p w14:paraId="5DEC564C" w14:textId="77777777" w:rsidR="00B1578D" w:rsidRDefault="004D2C04">
            <w:pPr>
              <w:textAlignment w:val="center"/>
            </w:pPr>
            <w:r>
              <w:rPr>
                <w:rFonts w:ascii="Times New Roman" w:eastAsia="宋体" w:hAnsi="Times New Roman"/>
                <w:b/>
                <w:bCs/>
                <w:color w:val="000000"/>
                <w:sz w:val="16"/>
                <w:szCs w:val="16"/>
              </w:rPr>
              <w:t>Balances as of February 1, 2022</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64D" w14:textId="77777777" w:rsidR="00B1578D" w:rsidRDefault="004D2C04">
            <w:pPr>
              <w:jc w:val="right"/>
              <w:textAlignment w:val="center"/>
            </w:pPr>
            <w:r>
              <w:rPr>
                <w:rFonts w:ascii="Times New Roman" w:eastAsia="宋体" w:hAnsi="Times New Roman"/>
                <w:color w:val="000000"/>
                <w:sz w:val="16"/>
                <w:szCs w:val="16"/>
              </w:rPr>
              <w:t>2,761 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4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4F"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650"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651" w14:textId="77777777" w:rsidR="00B1578D" w:rsidRDefault="004D2C04">
            <w:pPr>
              <w:jc w:val="right"/>
              <w:textAlignment w:val="center"/>
            </w:pPr>
            <w:r>
              <w:rPr>
                <w:rFonts w:ascii="Times New Roman" w:eastAsia="宋体" w:hAnsi="Times New Roman"/>
                <w:color w:val="000000"/>
                <w:sz w:val="16"/>
                <w:szCs w:val="16"/>
              </w:rPr>
              <w:t>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5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53"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654"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655" w14:textId="77777777" w:rsidR="00B1578D" w:rsidRDefault="004D2C04">
            <w:pPr>
              <w:jc w:val="right"/>
              <w:textAlignment w:val="center"/>
            </w:pPr>
            <w:r>
              <w:rPr>
                <w:rFonts w:ascii="Times New Roman" w:eastAsia="宋体" w:hAnsi="Times New Roman"/>
                <w:color w:val="000000"/>
                <w:sz w:val="16"/>
                <w:szCs w:val="16"/>
              </w:rPr>
              <w:t>4,839 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5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57"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658"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659" w14:textId="77777777" w:rsidR="00B1578D" w:rsidRDefault="004D2C04">
            <w:pPr>
              <w:jc w:val="right"/>
              <w:textAlignment w:val="center"/>
            </w:pPr>
            <w:r>
              <w:rPr>
                <w:rFonts w:ascii="Times New Roman" w:eastAsia="宋体" w:hAnsi="Times New Roman"/>
                <w:color w:val="000000"/>
                <w:sz w:val="16"/>
                <w:szCs w:val="16"/>
              </w:rPr>
              <w:t>86,904 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5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5B"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65C"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65D" w14:textId="77777777" w:rsidR="00B1578D" w:rsidRDefault="004D2C04">
            <w:pPr>
              <w:jc w:val="right"/>
              <w:textAlignment w:val="center"/>
            </w:pPr>
            <w:r>
              <w:rPr>
                <w:rFonts w:ascii="Times New Roman" w:eastAsia="宋体" w:hAnsi="Times New Roman"/>
                <w:color w:val="000000"/>
                <w:sz w:val="16"/>
                <w:szCs w:val="16"/>
              </w:rPr>
              <w:t>(8,766)</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5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5F"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660"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661" w14:textId="77777777" w:rsidR="00B1578D" w:rsidRDefault="004D2C04">
            <w:pPr>
              <w:jc w:val="right"/>
              <w:textAlignment w:val="center"/>
            </w:pPr>
            <w:r>
              <w:rPr>
                <w:rFonts w:ascii="Times New Roman" w:eastAsia="宋体" w:hAnsi="Times New Roman"/>
                <w:color w:val="000000"/>
                <w:sz w:val="16"/>
                <w:szCs w:val="16"/>
              </w:rPr>
              <w:t>83,253 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6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63"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664"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665" w14:textId="77777777" w:rsidR="00B1578D" w:rsidRDefault="004D2C04">
            <w:pPr>
              <w:jc w:val="right"/>
              <w:textAlignment w:val="center"/>
            </w:pPr>
            <w:r>
              <w:rPr>
                <w:rFonts w:ascii="Times New Roman" w:eastAsia="宋体" w:hAnsi="Times New Roman"/>
                <w:color w:val="000000"/>
                <w:sz w:val="16"/>
                <w:szCs w:val="16"/>
              </w:rPr>
              <w:t>8,638 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6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67"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668"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669" w14:textId="77777777" w:rsidR="00B1578D" w:rsidRDefault="004D2C04">
            <w:pPr>
              <w:jc w:val="right"/>
              <w:textAlignment w:val="center"/>
            </w:pPr>
            <w:r>
              <w:rPr>
                <w:rFonts w:ascii="Times New Roman" w:eastAsia="宋体" w:hAnsi="Times New Roman"/>
                <w:color w:val="000000"/>
                <w:sz w:val="16"/>
                <w:szCs w:val="16"/>
              </w:rPr>
              <w:t>91,891 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66A" w14:textId="77777777" w:rsidR="00B1578D" w:rsidRDefault="00B1578D">
            <w:pPr>
              <w:jc w:val="right"/>
              <w:rPr>
                <w:rFonts w:ascii="宋体"/>
              </w:rPr>
            </w:pPr>
          </w:p>
        </w:tc>
        <w:tc>
          <w:tcPr>
            <w:tcW w:w="0" w:type="auto"/>
            <w:shd w:val="clear" w:color="auto" w:fill="auto"/>
            <w:vAlign w:val="bottom"/>
          </w:tcPr>
          <w:p w14:paraId="5DEC566B" w14:textId="77777777" w:rsidR="00B1578D" w:rsidRDefault="00B1578D">
            <w:pPr>
              <w:rPr>
                <w:rFonts w:ascii="宋体"/>
                <w:vanish/>
              </w:rPr>
            </w:pPr>
          </w:p>
        </w:tc>
        <w:tc>
          <w:tcPr>
            <w:tcW w:w="0" w:type="auto"/>
            <w:shd w:val="clear" w:color="auto" w:fill="auto"/>
            <w:vAlign w:val="bottom"/>
          </w:tcPr>
          <w:p w14:paraId="5DEC566C" w14:textId="77777777" w:rsidR="00B1578D" w:rsidRDefault="00B1578D">
            <w:pPr>
              <w:rPr>
                <w:rFonts w:ascii="宋体"/>
                <w:vanish/>
              </w:rPr>
            </w:pPr>
          </w:p>
        </w:tc>
        <w:tc>
          <w:tcPr>
            <w:tcW w:w="0" w:type="auto"/>
            <w:shd w:val="clear" w:color="auto" w:fill="auto"/>
            <w:vAlign w:val="bottom"/>
          </w:tcPr>
          <w:p w14:paraId="5DEC566D" w14:textId="77777777" w:rsidR="00B1578D" w:rsidRDefault="00B1578D">
            <w:pPr>
              <w:rPr>
                <w:rFonts w:ascii="宋体"/>
                <w:vanish/>
              </w:rPr>
            </w:pPr>
          </w:p>
        </w:tc>
      </w:tr>
      <w:tr w:rsidR="00B1578D" w14:paraId="5DEC568A" w14:textId="77777777">
        <w:tc>
          <w:tcPr>
            <w:tcW w:w="0" w:type="auto"/>
            <w:gridSpan w:val="3"/>
            <w:shd w:val="clear" w:color="auto" w:fill="FFFFFF"/>
            <w:tcMar>
              <w:top w:w="40" w:type="dxa"/>
              <w:left w:w="20" w:type="dxa"/>
              <w:bottom w:w="40" w:type="dxa"/>
              <w:right w:w="20" w:type="dxa"/>
            </w:tcMar>
            <w:vAlign w:val="center"/>
          </w:tcPr>
          <w:p w14:paraId="5DEC566F" w14:textId="77777777" w:rsidR="00B1578D" w:rsidRDefault="004D2C04">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5DEC5670"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7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7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73"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7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7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76"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7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7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79" w14:textId="77777777" w:rsidR="00B1578D" w:rsidRDefault="004D2C04">
            <w:pPr>
              <w:jc w:val="right"/>
              <w:textAlignment w:val="center"/>
            </w:pPr>
            <w:r>
              <w:rPr>
                <w:rFonts w:ascii="Times New Roman" w:eastAsia="宋体" w:hAnsi="Times New Roman"/>
                <w:color w:val="000000"/>
                <w:sz w:val="16"/>
                <w:szCs w:val="16"/>
              </w:rPr>
              <w:t>2,054 </w:t>
            </w:r>
          </w:p>
        </w:tc>
        <w:tc>
          <w:tcPr>
            <w:tcW w:w="0" w:type="auto"/>
            <w:shd w:val="clear" w:color="auto" w:fill="FFFFFF"/>
            <w:tcMar>
              <w:top w:w="40" w:type="dxa"/>
              <w:left w:w="0" w:type="dxa"/>
              <w:bottom w:w="40" w:type="dxa"/>
              <w:right w:w="20" w:type="dxa"/>
            </w:tcMar>
            <w:vAlign w:val="center"/>
          </w:tcPr>
          <w:p w14:paraId="5DEC567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7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7C"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7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7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7F" w14:textId="77777777" w:rsidR="00B1578D" w:rsidRDefault="004D2C04">
            <w:pPr>
              <w:jc w:val="right"/>
              <w:textAlignment w:val="center"/>
            </w:pPr>
            <w:r>
              <w:rPr>
                <w:rFonts w:ascii="Times New Roman" w:eastAsia="宋体" w:hAnsi="Times New Roman"/>
                <w:color w:val="000000"/>
                <w:sz w:val="16"/>
                <w:szCs w:val="16"/>
              </w:rPr>
              <w:t>2,054 </w:t>
            </w:r>
          </w:p>
        </w:tc>
        <w:tc>
          <w:tcPr>
            <w:tcW w:w="0" w:type="auto"/>
            <w:shd w:val="clear" w:color="auto" w:fill="FFFFFF"/>
            <w:tcMar>
              <w:top w:w="40" w:type="dxa"/>
              <w:left w:w="0" w:type="dxa"/>
              <w:bottom w:w="40" w:type="dxa"/>
              <w:right w:w="20" w:type="dxa"/>
            </w:tcMar>
            <w:vAlign w:val="center"/>
          </w:tcPr>
          <w:p w14:paraId="5DEC568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8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82" w14:textId="77777777" w:rsidR="00B1578D" w:rsidRDefault="004D2C04">
            <w:pPr>
              <w:jc w:val="right"/>
              <w:textAlignment w:val="center"/>
            </w:pPr>
            <w:r>
              <w:rPr>
                <w:rFonts w:ascii="Times New Roman" w:eastAsia="宋体" w:hAnsi="Times New Roman"/>
                <w:color w:val="000000"/>
                <w:sz w:val="16"/>
                <w:szCs w:val="16"/>
              </w:rPr>
              <w:t>49 </w:t>
            </w:r>
          </w:p>
        </w:tc>
        <w:tc>
          <w:tcPr>
            <w:tcW w:w="0" w:type="auto"/>
            <w:shd w:val="clear" w:color="auto" w:fill="FFFFFF"/>
            <w:tcMar>
              <w:top w:w="40" w:type="dxa"/>
              <w:left w:w="0" w:type="dxa"/>
              <w:bottom w:w="40" w:type="dxa"/>
              <w:right w:w="20" w:type="dxa"/>
            </w:tcMar>
            <w:vAlign w:val="center"/>
          </w:tcPr>
          <w:p w14:paraId="5DEC568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8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85" w14:textId="77777777" w:rsidR="00B1578D" w:rsidRDefault="004D2C04">
            <w:pPr>
              <w:jc w:val="right"/>
              <w:textAlignment w:val="center"/>
            </w:pPr>
            <w:r>
              <w:rPr>
                <w:rFonts w:ascii="Times New Roman" w:eastAsia="宋体" w:hAnsi="Times New Roman"/>
                <w:color w:val="000000"/>
                <w:sz w:val="16"/>
                <w:szCs w:val="16"/>
              </w:rPr>
              <w:t>2,103 </w:t>
            </w:r>
          </w:p>
        </w:tc>
        <w:tc>
          <w:tcPr>
            <w:tcW w:w="0" w:type="auto"/>
            <w:shd w:val="clear" w:color="auto" w:fill="FFFFFF"/>
            <w:tcMar>
              <w:top w:w="40" w:type="dxa"/>
              <w:left w:w="0" w:type="dxa"/>
              <w:bottom w:w="40" w:type="dxa"/>
              <w:right w:w="20" w:type="dxa"/>
            </w:tcMar>
            <w:vAlign w:val="center"/>
          </w:tcPr>
          <w:p w14:paraId="5DEC5686" w14:textId="77777777" w:rsidR="00B1578D" w:rsidRDefault="00B1578D">
            <w:pPr>
              <w:jc w:val="right"/>
              <w:rPr>
                <w:rFonts w:ascii="宋体"/>
              </w:rPr>
            </w:pPr>
          </w:p>
        </w:tc>
        <w:tc>
          <w:tcPr>
            <w:tcW w:w="0" w:type="auto"/>
            <w:shd w:val="clear" w:color="auto" w:fill="auto"/>
            <w:vAlign w:val="bottom"/>
          </w:tcPr>
          <w:p w14:paraId="5DEC5687" w14:textId="77777777" w:rsidR="00B1578D" w:rsidRDefault="00B1578D">
            <w:pPr>
              <w:rPr>
                <w:rFonts w:ascii="宋体"/>
                <w:vanish/>
              </w:rPr>
            </w:pPr>
          </w:p>
        </w:tc>
        <w:tc>
          <w:tcPr>
            <w:tcW w:w="0" w:type="auto"/>
            <w:shd w:val="clear" w:color="auto" w:fill="auto"/>
            <w:vAlign w:val="bottom"/>
          </w:tcPr>
          <w:p w14:paraId="5DEC5688" w14:textId="77777777" w:rsidR="00B1578D" w:rsidRDefault="00B1578D">
            <w:pPr>
              <w:rPr>
                <w:rFonts w:ascii="宋体"/>
                <w:vanish/>
              </w:rPr>
            </w:pPr>
          </w:p>
        </w:tc>
        <w:tc>
          <w:tcPr>
            <w:tcW w:w="0" w:type="auto"/>
            <w:shd w:val="clear" w:color="auto" w:fill="auto"/>
            <w:vAlign w:val="bottom"/>
          </w:tcPr>
          <w:p w14:paraId="5DEC5689" w14:textId="77777777" w:rsidR="00B1578D" w:rsidRDefault="00B1578D">
            <w:pPr>
              <w:rPr>
                <w:rFonts w:ascii="宋体"/>
                <w:vanish/>
              </w:rPr>
            </w:pPr>
          </w:p>
        </w:tc>
      </w:tr>
      <w:tr w:rsidR="00B1578D" w14:paraId="5DEC56A6" w14:textId="77777777">
        <w:tc>
          <w:tcPr>
            <w:tcW w:w="0" w:type="auto"/>
            <w:gridSpan w:val="3"/>
            <w:shd w:val="clear" w:color="auto" w:fill="CCEEFF"/>
            <w:tcMar>
              <w:top w:w="40" w:type="dxa"/>
              <w:left w:w="20" w:type="dxa"/>
              <w:bottom w:w="40" w:type="dxa"/>
              <w:right w:w="20" w:type="dxa"/>
            </w:tcMar>
            <w:vAlign w:val="center"/>
          </w:tcPr>
          <w:p w14:paraId="5DEC568B" w14:textId="77777777" w:rsidR="00B1578D" w:rsidRDefault="004D2C04">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5DEC568C"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68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8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8F"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69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9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92"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69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9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95"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69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9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98" w14:textId="77777777" w:rsidR="00B1578D" w:rsidRDefault="004D2C04">
            <w:pPr>
              <w:jc w:val="right"/>
              <w:textAlignment w:val="center"/>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center"/>
          </w:tcPr>
          <w:p w14:paraId="5DEC569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9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9B" w14:textId="77777777" w:rsidR="00B1578D" w:rsidRDefault="004D2C04">
            <w:pPr>
              <w:jc w:val="right"/>
              <w:textAlignment w:val="center"/>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center"/>
          </w:tcPr>
          <w:p w14:paraId="5DEC569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9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9E" w14:textId="77777777" w:rsidR="00B1578D" w:rsidRDefault="004D2C04">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5DEC569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A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A1" w14:textId="77777777" w:rsidR="00B1578D" w:rsidRDefault="004D2C04">
            <w:pPr>
              <w:jc w:val="right"/>
              <w:textAlignment w:val="center"/>
            </w:pPr>
            <w:r>
              <w:rPr>
                <w:rFonts w:ascii="Times New Roman" w:eastAsia="宋体" w:hAnsi="Times New Roman"/>
                <w:color w:val="000000"/>
                <w:sz w:val="16"/>
                <w:szCs w:val="16"/>
              </w:rPr>
              <w:t>275 </w:t>
            </w:r>
          </w:p>
        </w:tc>
        <w:tc>
          <w:tcPr>
            <w:tcW w:w="0" w:type="auto"/>
            <w:shd w:val="clear" w:color="auto" w:fill="CCEEFF"/>
            <w:tcMar>
              <w:top w:w="40" w:type="dxa"/>
              <w:left w:w="0" w:type="dxa"/>
              <w:bottom w:w="40" w:type="dxa"/>
              <w:right w:w="20" w:type="dxa"/>
            </w:tcMar>
            <w:vAlign w:val="center"/>
          </w:tcPr>
          <w:p w14:paraId="5DEC56A2" w14:textId="77777777" w:rsidR="00B1578D" w:rsidRDefault="00B1578D">
            <w:pPr>
              <w:jc w:val="right"/>
              <w:rPr>
                <w:rFonts w:ascii="宋体"/>
              </w:rPr>
            </w:pPr>
          </w:p>
        </w:tc>
        <w:tc>
          <w:tcPr>
            <w:tcW w:w="0" w:type="auto"/>
            <w:shd w:val="clear" w:color="auto" w:fill="auto"/>
            <w:vAlign w:val="bottom"/>
          </w:tcPr>
          <w:p w14:paraId="5DEC56A3" w14:textId="77777777" w:rsidR="00B1578D" w:rsidRDefault="00B1578D">
            <w:pPr>
              <w:rPr>
                <w:rFonts w:ascii="宋体"/>
                <w:vanish/>
              </w:rPr>
            </w:pPr>
          </w:p>
        </w:tc>
        <w:tc>
          <w:tcPr>
            <w:tcW w:w="0" w:type="auto"/>
            <w:shd w:val="clear" w:color="auto" w:fill="auto"/>
            <w:vAlign w:val="bottom"/>
          </w:tcPr>
          <w:p w14:paraId="5DEC56A4" w14:textId="77777777" w:rsidR="00B1578D" w:rsidRDefault="00B1578D">
            <w:pPr>
              <w:rPr>
                <w:rFonts w:ascii="宋体"/>
                <w:vanish/>
              </w:rPr>
            </w:pPr>
          </w:p>
        </w:tc>
        <w:tc>
          <w:tcPr>
            <w:tcW w:w="0" w:type="auto"/>
            <w:shd w:val="clear" w:color="auto" w:fill="auto"/>
            <w:vAlign w:val="bottom"/>
          </w:tcPr>
          <w:p w14:paraId="5DEC56A5" w14:textId="77777777" w:rsidR="00B1578D" w:rsidRDefault="00B1578D">
            <w:pPr>
              <w:rPr>
                <w:rFonts w:ascii="宋体"/>
                <w:vanish/>
              </w:rPr>
            </w:pPr>
          </w:p>
        </w:tc>
      </w:tr>
      <w:tr w:rsidR="00B1578D" w14:paraId="5DEC56C2" w14:textId="77777777">
        <w:tc>
          <w:tcPr>
            <w:tcW w:w="0" w:type="auto"/>
            <w:gridSpan w:val="3"/>
            <w:shd w:val="clear" w:color="auto" w:fill="FFFFFF"/>
            <w:tcMar>
              <w:top w:w="40" w:type="dxa"/>
              <w:left w:w="20" w:type="dxa"/>
              <w:bottom w:w="40" w:type="dxa"/>
              <w:right w:w="20" w:type="dxa"/>
            </w:tcMar>
            <w:vAlign w:val="center"/>
          </w:tcPr>
          <w:p w14:paraId="5DEC56A7" w14:textId="77777777" w:rsidR="00B1578D" w:rsidRDefault="004D2C04">
            <w:pPr>
              <w:textAlignment w:val="center"/>
            </w:pPr>
            <w:r>
              <w:rPr>
                <w:rFonts w:ascii="Times New Roman" w:eastAsia="宋体" w:hAnsi="Times New Roman"/>
                <w:color w:val="000000"/>
                <w:sz w:val="16"/>
                <w:szCs w:val="16"/>
              </w:rPr>
              <w:t>Dividends declared ($2.24 per share)</w:t>
            </w:r>
          </w:p>
        </w:tc>
        <w:tc>
          <w:tcPr>
            <w:tcW w:w="0" w:type="auto"/>
            <w:gridSpan w:val="2"/>
            <w:shd w:val="clear" w:color="auto" w:fill="FFFFFF"/>
            <w:tcMar>
              <w:top w:w="40" w:type="dxa"/>
              <w:left w:w="20" w:type="dxa"/>
              <w:bottom w:w="40" w:type="dxa"/>
              <w:right w:w="0" w:type="dxa"/>
            </w:tcMar>
            <w:vAlign w:val="center"/>
          </w:tcPr>
          <w:p w14:paraId="5DEC56A8"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A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A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AB"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A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A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AE"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A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B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B1" w14:textId="77777777" w:rsidR="00B1578D" w:rsidRDefault="004D2C04">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5DEC56B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B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B4"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B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B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B7" w14:textId="77777777" w:rsidR="00B1578D" w:rsidRDefault="004D2C04">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5DEC56B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B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BA"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B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B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BD" w14:textId="77777777" w:rsidR="00B1578D" w:rsidRDefault="004D2C04">
            <w:pPr>
              <w:jc w:val="right"/>
              <w:textAlignment w:val="center"/>
            </w:pPr>
            <w:r>
              <w:rPr>
                <w:rFonts w:ascii="Times New Roman" w:eastAsia="宋体" w:hAnsi="Times New Roman"/>
                <w:color w:val="000000"/>
                <w:sz w:val="16"/>
                <w:szCs w:val="16"/>
              </w:rPr>
              <w:t>(6,173)</w:t>
            </w:r>
          </w:p>
        </w:tc>
        <w:tc>
          <w:tcPr>
            <w:tcW w:w="0" w:type="auto"/>
            <w:shd w:val="clear" w:color="auto" w:fill="FFFFFF"/>
            <w:tcMar>
              <w:top w:w="40" w:type="dxa"/>
              <w:left w:w="0" w:type="dxa"/>
              <w:bottom w:w="40" w:type="dxa"/>
              <w:right w:w="20" w:type="dxa"/>
            </w:tcMar>
            <w:vAlign w:val="center"/>
          </w:tcPr>
          <w:p w14:paraId="5DEC56BE" w14:textId="77777777" w:rsidR="00B1578D" w:rsidRDefault="00B1578D">
            <w:pPr>
              <w:jc w:val="right"/>
              <w:rPr>
                <w:rFonts w:ascii="宋体"/>
              </w:rPr>
            </w:pPr>
          </w:p>
        </w:tc>
        <w:tc>
          <w:tcPr>
            <w:tcW w:w="0" w:type="auto"/>
            <w:shd w:val="clear" w:color="auto" w:fill="auto"/>
            <w:vAlign w:val="bottom"/>
          </w:tcPr>
          <w:p w14:paraId="5DEC56BF" w14:textId="77777777" w:rsidR="00B1578D" w:rsidRDefault="00B1578D">
            <w:pPr>
              <w:rPr>
                <w:rFonts w:ascii="宋体"/>
                <w:vanish/>
              </w:rPr>
            </w:pPr>
          </w:p>
        </w:tc>
        <w:tc>
          <w:tcPr>
            <w:tcW w:w="0" w:type="auto"/>
            <w:shd w:val="clear" w:color="auto" w:fill="auto"/>
            <w:vAlign w:val="bottom"/>
          </w:tcPr>
          <w:p w14:paraId="5DEC56C0" w14:textId="77777777" w:rsidR="00B1578D" w:rsidRDefault="00B1578D">
            <w:pPr>
              <w:rPr>
                <w:rFonts w:ascii="宋体"/>
                <w:vanish/>
              </w:rPr>
            </w:pPr>
          </w:p>
        </w:tc>
        <w:tc>
          <w:tcPr>
            <w:tcW w:w="0" w:type="auto"/>
            <w:shd w:val="clear" w:color="auto" w:fill="auto"/>
            <w:vAlign w:val="bottom"/>
          </w:tcPr>
          <w:p w14:paraId="5DEC56C1" w14:textId="77777777" w:rsidR="00B1578D" w:rsidRDefault="00B1578D">
            <w:pPr>
              <w:rPr>
                <w:rFonts w:ascii="宋体"/>
                <w:vanish/>
              </w:rPr>
            </w:pPr>
          </w:p>
        </w:tc>
      </w:tr>
      <w:tr w:rsidR="00B1578D" w14:paraId="5DEC56DE" w14:textId="77777777">
        <w:tc>
          <w:tcPr>
            <w:tcW w:w="0" w:type="auto"/>
            <w:gridSpan w:val="3"/>
            <w:shd w:val="clear" w:color="auto" w:fill="CCEEFF"/>
            <w:tcMar>
              <w:top w:w="40" w:type="dxa"/>
              <w:left w:w="20" w:type="dxa"/>
              <w:bottom w:w="40" w:type="dxa"/>
              <w:right w:w="20" w:type="dxa"/>
            </w:tcMar>
            <w:vAlign w:val="center"/>
          </w:tcPr>
          <w:p w14:paraId="5DEC56C3" w14:textId="77777777" w:rsidR="00B1578D" w:rsidRDefault="004D2C04">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5DEC56C4" w14:textId="77777777" w:rsidR="00B1578D" w:rsidRDefault="004D2C04">
            <w:pPr>
              <w:jc w:val="right"/>
              <w:textAlignment w:val="center"/>
            </w:pPr>
            <w:r>
              <w:rPr>
                <w:rFonts w:ascii="Times New Roman" w:eastAsia="宋体" w:hAnsi="Times New Roman"/>
                <w:color w:val="000000"/>
                <w:sz w:val="16"/>
                <w:szCs w:val="16"/>
              </w:rPr>
              <w:t>(17)</w:t>
            </w:r>
          </w:p>
        </w:tc>
        <w:tc>
          <w:tcPr>
            <w:tcW w:w="0" w:type="auto"/>
            <w:shd w:val="clear" w:color="auto" w:fill="CCEEFF"/>
            <w:tcMar>
              <w:top w:w="40" w:type="dxa"/>
              <w:left w:w="0" w:type="dxa"/>
              <w:bottom w:w="40" w:type="dxa"/>
              <w:right w:w="20" w:type="dxa"/>
            </w:tcMar>
            <w:vAlign w:val="center"/>
          </w:tcPr>
          <w:p w14:paraId="5DEC56C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C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C7" w14:textId="77777777" w:rsidR="00B1578D" w:rsidRDefault="004D2C04">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5DEC56C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C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CA" w14:textId="77777777" w:rsidR="00B1578D" w:rsidRDefault="004D2C04">
            <w:pPr>
              <w:jc w:val="right"/>
              <w:textAlignment w:val="center"/>
            </w:pPr>
            <w:r>
              <w:rPr>
                <w:rFonts w:ascii="Times New Roman" w:eastAsia="宋体" w:hAnsi="Times New Roman"/>
                <w:color w:val="000000"/>
                <w:sz w:val="16"/>
                <w:szCs w:val="16"/>
              </w:rPr>
              <w:t>(125)</w:t>
            </w:r>
          </w:p>
        </w:tc>
        <w:tc>
          <w:tcPr>
            <w:tcW w:w="0" w:type="auto"/>
            <w:shd w:val="clear" w:color="auto" w:fill="CCEEFF"/>
            <w:tcMar>
              <w:top w:w="40" w:type="dxa"/>
              <w:left w:w="0" w:type="dxa"/>
              <w:bottom w:w="40" w:type="dxa"/>
              <w:right w:w="20" w:type="dxa"/>
            </w:tcMar>
            <w:vAlign w:val="center"/>
          </w:tcPr>
          <w:p w14:paraId="5DEC56C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C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CD" w14:textId="77777777" w:rsidR="00B1578D" w:rsidRDefault="004D2C04">
            <w:pPr>
              <w:jc w:val="right"/>
              <w:textAlignment w:val="center"/>
            </w:pPr>
            <w:r>
              <w:rPr>
                <w:rFonts w:ascii="Times New Roman" w:eastAsia="宋体" w:hAnsi="Times New Roman"/>
                <w:color w:val="000000"/>
                <w:sz w:val="16"/>
                <w:szCs w:val="16"/>
              </w:rPr>
              <w:t>(2,249)</w:t>
            </w:r>
          </w:p>
        </w:tc>
        <w:tc>
          <w:tcPr>
            <w:tcW w:w="0" w:type="auto"/>
            <w:shd w:val="clear" w:color="auto" w:fill="CCEEFF"/>
            <w:tcMar>
              <w:top w:w="40" w:type="dxa"/>
              <w:left w:w="0" w:type="dxa"/>
              <w:bottom w:w="40" w:type="dxa"/>
              <w:right w:w="20" w:type="dxa"/>
            </w:tcMar>
            <w:vAlign w:val="center"/>
          </w:tcPr>
          <w:p w14:paraId="5DEC56C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C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D0"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6D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D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D3" w14:textId="77777777" w:rsidR="00B1578D" w:rsidRDefault="004D2C04">
            <w:pPr>
              <w:jc w:val="right"/>
              <w:textAlignment w:val="center"/>
            </w:pPr>
            <w:r>
              <w:rPr>
                <w:rFonts w:ascii="Times New Roman" w:eastAsia="宋体" w:hAnsi="Times New Roman"/>
                <w:color w:val="000000"/>
                <w:sz w:val="16"/>
                <w:szCs w:val="16"/>
              </w:rPr>
              <w:t>(2,376)</w:t>
            </w:r>
          </w:p>
        </w:tc>
        <w:tc>
          <w:tcPr>
            <w:tcW w:w="0" w:type="auto"/>
            <w:shd w:val="clear" w:color="auto" w:fill="CCEEFF"/>
            <w:tcMar>
              <w:top w:w="40" w:type="dxa"/>
              <w:left w:w="0" w:type="dxa"/>
              <w:bottom w:w="40" w:type="dxa"/>
              <w:right w:w="20" w:type="dxa"/>
            </w:tcMar>
            <w:vAlign w:val="center"/>
          </w:tcPr>
          <w:p w14:paraId="5DEC56D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D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D6"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6D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6D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6D9" w14:textId="77777777" w:rsidR="00B1578D" w:rsidRDefault="004D2C04">
            <w:pPr>
              <w:jc w:val="right"/>
              <w:textAlignment w:val="center"/>
            </w:pPr>
            <w:r>
              <w:rPr>
                <w:rFonts w:ascii="Times New Roman" w:eastAsia="宋体" w:hAnsi="Times New Roman"/>
                <w:color w:val="000000"/>
                <w:sz w:val="16"/>
                <w:szCs w:val="16"/>
              </w:rPr>
              <w:t>(2,376)</w:t>
            </w:r>
          </w:p>
        </w:tc>
        <w:tc>
          <w:tcPr>
            <w:tcW w:w="0" w:type="auto"/>
            <w:shd w:val="clear" w:color="auto" w:fill="CCEEFF"/>
            <w:tcMar>
              <w:top w:w="40" w:type="dxa"/>
              <w:left w:w="0" w:type="dxa"/>
              <w:bottom w:w="40" w:type="dxa"/>
              <w:right w:w="20" w:type="dxa"/>
            </w:tcMar>
            <w:vAlign w:val="center"/>
          </w:tcPr>
          <w:p w14:paraId="5DEC56DA" w14:textId="77777777" w:rsidR="00B1578D" w:rsidRDefault="00B1578D">
            <w:pPr>
              <w:jc w:val="right"/>
              <w:rPr>
                <w:rFonts w:ascii="宋体"/>
              </w:rPr>
            </w:pPr>
          </w:p>
        </w:tc>
        <w:tc>
          <w:tcPr>
            <w:tcW w:w="0" w:type="auto"/>
            <w:shd w:val="clear" w:color="auto" w:fill="auto"/>
            <w:vAlign w:val="bottom"/>
          </w:tcPr>
          <w:p w14:paraId="5DEC56DB" w14:textId="77777777" w:rsidR="00B1578D" w:rsidRDefault="00B1578D">
            <w:pPr>
              <w:rPr>
                <w:rFonts w:ascii="宋体"/>
                <w:vanish/>
              </w:rPr>
            </w:pPr>
          </w:p>
        </w:tc>
        <w:tc>
          <w:tcPr>
            <w:tcW w:w="0" w:type="auto"/>
            <w:shd w:val="clear" w:color="auto" w:fill="auto"/>
            <w:vAlign w:val="bottom"/>
          </w:tcPr>
          <w:p w14:paraId="5DEC56DC" w14:textId="77777777" w:rsidR="00B1578D" w:rsidRDefault="00B1578D">
            <w:pPr>
              <w:rPr>
                <w:rFonts w:ascii="宋体"/>
                <w:vanish/>
              </w:rPr>
            </w:pPr>
          </w:p>
        </w:tc>
        <w:tc>
          <w:tcPr>
            <w:tcW w:w="0" w:type="auto"/>
            <w:shd w:val="clear" w:color="auto" w:fill="auto"/>
            <w:vAlign w:val="bottom"/>
          </w:tcPr>
          <w:p w14:paraId="5DEC56DD" w14:textId="77777777" w:rsidR="00B1578D" w:rsidRDefault="00B1578D">
            <w:pPr>
              <w:rPr>
                <w:rFonts w:ascii="宋体"/>
                <w:vanish/>
              </w:rPr>
            </w:pPr>
          </w:p>
        </w:tc>
      </w:tr>
      <w:tr w:rsidR="00B1578D" w14:paraId="5DEC56F2" w14:textId="77777777">
        <w:trPr>
          <w:hidden/>
        </w:trPr>
        <w:tc>
          <w:tcPr>
            <w:tcW w:w="0" w:type="auto"/>
            <w:gridSpan w:val="3"/>
            <w:shd w:val="clear" w:color="auto" w:fill="auto"/>
            <w:vAlign w:val="bottom"/>
          </w:tcPr>
          <w:p w14:paraId="5DEC56DF" w14:textId="77777777" w:rsidR="00B1578D" w:rsidRDefault="00B1578D">
            <w:pPr>
              <w:rPr>
                <w:rFonts w:ascii="宋体"/>
                <w:vanish/>
              </w:rPr>
            </w:pPr>
          </w:p>
        </w:tc>
        <w:tc>
          <w:tcPr>
            <w:tcW w:w="0" w:type="auto"/>
            <w:gridSpan w:val="3"/>
            <w:shd w:val="clear" w:color="auto" w:fill="auto"/>
            <w:vAlign w:val="bottom"/>
          </w:tcPr>
          <w:p w14:paraId="5DEC56E0" w14:textId="77777777" w:rsidR="00B1578D" w:rsidRDefault="00B1578D">
            <w:pPr>
              <w:rPr>
                <w:rFonts w:ascii="宋体"/>
                <w:vanish/>
              </w:rPr>
            </w:pPr>
          </w:p>
        </w:tc>
        <w:tc>
          <w:tcPr>
            <w:tcW w:w="0" w:type="auto"/>
            <w:gridSpan w:val="3"/>
            <w:shd w:val="clear" w:color="auto" w:fill="auto"/>
            <w:vAlign w:val="bottom"/>
          </w:tcPr>
          <w:p w14:paraId="5DEC56E1" w14:textId="77777777" w:rsidR="00B1578D" w:rsidRDefault="00B1578D">
            <w:pPr>
              <w:rPr>
                <w:rFonts w:ascii="宋体"/>
                <w:vanish/>
              </w:rPr>
            </w:pPr>
          </w:p>
        </w:tc>
        <w:tc>
          <w:tcPr>
            <w:tcW w:w="0" w:type="auto"/>
            <w:gridSpan w:val="3"/>
            <w:shd w:val="clear" w:color="auto" w:fill="auto"/>
            <w:vAlign w:val="bottom"/>
          </w:tcPr>
          <w:p w14:paraId="5DEC56E2" w14:textId="77777777" w:rsidR="00B1578D" w:rsidRDefault="00B1578D">
            <w:pPr>
              <w:rPr>
                <w:rFonts w:ascii="宋体"/>
                <w:vanish/>
              </w:rPr>
            </w:pPr>
          </w:p>
        </w:tc>
        <w:tc>
          <w:tcPr>
            <w:tcW w:w="0" w:type="auto"/>
            <w:gridSpan w:val="3"/>
            <w:shd w:val="clear" w:color="auto" w:fill="auto"/>
            <w:vAlign w:val="bottom"/>
          </w:tcPr>
          <w:p w14:paraId="5DEC56E3" w14:textId="77777777" w:rsidR="00B1578D" w:rsidRDefault="00B1578D">
            <w:pPr>
              <w:rPr>
                <w:rFonts w:ascii="宋体"/>
                <w:vanish/>
              </w:rPr>
            </w:pPr>
          </w:p>
        </w:tc>
        <w:tc>
          <w:tcPr>
            <w:tcW w:w="0" w:type="auto"/>
            <w:gridSpan w:val="3"/>
            <w:shd w:val="clear" w:color="auto" w:fill="auto"/>
            <w:vAlign w:val="bottom"/>
          </w:tcPr>
          <w:p w14:paraId="5DEC56E4" w14:textId="77777777" w:rsidR="00B1578D" w:rsidRDefault="00B1578D">
            <w:pPr>
              <w:rPr>
                <w:rFonts w:ascii="宋体"/>
                <w:vanish/>
              </w:rPr>
            </w:pPr>
          </w:p>
        </w:tc>
        <w:tc>
          <w:tcPr>
            <w:tcW w:w="0" w:type="auto"/>
            <w:gridSpan w:val="3"/>
            <w:shd w:val="clear" w:color="auto" w:fill="auto"/>
            <w:vAlign w:val="bottom"/>
          </w:tcPr>
          <w:p w14:paraId="5DEC56E5" w14:textId="77777777" w:rsidR="00B1578D" w:rsidRDefault="00B1578D">
            <w:pPr>
              <w:rPr>
                <w:rFonts w:ascii="宋体"/>
                <w:vanish/>
              </w:rPr>
            </w:pPr>
          </w:p>
        </w:tc>
        <w:tc>
          <w:tcPr>
            <w:tcW w:w="0" w:type="auto"/>
            <w:gridSpan w:val="3"/>
            <w:shd w:val="clear" w:color="auto" w:fill="auto"/>
            <w:vAlign w:val="bottom"/>
          </w:tcPr>
          <w:p w14:paraId="5DEC56E6" w14:textId="77777777" w:rsidR="00B1578D" w:rsidRDefault="00B1578D">
            <w:pPr>
              <w:rPr>
                <w:rFonts w:ascii="宋体"/>
                <w:vanish/>
              </w:rPr>
            </w:pPr>
          </w:p>
        </w:tc>
        <w:tc>
          <w:tcPr>
            <w:tcW w:w="0" w:type="auto"/>
            <w:gridSpan w:val="3"/>
            <w:shd w:val="clear" w:color="auto" w:fill="auto"/>
            <w:vAlign w:val="bottom"/>
          </w:tcPr>
          <w:p w14:paraId="5DEC56E7" w14:textId="77777777" w:rsidR="00B1578D" w:rsidRDefault="00B1578D">
            <w:pPr>
              <w:rPr>
                <w:rFonts w:ascii="宋体"/>
                <w:vanish/>
              </w:rPr>
            </w:pPr>
          </w:p>
        </w:tc>
        <w:tc>
          <w:tcPr>
            <w:tcW w:w="0" w:type="auto"/>
            <w:gridSpan w:val="3"/>
            <w:shd w:val="clear" w:color="auto" w:fill="auto"/>
            <w:vAlign w:val="bottom"/>
          </w:tcPr>
          <w:p w14:paraId="5DEC56E8" w14:textId="77777777" w:rsidR="00B1578D" w:rsidRDefault="00B1578D">
            <w:pPr>
              <w:rPr>
                <w:rFonts w:ascii="宋体"/>
                <w:vanish/>
              </w:rPr>
            </w:pPr>
          </w:p>
        </w:tc>
        <w:tc>
          <w:tcPr>
            <w:tcW w:w="0" w:type="auto"/>
            <w:gridSpan w:val="3"/>
            <w:shd w:val="clear" w:color="auto" w:fill="auto"/>
            <w:vAlign w:val="bottom"/>
          </w:tcPr>
          <w:p w14:paraId="5DEC56E9" w14:textId="77777777" w:rsidR="00B1578D" w:rsidRDefault="00B1578D">
            <w:pPr>
              <w:rPr>
                <w:rFonts w:ascii="宋体"/>
                <w:vanish/>
              </w:rPr>
            </w:pPr>
          </w:p>
        </w:tc>
        <w:tc>
          <w:tcPr>
            <w:tcW w:w="0" w:type="auto"/>
            <w:gridSpan w:val="3"/>
            <w:shd w:val="clear" w:color="auto" w:fill="auto"/>
            <w:vAlign w:val="bottom"/>
          </w:tcPr>
          <w:p w14:paraId="5DEC56EA" w14:textId="77777777" w:rsidR="00B1578D" w:rsidRDefault="00B1578D">
            <w:pPr>
              <w:rPr>
                <w:rFonts w:ascii="宋体"/>
                <w:vanish/>
              </w:rPr>
            </w:pPr>
          </w:p>
        </w:tc>
        <w:tc>
          <w:tcPr>
            <w:tcW w:w="0" w:type="auto"/>
            <w:gridSpan w:val="3"/>
            <w:shd w:val="clear" w:color="auto" w:fill="auto"/>
            <w:vAlign w:val="bottom"/>
          </w:tcPr>
          <w:p w14:paraId="5DEC56EB" w14:textId="77777777" w:rsidR="00B1578D" w:rsidRDefault="00B1578D">
            <w:pPr>
              <w:rPr>
                <w:rFonts w:ascii="宋体"/>
                <w:vanish/>
              </w:rPr>
            </w:pPr>
          </w:p>
        </w:tc>
        <w:tc>
          <w:tcPr>
            <w:tcW w:w="0" w:type="auto"/>
            <w:gridSpan w:val="3"/>
            <w:shd w:val="clear" w:color="auto" w:fill="auto"/>
            <w:vAlign w:val="bottom"/>
          </w:tcPr>
          <w:p w14:paraId="5DEC56EC" w14:textId="77777777" w:rsidR="00B1578D" w:rsidRDefault="00B1578D">
            <w:pPr>
              <w:rPr>
                <w:rFonts w:ascii="宋体"/>
                <w:vanish/>
              </w:rPr>
            </w:pPr>
          </w:p>
        </w:tc>
        <w:tc>
          <w:tcPr>
            <w:tcW w:w="0" w:type="auto"/>
            <w:gridSpan w:val="3"/>
            <w:shd w:val="clear" w:color="auto" w:fill="auto"/>
            <w:vAlign w:val="bottom"/>
          </w:tcPr>
          <w:p w14:paraId="5DEC56ED" w14:textId="77777777" w:rsidR="00B1578D" w:rsidRDefault="00B1578D">
            <w:pPr>
              <w:rPr>
                <w:rFonts w:ascii="宋体"/>
                <w:vanish/>
              </w:rPr>
            </w:pPr>
          </w:p>
        </w:tc>
        <w:tc>
          <w:tcPr>
            <w:tcW w:w="0" w:type="auto"/>
            <w:gridSpan w:val="3"/>
            <w:shd w:val="clear" w:color="auto" w:fill="auto"/>
            <w:vAlign w:val="bottom"/>
          </w:tcPr>
          <w:p w14:paraId="5DEC56EE" w14:textId="77777777" w:rsidR="00B1578D" w:rsidRDefault="00B1578D">
            <w:pPr>
              <w:rPr>
                <w:rFonts w:ascii="宋体"/>
                <w:vanish/>
              </w:rPr>
            </w:pPr>
          </w:p>
        </w:tc>
        <w:tc>
          <w:tcPr>
            <w:tcW w:w="0" w:type="auto"/>
            <w:shd w:val="clear" w:color="auto" w:fill="auto"/>
            <w:vAlign w:val="bottom"/>
          </w:tcPr>
          <w:p w14:paraId="5DEC56EF" w14:textId="77777777" w:rsidR="00B1578D" w:rsidRDefault="00B1578D">
            <w:pPr>
              <w:rPr>
                <w:rFonts w:ascii="宋体"/>
                <w:vanish/>
              </w:rPr>
            </w:pPr>
          </w:p>
        </w:tc>
        <w:tc>
          <w:tcPr>
            <w:tcW w:w="0" w:type="auto"/>
            <w:shd w:val="clear" w:color="auto" w:fill="auto"/>
            <w:vAlign w:val="bottom"/>
          </w:tcPr>
          <w:p w14:paraId="5DEC56F0" w14:textId="77777777" w:rsidR="00B1578D" w:rsidRDefault="00B1578D">
            <w:pPr>
              <w:rPr>
                <w:rFonts w:ascii="宋体"/>
                <w:vanish/>
              </w:rPr>
            </w:pPr>
          </w:p>
        </w:tc>
        <w:tc>
          <w:tcPr>
            <w:tcW w:w="0" w:type="auto"/>
            <w:shd w:val="clear" w:color="auto" w:fill="auto"/>
            <w:vAlign w:val="bottom"/>
          </w:tcPr>
          <w:p w14:paraId="5DEC56F1" w14:textId="77777777" w:rsidR="00B1578D" w:rsidRDefault="00B1578D">
            <w:pPr>
              <w:rPr>
                <w:rFonts w:ascii="宋体"/>
                <w:vanish/>
              </w:rPr>
            </w:pPr>
          </w:p>
        </w:tc>
      </w:tr>
      <w:tr w:rsidR="00B1578D" w14:paraId="5DEC570E" w14:textId="77777777">
        <w:tc>
          <w:tcPr>
            <w:tcW w:w="0" w:type="auto"/>
            <w:gridSpan w:val="3"/>
            <w:shd w:val="clear" w:color="auto" w:fill="FFFFFF"/>
            <w:tcMar>
              <w:top w:w="40" w:type="dxa"/>
              <w:left w:w="20" w:type="dxa"/>
              <w:bottom w:w="40" w:type="dxa"/>
              <w:right w:w="20" w:type="dxa"/>
            </w:tcMar>
            <w:vAlign w:val="center"/>
          </w:tcPr>
          <w:p w14:paraId="5DEC56F3" w14:textId="77777777" w:rsidR="00B1578D" w:rsidRDefault="004D2C04">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5DEC56F4"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F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F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F7"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F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F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FA" w14:textId="77777777" w:rsidR="00B1578D" w:rsidRDefault="004D2C04">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5DEC56F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F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6FD"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6F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6F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700"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70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0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703" w14:textId="77777777" w:rsidR="00B1578D" w:rsidRDefault="004D2C04">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5DEC570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0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706" w14:textId="77777777" w:rsidR="00B1578D" w:rsidRDefault="004D2C04">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5DEC570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0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709" w14:textId="77777777" w:rsidR="00B1578D" w:rsidRDefault="004D2C04">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5DEC570A" w14:textId="77777777" w:rsidR="00B1578D" w:rsidRDefault="00B1578D">
            <w:pPr>
              <w:jc w:val="right"/>
              <w:rPr>
                <w:rFonts w:ascii="宋体"/>
              </w:rPr>
            </w:pPr>
          </w:p>
        </w:tc>
        <w:tc>
          <w:tcPr>
            <w:tcW w:w="0" w:type="auto"/>
            <w:shd w:val="clear" w:color="auto" w:fill="auto"/>
            <w:vAlign w:val="bottom"/>
          </w:tcPr>
          <w:p w14:paraId="5DEC570B" w14:textId="77777777" w:rsidR="00B1578D" w:rsidRDefault="00B1578D">
            <w:pPr>
              <w:rPr>
                <w:rFonts w:ascii="宋体"/>
                <w:vanish/>
              </w:rPr>
            </w:pPr>
          </w:p>
        </w:tc>
        <w:tc>
          <w:tcPr>
            <w:tcW w:w="0" w:type="auto"/>
            <w:shd w:val="clear" w:color="auto" w:fill="auto"/>
            <w:vAlign w:val="bottom"/>
          </w:tcPr>
          <w:p w14:paraId="5DEC570C" w14:textId="77777777" w:rsidR="00B1578D" w:rsidRDefault="00B1578D">
            <w:pPr>
              <w:rPr>
                <w:rFonts w:ascii="宋体"/>
                <w:vanish/>
              </w:rPr>
            </w:pPr>
          </w:p>
        </w:tc>
        <w:tc>
          <w:tcPr>
            <w:tcW w:w="0" w:type="auto"/>
            <w:shd w:val="clear" w:color="auto" w:fill="auto"/>
            <w:vAlign w:val="bottom"/>
          </w:tcPr>
          <w:p w14:paraId="5DEC570D" w14:textId="77777777" w:rsidR="00B1578D" w:rsidRDefault="00B1578D">
            <w:pPr>
              <w:rPr>
                <w:rFonts w:ascii="宋体"/>
                <w:vanish/>
              </w:rPr>
            </w:pPr>
          </w:p>
        </w:tc>
      </w:tr>
      <w:tr w:rsidR="00B1578D" w14:paraId="5DEC572A" w14:textId="77777777">
        <w:tc>
          <w:tcPr>
            <w:tcW w:w="0" w:type="auto"/>
            <w:gridSpan w:val="3"/>
            <w:shd w:val="clear" w:color="auto" w:fill="CCEEFF"/>
            <w:tcMar>
              <w:top w:w="40" w:type="dxa"/>
              <w:left w:w="20" w:type="dxa"/>
              <w:bottom w:w="40" w:type="dxa"/>
              <w:right w:w="20" w:type="dxa"/>
            </w:tcMar>
            <w:vAlign w:val="center"/>
          </w:tcPr>
          <w:p w14:paraId="5DEC570F" w14:textId="77777777" w:rsidR="00B1578D" w:rsidRDefault="004D2C04">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5DEC5710" w14:textId="77777777" w:rsidR="00B1578D" w:rsidRDefault="004D2C04">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5DEC571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71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713" w14:textId="77777777" w:rsidR="00B1578D" w:rsidRDefault="004D2C04">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5DEC571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71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716" w14:textId="77777777" w:rsidR="00B1578D" w:rsidRDefault="004D2C04">
            <w:pPr>
              <w:jc w:val="right"/>
              <w:textAlignment w:val="center"/>
            </w:pPr>
            <w:r>
              <w:rPr>
                <w:rFonts w:ascii="Times New Roman" w:eastAsia="宋体" w:hAnsi="Times New Roman"/>
                <w:color w:val="000000"/>
                <w:sz w:val="16"/>
                <w:szCs w:val="16"/>
              </w:rPr>
              <w:t>(151)</w:t>
            </w:r>
          </w:p>
        </w:tc>
        <w:tc>
          <w:tcPr>
            <w:tcW w:w="0" w:type="auto"/>
            <w:shd w:val="clear" w:color="auto" w:fill="CCEEFF"/>
            <w:tcMar>
              <w:top w:w="40" w:type="dxa"/>
              <w:left w:w="0" w:type="dxa"/>
              <w:bottom w:w="40" w:type="dxa"/>
              <w:right w:w="20" w:type="dxa"/>
            </w:tcMar>
            <w:vAlign w:val="center"/>
          </w:tcPr>
          <w:p w14:paraId="5DEC571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71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719" w14:textId="77777777" w:rsidR="00B1578D" w:rsidRDefault="004D2C04">
            <w:pPr>
              <w:jc w:val="right"/>
              <w:textAlignment w:val="center"/>
            </w:pPr>
            <w:r>
              <w:rPr>
                <w:rFonts w:ascii="Times New Roman" w:eastAsia="宋体" w:hAnsi="Times New Roman"/>
                <w:color w:val="000000"/>
                <w:sz w:val="16"/>
                <w:szCs w:val="16"/>
              </w:rPr>
              <w:t>(4)</w:t>
            </w:r>
          </w:p>
        </w:tc>
        <w:tc>
          <w:tcPr>
            <w:tcW w:w="0" w:type="auto"/>
            <w:shd w:val="clear" w:color="auto" w:fill="CCEEFF"/>
            <w:tcMar>
              <w:top w:w="40" w:type="dxa"/>
              <w:left w:w="0" w:type="dxa"/>
              <w:bottom w:w="40" w:type="dxa"/>
              <w:right w:w="20" w:type="dxa"/>
            </w:tcMar>
            <w:vAlign w:val="center"/>
          </w:tcPr>
          <w:p w14:paraId="5DEC571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71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71C"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71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71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71F" w14:textId="77777777" w:rsidR="00B1578D" w:rsidRDefault="004D2C04">
            <w:pPr>
              <w:jc w:val="right"/>
              <w:textAlignment w:val="center"/>
            </w:pPr>
            <w:r>
              <w:rPr>
                <w:rFonts w:ascii="Times New Roman" w:eastAsia="宋体" w:hAnsi="Times New Roman"/>
                <w:color w:val="000000"/>
                <w:sz w:val="16"/>
                <w:szCs w:val="16"/>
              </w:rPr>
              <w:t>(154)</w:t>
            </w:r>
          </w:p>
        </w:tc>
        <w:tc>
          <w:tcPr>
            <w:tcW w:w="0" w:type="auto"/>
            <w:shd w:val="clear" w:color="auto" w:fill="CCEEFF"/>
            <w:tcMar>
              <w:top w:w="40" w:type="dxa"/>
              <w:left w:w="0" w:type="dxa"/>
              <w:bottom w:w="40" w:type="dxa"/>
              <w:right w:w="20" w:type="dxa"/>
            </w:tcMar>
            <w:vAlign w:val="center"/>
          </w:tcPr>
          <w:p w14:paraId="5DEC572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72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722" w14:textId="77777777" w:rsidR="00B1578D" w:rsidRDefault="004D2C04">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5DEC572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72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725" w14:textId="77777777" w:rsidR="00B1578D" w:rsidRDefault="004D2C04">
            <w:pPr>
              <w:jc w:val="right"/>
              <w:textAlignment w:val="center"/>
            </w:pPr>
            <w:r>
              <w:rPr>
                <w:rFonts w:ascii="Times New Roman" w:eastAsia="宋体" w:hAnsi="Times New Roman"/>
                <w:color w:val="000000"/>
                <w:sz w:val="16"/>
                <w:szCs w:val="16"/>
              </w:rPr>
              <w:t>(155)</w:t>
            </w:r>
          </w:p>
        </w:tc>
        <w:tc>
          <w:tcPr>
            <w:tcW w:w="0" w:type="auto"/>
            <w:shd w:val="clear" w:color="auto" w:fill="CCEEFF"/>
            <w:tcMar>
              <w:top w:w="40" w:type="dxa"/>
              <w:left w:w="0" w:type="dxa"/>
              <w:bottom w:w="40" w:type="dxa"/>
              <w:right w:w="20" w:type="dxa"/>
            </w:tcMar>
            <w:vAlign w:val="center"/>
          </w:tcPr>
          <w:p w14:paraId="5DEC5726" w14:textId="77777777" w:rsidR="00B1578D" w:rsidRDefault="00B1578D">
            <w:pPr>
              <w:jc w:val="right"/>
              <w:rPr>
                <w:rFonts w:ascii="宋体"/>
              </w:rPr>
            </w:pPr>
          </w:p>
        </w:tc>
        <w:tc>
          <w:tcPr>
            <w:tcW w:w="0" w:type="auto"/>
            <w:shd w:val="clear" w:color="auto" w:fill="auto"/>
            <w:vAlign w:val="bottom"/>
          </w:tcPr>
          <w:p w14:paraId="5DEC5727" w14:textId="77777777" w:rsidR="00B1578D" w:rsidRDefault="00B1578D">
            <w:pPr>
              <w:rPr>
                <w:rFonts w:ascii="宋体"/>
                <w:vanish/>
              </w:rPr>
            </w:pPr>
          </w:p>
        </w:tc>
        <w:tc>
          <w:tcPr>
            <w:tcW w:w="0" w:type="auto"/>
            <w:shd w:val="clear" w:color="auto" w:fill="auto"/>
            <w:vAlign w:val="bottom"/>
          </w:tcPr>
          <w:p w14:paraId="5DEC5728" w14:textId="77777777" w:rsidR="00B1578D" w:rsidRDefault="00B1578D">
            <w:pPr>
              <w:rPr>
                <w:rFonts w:ascii="宋体"/>
                <w:vanish/>
              </w:rPr>
            </w:pPr>
          </w:p>
        </w:tc>
        <w:tc>
          <w:tcPr>
            <w:tcW w:w="0" w:type="auto"/>
            <w:shd w:val="clear" w:color="auto" w:fill="auto"/>
            <w:vAlign w:val="bottom"/>
          </w:tcPr>
          <w:p w14:paraId="5DEC5729" w14:textId="77777777" w:rsidR="00B1578D" w:rsidRDefault="00B1578D">
            <w:pPr>
              <w:rPr>
                <w:rFonts w:ascii="宋体"/>
                <w:vanish/>
              </w:rPr>
            </w:pPr>
          </w:p>
        </w:tc>
      </w:tr>
      <w:tr w:rsidR="004D2C04" w14:paraId="5DEC574D" w14:textId="77777777">
        <w:tc>
          <w:tcPr>
            <w:tcW w:w="0" w:type="auto"/>
            <w:gridSpan w:val="3"/>
            <w:shd w:val="clear" w:color="auto" w:fill="FFFFFF"/>
            <w:tcMar>
              <w:top w:w="40" w:type="dxa"/>
              <w:left w:w="20" w:type="dxa"/>
              <w:bottom w:w="40" w:type="dxa"/>
              <w:right w:w="20" w:type="dxa"/>
            </w:tcMar>
            <w:vAlign w:val="center"/>
          </w:tcPr>
          <w:p w14:paraId="5DEC572B" w14:textId="77777777" w:rsidR="00B1578D" w:rsidRDefault="004D2C04">
            <w:pPr>
              <w:textAlignment w:val="center"/>
            </w:pPr>
            <w:r>
              <w:rPr>
                <w:rFonts w:ascii="Times New Roman" w:eastAsia="宋体" w:hAnsi="Times New Roman"/>
                <w:b/>
                <w:bCs/>
                <w:color w:val="000000"/>
                <w:sz w:val="16"/>
                <w:szCs w:val="16"/>
              </w:rPr>
              <w:t>Balances as of April 30, 2022</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2C" w14:textId="77777777" w:rsidR="00B1578D" w:rsidRDefault="004D2C04">
            <w:pPr>
              <w:jc w:val="right"/>
              <w:textAlignment w:val="center"/>
            </w:pPr>
            <w:r>
              <w:rPr>
                <w:rFonts w:ascii="Times New Roman" w:eastAsia="宋体" w:hAnsi="Times New Roman"/>
                <w:color w:val="000000"/>
                <w:sz w:val="16"/>
                <w:szCs w:val="16"/>
              </w:rPr>
              <w:t>2,748 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2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2E" w14:textId="77777777" w:rsidR="00B1578D" w:rsidRDefault="00B1578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2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5DEC5730" w14:textId="77777777" w:rsidR="00B1578D" w:rsidRDefault="004D2C04">
            <w:pPr>
              <w:jc w:val="right"/>
              <w:textAlignment w:val="center"/>
            </w:pPr>
            <w:r>
              <w:rPr>
                <w:rFonts w:ascii="Times New Roman" w:eastAsia="宋体" w:hAnsi="Times New Roman"/>
                <w:color w:val="000000"/>
                <w:sz w:val="16"/>
                <w:szCs w:val="16"/>
              </w:rPr>
              <w:t>275 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3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32" w14:textId="77777777" w:rsidR="00B1578D" w:rsidRDefault="00B1578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33"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5DEC5734" w14:textId="77777777" w:rsidR="00B1578D" w:rsidRDefault="004D2C04">
            <w:pPr>
              <w:jc w:val="right"/>
              <w:textAlignment w:val="center"/>
            </w:pPr>
            <w:r>
              <w:rPr>
                <w:rFonts w:ascii="Times New Roman" w:eastAsia="宋体" w:hAnsi="Times New Roman"/>
                <w:color w:val="000000"/>
                <w:sz w:val="16"/>
                <w:szCs w:val="16"/>
              </w:rPr>
              <w:t>4,587 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3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36" w14:textId="77777777" w:rsidR="00B1578D" w:rsidRDefault="00B1578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37"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5DEC5738" w14:textId="77777777" w:rsidR="00B1578D" w:rsidRDefault="004D2C04">
            <w:pPr>
              <w:jc w:val="right"/>
              <w:textAlignment w:val="center"/>
            </w:pPr>
            <w:r>
              <w:rPr>
                <w:rFonts w:ascii="Times New Roman" w:eastAsia="宋体" w:hAnsi="Times New Roman"/>
                <w:color w:val="000000"/>
                <w:sz w:val="16"/>
                <w:szCs w:val="16"/>
              </w:rPr>
              <w:t>80,532 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3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3A" w14:textId="77777777" w:rsidR="00B1578D" w:rsidRDefault="00B1578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3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5DEC573C" w14:textId="77777777" w:rsidR="00B1578D" w:rsidRDefault="004D2C04">
            <w:pPr>
              <w:jc w:val="right"/>
              <w:textAlignment w:val="center"/>
            </w:pPr>
            <w:r>
              <w:rPr>
                <w:rFonts w:ascii="Times New Roman" w:eastAsia="宋体" w:hAnsi="Times New Roman"/>
                <w:color w:val="000000"/>
                <w:sz w:val="16"/>
                <w:szCs w:val="16"/>
              </w:rPr>
              <w:t>(8,498)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3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3E" w14:textId="77777777" w:rsidR="00B1578D" w:rsidRDefault="00B1578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3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5DEC5740" w14:textId="77777777" w:rsidR="00B1578D" w:rsidRDefault="004D2C04">
            <w:pPr>
              <w:jc w:val="right"/>
              <w:textAlignment w:val="center"/>
            </w:pPr>
            <w:r>
              <w:rPr>
                <w:rFonts w:ascii="Times New Roman" w:eastAsia="宋体" w:hAnsi="Times New Roman"/>
                <w:color w:val="000000"/>
                <w:sz w:val="16"/>
                <w:szCs w:val="16"/>
              </w:rPr>
              <w:t>76,896 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4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42" w14:textId="77777777" w:rsidR="00B1578D" w:rsidRDefault="00B1578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43"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5DEC5744" w14:textId="77777777" w:rsidR="00B1578D" w:rsidRDefault="004D2C04">
            <w:pPr>
              <w:jc w:val="right"/>
              <w:textAlignment w:val="center"/>
            </w:pPr>
            <w:r>
              <w:rPr>
                <w:rFonts w:ascii="Times New Roman" w:eastAsia="宋体" w:hAnsi="Times New Roman"/>
                <w:color w:val="000000"/>
                <w:sz w:val="16"/>
                <w:szCs w:val="16"/>
              </w:rPr>
              <w:t>8,704 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4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746" w14:textId="77777777" w:rsidR="00B1578D" w:rsidRDefault="00B1578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5DEC5747"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center"/>
          </w:tcPr>
          <w:p w14:paraId="5DEC5748" w14:textId="77777777" w:rsidR="00B1578D" w:rsidRDefault="004D2C04">
            <w:pPr>
              <w:jc w:val="right"/>
              <w:textAlignment w:val="center"/>
            </w:pPr>
            <w:r>
              <w:rPr>
                <w:rFonts w:ascii="Times New Roman" w:eastAsia="宋体" w:hAnsi="Times New Roman"/>
                <w:color w:val="000000"/>
                <w:sz w:val="16"/>
                <w:szCs w:val="16"/>
              </w:rPr>
              <w:t>85,600 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5DEC5749" w14:textId="77777777" w:rsidR="00B1578D" w:rsidRDefault="00B1578D">
            <w:pPr>
              <w:jc w:val="right"/>
              <w:rPr>
                <w:rFonts w:ascii="宋体"/>
              </w:rPr>
            </w:pPr>
          </w:p>
        </w:tc>
        <w:tc>
          <w:tcPr>
            <w:tcW w:w="0" w:type="auto"/>
            <w:shd w:val="clear" w:color="auto" w:fill="auto"/>
            <w:vAlign w:val="bottom"/>
          </w:tcPr>
          <w:p w14:paraId="5DEC574A" w14:textId="77777777" w:rsidR="00B1578D" w:rsidRDefault="00B1578D">
            <w:pPr>
              <w:rPr>
                <w:rFonts w:ascii="宋体"/>
                <w:vanish/>
              </w:rPr>
            </w:pPr>
          </w:p>
        </w:tc>
        <w:tc>
          <w:tcPr>
            <w:tcW w:w="0" w:type="auto"/>
            <w:shd w:val="clear" w:color="auto" w:fill="auto"/>
            <w:vAlign w:val="bottom"/>
          </w:tcPr>
          <w:p w14:paraId="5DEC574B" w14:textId="77777777" w:rsidR="00B1578D" w:rsidRDefault="00B1578D">
            <w:pPr>
              <w:rPr>
                <w:rFonts w:ascii="宋体"/>
                <w:vanish/>
              </w:rPr>
            </w:pPr>
          </w:p>
        </w:tc>
        <w:tc>
          <w:tcPr>
            <w:tcW w:w="0" w:type="auto"/>
            <w:shd w:val="clear" w:color="auto" w:fill="auto"/>
            <w:vAlign w:val="bottom"/>
          </w:tcPr>
          <w:p w14:paraId="5DEC574C" w14:textId="77777777" w:rsidR="00B1578D" w:rsidRDefault="00B1578D">
            <w:pPr>
              <w:rPr>
                <w:rFonts w:ascii="宋体"/>
                <w:vanish/>
              </w:rPr>
            </w:pPr>
          </w:p>
        </w:tc>
      </w:tr>
      <w:tr w:rsidR="00B1578D" w14:paraId="5DEC5761" w14:textId="77777777">
        <w:trPr>
          <w:hidden/>
        </w:trPr>
        <w:tc>
          <w:tcPr>
            <w:tcW w:w="0" w:type="auto"/>
            <w:gridSpan w:val="3"/>
            <w:shd w:val="clear" w:color="auto" w:fill="auto"/>
            <w:vAlign w:val="bottom"/>
          </w:tcPr>
          <w:p w14:paraId="5DEC574E" w14:textId="77777777" w:rsidR="00B1578D" w:rsidRDefault="00B1578D">
            <w:pPr>
              <w:rPr>
                <w:rFonts w:ascii="宋体"/>
                <w:vanish/>
              </w:rPr>
            </w:pPr>
          </w:p>
        </w:tc>
        <w:tc>
          <w:tcPr>
            <w:tcW w:w="0" w:type="auto"/>
            <w:gridSpan w:val="3"/>
            <w:shd w:val="clear" w:color="auto" w:fill="auto"/>
            <w:vAlign w:val="bottom"/>
          </w:tcPr>
          <w:p w14:paraId="5DEC574F" w14:textId="77777777" w:rsidR="00B1578D" w:rsidRDefault="00B1578D">
            <w:pPr>
              <w:rPr>
                <w:rFonts w:ascii="宋体"/>
                <w:vanish/>
              </w:rPr>
            </w:pPr>
          </w:p>
        </w:tc>
        <w:tc>
          <w:tcPr>
            <w:tcW w:w="0" w:type="auto"/>
            <w:gridSpan w:val="3"/>
            <w:shd w:val="clear" w:color="auto" w:fill="auto"/>
            <w:vAlign w:val="bottom"/>
          </w:tcPr>
          <w:p w14:paraId="5DEC5750" w14:textId="77777777" w:rsidR="00B1578D" w:rsidRDefault="00B1578D">
            <w:pPr>
              <w:rPr>
                <w:rFonts w:ascii="宋体"/>
                <w:vanish/>
              </w:rPr>
            </w:pPr>
          </w:p>
        </w:tc>
        <w:tc>
          <w:tcPr>
            <w:tcW w:w="0" w:type="auto"/>
            <w:gridSpan w:val="3"/>
            <w:shd w:val="clear" w:color="auto" w:fill="auto"/>
            <w:vAlign w:val="bottom"/>
          </w:tcPr>
          <w:p w14:paraId="5DEC5751" w14:textId="77777777" w:rsidR="00B1578D" w:rsidRDefault="00B1578D">
            <w:pPr>
              <w:rPr>
                <w:rFonts w:ascii="宋体"/>
                <w:vanish/>
              </w:rPr>
            </w:pPr>
          </w:p>
        </w:tc>
        <w:tc>
          <w:tcPr>
            <w:tcW w:w="0" w:type="auto"/>
            <w:gridSpan w:val="3"/>
            <w:shd w:val="clear" w:color="auto" w:fill="auto"/>
            <w:vAlign w:val="bottom"/>
          </w:tcPr>
          <w:p w14:paraId="5DEC5752" w14:textId="77777777" w:rsidR="00B1578D" w:rsidRDefault="00B1578D">
            <w:pPr>
              <w:rPr>
                <w:rFonts w:ascii="宋体"/>
                <w:vanish/>
              </w:rPr>
            </w:pPr>
          </w:p>
        </w:tc>
        <w:tc>
          <w:tcPr>
            <w:tcW w:w="0" w:type="auto"/>
            <w:gridSpan w:val="3"/>
            <w:shd w:val="clear" w:color="auto" w:fill="auto"/>
            <w:vAlign w:val="bottom"/>
          </w:tcPr>
          <w:p w14:paraId="5DEC5753" w14:textId="77777777" w:rsidR="00B1578D" w:rsidRDefault="00B1578D">
            <w:pPr>
              <w:rPr>
                <w:rFonts w:ascii="宋体"/>
                <w:vanish/>
              </w:rPr>
            </w:pPr>
          </w:p>
        </w:tc>
        <w:tc>
          <w:tcPr>
            <w:tcW w:w="0" w:type="auto"/>
            <w:gridSpan w:val="3"/>
            <w:shd w:val="clear" w:color="auto" w:fill="auto"/>
            <w:vAlign w:val="bottom"/>
          </w:tcPr>
          <w:p w14:paraId="5DEC5754" w14:textId="77777777" w:rsidR="00B1578D" w:rsidRDefault="00B1578D">
            <w:pPr>
              <w:rPr>
                <w:rFonts w:ascii="宋体"/>
                <w:vanish/>
              </w:rPr>
            </w:pPr>
          </w:p>
        </w:tc>
        <w:tc>
          <w:tcPr>
            <w:tcW w:w="0" w:type="auto"/>
            <w:gridSpan w:val="3"/>
            <w:shd w:val="clear" w:color="auto" w:fill="auto"/>
            <w:vAlign w:val="bottom"/>
          </w:tcPr>
          <w:p w14:paraId="5DEC5755" w14:textId="77777777" w:rsidR="00B1578D" w:rsidRDefault="00B1578D">
            <w:pPr>
              <w:rPr>
                <w:rFonts w:ascii="宋体"/>
                <w:vanish/>
              </w:rPr>
            </w:pPr>
          </w:p>
        </w:tc>
        <w:tc>
          <w:tcPr>
            <w:tcW w:w="0" w:type="auto"/>
            <w:gridSpan w:val="3"/>
            <w:shd w:val="clear" w:color="auto" w:fill="auto"/>
            <w:vAlign w:val="bottom"/>
          </w:tcPr>
          <w:p w14:paraId="5DEC5756" w14:textId="77777777" w:rsidR="00B1578D" w:rsidRDefault="00B1578D">
            <w:pPr>
              <w:rPr>
                <w:rFonts w:ascii="宋体"/>
                <w:vanish/>
              </w:rPr>
            </w:pPr>
          </w:p>
        </w:tc>
        <w:tc>
          <w:tcPr>
            <w:tcW w:w="0" w:type="auto"/>
            <w:gridSpan w:val="3"/>
            <w:shd w:val="clear" w:color="auto" w:fill="auto"/>
            <w:vAlign w:val="bottom"/>
          </w:tcPr>
          <w:p w14:paraId="5DEC5757" w14:textId="77777777" w:rsidR="00B1578D" w:rsidRDefault="00B1578D">
            <w:pPr>
              <w:rPr>
                <w:rFonts w:ascii="宋体"/>
                <w:vanish/>
              </w:rPr>
            </w:pPr>
          </w:p>
        </w:tc>
        <w:tc>
          <w:tcPr>
            <w:tcW w:w="0" w:type="auto"/>
            <w:gridSpan w:val="3"/>
            <w:shd w:val="clear" w:color="auto" w:fill="auto"/>
            <w:vAlign w:val="bottom"/>
          </w:tcPr>
          <w:p w14:paraId="5DEC5758" w14:textId="77777777" w:rsidR="00B1578D" w:rsidRDefault="00B1578D">
            <w:pPr>
              <w:rPr>
                <w:rFonts w:ascii="宋体"/>
                <w:vanish/>
              </w:rPr>
            </w:pPr>
          </w:p>
        </w:tc>
        <w:tc>
          <w:tcPr>
            <w:tcW w:w="0" w:type="auto"/>
            <w:gridSpan w:val="3"/>
            <w:shd w:val="clear" w:color="auto" w:fill="auto"/>
            <w:vAlign w:val="bottom"/>
          </w:tcPr>
          <w:p w14:paraId="5DEC5759" w14:textId="77777777" w:rsidR="00B1578D" w:rsidRDefault="00B1578D">
            <w:pPr>
              <w:rPr>
                <w:rFonts w:ascii="宋体"/>
                <w:vanish/>
              </w:rPr>
            </w:pPr>
          </w:p>
        </w:tc>
        <w:tc>
          <w:tcPr>
            <w:tcW w:w="0" w:type="auto"/>
            <w:gridSpan w:val="3"/>
            <w:shd w:val="clear" w:color="auto" w:fill="auto"/>
            <w:vAlign w:val="bottom"/>
          </w:tcPr>
          <w:p w14:paraId="5DEC575A" w14:textId="77777777" w:rsidR="00B1578D" w:rsidRDefault="00B1578D">
            <w:pPr>
              <w:rPr>
                <w:rFonts w:ascii="宋体"/>
                <w:vanish/>
              </w:rPr>
            </w:pPr>
          </w:p>
        </w:tc>
        <w:tc>
          <w:tcPr>
            <w:tcW w:w="0" w:type="auto"/>
            <w:gridSpan w:val="3"/>
            <w:shd w:val="clear" w:color="auto" w:fill="auto"/>
            <w:vAlign w:val="bottom"/>
          </w:tcPr>
          <w:p w14:paraId="5DEC575B" w14:textId="77777777" w:rsidR="00B1578D" w:rsidRDefault="00B1578D">
            <w:pPr>
              <w:rPr>
                <w:rFonts w:ascii="宋体"/>
                <w:vanish/>
              </w:rPr>
            </w:pPr>
          </w:p>
        </w:tc>
        <w:tc>
          <w:tcPr>
            <w:tcW w:w="0" w:type="auto"/>
            <w:gridSpan w:val="3"/>
            <w:shd w:val="clear" w:color="auto" w:fill="auto"/>
            <w:vAlign w:val="bottom"/>
          </w:tcPr>
          <w:p w14:paraId="5DEC575C" w14:textId="77777777" w:rsidR="00B1578D" w:rsidRDefault="00B1578D">
            <w:pPr>
              <w:rPr>
                <w:rFonts w:ascii="宋体"/>
                <w:vanish/>
              </w:rPr>
            </w:pPr>
          </w:p>
        </w:tc>
        <w:tc>
          <w:tcPr>
            <w:tcW w:w="0" w:type="auto"/>
            <w:gridSpan w:val="3"/>
            <w:shd w:val="clear" w:color="auto" w:fill="auto"/>
            <w:vAlign w:val="bottom"/>
          </w:tcPr>
          <w:p w14:paraId="5DEC575D" w14:textId="77777777" w:rsidR="00B1578D" w:rsidRDefault="00B1578D">
            <w:pPr>
              <w:rPr>
                <w:rFonts w:ascii="宋体"/>
                <w:vanish/>
              </w:rPr>
            </w:pPr>
          </w:p>
        </w:tc>
        <w:tc>
          <w:tcPr>
            <w:tcW w:w="0" w:type="auto"/>
            <w:shd w:val="clear" w:color="auto" w:fill="auto"/>
            <w:vAlign w:val="bottom"/>
          </w:tcPr>
          <w:p w14:paraId="5DEC575E" w14:textId="77777777" w:rsidR="00B1578D" w:rsidRDefault="00B1578D">
            <w:pPr>
              <w:rPr>
                <w:rFonts w:ascii="宋体"/>
                <w:vanish/>
              </w:rPr>
            </w:pPr>
          </w:p>
        </w:tc>
        <w:tc>
          <w:tcPr>
            <w:tcW w:w="0" w:type="auto"/>
            <w:shd w:val="clear" w:color="auto" w:fill="auto"/>
            <w:vAlign w:val="bottom"/>
          </w:tcPr>
          <w:p w14:paraId="5DEC575F" w14:textId="77777777" w:rsidR="00B1578D" w:rsidRDefault="00B1578D">
            <w:pPr>
              <w:rPr>
                <w:rFonts w:ascii="宋体"/>
                <w:vanish/>
              </w:rPr>
            </w:pPr>
          </w:p>
        </w:tc>
        <w:tc>
          <w:tcPr>
            <w:tcW w:w="0" w:type="auto"/>
            <w:shd w:val="clear" w:color="auto" w:fill="auto"/>
            <w:vAlign w:val="bottom"/>
          </w:tcPr>
          <w:p w14:paraId="5DEC5760" w14:textId="77777777" w:rsidR="00B1578D" w:rsidRDefault="00B1578D">
            <w:pPr>
              <w:rPr>
                <w:rFonts w:ascii="宋体"/>
                <w:vanish/>
              </w:rPr>
            </w:pPr>
          </w:p>
        </w:tc>
      </w:tr>
      <w:tr w:rsidR="00B1578D" w14:paraId="5DEC5775" w14:textId="77777777">
        <w:trPr>
          <w:hidden/>
        </w:trPr>
        <w:tc>
          <w:tcPr>
            <w:tcW w:w="0" w:type="auto"/>
            <w:gridSpan w:val="3"/>
            <w:shd w:val="clear" w:color="auto" w:fill="auto"/>
            <w:vAlign w:val="bottom"/>
          </w:tcPr>
          <w:p w14:paraId="5DEC5762" w14:textId="77777777" w:rsidR="00B1578D" w:rsidRDefault="00B1578D">
            <w:pPr>
              <w:rPr>
                <w:rFonts w:ascii="宋体"/>
                <w:vanish/>
              </w:rPr>
            </w:pPr>
          </w:p>
        </w:tc>
        <w:tc>
          <w:tcPr>
            <w:tcW w:w="0" w:type="auto"/>
            <w:gridSpan w:val="3"/>
            <w:shd w:val="clear" w:color="auto" w:fill="auto"/>
            <w:vAlign w:val="bottom"/>
          </w:tcPr>
          <w:p w14:paraId="5DEC5763" w14:textId="77777777" w:rsidR="00B1578D" w:rsidRDefault="00B1578D">
            <w:pPr>
              <w:rPr>
                <w:rFonts w:ascii="宋体"/>
                <w:vanish/>
              </w:rPr>
            </w:pPr>
          </w:p>
        </w:tc>
        <w:tc>
          <w:tcPr>
            <w:tcW w:w="0" w:type="auto"/>
            <w:gridSpan w:val="3"/>
            <w:shd w:val="clear" w:color="auto" w:fill="auto"/>
            <w:vAlign w:val="bottom"/>
          </w:tcPr>
          <w:p w14:paraId="5DEC5764" w14:textId="77777777" w:rsidR="00B1578D" w:rsidRDefault="00B1578D">
            <w:pPr>
              <w:rPr>
                <w:rFonts w:ascii="宋体"/>
                <w:vanish/>
              </w:rPr>
            </w:pPr>
          </w:p>
        </w:tc>
        <w:tc>
          <w:tcPr>
            <w:tcW w:w="0" w:type="auto"/>
            <w:gridSpan w:val="3"/>
            <w:shd w:val="clear" w:color="auto" w:fill="auto"/>
            <w:vAlign w:val="bottom"/>
          </w:tcPr>
          <w:p w14:paraId="5DEC5765" w14:textId="77777777" w:rsidR="00B1578D" w:rsidRDefault="00B1578D">
            <w:pPr>
              <w:rPr>
                <w:rFonts w:ascii="宋体"/>
                <w:vanish/>
              </w:rPr>
            </w:pPr>
          </w:p>
        </w:tc>
        <w:tc>
          <w:tcPr>
            <w:tcW w:w="0" w:type="auto"/>
            <w:gridSpan w:val="3"/>
            <w:shd w:val="clear" w:color="auto" w:fill="auto"/>
            <w:vAlign w:val="bottom"/>
          </w:tcPr>
          <w:p w14:paraId="5DEC5766" w14:textId="77777777" w:rsidR="00B1578D" w:rsidRDefault="00B1578D">
            <w:pPr>
              <w:rPr>
                <w:rFonts w:ascii="宋体"/>
                <w:vanish/>
              </w:rPr>
            </w:pPr>
          </w:p>
        </w:tc>
        <w:tc>
          <w:tcPr>
            <w:tcW w:w="0" w:type="auto"/>
            <w:gridSpan w:val="3"/>
            <w:shd w:val="clear" w:color="auto" w:fill="auto"/>
            <w:vAlign w:val="bottom"/>
          </w:tcPr>
          <w:p w14:paraId="5DEC5767" w14:textId="77777777" w:rsidR="00B1578D" w:rsidRDefault="00B1578D">
            <w:pPr>
              <w:rPr>
                <w:rFonts w:ascii="宋体"/>
                <w:vanish/>
              </w:rPr>
            </w:pPr>
          </w:p>
        </w:tc>
        <w:tc>
          <w:tcPr>
            <w:tcW w:w="0" w:type="auto"/>
            <w:gridSpan w:val="3"/>
            <w:shd w:val="clear" w:color="auto" w:fill="auto"/>
            <w:vAlign w:val="bottom"/>
          </w:tcPr>
          <w:p w14:paraId="5DEC5768" w14:textId="77777777" w:rsidR="00B1578D" w:rsidRDefault="00B1578D">
            <w:pPr>
              <w:rPr>
                <w:rFonts w:ascii="宋体"/>
                <w:vanish/>
              </w:rPr>
            </w:pPr>
          </w:p>
        </w:tc>
        <w:tc>
          <w:tcPr>
            <w:tcW w:w="0" w:type="auto"/>
            <w:gridSpan w:val="3"/>
            <w:shd w:val="clear" w:color="auto" w:fill="auto"/>
            <w:vAlign w:val="bottom"/>
          </w:tcPr>
          <w:p w14:paraId="5DEC5769" w14:textId="77777777" w:rsidR="00B1578D" w:rsidRDefault="00B1578D">
            <w:pPr>
              <w:rPr>
                <w:rFonts w:ascii="宋体"/>
                <w:vanish/>
              </w:rPr>
            </w:pPr>
          </w:p>
        </w:tc>
        <w:tc>
          <w:tcPr>
            <w:tcW w:w="0" w:type="auto"/>
            <w:gridSpan w:val="3"/>
            <w:shd w:val="clear" w:color="auto" w:fill="auto"/>
            <w:vAlign w:val="bottom"/>
          </w:tcPr>
          <w:p w14:paraId="5DEC576A" w14:textId="77777777" w:rsidR="00B1578D" w:rsidRDefault="00B1578D">
            <w:pPr>
              <w:rPr>
                <w:rFonts w:ascii="宋体"/>
                <w:vanish/>
              </w:rPr>
            </w:pPr>
          </w:p>
        </w:tc>
        <w:tc>
          <w:tcPr>
            <w:tcW w:w="0" w:type="auto"/>
            <w:gridSpan w:val="3"/>
            <w:shd w:val="clear" w:color="auto" w:fill="auto"/>
            <w:vAlign w:val="bottom"/>
          </w:tcPr>
          <w:p w14:paraId="5DEC576B" w14:textId="77777777" w:rsidR="00B1578D" w:rsidRDefault="00B1578D">
            <w:pPr>
              <w:rPr>
                <w:rFonts w:ascii="宋体"/>
                <w:vanish/>
              </w:rPr>
            </w:pPr>
          </w:p>
        </w:tc>
        <w:tc>
          <w:tcPr>
            <w:tcW w:w="0" w:type="auto"/>
            <w:gridSpan w:val="3"/>
            <w:shd w:val="clear" w:color="auto" w:fill="auto"/>
            <w:vAlign w:val="bottom"/>
          </w:tcPr>
          <w:p w14:paraId="5DEC576C" w14:textId="77777777" w:rsidR="00B1578D" w:rsidRDefault="00B1578D">
            <w:pPr>
              <w:rPr>
                <w:rFonts w:ascii="宋体"/>
                <w:vanish/>
              </w:rPr>
            </w:pPr>
          </w:p>
        </w:tc>
        <w:tc>
          <w:tcPr>
            <w:tcW w:w="0" w:type="auto"/>
            <w:gridSpan w:val="3"/>
            <w:shd w:val="clear" w:color="auto" w:fill="auto"/>
            <w:vAlign w:val="bottom"/>
          </w:tcPr>
          <w:p w14:paraId="5DEC576D" w14:textId="77777777" w:rsidR="00B1578D" w:rsidRDefault="00B1578D">
            <w:pPr>
              <w:rPr>
                <w:rFonts w:ascii="宋体"/>
                <w:vanish/>
              </w:rPr>
            </w:pPr>
          </w:p>
        </w:tc>
        <w:tc>
          <w:tcPr>
            <w:tcW w:w="0" w:type="auto"/>
            <w:gridSpan w:val="3"/>
            <w:shd w:val="clear" w:color="auto" w:fill="auto"/>
            <w:vAlign w:val="bottom"/>
          </w:tcPr>
          <w:p w14:paraId="5DEC576E" w14:textId="77777777" w:rsidR="00B1578D" w:rsidRDefault="00B1578D">
            <w:pPr>
              <w:rPr>
                <w:rFonts w:ascii="宋体"/>
                <w:vanish/>
              </w:rPr>
            </w:pPr>
          </w:p>
        </w:tc>
        <w:tc>
          <w:tcPr>
            <w:tcW w:w="0" w:type="auto"/>
            <w:gridSpan w:val="3"/>
            <w:shd w:val="clear" w:color="auto" w:fill="auto"/>
            <w:vAlign w:val="bottom"/>
          </w:tcPr>
          <w:p w14:paraId="5DEC576F" w14:textId="77777777" w:rsidR="00B1578D" w:rsidRDefault="00B1578D">
            <w:pPr>
              <w:rPr>
                <w:rFonts w:ascii="宋体"/>
                <w:vanish/>
              </w:rPr>
            </w:pPr>
          </w:p>
        </w:tc>
        <w:tc>
          <w:tcPr>
            <w:tcW w:w="0" w:type="auto"/>
            <w:gridSpan w:val="3"/>
            <w:shd w:val="clear" w:color="auto" w:fill="auto"/>
            <w:vAlign w:val="bottom"/>
          </w:tcPr>
          <w:p w14:paraId="5DEC5770" w14:textId="77777777" w:rsidR="00B1578D" w:rsidRDefault="00B1578D">
            <w:pPr>
              <w:rPr>
                <w:rFonts w:ascii="宋体"/>
                <w:vanish/>
              </w:rPr>
            </w:pPr>
          </w:p>
        </w:tc>
        <w:tc>
          <w:tcPr>
            <w:tcW w:w="0" w:type="auto"/>
            <w:gridSpan w:val="3"/>
            <w:shd w:val="clear" w:color="auto" w:fill="auto"/>
            <w:vAlign w:val="bottom"/>
          </w:tcPr>
          <w:p w14:paraId="5DEC5771" w14:textId="77777777" w:rsidR="00B1578D" w:rsidRDefault="00B1578D">
            <w:pPr>
              <w:rPr>
                <w:rFonts w:ascii="宋体"/>
                <w:vanish/>
              </w:rPr>
            </w:pPr>
          </w:p>
        </w:tc>
        <w:tc>
          <w:tcPr>
            <w:tcW w:w="0" w:type="auto"/>
            <w:shd w:val="clear" w:color="auto" w:fill="auto"/>
            <w:vAlign w:val="bottom"/>
          </w:tcPr>
          <w:p w14:paraId="5DEC5772" w14:textId="77777777" w:rsidR="00B1578D" w:rsidRDefault="00B1578D">
            <w:pPr>
              <w:rPr>
                <w:rFonts w:ascii="宋体"/>
                <w:vanish/>
              </w:rPr>
            </w:pPr>
          </w:p>
        </w:tc>
        <w:tc>
          <w:tcPr>
            <w:tcW w:w="0" w:type="auto"/>
            <w:shd w:val="clear" w:color="auto" w:fill="auto"/>
            <w:vAlign w:val="bottom"/>
          </w:tcPr>
          <w:p w14:paraId="5DEC5773" w14:textId="77777777" w:rsidR="00B1578D" w:rsidRDefault="00B1578D">
            <w:pPr>
              <w:rPr>
                <w:rFonts w:ascii="宋体"/>
                <w:vanish/>
              </w:rPr>
            </w:pPr>
          </w:p>
        </w:tc>
        <w:tc>
          <w:tcPr>
            <w:tcW w:w="0" w:type="auto"/>
            <w:shd w:val="clear" w:color="auto" w:fill="auto"/>
            <w:vAlign w:val="bottom"/>
          </w:tcPr>
          <w:p w14:paraId="5DEC5774" w14:textId="77777777" w:rsidR="00B1578D" w:rsidRDefault="00B1578D">
            <w:pPr>
              <w:rPr>
                <w:rFonts w:ascii="宋体"/>
                <w:vanish/>
              </w:rPr>
            </w:pPr>
          </w:p>
        </w:tc>
      </w:tr>
      <w:tr w:rsidR="00B1578D" w14:paraId="5DEC5789" w14:textId="77777777">
        <w:trPr>
          <w:hidden/>
        </w:trPr>
        <w:tc>
          <w:tcPr>
            <w:tcW w:w="0" w:type="auto"/>
            <w:gridSpan w:val="3"/>
            <w:shd w:val="clear" w:color="auto" w:fill="auto"/>
            <w:vAlign w:val="bottom"/>
          </w:tcPr>
          <w:p w14:paraId="5DEC5776" w14:textId="77777777" w:rsidR="00B1578D" w:rsidRDefault="00B1578D">
            <w:pPr>
              <w:rPr>
                <w:rFonts w:ascii="宋体"/>
                <w:vanish/>
              </w:rPr>
            </w:pPr>
          </w:p>
        </w:tc>
        <w:tc>
          <w:tcPr>
            <w:tcW w:w="0" w:type="auto"/>
            <w:gridSpan w:val="3"/>
            <w:shd w:val="clear" w:color="auto" w:fill="auto"/>
            <w:vAlign w:val="bottom"/>
          </w:tcPr>
          <w:p w14:paraId="5DEC5777" w14:textId="77777777" w:rsidR="00B1578D" w:rsidRDefault="00B1578D">
            <w:pPr>
              <w:rPr>
                <w:rFonts w:ascii="宋体"/>
                <w:vanish/>
              </w:rPr>
            </w:pPr>
          </w:p>
        </w:tc>
        <w:tc>
          <w:tcPr>
            <w:tcW w:w="0" w:type="auto"/>
            <w:gridSpan w:val="3"/>
            <w:shd w:val="clear" w:color="auto" w:fill="auto"/>
            <w:vAlign w:val="bottom"/>
          </w:tcPr>
          <w:p w14:paraId="5DEC5778" w14:textId="77777777" w:rsidR="00B1578D" w:rsidRDefault="00B1578D">
            <w:pPr>
              <w:rPr>
                <w:rFonts w:ascii="宋体"/>
                <w:vanish/>
              </w:rPr>
            </w:pPr>
          </w:p>
        </w:tc>
        <w:tc>
          <w:tcPr>
            <w:tcW w:w="0" w:type="auto"/>
            <w:gridSpan w:val="3"/>
            <w:shd w:val="clear" w:color="auto" w:fill="auto"/>
            <w:vAlign w:val="bottom"/>
          </w:tcPr>
          <w:p w14:paraId="5DEC5779" w14:textId="77777777" w:rsidR="00B1578D" w:rsidRDefault="00B1578D">
            <w:pPr>
              <w:rPr>
                <w:rFonts w:ascii="宋体"/>
                <w:vanish/>
              </w:rPr>
            </w:pPr>
          </w:p>
        </w:tc>
        <w:tc>
          <w:tcPr>
            <w:tcW w:w="0" w:type="auto"/>
            <w:gridSpan w:val="3"/>
            <w:shd w:val="clear" w:color="auto" w:fill="auto"/>
            <w:vAlign w:val="bottom"/>
          </w:tcPr>
          <w:p w14:paraId="5DEC577A" w14:textId="77777777" w:rsidR="00B1578D" w:rsidRDefault="00B1578D">
            <w:pPr>
              <w:rPr>
                <w:rFonts w:ascii="宋体"/>
                <w:vanish/>
              </w:rPr>
            </w:pPr>
          </w:p>
        </w:tc>
        <w:tc>
          <w:tcPr>
            <w:tcW w:w="0" w:type="auto"/>
            <w:gridSpan w:val="3"/>
            <w:shd w:val="clear" w:color="auto" w:fill="auto"/>
            <w:vAlign w:val="bottom"/>
          </w:tcPr>
          <w:p w14:paraId="5DEC577B" w14:textId="77777777" w:rsidR="00B1578D" w:rsidRDefault="00B1578D">
            <w:pPr>
              <w:rPr>
                <w:rFonts w:ascii="宋体"/>
                <w:vanish/>
              </w:rPr>
            </w:pPr>
          </w:p>
        </w:tc>
        <w:tc>
          <w:tcPr>
            <w:tcW w:w="0" w:type="auto"/>
            <w:gridSpan w:val="3"/>
            <w:shd w:val="clear" w:color="auto" w:fill="auto"/>
            <w:vAlign w:val="bottom"/>
          </w:tcPr>
          <w:p w14:paraId="5DEC577C" w14:textId="77777777" w:rsidR="00B1578D" w:rsidRDefault="00B1578D">
            <w:pPr>
              <w:rPr>
                <w:rFonts w:ascii="宋体"/>
                <w:vanish/>
              </w:rPr>
            </w:pPr>
          </w:p>
        </w:tc>
        <w:tc>
          <w:tcPr>
            <w:tcW w:w="0" w:type="auto"/>
            <w:gridSpan w:val="3"/>
            <w:shd w:val="clear" w:color="auto" w:fill="auto"/>
            <w:vAlign w:val="bottom"/>
          </w:tcPr>
          <w:p w14:paraId="5DEC577D" w14:textId="77777777" w:rsidR="00B1578D" w:rsidRDefault="00B1578D">
            <w:pPr>
              <w:rPr>
                <w:rFonts w:ascii="宋体"/>
                <w:vanish/>
              </w:rPr>
            </w:pPr>
          </w:p>
        </w:tc>
        <w:tc>
          <w:tcPr>
            <w:tcW w:w="0" w:type="auto"/>
            <w:gridSpan w:val="3"/>
            <w:shd w:val="clear" w:color="auto" w:fill="auto"/>
            <w:vAlign w:val="bottom"/>
          </w:tcPr>
          <w:p w14:paraId="5DEC577E" w14:textId="77777777" w:rsidR="00B1578D" w:rsidRDefault="00B1578D">
            <w:pPr>
              <w:rPr>
                <w:rFonts w:ascii="宋体"/>
                <w:vanish/>
              </w:rPr>
            </w:pPr>
          </w:p>
        </w:tc>
        <w:tc>
          <w:tcPr>
            <w:tcW w:w="0" w:type="auto"/>
            <w:gridSpan w:val="3"/>
            <w:shd w:val="clear" w:color="auto" w:fill="auto"/>
            <w:vAlign w:val="bottom"/>
          </w:tcPr>
          <w:p w14:paraId="5DEC577F" w14:textId="77777777" w:rsidR="00B1578D" w:rsidRDefault="00B1578D">
            <w:pPr>
              <w:rPr>
                <w:rFonts w:ascii="宋体"/>
                <w:vanish/>
              </w:rPr>
            </w:pPr>
          </w:p>
        </w:tc>
        <w:tc>
          <w:tcPr>
            <w:tcW w:w="0" w:type="auto"/>
            <w:gridSpan w:val="3"/>
            <w:shd w:val="clear" w:color="auto" w:fill="auto"/>
            <w:vAlign w:val="bottom"/>
          </w:tcPr>
          <w:p w14:paraId="5DEC5780" w14:textId="77777777" w:rsidR="00B1578D" w:rsidRDefault="00B1578D">
            <w:pPr>
              <w:rPr>
                <w:rFonts w:ascii="宋体"/>
                <w:vanish/>
              </w:rPr>
            </w:pPr>
          </w:p>
        </w:tc>
        <w:tc>
          <w:tcPr>
            <w:tcW w:w="0" w:type="auto"/>
            <w:gridSpan w:val="3"/>
            <w:shd w:val="clear" w:color="auto" w:fill="auto"/>
            <w:vAlign w:val="bottom"/>
          </w:tcPr>
          <w:p w14:paraId="5DEC5781" w14:textId="77777777" w:rsidR="00B1578D" w:rsidRDefault="00B1578D">
            <w:pPr>
              <w:rPr>
                <w:rFonts w:ascii="宋体"/>
                <w:vanish/>
              </w:rPr>
            </w:pPr>
          </w:p>
        </w:tc>
        <w:tc>
          <w:tcPr>
            <w:tcW w:w="0" w:type="auto"/>
            <w:gridSpan w:val="3"/>
            <w:shd w:val="clear" w:color="auto" w:fill="auto"/>
            <w:vAlign w:val="bottom"/>
          </w:tcPr>
          <w:p w14:paraId="5DEC5782" w14:textId="77777777" w:rsidR="00B1578D" w:rsidRDefault="00B1578D">
            <w:pPr>
              <w:rPr>
                <w:rFonts w:ascii="宋体"/>
                <w:vanish/>
              </w:rPr>
            </w:pPr>
          </w:p>
        </w:tc>
        <w:tc>
          <w:tcPr>
            <w:tcW w:w="0" w:type="auto"/>
            <w:gridSpan w:val="3"/>
            <w:shd w:val="clear" w:color="auto" w:fill="auto"/>
            <w:vAlign w:val="bottom"/>
          </w:tcPr>
          <w:p w14:paraId="5DEC5783" w14:textId="77777777" w:rsidR="00B1578D" w:rsidRDefault="00B1578D">
            <w:pPr>
              <w:rPr>
                <w:rFonts w:ascii="宋体"/>
                <w:vanish/>
              </w:rPr>
            </w:pPr>
          </w:p>
        </w:tc>
        <w:tc>
          <w:tcPr>
            <w:tcW w:w="0" w:type="auto"/>
            <w:gridSpan w:val="3"/>
            <w:shd w:val="clear" w:color="auto" w:fill="auto"/>
            <w:vAlign w:val="bottom"/>
          </w:tcPr>
          <w:p w14:paraId="5DEC5784" w14:textId="77777777" w:rsidR="00B1578D" w:rsidRDefault="00B1578D">
            <w:pPr>
              <w:rPr>
                <w:rFonts w:ascii="宋体"/>
                <w:vanish/>
              </w:rPr>
            </w:pPr>
          </w:p>
        </w:tc>
        <w:tc>
          <w:tcPr>
            <w:tcW w:w="0" w:type="auto"/>
            <w:gridSpan w:val="3"/>
            <w:shd w:val="clear" w:color="auto" w:fill="auto"/>
            <w:vAlign w:val="bottom"/>
          </w:tcPr>
          <w:p w14:paraId="5DEC5785" w14:textId="77777777" w:rsidR="00B1578D" w:rsidRDefault="00B1578D">
            <w:pPr>
              <w:rPr>
                <w:rFonts w:ascii="宋体"/>
                <w:vanish/>
              </w:rPr>
            </w:pPr>
          </w:p>
        </w:tc>
        <w:tc>
          <w:tcPr>
            <w:tcW w:w="0" w:type="auto"/>
            <w:shd w:val="clear" w:color="auto" w:fill="auto"/>
            <w:vAlign w:val="bottom"/>
          </w:tcPr>
          <w:p w14:paraId="5DEC5786" w14:textId="77777777" w:rsidR="00B1578D" w:rsidRDefault="00B1578D">
            <w:pPr>
              <w:rPr>
                <w:rFonts w:ascii="宋体"/>
                <w:vanish/>
              </w:rPr>
            </w:pPr>
          </w:p>
        </w:tc>
        <w:tc>
          <w:tcPr>
            <w:tcW w:w="0" w:type="auto"/>
            <w:shd w:val="clear" w:color="auto" w:fill="auto"/>
            <w:vAlign w:val="bottom"/>
          </w:tcPr>
          <w:p w14:paraId="5DEC5787" w14:textId="77777777" w:rsidR="00B1578D" w:rsidRDefault="00B1578D">
            <w:pPr>
              <w:rPr>
                <w:rFonts w:ascii="宋体"/>
                <w:vanish/>
              </w:rPr>
            </w:pPr>
          </w:p>
        </w:tc>
        <w:tc>
          <w:tcPr>
            <w:tcW w:w="0" w:type="auto"/>
            <w:shd w:val="clear" w:color="auto" w:fill="auto"/>
            <w:vAlign w:val="bottom"/>
          </w:tcPr>
          <w:p w14:paraId="5DEC5788" w14:textId="77777777" w:rsidR="00B1578D" w:rsidRDefault="00B1578D">
            <w:pPr>
              <w:rPr>
                <w:rFonts w:ascii="宋体"/>
                <w:vanish/>
              </w:rPr>
            </w:pPr>
          </w:p>
        </w:tc>
      </w:tr>
      <w:tr w:rsidR="00B1578D" w14:paraId="5DEC579D" w14:textId="77777777">
        <w:trPr>
          <w:hidden/>
        </w:trPr>
        <w:tc>
          <w:tcPr>
            <w:tcW w:w="0" w:type="auto"/>
            <w:gridSpan w:val="3"/>
            <w:shd w:val="clear" w:color="auto" w:fill="auto"/>
            <w:vAlign w:val="bottom"/>
          </w:tcPr>
          <w:p w14:paraId="5DEC578A" w14:textId="77777777" w:rsidR="00B1578D" w:rsidRDefault="00B1578D">
            <w:pPr>
              <w:rPr>
                <w:rFonts w:ascii="宋体"/>
                <w:vanish/>
              </w:rPr>
            </w:pPr>
          </w:p>
        </w:tc>
        <w:tc>
          <w:tcPr>
            <w:tcW w:w="0" w:type="auto"/>
            <w:gridSpan w:val="3"/>
            <w:shd w:val="clear" w:color="auto" w:fill="auto"/>
            <w:vAlign w:val="bottom"/>
          </w:tcPr>
          <w:p w14:paraId="5DEC578B" w14:textId="77777777" w:rsidR="00B1578D" w:rsidRDefault="00B1578D">
            <w:pPr>
              <w:rPr>
                <w:rFonts w:ascii="宋体"/>
                <w:vanish/>
              </w:rPr>
            </w:pPr>
          </w:p>
        </w:tc>
        <w:tc>
          <w:tcPr>
            <w:tcW w:w="0" w:type="auto"/>
            <w:gridSpan w:val="3"/>
            <w:shd w:val="clear" w:color="auto" w:fill="auto"/>
            <w:vAlign w:val="bottom"/>
          </w:tcPr>
          <w:p w14:paraId="5DEC578C" w14:textId="77777777" w:rsidR="00B1578D" w:rsidRDefault="00B1578D">
            <w:pPr>
              <w:rPr>
                <w:rFonts w:ascii="宋体"/>
                <w:vanish/>
              </w:rPr>
            </w:pPr>
          </w:p>
        </w:tc>
        <w:tc>
          <w:tcPr>
            <w:tcW w:w="0" w:type="auto"/>
            <w:gridSpan w:val="3"/>
            <w:shd w:val="clear" w:color="auto" w:fill="auto"/>
            <w:vAlign w:val="bottom"/>
          </w:tcPr>
          <w:p w14:paraId="5DEC578D" w14:textId="77777777" w:rsidR="00B1578D" w:rsidRDefault="00B1578D">
            <w:pPr>
              <w:rPr>
                <w:rFonts w:ascii="宋体"/>
                <w:vanish/>
              </w:rPr>
            </w:pPr>
          </w:p>
        </w:tc>
        <w:tc>
          <w:tcPr>
            <w:tcW w:w="0" w:type="auto"/>
            <w:gridSpan w:val="3"/>
            <w:shd w:val="clear" w:color="auto" w:fill="auto"/>
            <w:vAlign w:val="bottom"/>
          </w:tcPr>
          <w:p w14:paraId="5DEC578E" w14:textId="77777777" w:rsidR="00B1578D" w:rsidRDefault="00B1578D">
            <w:pPr>
              <w:rPr>
                <w:rFonts w:ascii="宋体"/>
                <w:vanish/>
              </w:rPr>
            </w:pPr>
          </w:p>
        </w:tc>
        <w:tc>
          <w:tcPr>
            <w:tcW w:w="0" w:type="auto"/>
            <w:gridSpan w:val="3"/>
            <w:shd w:val="clear" w:color="auto" w:fill="auto"/>
            <w:vAlign w:val="bottom"/>
          </w:tcPr>
          <w:p w14:paraId="5DEC578F" w14:textId="77777777" w:rsidR="00B1578D" w:rsidRDefault="00B1578D">
            <w:pPr>
              <w:rPr>
                <w:rFonts w:ascii="宋体"/>
                <w:vanish/>
              </w:rPr>
            </w:pPr>
          </w:p>
        </w:tc>
        <w:tc>
          <w:tcPr>
            <w:tcW w:w="0" w:type="auto"/>
            <w:gridSpan w:val="3"/>
            <w:shd w:val="clear" w:color="auto" w:fill="auto"/>
            <w:vAlign w:val="bottom"/>
          </w:tcPr>
          <w:p w14:paraId="5DEC5790" w14:textId="77777777" w:rsidR="00B1578D" w:rsidRDefault="00B1578D">
            <w:pPr>
              <w:rPr>
                <w:rFonts w:ascii="宋体"/>
                <w:vanish/>
              </w:rPr>
            </w:pPr>
          </w:p>
        </w:tc>
        <w:tc>
          <w:tcPr>
            <w:tcW w:w="0" w:type="auto"/>
            <w:gridSpan w:val="3"/>
            <w:shd w:val="clear" w:color="auto" w:fill="auto"/>
            <w:vAlign w:val="bottom"/>
          </w:tcPr>
          <w:p w14:paraId="5DEC5791" w14:textId="77777777" w:rsidR="00B1578D" w:rsidRDefault="00B1578D">
            <w:pPr>
              <w:rPr>
                <w:rFonts w:ascii="宋体"/>
                <w:vanish/>
              </w:rPr>
            </w:pPr>
          </w:p>
        </w:tc>
        <w:tc>
          <w:tcPr>
            <w:tcW w:w="0" w:type="auto"/>
            <w:gridSpan w:val="3"/>
            <w:shd w:val="clear" w:color="auto" w:fill="auto"/>
            <w:vAlign w:val="bottom"/>
          </w:tcPr>
          <w:p w14:paraId="5DEC5792" w14:textId="77777777" w:rsidR="00B1578D" w:rsidRDefault="00B1578D">
            <w:pPr>
              <w:rPr>
                <w:rFonts w:ascii="宋体"/>
                <w:vanish/>
              </w:rPr>
            </w:pPr>
          </w:p>
        </w:tc>
        <w:tc>
          <w:tcPr>
            <w:tcW w:w="0" w:type="auto"/>
            <w:gridSpan w:val="3"/>
            <w:shd w:val="clear" w:color="auto" w:fill="auto"/>
            <w:vAlign w:val="bottom"/>
          </w:tcPr>
          <w:p w14:paraId="5DEC5793" w14:textId="77777777" w:rsidR="00B1578D" w:rsidRDefault="00B1578D">
            <w:pPr>
              <w:rPr>
                <w:rFonts w:ascii="宋体"/>
                <w:vanish/>
              </w:rPr>
            </w:pPr>
          </w:p>
        </w:tc>
        <w:tc>
          <w:tcPr>
            <w:tcW w:w="0" w:type="auto"/>
            <w:gridSpan w:val="3"/>
            <w:shd w:val="clear" w:color="auto" w:fill="auto"/>
            <w:vAlign w:val="bottom"/>
          </w:tcPr>
          <w:p w14:paraId="5DEC5794" w14:textId="77777777" w:rsidR="00B1578D" w:rsidRDefault="00B1578D">
            <w:pPr>
              <w:rPr>
                <w:rFonts w:ascii="宋体"/>
                <w:vanish/>
              </w:rPr>
            </w:pPr>
          </w:p>
        </w:tc>
        <w:tc>
          <w:tcPr>
            <w:tcW w:w="0" w:type="auto"/>
            <w:gridSpan w:val="3"/>
            <w:shd w:val="clear" w:color="auto" w:fill="auto"/>
            <w:vAlign w:val="bottom"/>
          </w:tcPr>
          <w:p w14:paraId="5DEC5795" w14:textId="77777777" w:rsidR="00B1578D" w:rsidRDefault="00B1578D">
            <w:pPr>
              <w:rPr>
                <w:rFonts w:ascii="宋体"/>
                <w:vanish/>
              </w:rPr>
            </w:pPr>
          </w:p>
        </w:tc>
        <w:tc>
          <w:tcPr>
            <w:tcW w:w="0" w:type="auto"/>
            <w:gridSpan w:val="3"/>
            <w:shd w:val="clear" w:color="auto" w:fill="auto"/>
            <w:vAlign w:val="bottom"/>
          </w:tcPr>
          <w:p w14:paraId="5DEC5796" w14:textId="77777777" w:rsidR="00B1578D" w:rsidRDefault="00B1578D">
            <w:pPr>
              <w:rPr>
                <w:rFonts w:ascii="宋体"/>
                <w:vanish/>
              </w:rPr>
            </w:pPr>
          </w:p>
        </w:tc>
        <w:tc>
          <w:tcPr>
            <w:tcW w:w="0" w:type="auto"/>
            <w:gridSpan w:val="3"/>
            <w:shd w:val="clear" w:color="auto" w:fill="auto"/>
            <w:vAlign w:val="bottom"/>
          </w:tcPr>
          <w:p w14:paraId="5DEC5797" w14:textId="77777777" w:rsidR="00B1578D" w:rsidRDefault="00B1578D">
            <w:pPr>
              <w:rPr>
                <w:rFonts w:ascii="宋体"/>
                <w:vanish/>
              </w:rPr>
            </w:pPr>
          </w:p>
        </w:tc>
        <w:tc>
          <w:tcPr>
            <w:tcW w:w="0" w:type="auto"/>
            <w:gridSpan w:val="3"/>
            <w:shd w:val="clear" w:color="auto" w:fill="auto"/>
            <w:vAlign w:val="bottom"/>
          </w:tcPr>
          <w:p w14:paraId="5DEC5798" w14:textId="77777777" w:rsidR="00B1578D" w:rsidRDefault="00B1578D">
            <w:pPr>
              <w:rPr>
                <w:rFonts w:ascii="宋体"/>
                <w:vanish/>
              </w:rPr>
            </w:pPr>
          </w:p>
        </w:tc>
        <w:tc>
          <w:tcPr>
            <w:tcW w:w="0" w:type="auto"/>
            <w:gridSpan w:val="3"/>
            <w:shd w:val="clear" w:color="auto" w:fill="auto"/>
            <w:vAlign w:val="bottom"/>
          </w:tcPr>
          <w:p w14:paraId="5DEC5799" w14:textId="77777777" w:rsidR="00B1578D" w:rsidRDefault="00B1578D">
            <w:pPr>
              <w:rPr>
                <w:rFonts w:ascii="宋体"/>
                <w:vanish/>
              </w:rPr>
            </w:pPr>
          </w:p>
        </w:tc>
        <w:tc>
          <w:tcPr>
            <w:tcW w:w="0" w:type="auto"/>
            <w:shd w:val="clear" w:color="auto" w:fill="auto"/>
            <w:vAlign w:val="bottom"/>
          </w:tcPr>
          <w:p w14:paraId="5DEC579A" w14:textId="77777777" w:rsidR="00B1578D" w:rsidRDefault="00B1578D">
            <w:pPr>
              <w:rPr>
                <w:rFonts w:ascii="宋体"/>
                <w:vanish/>
              </w:rPr>
            </w:pPr>
          </w:p>
        </w:tc>
        <w:tc>
          <w:tcPr>
            <w:tcW w:w="0" w:type="auto"/>
            <w:shd w:val="clear" w:color="auto" w:fill="auto"/>
            <w:vAlign w:val="bottom"/>
          </w:tcPr>
          <w:p w14:paraId="5DEC579B" w14:textId="77777777" w:rsidR="00B1578D" w:rsidRDefault="00B1578D">
            <w:pPr>
              <w:rPr>
                <w:rFonts w:ascii="宋体"/>
                <w:vanish/>
              </w:rPr>
            </w:pPr>
          </w:p>
        </w:tc>
        <w:tc>
          <w:tcPr>
            <w:tcW w:w="0" w:type="auto"/>
            <w:shd w:val="clear" w:color="auto" w:fill="auto"/>
            <w:vAlign w:val="bottom"/>
          </w:tcPr>
          <w:p w14:paraId="5DEC579C" w14:textId="77777777" w:rsidR="00B1578D" w:rsidRDefault="00B1578D">
            <w:pPr>
              <w:rPr>
                <w:rFonts w:ascii="宋体"/>
                <w:vanish/>
              </w:rPr>
            </w:pPr>
          </w:p>
        </w:tc>
      </w:tr>
      <w:tr w:rsidR="00B1578D" w14:paraId="5DEC57B1" w14:textId="77777777">
        <w:trPr>
          <w:hidden/>
        </w:trPr>
        <w:tc>
          <w:tcPr>
            <w:tcW w:w="0" w:type="auto"/>
            <w:gridSpan w:val="3"/>
            <w:shd w:val="clear" w:color="auto" w:fill="auto"/>
            <w:vAlign w:val="bottom"/>
          </w:tcPr>
          <w:p w14:paraId="5DEC579E" w14:textId="77777777" w:rsidR="00B1578D" w:rsidRDefault="00B1578D">
            <w:pPr>
              <w:rPr>
                <w:rFonts w:ascii="宋体"/>
                <w:vanish/>
              </w:rPr>
            </w:pPr>
          </w:p>
        </w:tc>
        <w:tc>
          <w:tcPr>
            <w:tcW w:w="0" w:type="auto"/>
            <w:gridSpan w:val="3"/>
            <w:shd w:val="clear" w:color="auto" w:fill="auto"/>
            <w:vAlign w:val="bottom"/>
          </w:tcPr>
          <w:p w14:paraId="5DEC579F" w14:textId="77777777" w:rsidR="00B1578D" w:rsidRDefault="00B1578D">
            <w:pPr>
              <w:rPr>
                <w:rFonts w:ascii="宋体"/>
                <w:vanish/>
              </w:rPr>
            </w:pPr>
          </w:p>
        </w:tc>
        <w:tc>
          <w:tcPr>
            <w:tcW w:w="0" w:type="auto"/>
            <w:gridSpan w:val="3"/>
            <w:shd w:val="clear" w:color="auto" w:fill="auto"/>
            <w:vAlign w:val="bottom"/>
          </w:tcPr>
          <w:p w14:paraId="5DEC57A0" w14:textId="77777777" w:rsidR="00B1578D" w:rsidRDefault="00B1578D">
            <w:pPr>
              <w:rPr>
                <w:rFonts w:ascii="宋体"/>
                <w:vanish/>
              </w:rPr>
            </w:pPr>
          </w:p>
        </w:tc>
        <w:tc>
          <w:tcPr>
            <w:tcW w:w="0" w:type="auto"/>
            <w:gridSpan w:val="3"/>
            <w:shd w:val="clear" w:color="auto" w:fill="auto"/>
            <w:vAlign w:val="bottom"/>
          </w:tcPr>
          <w:p w14:paraId="5DEC57A1" w14:textId="77777777" w:rsidR="00B1578D" w:rsidRDefault="00B1578D">
            <w:pPr>
              <w:rPr>
                <w:rFonts w:ascii="宋体"/>
                <w:vanish/>
              </w:rPr>
            </w:pPr>
          </w:p>
        </w:tc>
        <w:tc>
          <w:tcPr>
            <w:tcW w:w="0" w:type="auto"/>
            <w:gridSpan w:val="3"/>
            <w:shd w:val="clear" w:color="auto" w:fill="auto"/>
            <w:vAlign w:val="bottom"/>
          </w:tcPr>
          <w:p w14:paraId="5DEC57A2" w14:textId="77777777" w:rsidR="00B1578D" w:rsidRDefault="00B1578D">
            <w:pPr>
              <w:rPr>
                <w:rFonts w:ascii="宋体"/>
                <w:vanish/>
              </w:rPr>
            </w:pPr>
          </w:p>
        </w:tc>
        <w:tc>
          <w:tcPr>
            <w:tcW w:w="0" w:type="auto"/>
            <w:gridSpan w:val="3"/>
            <w:shd w:val="clear" w:color="auto" w:fill="auto"/>
            <w:vAlign w:val="bottom"/>
          </w:tcPr>
          <w:p w14:paraId="5DEC57A3" w14:textId="77777777" w:rsidR="00B1578D" w:rsidRDefault="00B1578D">
            <w:pPr>
              <w:rPr>
                <w:rFonts w:ascii="宋体"/>
                <w:vanish/>
              </w:rPr>
            </w:pPr>
          </w:p>
        </w:tc>
        <w:tc>
          <w:tcPr>
            <w:tcW w:w="0" w:type="auto"/>
            <w:gridSpan w:val="3"/>
            <w:shd w:val="clear" w:color="auto" w:fill="auto"/>
            <w:vAlign w:val="bottom"/>
          </w:tcPr>
          <w:p w14:paraId="5DEC57A4" w14:textId="77777777" w:rsidR="00B1578D" w:rsidRDefault="00B1578D">
            <w:pPr>
              <w:rPr>
                <w:rFonts w:ascii="宋体"/>
                <w:vanish/>
              </w:rPr>
            </w:pPr>
          </w:p>
        </w:tc>
        <w:tc>
          <w:tcPr>
            <w:tcW w:w="0" w:type="auto"/>
            <w:gridSpan w:val="3"/>
            <w:shd w:val="clear" w:color="auto" w:fill="auto"/>
            <w:vAlign w:val="bottom"/>
          </w:tcPr>
          <w:p w14:paraId="5DEC57A5" w14:textId="77777777" w:rsidR="00B1578D" w:rsidRDefault="00B1578D">
            <w:pPr>
              <w:rPr>
                <w:rFonts w:ascii="宋体"/>
                <w:vanish/>
              </w:rPr>
            </w:pPr>
          </w:p>
        </w:tc>
        <w:tc>
          <w:tcPr>
            <w:tcW w:w="0" w:type="auto"/>
            <w:gridSpan w:val="3"/>
            <w:shd w:val="clear" w:color="auto" w:fill="auto"/>
            <w:vAlign w:val="bottom"/>
          </w:tcPr>
          <w:p w14:paraId="5DEC57A6" w14:textId="77777777" w:rsidR="00B1578D" w:rsidRDefault="00B1578D">
            <w:pPr>
              <w:rPr>
                <w:rFonts w:ascii="宋体"/>
                <w:vanish/>
              </w:rPr>
            </w:pPr>
          </w:p>
        </w:tc>
        <w:tc>
          <w:tcPr>
            <w:tcW w:w="0" w:type="auto"/>
            <w:gridSpan w:val="3"/>
            <w:shd w:val="clear" w:color="auto" w:fill="auto"/>
            <w:vAlign w:val="bottom"/>
          </w:tcPr>
          <w:p w14:paraId="5DEC57A7" w14:textId="77777777" w:rsidR="00B1578D" w:rsidRDefault="00B1578D">
            <w:pPr>
              <w:rPr>
                <w:rFonts w:ascii="宋体"/>
                <w:vanish/>
              </w:rPr>
            </w:pPr>
          </w:p>
        </w:tc>
        <w:tc>
          <w:tcPr>
            <w:tcW w:w="0" w:type="auto"/>
            <w:gridSpan w:val="3"/>
            <w:shd w:val="clear" w:color="auto" w:fill="auto"/>
            <w:vAlign w:val="bottom"/>
          </w:tcPr>
          <w:p w14:paraId="5DEC57A8" w14:textId="77777777" w:rsidR="00B1578D" w:rsidRDefault="00B1578D">
            <w:pPr>
              <w:rPr>
                <w:rFonts w:ascii="宋体"/>
                <w:vanish/>
              </w:rPr>
            </w:pPr>
          </w:p>
        </w:tc>
        <w:tc>
          <w:tcPr>
            <w:tcW w:w="0" w:type="auto"/>
            <w:gridSpan w:val="3"/>
            <w:shd w:val="clear" w:color="auto" w:fill="auto"/>
            <w:vAlign w:val="bottom"/>
          </w:tcPr>
          <w:p w14:paraId="5DEC57A9" w14:textId="77777777" w:rsidR="00B1578D" w:rsidRDefault="00B1578D">
            <w:pPr>
              <w:rPr>
                <w:rFonts w:ascii="宋体"/>
                <w:vanish/>
              </w:rPr>
            </w:pPr>
          </w:p>
        </w:tc>
        <w:tc>
          <w:tcPr>
            <w:tcW w:w="0" w:type="auto"/>
            <w:gridSpan w:val="3"/>
            <w:shd w:val="clear" w:color="auto" w:fill="auto"/>
            <w:vAlign w:val="bottom"/>
          </w:tcPr>
          <w:p w14:paraId="5DEC57AA" w14:textId="77777777" w:rsidR="00B1578D" w:rsidRDefault="00B1578D">
            <w:pPr>
              <w:rPr>
                <w:rFonts w:ascii="宋体"/>
                <w:vanish/>
              </w:rPr>
            </w:pPr>
          </w:p>
        </w:tc>
        <w:tc>
          <w:tcPr>
            <w:tcW w:w="0" w:type="auto"/>
            <w:gridSpan w:val="3"/>
            <w:shd w:val="clear" w:color="auto" w:fill="auto"/>
            <w:vAlign w:val="bottom"/>
          </w:tcPr>
          <w:p w14:paraId="5DEC57AB" w14:textId="77777777" w:rsidR="00B1578D" w:rsidRDefault="00B1578D">
            <w:pPr>
              <w:rPr>
                <w:rFonts w:ascii="宋体"/>
                <w:vanish/>
              </w:rPr>
            </w:pPr>
          </w:p>
        </w:tc>
        <w:tc>
          <w:tcPr>
            <w:tcW w:w="0" w:type="auto"/>
            <w:gridSpan w:val="3"/>
            <w:shd w:val="clear" w:color="auto" w:fill="auto"/>
            <w:vAlign w:val="bottom"/>
          </w:tcPr>
          <w:p w14:paraId="5DEC57AC" w14:textId="77777777" w:rsidR="00B1578D" w:rsidRDefault="00B1578D">
            <w:pPr>
              <w:rPr>
                <w:rFonts w:ascii="宋体"/>
                <w:vanish/>
              </w:rPr>
            </w:pPr>
          </w:p>
        </w:tc>
        <w:tc>
          <w:tcPr>
            <w:tcW w:w="0" w:type="auto"/>
            <w:gridSpan w:val="3"/>
            <w:shd w:val="clear" w:color="auto" w:fill="auto"/>
            <w:vAlign w:val="bottom"/>
          </w:tcPr>
          <w:p w14:paraId="5DEC57AD" w14:textId="77777777" w:rsidR="00B1578D" w:rsidRDefault="00B1578D">
            <w:pPr>
              <w:rPr>
                <w:rFonts w:ascii="宋体"/>
                <w:vanish/>
              </w:rPr>
            </w:pPr>
          </w:p>
        </w:tc>
        <w:tc>
          <w:tcPr>
            <w:tcW w:w="0" w:type="auto"/>
            <w:shd w:val="clear" w:color="auto" w:fill="auto"/>
            <w:vAlign w:val="bottom"/>
          </w:tcPr>
          <w:p w14:paraId="5DEC57AE" w14:textId="77777777" w:rsidR="00B1578D" w:rsidRDefault="00B1578D">
            <w:pPr>
              <w:rPr>
                <w:rFonts w:ascii="宋体"/>
                <w:vanish/>
              </w:rPr>
            </w:pPr>
          </w:p>
        </w:tc>
        <w:tc>
          <w:tcPr>
            <w:tcW w:w="0" w:type="auto"/>
            <w:shd w:val="clear" w:color="auto" w:fill="auto"/>
            <w:vAlign w:val="bottom"/>
          </w:tcPr>
          <w:p w14:paraId="5DEC57AF" w14:textId="77777777" w:rsidR="00B1578D" w:rsidRDefault="00B1578D">
            <w:pPr>
              <w:rPr>
                <w:rFonts w:ascii="宋体"/>
                <w:vanish/>
              </w:rPr>
            </w:pPr>
          </w:p>
        </w:tc>
        <w:tc>
          <w:tcPr>
            <w:tcW w:w="0" w:type="auto"/>
            <w:shd w:val="clear" w:color="auto" w:fill="auto"/>
            <w:vAlign w:val="bottom"/>
          </w:tcPr>
          <w:p w14:paraId="5DEC57B0" w14:textId="77777777" w:rsidR="00B1578D" w:rsidRDefault="00B1578D">
            <w:pPr>
              <w:rPr>
                <w:rFonts w:ascii="宋体"/>
                <w:vanish/>
              </w:rPr>
            </w:pPr>
          </w:p>
        </w:tc>
      </w:tr>
      <w:tr w:rsidR="00B1578D" w14:paraId="5DEC57C5" w14:textId="77777777">
        <w:trPr>
          <w:hidden/>
        </w:trPr>
        <w:tc>
          <w:tcPr>
            <w:tcW w:w="0" w:type="auto"/>
            <w:gridSpan w:val="3"/>
            <w:shd w:val="clear" w:color="auto" w:fill="auto"/>
            <w:vAlign w:val="bottom"/>
          </w:tcPr>
          <w:p w14:paraId="5DEC57B2" w14:textId="77777777" w:rsidR="00B1578D" w:rsidRDefault="00B1578D">
            <w:pPr>
              <w:rPr>
                <w:rFonts w:ascii="宋体"/>
                <w:vanish/>
              </w:rPr>
            </w:pPr>
          </w:p>
        </w:tc>
        <w:tc>
          <w:tcPr>
            <w:tcW w:w="0" w:type="auto"/>
            <w:gridSpan w:val="3"/>
            <w:shd w:val="clear" w:color="auto" w:fill="auto"/>
            <w:vAlign w:val="bottom"/>
          </w:tcPr>
          <w:p w14:paraId="5DEC57B3" w14:textId="77777777" w:rsidR="00B1578D" w:rsidRDefault="00B1578D">
            <w:pPr>
              <w:rPr>
                <w:rFonts w:ascii="宋体"/>
                <w:vanish/>
              </w:rPr>
            </w:pPr>
          </w:p>
        </w:tc>
        <w:tc>
          <w:tcPr>
            <w:tcW w:w="0" w:type="auto"/>
            <w:gridSpan w:val="3"/>
            <w:shd w:val="clear" w:color="auto" w:fill="auto"/>
            <w:vAlign w:val="bottom"/>
          </w:tcPr>
          <w:p w14:paraId="5DEC57B4" w14:textId="77777777" w:rsidR="00B1578D" w:rsidRDefault="00B1578D">
            <w:pPr>
              <w:rPr>
                <w:rFonts w:ascii="宋体"/>
                <w:vanish/>
              </w:rPr>
            </w:pPr>
          </w:p>
        </w:tc>
        <w:tc>
          <w:tcPr>
            <w:tcW w:w="0" w:type="auto"/>
            <w:gridSpan w:val="3"/>
            <w:shd w:val="clear" w:color="auto" w:fill="auto"/>
            <w:vAlign w:val="bottom"/>
          </w:tcPr>
          <w:p w14:paraId="5DEC57B5" w14:textId="77777777" w:rsidR="00B1578D" w:rsidRDefault="00B1578D">
            <w:pPr>
              <w:rPr>
                <w:rFonts w:ascii="宋体"/>
                <w:vanish/>
              </w:rPr>
            </w:pPr>
          </w:p>
        </w:tc>
        <w:tc>
          <w:tcPr>
            <w:tcW w:w="0" w:type="auto"/>
            <w:gridSpan w:val="3"/>
            <w:shd w:val="clear" w:color="auto" w:fill="auto"/>
            <w:vAlign w:val="bottom"/>
          </w:tcPr>
          <w:p w14:paraId="5DEC57B6" w14:textId="77777777" w:rsidR="00B1578D" w:rsidRDefault="00B1578D">
            <w:pPr>
              <w:rPr>
                <w:rFonts w:ascii="宋体"/>
                <w:vanish/>
              </w:rPr>
            </w:pPr>
          </w:p>
        </w:tc>
        <w:tc>
          <w:tcPr>
            <w:tcW w:w="0" w:type="auto"/>
            <w:gridSpan w:val="3"/>
            <w:shd w:val="clear" w:color="auto" w:fill="auto"/>
            <w:vAlign w:val="bottom"/>
          </w:tcPr>
          <w:p w14:paraId="5DEC57B7" w14:textId="77777777" w:rsidR="00B1578D" w:rsidRDefault="00B1578D">
            <w:pPr>
              <w:rPr>
                <w:rFonts w:ascii="宋体"/>
                <w:vanish/>
              </w:rPr>
            </w:pPr>
          </w:p>
        </w:tc>
        <w:tc>
          <w:tcPr>
            <w:tcW w:w="0" w:type="auto"/>
            <w:gridSpan w:val="3"/>
            <w:shd w:val="clear" w:color="auto" w:fill="auto"/>
            <w:vAlign w:val="bottom"/>
          </w:tcPr>
          <w:p w14:paraId="5DEC57B8" w14:textId="77777777" w:rsidR="00B1578D" w:rsidRDefault="00B1578D">
            <w:pPr>
              <w:rPr>
                <w:rFonts w:ascii="宋体"/>
                <w:vanish/>
              </w:rPr>
            </w:pPr>
          </w:p>
        </w:tc>
        <w:tc>
          <w:tcPr>
            <w:tcW w:w="0" w:type="auto"/>
            <w:gridSpan w:val="3"/>
            <w:shd w:val="clear" w:color="auto" w:fill="auto"/>
            <w:vAlign w:val="bottom"/>
          </w:tcPr>
          <w:p w14:paraId="5DEC57B9" w14:textId="77777777" w:rsidR="00B1578D" w:rsidRDefault="00B1578D">
            <w:pPr>
              <w:rPr>
                <w:rFonts w:ascii="宋体"/>
                <w:vanish/>
              </w:rPr>
            </w:pPr>
          </w:p>
        </w:tc>
        <w:tc>
          <w:tcPr>
            <w:tcW w:w="0" w:type="auto"/>
            <w:gridSpan w:val="3"/>
            <w:shd w:val="clear" w:color="auto" w:fill="auto"/>
            <w:vAlign w:val="bottom"/>
          </w:tcPr>
          <w:p w14:paraId="5DEC57BA" w14:textId="77777777" w:rsidR="00B1578D" w:rsidRDefault="00B1578D">
            <w:pPr>
              <w:rPr>
                <w:rFonts w:ascii="宋体"/>
                <w:vanish/>
              </w:rPr>
            </w:pPr>
          </w:p>
        </w:tc>
        <w:tc>
          <w:tcPr>
            <w:tcW w:w="0" w:type="auto"/>
            <w:gridSpan w:val="3"/>
            <w:shd w:val="clear" w:color="auto" w:fill="auto"/>
            <w:vAlign w:val="bottom"/>
          </w:tcPr>
          <w:p w14:paraId="5DEC57BB" w14:textId="77777777" w:rsidR="00B1578D" w:rsidRDefault="00B1578D">
            <w:pPr>
              <w:rPr>
                <w:rFonts w:ascii="宋体"/>
                <w:vanish/>
              </w:rPr>
            </w:pPr>
          </w:p>
        </w:tc>
        <w:tc>
          <w:tcPr>
            <w:tcW w:w="0" w:type="auto"/>
            <w:gridSpan w:val="3"/>
            <w:shd w:val="clear" w:color="auto" w:fill="auto"/>
            <w:vAlign w:val="bottom"/>
          </w:tcPr>
          <w:p w14:paraId="5DEC57BC" w14:textId="77777777" w:rsidR="00B1578D" w:rsidRDefault="00B1578D">
            <w:pPr>
              <w:rPr>
                <w:rFonts w:ascii="宋体"/>
                <w:vanish/>
              </w:rPr>
            </w:pPr>
          </w:p>
        </w:tc>
        <w:tc>
          <w:tcPr>
            <w:tcW w:w="0" w:type="auto"/>
            <w:gridSpan w:val="3"/>
            <w:shd w:val="clear" w:color="auto" w:fill="auto"/>
            <w:vAlign w:val="bottom"/>
          </w:tcPr>
          <w:p w14:paraId="5DEC57BD" w14:textId="77777777" w:rsidR="00B1578D" w:rsidRDefault="00B1578D">
            <w:pPr>
              <w:rPr>
                <w:rFonts w:ascii="宋体"/>
                <w:vanish/>
              </w:rPr>
            </w:pPr>
          </w:p>
        </w:tc>
        <w:tc>
          <w:tcPr>
            <w:tcW w:w="0" w:type="auto"/>
            <w:gridSpan w:val="3"/>
            <w:shd w:val="clear" w:color="auto" w:fill="auto"/>
            <w:vAlign w:val="bottom"/>
          </w:tcPr>
          <w:p w14:paraId="5DEC57BE" w14:textId="77777777" w:rsidR="00B1578D" w:rsidRDefault="00B1578D">
            <w:pPr>
              <w:rPr>
                <w:rFonts w:ascii="宋体"/>
                <w:vanish/>
              </w:rPr>
            </w:pPr>
          </w:p>
        </w:tc>
        <w:tc>
          <w:tcPr>
            <w:tcW w:w="0" w:type="auto"/>
            <w:gridSpan w:val="3"/>
            <w:shd w:val="clear" w:color="auto" w:fill="auto"/>
            <w:vAlign w:val="bottom"/>
          </w:tcPr>
          <w:p w14:paraId="5DEC57BF" w14:textId="77777777" w:rsidR="00B1578D" w:rsidRDefault="00B1578D">
            <w:pPr>
              <w:rPr>
                <w:rFonts w:ascii="宋体"/>
                <w:vanish/>
              </w:rPr>
            </w:pPr>
          </w:p>
        </w:tc>
        <w:tc>
          <w:tcPr>
            <w:tcW w:w="0" w:type="auto"/>
            <w:gridSpan w:val="3"/>
            <w:shd w:val="clear" w:color="auto" w:fill="auto"/>
            <w:vAlign w:val="bottom"/>
          </w:tcPr>
          <w:p w14:paraId="5DEC57C0" w14:textId="77777777" w:rsidR="00B1578D" w:rsidRDefault="00B1578D">
            <w:pPr>
              <w:rPr>
                <w:rFonts w:ascii="宋体"/>
                <w:vanish/>
              </w:rPr>
            </w:pPr>
          </w:p>
        </w:tc>
        <w:tc>
          <w:tcPr>
            <w:tcW w:w="0" w:type="auto"/>
            <w:gridSpan w:val="3"/>
            <w:shd w:val="clear" w:color="auto" w:fill="auto"/>
            <w:vAlign w:val="bottom"/>
          </w:tcPr>
          <w:p w14:paraId="5DEC57C1" w14:textId="77777777" w:rsidR="00B1578D" w:rsidRDefault="00B1578D">
            <w:pPr>
              <w:rPr>
                <w:rFonts w:ascii="宋体"/>
                <w:vanish/>
              </w:rPr>
            </w:pPr>
          </w:p>
        </w:tc>
        <w:tc>
          <w:tcPr>
            <w:tcW w:w="0" w:type="auto"/>
            <w:shd w:val="clear" w:color="auto" w:fill="auto"/>
            <w:vAlign w:val="bottom"/>
          </w:tcPr>
          <w:p w14:paraId="5DEC57C2" w14:textId="77777777" w:rsidR="00B1578D" w:rsidRDefault="00B1578D">
            <w:pPr>
              <w:rPr>
                <w:rFonts w:ascii="宋体"/>
                <w:vanish/>
              </w:rPr>
            </w:pPr>
          </w:p>
        </w:tc>
        <w:tc>
          <w:tcPr>
            <w:tcW w:w="0" w:type="auto"/>
            <w:shd w:val="clear" w:color="auto" w:fill="auto"/>
            <w:vAlign w:val="bottom"/>
          </w:tcPr>
          <w:p w14:paraId="5DEC57C3" w14:textId="77777777" w:rsidR="00B1578D" w:rsidRDefault="00B1578D">
            <w:pPr>
              <w:rPr>
                <w:rFonts w:ascii="宋体"/>
                <w:vanish/>
              </w:rPr>
            </w:pPr>
          </w:p>
        </w:tc>
        <w:tc>
          <w:tcPr>
            <w:tcW w:w="0" w:type="auto"/>
            <w:shd w:val="clear" w:color="auto" w:fill="auto"/>
            <w:vAlign w:val="bottom"/>
          </w:tcPr>
          <w:p w14:paraId="5DEC57C4" w14:textId="77777777" w:rsidR="00B1578D" w:rsidRDefault="00B1578D">
            <w:pPr>
              <w:rPr>
                <w:rFonts w:ascii="宋体"/>
                <w:vanish/>
              </w:rPr>
            </w:pPr>
          </w:p>
        </w:tc>
      </w:tr>
      <w:tr w:rsidR="00B1578D" w14:paraId="5DEC57D9" w14:textId="77777777">
        <w:trPr>
          <w:hidden/>
        </w:trPr>
        <w:tc>
          <w:tcPr>
            <w:tcW w:w="0" w:type="auto"/>
            <w:gridSpan w:val="3"/>
            <w:shd w:val="clear" w:color="auto" w:fill="auto"/>
            <w:vAlign w:val="bottom"/>
          </w:tcPr>
          <w:p w14:paraId="5DEC57C6" w14:textId="77777777" w:rsidR="00B1578D" w:rsidRDefault="00B1578D">
            <w:pPr>
              <w:rPr>
                <w:rFonts w:ascii="宋体"/>
                <w:vanish/>
              </w:rPr>
            </w:pPr>
          </w:p>
        </w:tc>
        <w:tc>
          <w:tcPr>
            <w:tcW w:w="0" w:type="auto"/>
            <w:gridSpan w:val="3"/>
            <w:shd w:val="clear" w:color="auto" w:fill="auto"/>
            <w:vAlign w:val="bottom"/>
          </w:tcPr>
          <w:p w14:paraId="5DEC57C7" w14:textId="77777777" w:rsidR="00B1578D" w:rsidRDefault="00B1578D">
            <w:pPr>
              <w:rPr>
                <w:rFonts w:ascii="宋体"/>
                <w:vanish/>
              </w:rPr>
            </w:pPr>
          </w:p>
        </w:tc>
        <w:tc>
          <w:tcPr>
            <w:tcW w:w="0" w:type="auto"/>
            <w:gridSpan w:val="3"/>
            <w:shd w:val="clear" w:color="auto" w:fill="auto"/>
            <w:vAlign w:val="bottom"/>
          </w:tcPr>
          <w:p w14:paraId="5DEC57C8" w14:textId="77777777" w:rsidR="00B1578D" w:rsidRDefault="00B1578D">
            <w:pPr>
              <w:rPr>
                <w:rFonts w:ascii="宋体"/>
                <w:vanish/>
              </w:rPr>
            </w:pPr>
          </w:p>
        </w:tc>
        <w:tc>
          <w:tcPr>
            <w:tcW w:w="0" w:type="auto"/>
            <w:gridSpan w:val="3"/>
            <w:shd w:val="clear" w:color="auto" w:fill="auto"/>
            <w:vAlign w:val="bottom"/>
          </w:tcPr>
          <w:p w14:paraId="5DEC57C9" w14:textId="77777777" w:rsidR="00B1578D" w:rsidRDefault="00B1578D">
            <w:pPr>
              <w:rPr>
                <w:rFonts w:ascii="宋体"/>
                <w:vanish/>
              </w:rPr>
            </w:pPr>
          </w:p>
        </w:tc>
        <w:tc>
          <w:tcPr>
            <w:tcW w:w="0" w:type="auto"/>
            <w:gridSpan w:val="3"/>
            <w:shd w:val="clear" w:color="auto" w:fill="auto"/>
            <w:vAlign w:val="bottom"/>
          </w:tcPr>
          <w:p w14:paraId="5DEC57CA" w14:textId="77777777" w:rsidR="00B1578D" w:rsidRDefault="00B1578D">
            <w:pPr>
              <w:rPr>
                <w:rFonts w:ascii="宋体"/>
                <w:vanish/>
              </w:rPr>
            </w:pPr>
          </w:p>
        </w:tc>
        <w:tc>
          <w:tcPr>
            <w:tcW w:w="0" w:type="auto"/>
            <w:gridSpan w:val="3"/>
            <w:shd w:val="clear" w:color="auto" w:fill="auto"/>
            <w:vAlign w:val="bottom"/>
          </w:tcPr>
          <w:p w14:paraId="5DEC57CB" w14:textId="77777777" w:rsidR="00B1578D" w:rsidRDefault="00B1578D">
            <w:pPr>
              <w:rPr>
                <w:rFonts w:ascii="宋体"/>
                <w:vanish/>
              </w:rPr>
            </w:pPr>
          </w:p>
        </w:tc>
        <w:tc>
          <w:tcPr>
            <w:tcW w:w="0" w:type="auto"/>
            <w:gridSpan w:val="3"/>
            <w:shd w:val="clear" w:color="auto" w:fill="auto"/>
            <w:vAlign w:val="bottom"/>
          </w:tcPr>
          <w:p w14:paraId="5DEC57CC" w14:textId="77777777" w:rsidR="00B1578D" w:rsidRDefault="00B1578D">
            <w:pPr>
              <w:rPr>
                <w:rFonts w:ascii="宋体"/>
                <w:vanish/>
              </w:rPr>
            </w:pPr>
          </w:p>
        </w:tc>
        <w:tc>
          <w:tcPr>
            <w:tcW w:w="0" w:type="auto"/>
            <w:gridSpan w:val="3"/>
            <w:shd w:val="clear" w:color="auto" w:fill="auto"/>
            <w:vAlign w:val="bottom"/>
          </w:tcPr>
          <w:p w14:paraId="5DEC57CD" w14:textId="77777777" w:rsidR="00B1578D" w:rsidRDefault="00B1578D">
            <w:pPr>
              <w:rPr>
                <w:rFonts w:ascii="宋体"/>
                <w:vanish/>
              </w:rPr>
            </w:pPr>
          </w:p>
        </w:tc>
        <w:tc>
          <w:tcPr>
            <w:tcW w:w="0" w:type="auto"/>
            <w:gridSpan w:val="3"/>
            <w:shd w:val="clear" w:color="auto" w:fill="auto"/>
            <w:vAlign w:val="bottom"/>
          </w:tcPr>
          <w:p w14:paraId="5DEC57CE" w14:textId="77777777" w:rsidR="00B1578D" w:rsidRDefault="00B1578D">
            <w:pPr>
              <w:rPr>
                <w:rFonts w:ascii="宋体"/>
                <w:vanish/>
              </w:rPr>
            </w:pPr>
          </w:p>
        </w:tc>
        <w:tc>
          <w:tcPr>
            <w:tcW w:w="0" w:type="auto"/>
            <w:gridSpan w:val="3"/>
            <w:shd w:val="clear" w:color="auto" w:fill="auto"/>
            <w:vAlign w:val="bottom"/>
          </w:tcPr>
          <w:p w14:paraId="5DEC57CF" w14:textId="77777777" w:rsidR="00B1578D" w:rsidRDefault="00B1578D">
            <w:pPr>
              <w:rPr>
                <w:rFonts w:ascii="宋体"/>
                <w:vanish/>
              </w:rPr>
            </w:pPr>
          </w:p>
        </w:tc>
        <w:tc>
          <w:tcPr>
            <w:tcW w:w="0" w:type="auto"/>
            <w:gridSpan w:val="3"/>
            <w:shd w:val="clear" w:color="auto" w:fill="auto"/>
            <w:vAlign w:val="bottom"/>
          </w:tcPr>
          <w:p w14:paraId="5DEC57D0" w14:textId="77777777" w:rsidR="00B1578D" w:rsidRDefault="00B1578D">
            <w:pPr>
              <w:rPr>
                <w:rFonts w:ascii="宋体"/>
                <w:vanish/>
              </w:rPr>
            </w:pPr>
          </w:p>
        </w:tc>
        <w:tc>
          <w:tcPr>
            <w:tcW w:w="0" w:type="auto"/>
            <w:gridSpan w:val="3"/>
            <w:shd w:val="clear" w:color="auto" w:fill="auto"/>
            <w:vAlign w:val="bottom"/>
          </w:tcPr>
          <w:p w14:paraId="5DEC57D1" w14:textId="77777777" w:rsidR="00B1578D" w:rsidRDefault="00B1578D">
            <w:pPr>
              <w:rPr>
                <w:rFonts w:ascii="宋体"/>
                <w:vanish/>
              </w:rPr>
            </w:pPr>
          </w:p>
        </w:tc>
        <w:tc>
          <w:tcPr>
            <w:tcW w:w="0" w:type="auto"/>
            <w:gridSpan w:val="3"/>
            <w:shd w:val="clear" w:color="auto" w:fill="auto"/>
            <w:vAlign w:val="bottom"/>
          </w:tcPr>
          <w:p w14:paraId="5DEC57D2" w14:textId="77777777" w:rsidR="00B1578D" w:rsidRDefault="00B1578D">
            <w:pPr>
              <w:rPr>
                <w:rFonts w:ascii="宋体"/>
                <w:vanish/>
              </w:rPr>
            </w:pPr>
          </w:p>
        </w:tc>
        <w:tc>
          <w:tcPr>
            <w:tcW w:w="0" w:type="auto"/>
            <w:gridSpan w:val="3"/>
            <w:shd w:val="clear" w:color="auto" w:fill="auto"/>
            <w:vAlign w:val="bottom"/>
          </w:tcPr>
          <w:p w14:paraId="5DEC57D3" w14:textId="77777777" w:rsidR="00B1578D" w:rsidRDefault="00B1578D">
            <w:pPr>
              <w:rPr>
                <w:rFonts w:ascii="宋体"/>
                <w:vanish/>
              </w:rPr>
            </w:pPr>
          </w:p>
        </w:tc>
        <w:tc>
          <w:tcPr>
            <w:tcW w:w="0" w:type="auto"/>
            <w:gridSpan w:val="3"/>
            <w:shd w:val="clear" w:color="auto" w:fill="auto"/>
            <w:vAlign w:val="bottom"/>
          </w:tcPr>
          <w:p w14:paraId="5DEC57D4" w14:textId="77777777" w:rsidR="00B1578D" w:rsidRDefault="00B1578D">
            <w:pPr>
              <w:rPr>
                <w:rFonts w:ascii="宋体"/>
                <w:vanish/>
              </w:rPr>
            </w:pPr>
          </w:p>
        </w:tc>
        <w:tc>
          <w:tcPr>
            <w:tcW w:w="0" w:type="auto"/>
            <w:gridSpan w:val="3"/>
            <w:shd w:val="clear" w:color="auto" w:fill="auto"/>
            <w:vAlign w:val="bottom"/>
          </w:tcPr>
          <w:p w14:paraId="5DEC57D5" w14:textId="77777777" w:rsidR="00B1578D" w:rsidRDefault="00B1578D">
            <w:pPr>
              <w:rPr>
                <w:rFonts w:ascii="宋体"/>
                <w:vanish/>
              </w:rPr>
            </w:pPr>
          </w:p>
        </w:tc>
        <w:tc>
          <w:tcPr>
            <w:tcW w:w="0" w:type="auto"/>
            <w:shd w:val="clear" w:color="auto" w:fill="auto"/>
            <w:vAlign w:val="bottom"/>
          </w:tcPr>
          <w:p w14:paraId="5DEC57D6" w14:textId="77777777" w:rsidR="00B1578D" w:rsidRDefault="00B1578D">
            <w:pPr>
              <w:rPr>
                <w:rFonts w:ascii="宋体"/>
                <w:vanish/>
              </w:rPr>
            </w:pPr>
          </w:p>
        </w:tc>
        <w:tc>
          <w:tcPr>
            <w:tcW w:w="0" w:type="auto"/>
            <w:shd w:val="clear" w:color="auto" w:fill="auto"/>
            <w:vAlign w:val="bottom"/>
          </w:tcPr>
          <w:p w14:paraId="5DEC57D7" w14:textId="77777777" w:rsidR="00B1578D" w:rsidRDefault="00B1578D">
            <w:pPr>
              <w:rPr>
                <w:rFonts w:ascii="宋体"/>
                <w:vanish/>
              </w:rPr>
            </w:pPr>
          </w:p>
        </w:tc>
        <w:tc>
          <w:tcPr>
            <w:tcW w:w="0" w:type="auto"/>
            <w:shd w:val="clear" w:color="auto" w:fill="auto"/>
            <w:vAlign w:val="bottom"/>
          </w:tcPr>
          <w:p w14:paraId="5DEC57D8" w14:textId="77777777" w:rsidR="00B1578D" w:rsidRDefault="00B1578D">
            <w:pPr>
              <w:rPr>
                <w:rFonts w:ascii="宋体"/>
                <w:vanish/>
              </w:rPr>
            </w:pPr>
          </w:p>
        </w:tc>
      </w:tr>
      <w:tr w:rsidR="00B1578D" w14:paraId="5DEC57ED" w14:textId="77777777">
        <w:trPr>
          <w:hidden/>
        </w:trPr>
        <w:tc>
          <w:tcPr>
            <w:tcW w:w="0" w:type="auto"/>
            <w:gridSpan w:val="3"/>
            <w:shd w:val="clear" w:color="auto" w:fill="auto"/>
            <w:vAlign w:val="bottom"/>
          </w:tcPr>
          <w:p w14:paraId="5DEC57DA" w14:textId="77777777" w:rsidR="00B1578D" w:rsidRDefault="00B1578D">
            <w:pPr>
              <w:rPr>
                <w:rFonts w:ascii="宋体"/>
                <w:vanish/>
              </w:rPr>
            </w:pPr>
          </w:p>
        </w:tc>
        <w:tc>
          <w:tcPr>
            <w:tcW w:w="0" w:type="auto"/>
            <w:gridSpan w:val="3"/>
            <w:shd w:val="clear" w:color="auto" w:fill="auto"/>
            <w:vAlign w:val="bottom"/>
          </w:tcPr>
          <w:p w14:paraId="5DEC57DB" w14:textId="77777777" w:rsidR="00B1578D" w:rsidRDefault="00B1578D">
            <w:pPr>
              <w:rPr>
                <w:rFonts w:ascii="宋体"/>
                <w:vanish/>
              </w:rPr>
            </w:pPr>
          </w:p>
        </w:tc>
        <w:tc>
          <w:tcPr>
            <w:tcW w:w="0" w:type="auto"/>
            <w:gridSpan w:val="3"/>
            <w:shd w:val="clear" w:color="auto" w:fill="auto"/>
            <w:vAlign w:val="bottom"/>
          </w:tcPr>
          <w:p w14:paraId="5DEC57DC" w14:textId="77777777" w:rsidR="00B1578D" w:rsidRDefault="00B1578D">
            <w:pPr>
              <w:rPr>
                <w:rFonts w:ascii="宋体"/>
                <w:vanish/>
              </w:rPr>
            </w:pPr>
          </w:p>
        </w:tc>
        <w:tc>
          <w:tcPr>
            <w:tcW w:w="0" w:type="auto"/>
            <w:gridSpan w:val="3"/>
            <w:shd w:val="clear" w:color="auto" w:fill="auto"/>
            <w:vAlign w:val="bottom"/>
          </w:tcPr>
          <w:p w14:paraId="5DEC57DD" w14:textId="77777777" w:rsidR="00B1578D" w:rsidRDefault="00B1578D">
            <w:pPr>
              <w:rPr>
                <w:rFonts w:ascii="宋体"/>
                <w:vanish/>
              </w:rPr>
            </w:pPr>
          </w:p>
        </w:tc>
        <w:tc>
          <w:tcPr>
            <w:tcW w:w="0" w:type="auto"/>
            <w:gridSpan w:val="3"/>
            <w:shd w:val="clear" w:color="auto" w:fill="auto"/>
            <w:vAlign w:val="bottom"/>
          </w:tcPr>
          <w:p w14:paraId="5DEC57DE" w14:textId="77777777" w:rsidR="00B1578D" w:rsidRDefault="00B1578D">
            <w:pPr>
              <w:rPr>
                <w:rFonts w:ascii="宋体"/>
                <w:vanish/>
              </w:rPr>
            </w:pPr>
          </w:p>
        </w:tc>
        <w:tc>
          <w:tcPr>
            <w:tcW w:w="0" w:type="auto"/>
            <w:gridSpan w:val="3"/>
            <w:shd w:val="clear" w:color="auto" w:fill="auto"/>
            <w:vAlign w:val="bottom"/>
          </w:tcPr>
          <w:p w14:paraId="5DEC57DF" w14:textId="77777777" w:rsidR="00B1578D" w:rsidRDefault="00B1578D">
            <w:pPr>
              <w:rPr>
                <w:rFonts w:ascii="宋体"/>
                <w:vanish/>
              </w:rPr>
            </w:pPr>
          </w:p>
        </w:tc>
        <w:tc>
          <w:tcPr>
            <w:tcW w:w="0" w:type="auto"/>
            <w:gridSpan w:val="3"/>
            <w:shd w:val="clear" w:color="auto" w:fill="auto"/>
            <w:vAlign w:val="bottom"/>
          </w:tcPr>
          <w:p w14:paraId="5DEC57E0" w14:textId="77777777" w:rsidR="00B1578D" w:rsidRDefault="00B1578D">
            <w:pPr>
              <w:rPr>
                <w:rFonts w:ascii="宋体"/>
                <w:vanish/>
              </w:rPr>
            </w:pPr>
          </w:p>
        </w:tc>
        <w:tc>
          <w:tcPr>
            <w:tcW w:w="0" w:type="auto"/>
            <w:gridSpan w:val="3"/>
            <w:shd w:val="clear" w:color="auto" w:fill="auto"/>
            <w:vAlign w:val="bottom"/>
          </w:tcPr>
          <w:p w14:paraId="5DEC57E1" w14:textId="77777777" w:rsidR="00B1578D" w:rsidRDefault="00B1578D">
            <w:pPr>
              <w:rPr>
                <w:rFonts w:ascii="宋体"/>
                <w:vanish/>
              </w:rPr>
            </w:pPr>
          </w:p>
        </w:tc>
        <w:tc>
          <w:tcPr>
            <w:tcW w:w="0" w:type="auto"/>
            <w:gridSpan w:val="3"/>
            <w:shd w:val="clear" w:color="auto" w:fill="auto"/>
            <w:vAlign w:val="bottom"/>
          </w:tcPr>
          <w:p w14:paraId="5DEC57E2" w14:textId="77777777" w:rsidR="00B1578D" w:rsidRDefault="00B1578D">
            <w:pPr>
              <w:rPr>
                <w:rFonts w:ascii="宋体"/>
                <w:vanish/>
              </w:rPr>
            </w:pPr>
          </w:p>
        </w:tc>
        <w:tc>
          <w:tcPr>
            <w:tcW w:w="0" w:type="auto"/>
            <w:gridSpan w:val="3"/>
            <w:shd w:val="clear" w:color="auto" w:fill="auto"/>
            <w:vAlign w:val="bottom"/>
          </w:tcPr>
          <w:p w14:paraId="5DEC57E3" w14:textId="77777777" w:rsidR="00B1578D" w:rsidRDefault="00B1578D">
            <w:pPr>
              <w:rPr>
                <w:rFonts w:ascii="宋体"/>
                <w:vanish/>
              </w:rPr>
            </w:pPr>
          </w:p>
        </w:tc>
        <w:tc>
          <w:tcPr>
            <w:tcW w:w="0" w:type="auto"/>
            <w:gridSpan w:val="3"/>
            <w:shd w:val="clear" w:color="auto" w:fill="auto"/>
            <w:vAlign w:val="bottom"/>
          </w:tcPr>
          <w:p w14:paraId="5DEC57E4" w14:textId="77777777" w:rsidR="00B1578D" w:rsidRDefault="00B1578D">
            <w:pPr>
              <w:rPr>
                <w:rFonts w:ascii="宋体"/>
                <w:vanish/>
              </w:rPr>
            </w:pPr>
          </w:p>
        </w:tc>
        <w:tc>
          <w:tcPr>
            <w:tcW w:w="0" w:type="auto"/>
            <w:gridSpan w:val="3"/>
            <w:shd w:val="clear" w:color="auto" w:fill="auto"/>
            <w:vAlign w:val="bottom"/>
          </w:tcPr>
          <w:p w14:paraId="5DEC57E5" w14:textId="77777777" w:rsidR="00B1578D" w:rsidRDefault="00B1578D">
            <w:pPr>
              <w:rPr>
                <w:rFonts w:ascii="宋体"/>
                <w:vanish/>
              </w:rPr>
            </w:pPr>
          </w:p>
        </w:tc>
        <w:tc>
          <w:tcPr>
            <w:tcW w:w="0" w:type="auto"/>
            <w:gridSpan w:val="3"/>
            <w:shd w:val="clear" w:color="auto" w:fill="auto"/>
            <w:vAlign w:val="bottom"/>
          </w:tcPr>
          <w:p w14:paraId="5DEC57E6" w14:textId="77777777" w:rsidR="00B1578D" w:rsidRDefault="00B1578D">
            <w:pPr>
              <w:rPr>
                <w:rFonts w:ascii="宋体"/>
                <w:vanish/>
              </w:rPr>
            </w:pPr>
          </w:p>
        </w:tc>
        <w:tc>
          <w:tcPr>
            <w:tcW w:w="0" w:type="auto"/>
            <w:gridSpan w:val="3"/>
            <w:shd w:val="clear" w:color="auto" w:fill="auto"/>
            <w:vAlign w:val="bottom"/>
          </w:tcPr>
          <w:p w14:paraId="5DEC57E7" w14:textId="77777777" w:rsidR="00B1578D" w:rsidRDefault="00B1578D">
            <w:pPr>
              <w:rPr>
                <w:rFonts w:ascii="宋体"/>
                <w:vanish/>
              </w:rPr>
            </w:pPr>
          </w:p>
        </w:tc>
        <w:tc>
          <w:tcPr>
            <w:tcW w:w="0" w:type="auto"/>
            <w:gridSpan w:val="3"/>
            <w:shd w:val="clear" w:color="auto" w:fill="auto"/>
            <w:vAlign w:val="bottom"/>
          </w:tcPr>
          <w:p w14:paraId="5DEC57E8" w14:textId="77777777" w:rsidR="00B1578D" w:rsidRDefault="00B1578D">
            <w:pPr>
              <w:rPr>
                <w:rFonts w:ascii="宋体"/>
                <w:vanish/>
              </w:rPr>
            </w:pPr>
          </w:p>
        </w:tc>
        <w:tc>
          <w:tcPr>
            <w:tcW w:w="0" w:type="auto"/>
            <w:gridSpan w:val="3"/>
            <w:shd w:val="clear" w:color="auto" w:fill="auto"/>
            <w:vAlign w:val="bottom"/>
          </w:tcPr>
          <w:p w14:paraId="5DEC57E9" w14:textId="77777777" w:rsidR="00B1578D" w:rsidRDefault="00B1578D">
            <w:pPr>
              <w:rPr>
                <w:rFonts w:ascii="宋体"/>
                <w:vanish/>
              </w:rPr>
            </w:pPr>
          </w:p>
        </w:tc>
        <w:tc>
          <w:tcPr>
            <w:tcW w:w="0" w:type="auto"/>
            <w:shd w:val="clear" w:color="auto" w:fill="auto"/>
            <w:vAlign w:val="bottom"/>
          </w:tcPr>
          <w:p w14:paraId="5DEC57EA" w14:textId="77777777" w:rsidR="00B1578D" w:rsidRDefault="00B1578D">
            <w:pPr>
              <w:rPr>
                <w:rFonts w:ascii="宋体"/>
                <w:vanish/>
              </w:rPr>
            </w:pPr>
          </w:p>
        </w:tc>
        <w:tc>
          <w:tcPr>
            <w:tcW w:w="0" w:type="auto"/>
            <w:shd w:val="clear" w:color="auto" w:fill="auto"/>
            <w:vAlign w:val="bottom"/>
          </w:tcPr>
          <w:p w14:paraId="5DEC57EB" w14:textId="77777777" w:rsidR="00B1578D" w:rsidRDefault="00B1578D">
            <w:pPr>
              <w:rPr>
                <w:rFonts w:ascii="宋体"/>
                <w:vanish/>
              </w:rPr>
            </w:pPr>
          </w:p>
        </w:tc>
        <w:tc>
          <w:tcPr>
            <w:tcW w:w="0" w:type="auto"/>
            <w:shd w:val="clear" w:color="auto" w:fill="auto"/>
            <w:vAlign w:val="bottom"/>
          </w:tcPr>
          <w:p w14:paraId="5DEC57EC" w14:textId="77777777" w:rsidR="00B1578D" w:rsidRDefault="00B1578D">
            <w:pPr>
              <w:rPr>
                <w:rFonts w:ascii="宋体"/>
                <w:vanish/>
              </w:rPr>
            </w:pPr>
          </w:p>
        </w:tc>
      </w:tr>
      <w:tr w:rsidR="00B1578D" w14:paraId="5DEC5801" w14:textId="77777777">
        <w:trPr>
          <w:hidden/>
        </w:trPr>
        <w:tc>
          <w:tcPr>
            <w:tcW w:w="0" w:type="auto"/>
            <w:gridSpan w:val="3"/>
            <w:shd w:val="clear" w:color="auto" w:fill="auto"/>
            <w:vAlign w:val="bottom"/>
          </w:tcPr>
          <w:p w14:paraId="5DEC57EE" w14:textId="77777777" w:rsidR="00B1578D" w:rsidRDefault="00B1578D">
            <w:pPr>
              <w:rPr>
                <w:rFonts w:ascii="宋体"/>
                <w:vanish/>
              </w:rPr>
            </w:pPr>
          </w:p>
        </w:tc>
        <w:tc>
          <w:tcPr>
            <w:tcW w:w="0" w:type="auto"/>
            <w:gridSpan w:val="3"/>
            <w:shd w:val="clear" w:color="auto" w:fill="auto"/>
            <w:vAlign w:val="bottom"/>
          </w:tcPr>
          <w:p w14:paraId="5DEC57EF" w14:textId="77777777" w:rsidR="00B1578D" w:rsidRDefault="00B1578D">
            <w:pPr>
              <w:rPr>
                <w:rFonts w:ascii="宋体"/>
                <w:vanish/>
              </w:rPr>
            </w:pPr>
          </w:p>
        </w:tc>
        <w:tc>
          <w:tcPr>
            <w:tcW w:w="0" w:type="auto"/>
            <w:gridSpan w:val="3"/>
            <w:shd w:val="clear" w:color="auto" w:fill="auto"/>
            <w:vAlign w:val="bottom"/>
          </w:tcPr>
          <w:p w14:paraId="5DEC57F0" w14:textId="77777777" w:rsidR="00B1578D" w:rsidRDefault="00B1578D">
            <w:pPr>
              <w:rPr>
                <w:rFonts w:ascii="宋体"/>
                <w:vanish/>
              </w:rPr>
            </w:pPr>
          </w:p>
        </w:tc>
        <w:tc>
          <w:tcPr>
            <w:tcW w:w="0" w:type="auto"/>
            <w:gridSpan w:val="3"/>
            <w:shd w:val="clear" w:color="auto" w:fill="auto"/>
            <w:vAlign w:val="bottom"/>
          </w:tcPr>
          <w:p w14:paraId="5DEC57F1" w14:textId="77777777" w:rsidR="00B1578D" w:rsidRDefault="00B1578D">
            <w:pPr>
              <w:rPr>
                <w:rFonts w:ascii="宋体"/>
                <w:vanish/>
              </w:rPr>
            </w:pPr>
          </w:p>
        </w:tc>
        <w:tc>
          <w:tcPr>
            <w:tcW w:w="0" w:type="auto"/>
            <w:gridSpan w:val="3"/>
            <w:shd w:val="clear" w:color="auto" w:fill="auto"/>
            <w:vAlign w:val="bottom"/>
          </w:tcPr>
          <w:p w14:paraId="5DEC57F2" w14:textId="77777777" w:rsidR="00B1578D" w:rsidRDefault="00B1578D">
            <w:pPr>
              <w:rPr>
                <w:rFonts w:ascii="宋体"/>
                <w:vanish/>
              </w:rPr>
            </w:pPr>
          </w:p>
        </w:tc>
        <w:tc>
          <w:tcPr>
            <w:tcW w:w="0" w:type="auto"/>
            <w:gridSpan w:val="3"/>
            <w:shd w:val="clear" w:color="auto" w:fill="auto"/>
            <w:vAlign w:val="bottom"/>
          </w:tcPr>
          <w:p w14:paraId="5DEC57F3" w14:textId="77777777" w:rsidR="00B1578D" w:rsidRDefault="00B1578D">
            <w:pPr>
              <w:rPr>
                <w:rFonts w:ascii="宋体"/>
                <w:vanish/>
              </w:rPr>
            </w:pPr>
          </w:p>
        </w:tc>
        <w:tc>
          <w:tcPr>
            <w:tcW w:w="0" w:type="auto"/>
            <w:gridSpan w:val="3"/>
            <w:shd w:val="clear" w:color="auto" w:fill="auto"/>
            <w:vAlign w:val="bottom"/>
          </w:tcPr>
          <w:p w14:paraId="5DEC57F4" w14:textId="77777777" w:rsidR="00B1578D" w:rsidRDefault="00B1578D">
            <w:pPr>
              <w:rPr>
                <w:rFonts w:ascii="宋体"/>
                <w:vanish/>
              </w:rPr>
            </w:pPr>
          </w:p>
        </w:tc>
        <w:tc>
          <w:tcPr>
            <w:tcW w:w="0" w:type="auto"/>
            <w:gridSpan w:val="3"/>
            <w:shd w:val="clear" w:color="auto" w:fill="auto"/>
            <w:vAlign w:val="bottom"/>
          </w:tcPr>
          <w:p w14:paraId="5DEC57F5" w14:textId="77777777" w:rsidR="00B1578D" w:rsidRDefault="00B1578D">
            <w:pPr>
              <w:rPr>
                <w:rFonts w:ascii="宋体"/>
                <w:vanish/>
              </w:rPr>
            </w:pPr>
          </w:p>
        </w:tc>
        <w:tc>
          <w:tcPr>
            <w:tcW w:w="0" w:type="auto"/>
            <w:gridSpan w:val="3"/>
            <w:shd w:val="clear" w:color="auto" w:fill="auto"/>
            <w:vAlign w:val="bottom"/>
          </w:tcPr>
          <w:p w14:paraId="5DEC57F6" w14:textId="77777777" w:rsidR="00B1578D" w:rsidRDefault="00B1578D">
            <w:pPr>
              <w:rPr>
                <w:rFonts w:ascii="宋体"/>
                <w:vanish/>
              </w:rPr>
            </w:pPr>
          </w:p>
        </w:tc>
        <w:tc>
          <w:tcPr>
            <w:tcW w:w="0" w:type="auto"/>
            <w:gridSpan w:val="3"/>
            <w:shd w:val="clear" w:color="auto" w:fill="auto"/>
            <w:vAlign w:val="bottom"/>
          </w:tcPr>
          <w:p w14:paraId="5DEC57F7" w14:textId="77777777" w:rsidR="00B1578D" w:rsidRDefault="00B1578D">
            <w:pPr>
              <w:rPr>
                <w:rFonts w:ascii="宋体"/>
                <w:vanish/>
              </w:rPr>
            </w:pPr>
          </w:p>
        </w:tc>
        <w:tc>
          <w:tcPr>
            <w:tcW w:w="0" w:type="auto"/>
            <w:gridSpan w:val="3"/>
            <w:shd w:val="clear" w:color="auto" w:fill="auto"/>
            <w:vAlign w:val="bottom"/>
          </w:tcPr>
          <w:p w14:paraId="5DEC57F8" w14:textId="77777777" w:rsidR="00B1578D" w:rsidRDefault="00B1578D">
            <w:pPr>
              <w:rPr>
                <w:rFonts w:ascii="宋体"/>
                <w:vanish/>
              </w:rPr>
            </w:pPr>
          </w:p>
        </w:tc>
        <w:tc>
          <w:tcPr>
            <w:tcW w:w="0" w:type="auto"/>
            <w:gridSpan w:val="3"/>
            <w:shd w:val="clear" w:color="auto" w:fill="auto"/>
            <w:vAlign w:val="bottom"/>
          </w:tcPr>
          <w:p w14:paraId="5DEC57F9" w14:textId="77777777" w:rsidR="00B1578D" w:rsidRDefault="00B1578D">
            <w:pPr>
              <w:rPr>
                <w:rFonts w:ascii="宋体"/>
                <w:vanish/>
              </w:rPr>
            </w:pPr>
          </w:p>
        </w:tc>
        <w:tc>
          <w:tcPr>
            <w:tcW w:w="0" w:type="auto"/>
            <w:gridSpan w:val="3"/>
            <w:shd w:val="clear" w:color="auto" w:fill="auto"/>
            <w:vAlign w:val="bottom"/>
          </w:tcPr>
          <w:p w14:paraId="5DEC57FA" w14:textId="77777777" w:rsidR="00B1578D" w:rsidRDefault="00B1578D">
            <w:pPr>
              <w:rPr>
                <w:rFonts w:ascii="宋体"/>
                <w:vanish/>
              </w:rPr>
            </w:pPr>
          </w:p>
        </w:tc>
        <w:tc>
          <w:tcPr>
            <w:tcW w:w="0" w:type="auto"/>
            <w:gridSpan w:val="3"/>
            <w:shd w:val="clear" w:color="auto" w:fill="auto"/>
            <w:vAlign w:val="bottom"/>
          </w:tcPr>
          <w:p w14:paraId="5DEC57FB" w14:textId="77777777" w:rsidR="00B1578D" w:rsidRDefault="00B1578D">
            <w:pPr>
              <w:rPr>
                <w:rFonts w:ascii="宋体"/>
                <w:vanish/>
              </w:rPr>
            </w:pPr>
          </w:p>
        </w:tc>
        <w:tc>
          <w:tcPr>
            <w:tcW w:w="0" w:type="auto"/>
            <w:gridSpan w:val="3"/>
            <w:shd w:val="clear" w:color="auto" w:fill="auto"/>
            <w:vAlign w:val="bottom"/>
          </w:tcPr>
          <w:p w14:paraId="5DEC57FC" w14:textId="77777777" w:rsidR="00B1578D" w:rsidRDefault="00B1578D">
            <w:pPr>
              <w:rPr>
                <w:rFonts w:ascii="宋体"/>
                <w:vanish/>
              </w:rPr>
            </w:pPr>
          </w:p>
        </w:tc>
        <w:tc>
          <w:tcPr>
            <w:tcW w:w="0" w:type="auto"/>
            <w:gridSpan w:val="3"/>
            <w:shd w:val="clear" w:color="auto" w:fill="auto"/>
            <w:vAlign w:val="bottom"/>
          </w:tcPr>
          <w:p w14:paraId="5DEC57FD" w14:textId="77777777" w:rsidR="00B1578D" w:rsidRDefault="00B1578D">
            <w:pPr>
              <w:rPr>
                <w:rFonts w:ascii="宋体"/>
                <w:vanish/>
              </w:rPr>
            </w:pPr>
          </w:p>
        </w:tc>
        <w:tc>
          <w:tcPr>
            <w:tcW w:w="0" w:type="auto"/>
            <w:shd w:val="clear" w:color="auto" w:fill="auto"/>
            <w:vAlign w:val="bottom"/>
          </w:tcPr>
          <w:p w14:paraId="5DEC57FE" w14:textId="77777777" w:rsidR="00B1578D" w:rsidRDefault="00B1578D">
            <w:pPr>
              <w:rPr>
                <w:rFonts w:ascii="宋体"/>
                <w:vanish/>
              </w:rPr>
            </w:pPr>
          </w:p>
        </w:tc>
        <w:tc>
          <w:tcPr>
            <w:tcW w:w="0" w:type="auto"/>
            <w:shd w:val="clear" w:color="auto" w:fill="auto"/>
            <w:vAlign w:val="bottom"/>
          </w:tcPr>
          <w:p w14:paraId="5DEC57FF" w14:textId="77777777" w:rsidR="00B1578D" w:rsidRDefault="00B1578D">
            <w:pPr>
              <w:rPr>
                <w:rFonts w:ascii="宋体"/>
                <w:vanish/>
              </w:rPr>
            </w:pPr>
          </w:p>
        </w:tc>
        <w:tc>
          <w:tcPr>
            <w:tcW w:w="0" w:type="auto"/>
            <w:shd w:val="clear" w:color="auto" w:fill="auto"/>
            <w:vAlign w:val="bottom"/>
          </w:tcPr>
          <w:p w14:paraId="5DEC5800" w14:textId="77777777" w:rsidR="00B1578D" w:rsidRDefault="00B1578D">
            <w:pPr>
              <w:rPr>
                <w:rFonts w:ascii="宋体"/>
                <w:vanish/>
              </w:rPr>
            </w:pPr>
          </w:p>
        </w:tc>
      </w:tr>
      <w:tr w:rsidR="00B1578D" w14:paraId="5DEC5815" w14:textId="77777777">
        <w:trPr>
          <w:hidden/>
        </w:trPr>
        <w:tc>
          <w:tcPr>
            <w:tcW w:w="0" w:type="auto"/>
            <w:gridSpan w:val="3"/>
            <w:shd w:val="clear" w:color="auto" w:fill="auto"/>
            <w:vAlign w:val="bottom"/>
          </w:tcPr>
          <w:p w14:paraId="5DEC5802" w14:textId="77777777" w:rsidR="00B1578D" w:rsidRDefault="00B1578D">
            <w:pPr>
              <w:rPr>
                <w:rFonts w:ascii="宋体"/>
                <w:vanish/>
              </w:rPr>
            </w:pPr>
          </w:p>
        </w:tc>
        <w:tc>
          <w:tcPr>
            <w:tcW w:w="0" w:type="auto"/>
            <w:gridSpan w:val="3"/>
            <w:shd w:val="clear" w:color="auto" w:fill="auto"/>
            <w:vAlign w:val="bottom"/>
          </w:tcPr>
          <w:p w14:paraId="5DEC5803" w14:textId="77777777" w:rsidR="00B1578D" w:rsidRDefault="00B1578D">
            <w:pPr>
              <w:rPr>
                <w:rFonts w:ascii="宋体"/>
                <w:vanish/>
              </w:rPr>
            </w:pPr>
          </w:p>
        </w:tc>
        <w:tc>
          <w:tcPr>
            <w:tcW w:w="0" w:type="auto"/>
            <w:gridSpan w:val="3"/>
            <w:shd w:val="clear" w:color="auto" w:fill="auto"/>
            <w:vAlign w:val="bottom"/>
          </w:tcPr>
          <w:p w14:paraId="5DEC5804" w14:textId="77777777" w:rsidR="00B1578D" w:rsidRDefault="00B1578D">
            <w:pPr>
              <w:rPr>
                <w:rFonts w:ascii="宋体"/>
                <w:vanish/>
              </w:rPr>
            </w:pPr>
          </w:p>
        </w:tc>
        <w:tc>
          <w:tcPr>
            <w:tcW w:w="0" w:type="auto"/>
            <w:gridSpan w:val="3"/>
            <w:shd w:val="clear" w:color="auto" w:fill="auto"/>
            <w:vAlign w:val="bottom"/>
          </w:tcPr>
          <w:p w14:paraId="5DEC5805" w14:textId="77777777" w:rsidR="00B1578D" w:rsidRDefault="00B1578D">
            <w:pPr>
              <w:rPr>
                <w:rFonts w:ascii="宋体"/>
                <w:vanish/>
              </w:rPr>
            </w:pPr>
          </w:p>
        </w:tc>
        <w:tc>
          <w:tcPr>
            <w:tcW w:w="0" w:type="auto"/>
            <w:gridSpan w:val="3"/>
            <w:shd w:val="clear" w:color="auto" w:fill="auto"/>
            <w:vAlign w:val="bottom"/>
          </w:tcPr>
          <w:p w14:paraId="5DEC5806" w14:textId="77777777" w:rsidR="00B1578D" w:rsidRDefault="00B1578D">
            <w:pPr>
              <w:rPr>
                <w:rFonts w:ascii="宋体"/>
                <w:vanish/>
              </w:rPr>
            </w:pPr>
          </w:p>
        </w:tc>
        <w:tc>
          <w:tcPr>
            <w:tcW w:w="0" w:type="auto"/>
            <w:gridSpan w:val="3"/>
            <w:shd w:val="clear" w:color="auto" w:fill="auto"/>
            <w:vAlign w:val="bottom"/>
          </w:tcPr>
          <w:p w14:paraId="5DEC5807" w14:textId="77777777" w:rsidR="00B1578D" w:rsidRDefault="00B1578D">
            <w:pPr>
              <w:rPr>
                <w:rFonts w:ascii="宋体"/>
                <w:vanish/>
              </w:rPr>
            </w:pPr>
          </w:p>
        </w:tc>
        <w:tc>
          <w:tcPr>
            <w:tcW w:w="0" w:type="auto"/>
            <w:gridSpan w:val="3"/>
            <w:shd w:val="clear" w:color="auto" w:fill="auto"/>
            <w:vAlign w:val="bottom"/>
          </w:tcPr>
          <w:p w14:paraId="5DEC5808" w14:textId="77777777" w:rsidR="00B1578D" w:rsidRDefault="00B1578D">
            <w:pPr>
              <w:rPr>
                <w:rFonts w:ascii="宋体"/>
                <w:vanish/>
              </w:rPr>
            </w:pPr>
          </w:p>
        </w:tc>
        <w:tc>
          <w:tcPr>
            <w:tcW w:w="0" w:type="auto"/>
            <w:gridSpan w:val="3"/>
            <w:shd w:val="clear" w:color="auto" w:fill="auto"/>
            <w:vAlign w:val="bottom"/>
          </w:tcPr>
          <w:p w14:paraId="5DEC5809" w14:textId="77777777" w:rsidR="00B1578D" w:rsidRDefault="00B1578D">
            <w:pPr>
              <w:rPr>
                <w:rFonts w:ascii="宋体"/>
                <w:vanish/>
              </w:rPr>
            </w:pPr>
          </w:p>
        </w:tc>
        <w:tc>
          <w:tcPr>
            <w:tcW w:w="0" w:type="auto"/>
            <w:gridSpan w:val="3"/>
            <w:shd w:val="clear" w:color="auto" w:fill="auto"/>
            <w:vAlign w:val="bottom"/>
          </w:tcPr>
          <w:p w14:paraId="5DEC580A" w14:textId="77777777" w:rsidR="00B1578D" w:rsidRDefault="00B1578D">
            <w:pPr>
              <w:rPr>
                <w:rFonts w:ascii="宋体"/>
                <w:vanish/>
              </w:rPr>
            </w:pPr>
          </w:p>
        </w:tc>
        <w:tc>
          <w:tcPr>
            <w:tcW w:w="0" w:type="auto"/>
            <w:gridSpan w:val="3"/>
            <w:shd w:val="clear" w:color="auto" w:fill="auto"/>
            <w:vAlign w:val="bottom"/>
          </w:tcPr>
          <w:p w14:paraId="5DEC580B" w14:textId="77777777" w:rsidR="00B1578D" w:rsidRDefault="00B1578D">
            <w:pPr>
              <w:rPr>
                <w:rFonts w:ascii="宋体"/>
                <w:vanish/>
              </w:rPr>
            </w:pPr>
          </w:p>
        </w:tc>
        <w:tc>
          <w:tcPr>
            <w:tcW w:w="0" w:type="auto"/>
            <w:gridSpan w:val="3"/>
            <w:shd w:val="clear" w:color="auto" w:fill="auto"/>
            <w:vAlign w:val="bottom"/>
          </w:tcPr>
          <w:p w14:paraId="5DEC580C" w14:textId="77777777" w:rsidR="00B1578D" w:rsidRDefault="00B1578D">
            <w:pPr>
              <w:rPr>
                <w:rFonts w:ascii="宋体"/>
                <w:vanish/>
              </w:rPr>
            </w:pPr>
          </w:p>
        </w:tc>
        <w:tc>
          <w:tcPr>
            <w:tcW w:w="0" w:type="auto"/>
            <w:gridSpan w:val="3"/>
            <w:shd w:val="clear" w:color="auto" w:fill="auto"/>
            <w:vAlign w:val="bottom"/>
          </w:tcPr>
          <w:p w14:paraId="5DEC580D" w14:textId="77777777" w:rsidR="00B1578D" w:rsidRDefault="00B1578D">
            <w:pPr>
              <w:rPr>
                <w:rFonts w:ascii="宋体"/>
                <w:vanish/>
              </w:rPr>
            </w:pPr>
          </w:p>
        </w:tc>
        <w:tc>
          <w:tcPr>
            <w:tcW w:w="0" w:type="auto"/>
            <w:gridSpan w:val="3"/>
            <w:shd w:val="clear" w:color="auto" w:fill="auto"/>
            <w:vAlign w:val="bottom"/>
          </w:tcPr>
          <w:p w14:paraId="5DEC580E" w14:textId="77777777" w:rsidR="00B1578D" w:rsidRDefault="00B1578D">
            <w:pPr>
              <w:rPr>
                <w:rFonts w:ascii="宋体"/>
                <w:vanish/>
              </w:rPr>
            </w:pPr>
          </w:p>
        </w:tc>
        <w:tc>
          <w:tcPr>
            <w:tcW w:w="0" w:type="auto"/>
            <w:gridSpan w:val="3"/>
            <w:shd w:val="clear" w:color="auto" w:fill="auto"/>
            <w:vAlign w:val="bottom"/>
          </w:tcPr>
          <w:p w14:paraId="5DEC580F" w14:textId="77777777" w:rsidR="00B1578D" w:rsidRDefault="00B1578D">
            <w:pPr>
              <w:rPr>
                <w:rFonts w:ascii="宋体"/>
                <w:vanish/>
              </w:rPr>
            </w:pPr>
          </w:p>
        </w:tc>
        <w:tc>
          <w:tcPr>
            <w:tcW w:w="0" w:type="auto"/>
            <w:gridSpan w:val="3"/>
            <w:shd w:val="clear" w:color="auto" w:fill="auto"/>
            <w:vAlign w:val="bottom"/>
          </w:tcPr>
          <w:p w14:paraId="5DEC5810" w14:textId="77777777" w:rsidR="00B1578D" w:rsidRDefault="00B1578D">
            <w:pPr>
              <w:rPr>
                <w:rFonts w:ascii="宋体"/>
                <w:vanish/>
              </w:rPr>
            </w:pPr>
          </w:p>
        </w:tc>
        <w:tc>
          <w:tcPr>
            <w:tcW w:w="0" w:type="auto"/>
            <w:gridSpan w:val="3"/>
            <w:shd w:val="clear" w:color="auto" w:fill="auto"/>
            <w:vAlign w:val="bottom"/>
          </w:tcPr>
          <w:p w14:paraId="5DEC5811" w14:textId="77777777" w:rsidR="00B1578D" w:rsidRDefault="00B1578D">
            <w:pPr>
              <w:rPr>
                <w:rFonts w:ascii="宋体"/>
                <w:vanish/>
              </w:rPr>
            </w:pPr>
          </w:p>
        </w:tc>
        <w:tc>
          <w:tcPr>
            <w:tcW w:w="0" w:type="auto"/>
            <w:shd w:val="clear" w:color="auto" w:fill="auto"/>
            <w:vAlign w:val="bottom"/>
          </w:tcPr>
          <w:p w14:paraId="5DEC5812" w14:textId="77777777" w:rsidR="00B1578D" w:rsidRDefault="00B1578D">
            <w:pPr>
              <w:rPr>
                <w:rFonts w:ascii="宋体"/>
                <w:vanish/>
              </w:rPr>
            </w:pPr>
          </w:p>
        </w:tc>
        <w:tc>
          <w:tcPr>
            <w:tcW w:w="0" w:type="auto"/>
            <w:shd w:val="clear" w:color="auto" w:fill="auto"/>
            <w:vAlign w:val="bottom"/>
          </w:tcPr>
          <w:p w14:paraId="5DEC5813" w14:textId="77777777" w:rsidR="00B1578D" w:rsidRDefault="00B1578D">
            <w:pPr>
              <w:rPr>
                <w:rFonts w:ascii="宋体"/>
                <w:vanish/>
              </w:rPr>
            </w:pPr>
          </w:p>
        </w:tc>
        <w:tc>
          <w:tcPr>
            <w:tcW w:w="0" w:type="auto"/>
            <w:shd w:val="clear" w:color="auto" w:fill="auto"/>
            <w:vAlign w:val="bottom"/>
          </w:tcPr>
          <w:p w14:paraId="5DEC5814" w14:textId="77777777" w:rsidR="00B1578D" w:rsidRDefault="00B1578D">
            <w:pPr>
              <w:rPr>
                <w:rFonts w:ascii="宋体"/>
                <w:vanish/>
              </w:rPr>
            </w:pPr>
          </w:p>
        </w:tc>
      </w:tr>
      <w:tr w:rsidR="00B1578D" w14:paraId="5DEC5829" w14:textId="77777777">
        <w:trPr>
          <w:hidden/>
        </w:trPr>
        <w:tc>
          <w:tcPr>
            <w:tcW w:w="0" w:type="auto"/>
            <w:gridSpan w:val="3"/>
            <w:shd w:val="clear" w:color="auto" w:fill="auto"/>
            <w:vAlign w:val="bottom"/>
          </w:tcPr>
          <w:p w14:paraId="5DEC5816" w14:textId="77777777" w:rsidR="00B1578D" w:rsidRDefault="00B1578D">
            <w:pPr>
              <w:rPr>
                <w:rFonts w:ascii="宋体"/>
                <w:vanish/>
              </w:rPr>
            </w:pPr>
          </w:p>
        </w:tc>
        <w:tc>
          <w:tcPr>
            <w:tcW w:w="0" w:type="auto"/>
            <w:gridSpan w:val="3"/>
            <w:shd w:val="clear" w:color="auto" w:fill="auto"/>
            <w:vAlign w:val="bottom"/>
          </w:tcPr>
          <w:p w14:paraId="5DEC5817" w14:textId="77777777" w:rsidR="00B1578D" w:rsidRDefault="00B1578D">
            <w:pPr>
              <w:rPr>
                <w:rFonts w:ascii="宋体"/>
                <w:vanish/>
              </w:rPr>
            </w:pPr>
          </w:p>
        </w:tc>
        <w:tc>
          <w:tcPr>
            <w:tcW w:w="0" w:type="auto"/>
            <w:gridSpan w:val="3"/>
            <w:shd w:val="clear" w:color="auto" w:fill="auto"/>
            <w:vAlign w:val="bottom"/>
          </w:tcPr>
          <w:p w14:paraId="5DEC5818" w14:textId="77777777" w:rsidR="00B1578D" w:rsidRDefault="00B1578D">
            <w:pPr>
              <w:rPr>
                <w:rFonts w:ascii="宋体"/>
                <w:vanish/>
              </w:rPr>
            </w:pPr>
          </w:p>
        </w:tc>
        <w:tc>
          <w:tcPr>
            <w:tcW w:w="0" w:type="auto"/>
            <w:gridSpan w:val="3"/>
            <w:shd w:val="clear" w:color="auto" w:fill="auto"/>
            <w:vAlign w:val="bottom"/>
          </w:tcPr>
          <w:p w14:paraId="5DEC5819" w14:textId="77777777" w:rsidR="00B1578D" w:rsidRDefault="00B1578D">
            <w:pPr>
              <w:rPr>
                <w:rFonts w:ascii="宋体"/>
                <w:vanish/>
              </w:rPr>
            </w:pPr>
          </w:p>
        </w:tc>
        <w:tc>
          <w:tcPr>
            <w:tcW w:w="0" w:type="auto"/>
            <w:gridSpan w:val="3"/>
            <w:shd w:val="clear" w:color="auto" w:fill="auto"/>
            <w:vAlign w:val="bottom"/>
          </w:tcPr>
          <w:p w14:paraId="5DEC581A" w14:textId="77777777" w:rsidR="00B1578D" w:rsidRDefault="00B1578D">
            <w:pPr>
              <w:rPr>
                <w:rFonts w:ascii="宋体"/>
                <w:vanish/>
              </w:rPr>
            </w:pPr>
          </w:p>
        </w:tc>
        <w:tc>
          <w:tcPr>
            <w:tcW w:w="0" w:type="auto"/>
            <w:gridSpan w:val="3"/>
            <w:shd w:val="clear" w:color="auto" w:fill="auto"/>
            <w:vAlign w:val="bottom"/>
          </w:tcPr>
          <w:p w14:paraId="5DEC581B" w14:textId="77777777" w:rsidR="00B1578D" w:rsidRDefault="00B1578D">
            <w:pPr>
              <w:rPr>
                <w:rFonts w:ascii="宋体"/>
                <w:vanish/>
              </w:rPr>
            </w:pPr>
          </w:p>
        </w:tc>
        <w:tc>
          <w:tcPr>
            <w:tcW w:w="0" w:type="auto"/>
            <w:gridSpan w:val="3"/>
            <w:shd w:val="clear" w:color="auto" w:fill="auto"/>
            <w:vAlign w:val="bottom"/>
          </w:tcPr>
          <w:p w14:paraId="5DEC581C" w14:textId="77777777" w:rsidR="00B1578D" w:rsidRDefault="00B1578D">
            <w:pPr>
              <w:rPr>
                <w:rFonts w:ascii="宋体"/>
                <w:vanish/>
              </w:rPr>
            </w:pPr>
          </w:p>
        </w:tc>
        <w:tc>
          <w:tcPr>
            <w:tcW w:w="0" w:type="auto"/>
            <w:gridSpan w:val="3"/>
            <w:shd w:val="clear" w:color="auto" w:fill="auto"/>
            <w:vAlign w:val="bottom"/>
          </w:tcPr>
          <w:p w14:paraId="5DEC581D" w14:textId="77777777" w:rsidR="00B1578D" w:rsidRDefault="00B1578D">
            <w:pPr>
              <w:rPr>
                <w:rFonts w:ascii="宋体"/>
                <w:vanish/>
              </w:rPr>
            </w:pPr>
          </w:p>
        </w:tc>
        <w:tc>
          <w:tcPr>
            <w:tcW w:w="0" w:type="auto"/>
            <w:gridSpan w:val="3"/>
            <w:shd w:val="clear" w:color="auto" w:fill="auto"/>
            <w:vAlign w:val="bottom"/>
          </w:tcPr>
          <w:p w14:paraId="5DEC581E" w14:textId="77777777" w:rsidR="00B1578D" w:rsidRDefault="00B1578D">
            <w:pPr>
              <w:rPr>
                <w:rFonts w:ascii="宋体"/>
                <w:vanish/>
              </w:rPr>
            </w:pPr>
          </w:p>
        </w:tc>
        <w:tc>
          <w:tcPr>
            <w:tcW w:w="0" w:type="auto"/>
            <w:gridSpan w:val="3"/>
            <w:shd w:val="clear" w:color="auto" w:fill="auto"/>
            <w:vAlign w:val="bottom"/>
          </w:tcPr>
          <w:p w14:paraId="5DEC581F" w14:textId="77777777" w:rsidR="00B1578D" w:rsidRDefault="00B1578D">
            <w:pPr>
              <w:rPr>
                <w:rFonts w:ascii="宋体"/>
                <w:vanish/>
              </w:rPr>
            </w:pPr>
          </w:p>
        </w:tc>
        <w:tc>
          <w:tcPr>
            <w:tcW w:w="0" w:type="auto"/>
            <w:gridSpan w:val="3"/>
            <w:shd w:val="clear" w:color="auto" w:fill="auto"/>
            <w:vAlign w:val="bottom"/>
          </w:tcPr>
          <w:p w14:paraId="5DEC5820" w14:textId="77777777" w:rsidR="00B1578D" w:rsidRDefault="00B1578D">
            <w:pPr>
              <w:rPr>
                <w:rFonts w:ascii="宋体"/>
                <w:vanish/>
              </w:rPr>
            </w:pPr>
          </w:p>
        </w:tc>
        <w:tc>
          <w:tcPr>
            <w:tcW w:w="0" w:type="auto"/>
            <w:gridSpan w:val="3"/>
            <w:shd w:val="clear" w:color="auto" w:fill="auto"/>
            <w:vAlign w:val="bottom"/>
          </w:tcPr>
          <w:p w14:paraId="5DEC5821" w14:textId="77777777" w:rsidR="00B1578D" w:rsidRDefault="00B1578D">
            <w:pPr>
              <w:rPr>
                <w:rFonts w:ascii="宋体"/>
                <w:vanish/>
              </w:rPr>
            </w:pPr>
          </w:p>
        </w:tc>
        <w:tc>
          <w:tcPr>
            <w:tcW w:w="0" w:type="auto"/>
            <w:gridSpan w:val="3"/>
            <w:shd w:val="clear" w:color="auto" w:fill="auto"/>
            <w:vAlign w:val="bottom"/>
          </w:tcPr>
          <w:p w14:paraId="5DEC5822" w14:textId="77777777" w:rsidR="00B1578D" w:rsidRDefault="00B1578D">
            <w:pPr>
              <w:rPr>
                <w:rFonts w:ascii="宋体"/>
                <w:vanish/>
              </w:rPr>
            </w:pPr>
          </w:p>
        </w:tc>
        <w:tc>
          <w:tcPr>
            <w:tcW w:w="0" w:type="auto"/>
            <w:gridSpan w:val="3"/>
            <w:shd w:val="clear" w:color="auto" w:fill="auto"/>
            <w:vAlign w:val="bottom"/>
          </w:tcPr>
          <w:p w14:paraId="5DEC5823" w14:textId="77777777" w:rsidR="00B1578D" w:rsidRDefault="00B1578D">
            <w:pPr>
              <w:rPr>
                <w:rFonts w:ascii="宋体"/>
                <w:vanish/>
              </w:rPr>
            </w:pPr>
          </w:p>
        </w:tc>
        <w:tc>
          <w:tcPr>
            <w:tcW w:w="0" w:type="auto"/>
            <w:gridSpan w:val="3"/>
            <w:shd w:val="clear" w:color="auto" w:fill="auto"/>
            <w:vAlign w:val="bottom"/>
          </w:tcPr>
          <w:p w14:paraId="5DEC5824" w14:textId="77777777" w:rsidR="00B1578D" w:rsidRDefault="00B1578D">
            <w:pPr>
              <w:rPr>
                <w:rFonts w:ascii="宋体"/>
                <w:vanish/>
              </w:rPr>
            </w:pPr>
          </w:p>
        </w:tc>
        <w:tc>
          <w:tcPr>
            <w:tcW w:w="0" w:type="auto"/>
            <w:gridSpan w:val="3"/>
            <w:shd w:val="clear" w:color="auto" w:fill="auto"/>
            <w:vAlign w:val="bottom"/>
          </w:tcPr>
          <w:p w14:paraId="5DEC5825" w14:textId="77777777" w:rsidR="00B1578D" w:rsidRDefault="00B1578D">
            <w:pPr>
              <w:rPr>
                <w:rFonts w:ascii="宋体"/>
                <w:vanish/>
              </w:rPr>
            </w:pPr>
          </w:p>
        </w:tc>
        <w:tc>
          <w:tcPr>
            <w:tcW w:w="0" w:type="auto"/>
            <w:shd w:val="clear" w:color="auto" w:fill="auto"/>
            <w:vAlign w:val="bottom"/>
          </w:tcPr>
          <w:p w14:paraId="5DEC5826" w14:textId="77777777" w:rsidR="00B1578D" w:rsidRDefault="00B1578D">
            <w:pPr>
              <w:rPr>
                <w:rFonts w:ascii="宋体"/>
                <w:vanish/>
              </w:rPr>
            </w:pPr>
          </w:p>
        </w:tc>
        <w:tc>
          <w:tcPr>
            <w:tcW w:w="0" w:type="auto"/>
            <w:shd w:val="clear" w:color="auto" w:fill="auto"/>
            <w:vAlign w:val="bottom"/>
          </w:tcPr>
          <w:p w14:paraId="5DEC5827" w14:textId="77777777" w:rsidR="00B1578D" w:rsidRDefault="00B1578D">
            <w:pPr>
              <w:rPr>
                <w:rFonts w:ascii="宋体"/>
                <w:vanish/>
              </w:rPr>
            </w:pPr>
          </w:p>
        </w:tc>
        <w:tc>
          <w:tcPr>
            <w:tcW w:w="0" w:type="auto"/>
            <w:shd w:val="clear" w:color="auto" w:fill="auto"/>
            <w:vAlign w:val="bottom"/>
          </w:tcPr>
          <w:p w14:paraId="5DEC5828" w14:textId="77777777" w:rsidR="00B1578D" w:rsidRDefault="00B1578D">
            <w:pPr>
              <w:rPr>
                <w:rFonts w:ascii="宋体"/>
                <w:vanish/>
              </w:rPr>
            </w:pPr>
          </w:p>
        </w:tc>
      </w:tr>
      <w:tr w:rsidR="00B1578D" w14:paraId="5DEC583D" w14:textId="77777777">
        <w:trPr>
          <w:hidden/>
        </w:trPr>
        <w:tc>
          <w:tcPr>
            <w:tcW w:w="0" w:type="auto"/>
            <w:gridSpan w:val="3"/>
            <w:shd w:val="clear" w:color="auto" w:fill="auto"/>
            <w:vAlign w:val="bottom"/>
          </w:tcPr>
          <w:p w14:paraId="5DEC582A" w14:textId="77777777" w:rsidR="00B1578D" w:rsidRDefault="00B1578D">
            <w:pPr>
              <w:rPr>
                <w:rFonts w:ascii="宋体"/>
                <w:vanish/>
              </w:rPr>
            </w:pPr>
          </w:p>
        </w:tc>
        <w:tc>
          <w:tcPr>
            <w:tcW w:w="0" w:type="auto"/>
            <w:gridSpan w:val="3"/>
            <w:shd w:val="clear" w:color="auto" w:fill="auto"/>
            <w:vAlign w:val="bottom"/>
          </w:tcPr>
          <w:p w14:paraId="5DEC582B" w14:textId="77777777" w:rsidR="00B1578D" w:rsidRDefault="00B1578D">
            <w:pPr>
              <w:rPr>
                <w:rFonts w:ascii="宋体"/>
                <w:vanish/>
              </w:rPr>
            </w:pPr>
          </w:p>
        </w:tc>
        <w:tc>
          <w:tcPr>
            <w:tcW w:w="0" w:type="auto"/>
            <w:gridSpan w:val="3"/>
            <w:shd w:val="clear" w:color="auto" w:fill="auto"/>
            <w:vAlign w:val="bottom"/>
          </w:tcPr>
          <w:p w14:paraId="5DEC582C" w14:textId="77777777" w:rsidR="00B1578D" w:rsidRDefault="00B1578D">
            <w:pPr>
              <w:rPr>
                <w:rFonts w:ascii="宋体"/>
                <w:vanish/>
              </w:rPr>
            </w:pPr>
          </w:p>
        </w:tc>
        <w:tc>
          <w:tcPr>
            <w:tcW w:w="0" w:type="auto"/>
            <w:gridSpan w:val="3"/>
            <w:shd w:val="clear" w:color="auto" w:fill="auto"/>
            <w:vAlign w:val="bottom"/>
          </w:tcPr>
          <w:p w14:paraId="5DEC582D" w14:textId="77777777" w:rsidR="00B1578D" w:rsidRDefault="00B1578D">
            <w:pPr>
              <w:rPr>
                <w:rFonts w:ascii="宋体"/>
                <w:vanish/>
              </w:rPr>
            </w:pPr>
          </w:p>
        </w:tc>
        <w:tc>
          <w:tcPr>
            <w:tcW w:w="0" w:type="auto"/>
            <w:gridSpan w:val="3"/>
            <w:shd w:val="clear" w:color="auto" w:fill="auto"/>
            <w:vAlign w:val="bottom"/>
          </w:tcPr>
          <w:p w14:paraId="5DEC582E" w14:textId="77777777" w:rsidR="00B1578D" w:rsidRDefault="00B1578D">
            <w:pPr>
              <w:rPr>
                <w:rFonts w:ascii="宋体"/>
                <w:vanish/>
              </w:rPr>
            </w:pPr>
          </w:p>
        </w:tc>
        <w:tc>
          <w:tcPr>
            <w:tcW w:w="0" w:type="auto"/>
            <w:gridSpan w:val="3"/>
            <w:shd w:val="clear" w:color="auto" w:fill="auto"/>
            <w:vAlign w:val="bottom"/>
          </w:tcPr>
          <w:p w14:paraId="5DEC582F" w14:textId="77777777" w:rsidR="00B1578D" w:rsidRDefault="00B1578D">
            <w:pPr>
              <w:rPr>
                <w:rFonts w:ascii="宋体"/>
                <w:vanish/>
              </w:rPr>
            </w:pPr>
          </w:p>
        </w:tc>
        <w:tc>
          <w:tcPr>
            <w:tcW w:w="0" w:type="auto"/>
            <w:gridSpan w:val="3"/>
            <w:shd w:val="clear" w:color="auto" w:fill="auto"/>
            <w:vAlign w:val="bottom"/>
          </w:tcPr>
          <w:p w14:paraId="5DEC5830" w14:textId="77777777" w:rsidR="00B1578D" w:rsidRDefault="00B1578D">
            <w:pPr>
              <w:rPr>
                <w:rFonts w:ascii="宋体"/>
                <w:vanish/>
              </w:rPr>
            </w:pPr>
          </w:p>
        </w:tc>
        <w:tc>
          <w:tcPr>
            <w:tcW w:w="0" w:type="auto"/>
            <w:gridSpan w:val="3"/>
            <w:shd w:val="clear" w:color="auto" w:fill="auto"/>
            <w:vAlign w:val="bottom"/>
          </w:tcPr>
          <w:p w14:paraId="5DEC5831" w14:textId="77777777" w:rsidR="00B1578D" w:rsidRDefault="00B1578D">
            <w:pPr>
              <w:rPr>
                <w:rFonts w:ascii="宋体"/>
                <w:vanish/>
              </w:rPr>
            </w:pPr>
          </w:p>
        </w:tc>
        <w:tc>
          <w:tcPr>
            <w:tcW w:w="0" w:type="auto"/>
            <w:gridSpan w:val="3"/>
            <w:shd w:val="clear" w:color="auto" w:fill="auto"/>
            <w:vAlign w:val="bottom"/>
          </w:tcPr>
          <w:p w14:paraId="5DEC5832" w14:textId="77777777" w:rsidR="00B1578D" w:rsidRDefault="00B1578D">
            <w:pPr>
              <w:rPr>
                <w:rFonts w:ascii="宋体"/>
                <w:vanish/>
              </w:rPr>
            </w:pPr>
          </w:p>
        </w:tc>
        <w:tc>
          <w:tcPr>
            <w:tcW w:w="0" w:type="auto"/>
            <w:gridSpan w:val="3"/>
            <w:shd w:val="clear" w:color="auto" w:fill="auto"/>
            <w:vAlign w:val="bottom"/>
          </w:tcPr>
          <w:p w14:paraId="5DEC5833" w14:textId="77777777" w:rsidR="00B1578D" w:rsidRDefault="00B1578D">
            <w:pPr>
              <w:rPr>
                <w:rFonts w:ascii="宋体"/>
                <w:vanish/>
              </w:rPr>
            </w:pPr>
          </w:p>
        </w:tc>
        <w:tc>
          <w:tcPr>
            <w:tcW w:w="0" w:type="auto"/>
            <w:gridSpan w:val="3"/>
            <w:shd w:val="clear" w:color="auto" w:fill="auto"/>
            <w:vAlign w:val="bottom"/>
          </w:tcPr>
          <w:p w14:paraId="5DEC5834" w14:textId="77777777" w:rsidR="00B1578D" w:rsidRDefault="00B1578D">
            <w:pPr>
              <w:rPr>
                <w:rFonts w:ascii="宋体"/>
                <w:vanish/>
              </w:rPr>
            </w:pPr>
          </w:p>
        </w:tc>
        <w:tc>
          <w:tcPr>
            <w:tcW w:w="0" w:type="auto"/>
            <w:gridSpan w:val="3"/>
            <w:shd w:val="clear" w:color="auto" w:fill="auto"/>
            <w:vAlign w:val="bottom"/>
          </w:tcPr>
          <w:p w14:paraId="5DEC5835" w14:textId="77777777" w:rsidR="00B1578D" w:rsidRDefault="00B1578D">
            <w:pPr>
              <w:rPr>
                <w:rFonts w:ascii="宋体"/>
                <w:vanish/>
              </w:rPr>
            </w:pPr>
          </w:p>
        </w:tc>
        <w:tc>
          <w:tcPr>
            <w:tcW w:w="0" w:type="auto"/>
            <w:gridSpan w:val="3"/>
            <w:shd w:val="clear" w:color="auto" w:fill="auto"/>
            <w:vAlign w:val="bottom"/>
          </w:tcPr>
          <w:p w14:paraId="5DEC5836" w14:textId="77777777" w:rsidR="00B1578D" w:rsidRDefault="00B1578D">
            <w:pPr>
              <w:rPr>
                <w:rFonts w:ascii="宋体"/>
                <w:vanish/>
              </w:rPr>
            </w:pPr>
          </w:p>
        </w:tc>
        <w:tc>
          <w:tcPr>
            <w:tcW w:w="0" w:type="auto"/>
            <w:gridSpan w:val="3"/>
            <w:shd w:val="clear" w:color="auto" w:fill="auto"/>
            <w:vAlign w:val="bottom"/>
          </w:tcPr>
          <w:p w14:paraId="5DEC5837" w14:textId="77777777" w:rsidR="00B1578D" w:rsidRDefault="00B1578D">
            <w:pPr>
              <w:rPr>
                <w:rFonts w:ascii="宋体"/>
                <w:vanish/>
              </w:rPr>
            </w:pPr>
          </w:p>
        </w:tc>
        <w:tc>
          <w:tcPr>
            <w:tcW w:w="0" w:type="auto"/>
            <w:gridSpan w:val="3"/>
            <w:shd w:val="clear" w:color="auto" w:fill="auto"/>
            <w:vAlign w:val="bottom"/>
          </w:tcPr>
          <w:p w14:paraId="5DEC5838" w14:textId="77777777" w:rsidR="00B1578D" w:rsidRDefault="00B1578D">
            <w:pPr>
              <w:rPr>
                <w:rFonts w:ascii="宋体"/>
                <w:vanish/>
              </w:rPr>
            </w:pPr>
          </w:p>
        </w:tc>
        <w:tc>
          <w:tcPr>
            <w:tcW w:w="0" w:type="auto"/>
            <w:gridSpan w:val="3"/>
            <w:shd w:val="clear" w:color="auto" w:fill="auto"/>
            <w:vAlign w:val="bottom"/>
          </w:tcPr>
          <w:p w14:paraId="5DEC5839" w14:textId="77777777" w:rsidR="00B1578D" w:rsidRDefault="00B1578D">
            <w:pPr>
              <w:rPr>
                <w:rFonts w:ascii="宋体"/>
                <w:vanish/>
              </w:rPr>
            </w:pPr>
          </w:p>
        </w:tc>
        <w:tc>
          <w:tcPr>
            <w:tcW w:w="0" w:type="auto"/>
            <w:shd w:val="clear" w:color="auto" w:fill="auto"/>
            <w:vAlign w:val="bottom"/>
          </w:tcPr>
          <w:p w14:paraId="5DEC583A" w14:textId="77777777" w:rsidR="00B1578D" w:rsidRDefault="00B1578D">
            <w:pPr>
              <w:rPr>
                <w:rFonts w:ascii="宋体"/>
                <w:vanish/>
              </w:rPr>
            </w:pPr>
          </w:p>
        </w:tc>
        <w:tc>
          <w:tcPr>
            <w:tcW w:w="0" w:type="auto"/>
            <w:shd w:val="clear" w:color="auto" w:fill="auto"/>
            <w:vAlign w:val="bottom"/>
          </w:tcPr>
          <w:p w14:paraId="5DEC583B" w14:textId="77777777" w:rsidR="00B1578D" w:rsidRDefault="00B1578D">
            <w:pPr>
              <w:rPr>
                <w:rFonts w:ascii="宋体"/>
                <w:vanish/>
              </w:rPr>
            </w:pPr>
          </w:p>
        </w:tc>
        <w:tc>
          <w:tcPr>
            <w:tcW w:w="0" w:type="auto"/>
            <w:shd w:val="clear" w:color="auto" w:fill="auto"/>
            <w:vAlign w:val="bottom"/>
          </w:tcPr>
          <w:p w14:paraId="5DEC583C" w14:textId="77777777" w:rsidR="00B1578D" w:rsidRDefault="00B1578D">
            <w:pPr>
              <w:rPr>
                <w:rFonts w:ascii="宋体"/>
                <w:vanish/>
              </w:rPr>
            </w:pPr>
          </w:p>
        </w:tc>
      </w:tr>
      <w:tr w:rsidR="00B1578D" w14:paraId="5DEC5851" w14:textId="77777777">
        <w:trPr>
          <w:hidden/>
        </w:trPr>
        <w:tc>
          <w:tcPr>
            <w:tcW w:w="0" w:type="auto"/>
            <w:gridSpan w:val="3"/>
            <w:shd w:val="clear" w:color="auto" w:fill="auto"/>
            <w:vAlign w:val="bottom"/>
          </w:tcPr>
          <w:p w14:paraId="5DEC583E" w14:textId="77777777" w:rsidR="00B1578D" w:rsidRDefault="00B1578D">
            <w:pPr>
              <w:rPr>
                <w:rFonts w:ascii="宋体"/>
                <w:vanish/>
              </w:rPr>
            </w:pPr>
          </w:p>
        </w:tc>
        <w:tc>
          <w:tcPr>
            <w:tcW w:w="0" w:type="auto"/>
            <w:gridSpan w:val="3"/>
            <w:shd w:val="clear" w:color="auto" w:fill="auto"/>
            <w:vAlign w:val="bottom"/>
          </w:tcPr>
          <w:p w14:paraId="5DEC583F" w14:textId="77777777" w:rsidR="00B1578D" w:rsidRDefault="00B1578D">
            <w:pPr>
              <w:rPr>
                <w:rFonts w:ascii="宋体"/>
                <w:vanish/>
              </w:rPr>
            </w:pPr>
          </w:p>
        </w:tc>
        <w:tc>
          <w:tcPr>
            <w:tcW w:w="0" w:type="auto"/>
            <w:gridSpan w:val="3"/>
            <w:shd w:val="clear" w:color="auto" w:fill="auto"/>
            <w:vAlign w:val="bottom"/>
          </w:tcPr>
          <w:p w14:paraId="5DEC5840" w14:textId="77777777" w:rsidR="00B1578D" w:rsidRDefault="00B1578D">
            <w:pPr>
              <w:rPr>
                <w:rFonts w:ascii="宋体"/>
                <w:vanish/>
              </w:rPr>
            </w:pPr>
          </w:p>
        </w:tc>
        <w:tc>
          <w:tcPr>
            <w:tcW w:w="0" w:type="auto"/>
            <w:gridSpan w:val="3"/>
            <w:shd w:val="clear" w:color="auto" w:fill="auto"/>
            <w:vAlign w:val="bottom"/>
          </w:tcPr>
          <w:p w14:paraId="5DEC5841" w14:textId="77777777" w:rsidR="00B1578D" w:rsidRDefault="00B1578D">
            <w:pPr>
              <w:rPr>
                <w:rFonts w:ascii="宋体"/>
                <w:vanish/>
              </w:rPr>
            </w:pPr>
          </w:p>
        </w:tc>
        <w:tc>
          <w:tcPr>
            <w:tcW w:w="0" w:type="auto"/>
            <w:gridSpan w:val="3"/>
            <w:shd w:val="clear" w:color="auto" w:fill="auto"/>
            <w:vAlign w:val="bottom"/>
          </w:tcPr>
          <w:p w14:paraId="5DEC5842" w14:textId="77777777" w:rsidR="00B1578D" w:rsidRDefault="00B1578D">
            <w:pPr>
              <w:rPr>
                <w:rFonts w:ascii="宋体"/>
                <w:vanish/>
              </w:rPr>
            </w:pPr>
          </w:p>
        </w:tc>
        <w:tc>
          <w:tcPr>
            <w:tcW w:w="0" w:type="auto"/>
            <w:gridSpan w:val="3"/>
            <w:shd w:val="clear" w:color="auto" w:fill="auto"/>
            <w:vAlign w:val="bottom"/>
          </w:tcPr>
          <w:p w14:paraId="5DEC5843" w14:textId="77777777" w:rsidR="00B1578D" w:rsidRDefault="00B1578D">
            <w:pPr>
              <w:rPr>
                <w:rFonts w:ascii="宋体"/>
                <w:vanish/>
              </w:rPr>
            </w:pPr>
          </w:p>
        </w:tc>
        <w:tc>
          <w:tcPr>
            <w:tcW w:w="0" w:type="auto"/>
            <w:gridSpan w:val="3"/>
            <w:shd w:val="clear" w:color="auto" w:fill="auto"/>
            <w:vAlign w:val="bottom"/>
          </w:tcPr>
          <w:p w14:paraId="5DEC5844" w14:textId="77777777" w:rsidR="00B1578D" w:rsidRDefault="00B1578D">
            <w:pPr>
              <w:rPr>
                <w:rFonts w:ascii="宋体"/>
                <w:vanish/>
              </w:rPr>
            </w:pPr>
          </w:p>
        </w:tc>
        <w:tc>
          <w:tcPr>
            <w:tcW w:w="0" w:type="auto"/>
            <w:gridSpan w:val="3"/>
            <w:shd w:val="clear" w:color="auto" w:fill="auto"/>
            <w:vAlign w:val="bottom"/>
          </w:tcPr>
          <w:p w14:paraId="5DEC5845" w14:textId="77777777" w:rsidR="00B1578D" w:rsidRDefault="00B1578D">
            <w:pPr>
              <w:rPr>
                <w:rFonts w:ascii="宋体"/>
                <w:vanish/>
              </w:rPr>
            </w:pPr>
          </w:p>
        </w:tc>
        <w:tc>
          <w:tcPr>
            <w:tcW w:w="0" w:type="auto"/>
            <w:gridSpan w:val="3"/>
            <w:shd w:val="clear" w:color="auto" w:fill="auto"/>
            <w:vAlign w:val="bottom"/>
          </w:tcPr>
          <w:p w14:paraId="5DEC5846" w14:textId="77777777" w:rsidR="00B1578D" w:rsidRDefault="00B1578D">
            <w:pPr>
              <w:rPr>
                <w:rFonts w:ascii="宋体"/>
                <w:vanish/>
              </w:rPr>
            </w:pPr>
          </w:p>
        </w:tc>
        <w:tc>
          <w:tcPr>
            <w:tcW w:w="0" w:type="auto"/>
            <w:gridSpan w:val="3"/>
            <w:shd w:val="clear" w:color="auto" w:fill="auto"/>
            <w:vAlign w:val="bottom"/>
          </w:tcPr>
          <w:p w14:paraId="5DEC5847" w14:textId="77777777" w:rsidR="00B1578D" w:rsidRDefault="00B1578D">
            <w:pPr>
              <w:rPr>
                <w:rFonts w:ascii="宋体"/>
                <w:vanish/>
              </w:rPr>
            </w:pPr>
          </w:p>
        </w:tc>
        <w:tc>
          <w:tcPr>
            <w:tcW w:w="0" w:type="auto"/>
            <w:gridSpan w:val="3"/>
            <w:shd w:val="clear" w:color="auto" w:fill="auto"/>
            <w:vAlign w:val="bottom"/>
          </w:tcPr>
          <w:p w14:paraId="5DEC5848" w14:textId="77777777" w:rsidR="00B1578D" w:rsidRDefault="00B1578D">
            <w:pPr>
              <w:rPr>
                <w:rFonts w:ascii="宋体"/>
                <w:vanish/>
              </w:rPr>
            </w:pPr>
          </w:p>
        </w:tc>
        <w:tc>
          <w:tcPr>
            <w:tcW w:w="0" w:type="auto"/>
            <w:gridSpan w:val="3"/>
            <w:shd w:val="clear" w:color="auto" w:fill="auto"/>
            <w:vAlign w:val="bottom"/>
          </w:tcPr>
          <w:p w14:paraId="5DEC5849" w14:textId="77777777" w:rsidR="00B1578D" w:rsidRDefault="00B1578D">
            <w:pPr>
              <w:rPr>
                <w:rFonts w:ascii="宋体"/>
                <w:vanish/>
              </w:rPr>
            </w:pPr>
          </w:p>
        </w:tc>
        <w:tc>
          <w:tcPr>
            <w:tcW w:w="0" w:type="auto"/>
            <w:gridSpan w:val="3"/>
            <w:shd w:val="clear" w:color="auto" w:fill="auto"/>
            <w:vAlign w:val="bottom"/>
          </w:tcPr>
          <w:p w14:paraId="5DEC584A" w14:textId="77777777" w:rsidR="00B1578D" w:rsidRDefault="00B1578D">
            <w:pPr>
              <w:rPr>
                <w:rFonts w:ascii="宋体"/>
                <w:vanish/>
              </w:rPr>
            </w:pPr>
          </w:p>
        </w:tc>
        <w:tc>
          <w:tcPr>
            <w:tcW w:w="0" w:type="auto"/>
            <w:gridSpan w:val="3"/>
            <w:shd w:val="clear" w:color="auto" w:fill="auto"/>
            <w:vAlign w:val="bottom"/>
          </w:tcPr>
          <w:p w14:paraId="5DEC584B" w14:textId="77777777" w:rsidR="00B1578D" w:rsidRDefault="00B1578D">
            <w:pPr>
              <w:rPr>
                <w:rFonts w:ascii="宋体"/>
                <w:vanish/>
              </w:rPr>
            </w:pPr>
          </w:p>
        </w:tc>
        <w:tc>
          <w:tcPr>
            <w:tcW w:w="0" w:type="auto"/>
            <w:gridSpan w:val="3"/>
            <w:shd w:val="clear" w:color="auto" w:fill="auto"/>
            <w:vAlign w:val="bottom"/>
          </w:tcPr>
          <w:p w14:paraId="5DEC584C" w14:textId="77777777" w:rsidR="00B1578D" w:rsidRDefault="00B1578D">
            <w:pPr>
              <w:rPr>
                <w:rFonts w:ascii="宋体"/>
                <w:vanish/>
              </w:rPr>
            </w:pPr>
          </w:p>
        </w:tc>
        <w:tc>
          <w:tcPr>
            <w:tcW w:w="0" w:type="auto"/>
            <w:gridSpan w:val="3"/>
            <w:shd w:val="clear" w:color="auto" w:fill="auto"/>
            <w:vAlign w:val="bottom"/>
          </w:tcPr>
          <w:p w14:paraId="5DEC584D" w14:textId="77777777" w:rsidR="00B1578D" w:rsidRDefault="00B1578D">
            <w:pPr>
              <w:rPr>
                <w:rFonts w:ascii="宋体"/>
                <w:vanish/>
              </w:rPr>
            </w:pPr>
          </w:p>
        </w:tc>
        <w:tc>
          <w:tcPr>
            <w:tcW w:w="0" w:type="auto"/>
            <w:shd w:val="clear" w:color="auto" w:fill="auto"/>
            <w:vAlign w:val="bottom"/>
          </w:tcPr>
          <w:p w14:paraId="5DEC584E" w14:textId="77777777" w:rsidR="00B1578D" w:rsidRDefault="00B1578D">
            <w:pPr>
              <w:rPr>
                <w:rFonts w:ascii="宋体"/>
                <w:vanish/>
              </w:rPr>
            </w:pPr>
          </w:p>
        </w:tc>
        <w:tc>
          <w:tcPr>
            <w:tcW w:w="0" w:type="auto"/>
            <w:shd w:val="clear" w:color="auto" w:fill="auto"/>
            <w:vAlign w:val="bottom"/>
          </w:tcPr>
          <w:p w14:paraId="5DEC584F" w14:textId="77777777" w:rsidR="00B1578D" w:rsidRDefault="00B1578D">
            <w:pPr>
              <w:rPr>
                <w:rFonts w:ascii="宋体"/>
                <w:vanish/>
              </w:rPr>
            </w:pPr>
          </w:p>
        </w:tc>
        <w:tc>
          <w:tcPr>
            <w:tcW w:w="0" w:type="auto"/>
            <w:shd w:val="clear" w:color="auto" w:fill="auto"/>
            <w:vAlign w:val="bottom"/>
          </w:tcPr>
          <w:p w14:paraId="5DEC5850" w14:textId="77777777" w:rsidR="00B1578D" w:rsidRDefault="00B1578D">
            <w:pPr>
              <w:rPr>
                <w:rFonts w:ascii="宋体"/>
                <w:vanish/>
              </w:rPr>
            </w:pPr>
          </w:p>
        </w:tc>
      </w:tr>
      <w:tr w:rsidR="00B1578D" w14:paraId="5DEC5865" w14:textId="77777777">
        <w:trPr>
          <w:hidden/>
        </w:trPr>
        <w:tc>
          <w:tcPr>
            <w:tcW w:w="0" w:type="auto"/>
            <w:gridSpan w:val="3"/>
            <w:shd w:val="clear" w:color="auto" w:fill="auto"/>
            <w:vAlign w:val="bottom"/>
          </w:tcPr>
          <w:p w14:paraId="5DEC5852" w14:textId="77777777" w:rsidR="00B1578D" w:rsidRDefault="00B1578D">
            <w:pPr>
              <w:rPr>
                <w:rFonts w:ascii="宋体"/>
                <w:vanish/>
              </w:rPr>
            </w:pPr>
          </w:p>
        </w:tc>
        <w:tc>
          <w:tcPr>
            <w:tcW w:w="0" w:type="auto"/>
            <w:gridSpan w:val="3"/>
            <w:shd w:val="clear" w:color="auto" w:fill="auto"/>
            <w:vAlign w:val="bottom"/>
          </w:tcPr>
          <w:p w14:paraId="5DEC5853" w14:textId="77777777" w:rsidR="00B1578D" w:rsidRDefault="00B1578D">
            <w:pPr>
              <w:rPr>
                <w:rFonts w:ascii="宋体"/>
                <w:vanish/>
              </w:rPr>
            </w:pPr>
          </w:p>
        </w:tc>
        <w:tc>
          <w:tcPr>
            <w:tcW w:w="0" w:type="auto"/>
            <w:gridSpan w:val="3"/>
            <w:shd w:val="clear" w:color="auto" w:fill="auto"/>
            <w:vAlign w:val="bottom"/>
          </w:tcPr>
          <w:p w14:paraId="5DEC5854" w14:textId="77777777" w:rsidR="00B1578D" w:rsidRDefault="00B1578D">
            <w:pPr>
              <w:rPr>
                <w:rFonts w:ascii="宋体"/>
                <w:vanish/>
              </w:rPr>
            </w:pPr>
          </w:p>
        </w:tc>
        <w:tc>
          <w:tcPr>
            <w:tcW w:w="0" w:type="auto"/>
            <w:gridSpan w:val="3"/>
            <w:shd w:val="clear" w:color="auto" w:fill="auto"/>
            <w:vAlign w:val="bottom"/>
          </w:tcPr>
          <w:p w14:paraId="5DEC5855" w14:textId="77777777" w:rsidR="00B1578D" w:rsidRDefault="00B1578D">
            <w:pPr>
              <w:rPr>
                <w:rFonts w:ascii="宋体"/>
                <w:vanish/>
              </w:rPr>
            </w:pPr>
          </w:p>
        </w:tc>
        <w:tc>
          <w:tcPr>
            <w:tcW w:w="0" w:type="auto"/>
            <w:gridSpan w:val="3"/>
            <w:shd w:val="clear" w:color="auto" w:fill="auto"/>
            <w:vAlign w:val="bottom"/>
          </w:tcPr>
          <w:p w14:paraId="5DEC5856" w14:textId="77777777" w:rsidR="00B1578D" w:rsidRDefault="00B1578D">
            <w:pPr>
              <w:rPr>
                <w:rFonts w:ascii="宋体"/>
                <w:vanish/>
              </w:rPr>
            </w:pPr>
          </w:p>
        </w:tc>
        <w:tc>
          <w:tcPr>
            <w:tcW w:w="0" w:type="auto"/>
            <w:gridSpan w:val="3"/>
            <w:shd w:val="clear" w:color="auto" w:fill="auto"/>
            <w:vAlign w:val="bottom"/>
          </w:tcPr>
          <w:p w14:paraId="5DEC5857" w14:textId="77777777" w:rsidR="00B1578D" w:rsidRDefault="00B1578D">
            <w:pPr>
              <w:rPr>
                <w:rFonts w:ascii="宋体"/>
                <w:vanish/>
              </w:rPr>
            </w:pPr>
          </w:p>
        </w:tc>
        <w:tc>
          <w:tcPr>
            <w:tcW w:w="0" w:type="auto"/>
            <w:gridSpan w:val="3"/>
            <w:shd w:val="clear" w:color="auto" w:fill="auto"/>
            <w:vAlign w:val="bottom"/>
          </w:tcPr>
          <w:p w14:paraId="5DEC5858" w14:textId="77777777" w:rsidR="00B1578D" w:rsidRDefault="00B1578D">
            <w:pPr>
              <w:rPr>
                <w:rFonts w:ascii="宋体"/>
                <w:vanish/>
              </w:rPr>
            </w:pPr>
          </w:p>
        </w:tc>
        <w:tc>
          <w:tcPr>
            <w:tcW w:w="0" w:type="auto"/>
            <w:gridSpan w:val="3"/>
            <w:shd w:val="clear" w:color="auto" w:fill="auto"/>
            <w:vAlign w:val="bottom"/>
          </w:tcPr>
          <w:p w14:paraId="5DEC5859" w14:textId="77777777" w:rsidR="00B1578D" w:rsidRDefault="00B1578D">
            <w:pPr>
              <w:rPr>
                <w:rFonts w:ascii="宋体"/>
                <w:vanish/>
              </w:rPr>
            </w:pPr>
          </w:p>
        </w:tc>
        <w:tc>
          <w:tcPr>
            <w:tcW w:w="0" w:type="auto"/>
            <w:gridSpan w:val="3"/>
            <w:shd w:val="clear" w:color="auto" w:fill="auto"/>
            <w:vAlign w:val="bottom"/>
          </w:tcPr>
          <w:p w14:paraId="5DEC585A" w14:textId="77777777" w:rsidR="00B1578D" w:rsidRDefault="00B1578D">
            <w:pPr>
              <w:rPr>
                <w:rFonts w:ascii="宋体"/>
                <w:vanish/>
              </w:rPr>
            </w:pPr>
          </w:p>
        </w:tc>
        <w:tc>
          <w:tcPr>
            <w:tcW w:w="0" w:type="auto"/>
            <w:gridSpan w:val="3"/>
            <w:shd w:val="clear" w:color="auto" w:fill="auto"/>
            <w:vAlign w:val="bottom"/>
          </w:tcPr>
          <w:p w14:paraId="5DEC585B" w14:textId="77777777" w:rsidR="00B1578D" w:rsidRDefault="00B1578D">
            <w:pPr>
              <w:rPr>
                <w:rFonts w:ascii="宋体"/>
                <w:vanish/>
              </w:rPr>
            </w:pPr>
          </w:p>
        </w:tc>
        <w:tc>
          <w:tcPr>
            <w:tcW w:w="0" w:type="auto"/>
            <w:gridSpan w:val="3"/>
            <w:shd w:val="clear" w:color="auto" w:fill="auto"/>
            <w:vAlign w:val="bottom"/>
          </w:tcPr>
          <w:p w14:paraId="5DEC585C" w14:textId="77777777" w:rsidR="00B1578D" w:rsidRDefault="00B1578D">
            <w:pPr>
              <w:rPr>
                <w:rFonts w:ascii="宋体"/>
                <w:vanish/>
              </w:rPr>
            </w:pPr>
          </w:p>
        </w:tc>
        <w:tc>
          <w:tcPr>
            <w:tcW w:w="0" w:type="auto"/>
            <w:gridSpan w:val="3"/>
            <w:shd w:val="clear" w:color="auto" w:fill="auto"/>
            <w:vAlign w:val="bottom"/>
          </w:tcPr>
          <w:p w14:paraId="5DEC585D" w14:textId="77777777" w:rsidR="00B1578D" w:rsidRDefault="00B1578D">
            <w:pPr>
              <w:rPr>
                <w:rFonts w:ascii="宋体"/>
                <w:vanish/>
              </w:rPr>
            </w:pPr>
          </w:p>
        </w:tc>
        <w:tc>
          <w:tcPr>
            <w:tcW w:w="0" w:type="auto"/>
            <w:gridSpan w:val="3"/>
            <w:shd w:val="clear" w:color="auto" w:fill="auto"/>
            <w:vAlign w:val="bottom"/>
          </w:tcPr>
          <w:p w14:paraId="5DEC585E" w14:textId="77777777" w:rsidR="00B1578D" w:rsidRDefault="00B1578D">
            <w:pPr>
              <w:rPr>
                <w:rFonts w:ascii="宋体"/>
                <w:vanish/>
              </w:rPr>
            </w:pPr>
          </w:p>
        </w:tc>
        <w:tc>
          <w:tcPr>
            <w:tcW w:w="0" w:type="auto"/>
            <w:gridSpan w:val="3"/>
            <w:shd w:val="clear" w:color="auto" w:fill="auto"/>
            <w:vAlign w:val="bottom"/>
          </w:tcPr>
          <w:p w14:paraId="5DEC585F" w14:textId="77777777" w:rsidR="00B1578D" w:rsidRDefault="00B1578D">
            <w:pPr>
              <w:rPr>
                <w:rFonts w:ascii="宋体"/>
                <w:vanish/>
              </w:rPr>
            </w:pPr>
          </w:p>
        </w:tc>
        <w:tc>
          <w:tcPr>
            <w:tcW w:w="0" w:type="auto"/>
            <w:gridSpan w:val="3"/>
            <w:shd w:val="clear" w:color="auto" w:fill="auto"/>
            <w:vAlign w:val="bottom"/>
          </w:tcPr>
          <w:p w14:paraId="5DEC5860" w14:textId="77777777" w:rsidR="00B1578D" w:rsidRDefault="00B1578D">
            <w:pPr>
              <w:rPr>
                <w:rFonts w:ascii="宋体"/>
                <w:vanish/>
              </w:rPr>
            </w:pPr>
          </w:p>
        </w:tc>
        <w:tc>
          <w:tcPr>
            <w:tcW w:w="0" w:type="auto"/>
            <w:gridSpan w:val="3"/>
            <w:shd w:val="clear" w:color="auto" w:fill="auto"/>
            <w:vAlign w:val="bottom"/>
          </w:tcPr>
          <w:p w14:paraId="5DEC5861" w14:textId="77777777" w:rsidR="00B1578D" w:rsidRDefault="00B1578D">
            <w:pPr>
              <w:rPr>
                <w:rFonts w:ascii="宋体"/>
                <w:vanish/>
              </w:rPr>
            </w:pPr>
          </w:p>
        </w:tc>
        <w:tc>
          <w:tcPr>
            <w:tcW w:w="0" w:type="auto"/>
            <w:shd w:val="clear" w:color="auto" w:fill="auto"/>
            <w:vAlign w:val="bottom"/>
          </w:tcPr>
          <w:p w14:paraId="5DEC5862" w14:textId="77777777" w:rsidR="00B1578D" w:rsidRDefault="00B1578D">
            <w:pPr>
              <w:rPr>
                <w:rFonts w:ascii="宋体"/>
                <w:vanish/>
              </w:rPr>
            </w:pPr>
          </w:p>
        </w:tc>
        <w:tc>
          <w:tcPr>
            <w:tcW w:w="0" w:type="auto"/>
            <w:shd w:val="clear" w:color="auto" w:fill="auto"/>
            <w:vAlign w:val="bottom"/>
          </w:tcPr>
          <w:p w14:paraId="5DEC5863" w14:textId="77777777" w:rsidR="00B1578D" w:rsidRDefault="00B1578D">
            <w:pPr>
              <w:rPr>
                <w:rFonts w:ascii="宋体"/>
                <w:vanish/>
              </w:rPr>
            </w:pPr>
          </w:p>
        </w:tc>
        <w:tc>
          <w:tcPr>
            <w:tcW w:w="0" w:type="auto"/>
            <w:shd w:val="clear" w:color="auto" w:fill="auto"/>
            <w:vAlign w:val="bottom"/>
          </w:tcPr>
          <w:p w14:paraId="5DEC5864" w14:textId="77777777" w:rsidR="00B1578D" w:rsidRDefault="00B1578D">
            <w:pPr>
              <w:rPr>
                <w:rFonts w:ascii="宋体"/>
                <w:vanish/>
              </w:rPr>
            </w:pPr>
          </w:p>
        </w:tc>
      </w:tr>
      <w:tr w:rsidR="00B1578D" w14:paraId="5DEC5879" w14:textId="77777777">
        <w:trPr>
          <w:hidden/>
        </w:trPr>
        <w:tc>
          <w:tcPr>
            <w:tcW w:w="0" w:type="auto"/>
            <w:gridSpan w:val="3"/>
            <w:shd w:val="clear" w:color="auto" w:fill="auto"/>
            <w:vAlign w:val="bottom"/>
          </w:tcPr>
          <w:p w14:paraId="5DEC5866" w14:textId="77777777" w:rsidR="00B1578D" w:rsidRDefault="00B1578D">
            <w:pPr>
              <w:rPr>
                <w:rFonts w:ascii="宋体"/>
                <w:vanish/>
              </w:rPr>
            </w:pPr>
          </w:p>
        </w:tc>
        <w:tc>
          <w:tcPr>
            <w:tcW w:w="0" w:type="auto"/>
            <w:gridSpan w:val="3"/>
            <w:shd w:val="clear" w:color="auto" w:fill="auto"/>
            <w:vAlign w:val="bottom"/>
          </w:tcPr>
          <w:p w14:paraId="5DEC5867" w14:textId="77777777" w:rsidR="00B1578D" w:rsidRDefault="00B1578D">
            <w:pPr>
              <w:rPr>
                <w:rFonts w:ascii="宋体"/>
                <w:vanish/>
              </w:rPr>
            </w:pPr>
          </w:p>
        </w:tc>
        <w:tc>
          <w:tcPr>
            <w:tcW w:w="0" w:type="auto"/>
            <w:gridSpan w:val="3"/>
            <w:shd w:val="clear" w:color="auto" w:fill="auto"/>
            <w:vAlign w:val="bottom"/>
          </w:tcPr>
          <w:p w14:paraId="5DEC5868" w14:textId="77777777" w:rsidR="00B1578D" w:rsidRDefault="00B1578D">
            <w:pPr>
              <w:rPr>
                <w:rFonts w:ascii="宋体"/>
                <w:vanish/>
              </w:rPr>
            </w:pPr>
          </w:p>
        </w:tc>
        <w:tc>
          <w:tcPr>
            <w:tcW w:w="0" w:type="auto"/>
            <w:gridSpan w:val="3"/>
            <w:shd w:val="clear" w:color="auto" w:fill="auto"/>
            <w:vAlign w:val="bottom"/>
          </w:tcPr>
          <w:p w14:paraId="5DEC5869" w14:textId="77777777" w:rsidR="00B1578D" w:rsidRDefault="00B1578D">
            <w:pPr>
              <w:rPr>
                <w:rFonts w:ascii="宋体"/>
                <w:vanish/>
              </w:rPr>
            </w:pPr>
          </w:p>
        </w:tc>
        <w:tc>
          <w:tcPr>
            <w:tcW w:w="0" w:type="auto"/>
            <w:gridSpan w:val="3"/>
            <w:shd w:val="clear" w:color="auto" w:fill="auto"/>
            <w:vAlign w:val="bottom"/>
          </w:tcPr>
          <w:p w14:paraId="5DEC586A" w14:textId="77777777" w:rsidR="00B1578D" w:rsidRDefault="00B1578D">
            <w:pPr>
              <w:rPr>
                <w:rFonts w:ascii="宋体"/>
                <w:vanish/>
              </w:rPr>
            </w:pPr>
          </w:p>
        </w:tc>
        <w:tc>
          <w:tcPr>
            <w:tcW w:w="0" w:type="auto"/>
            <w:gridSpan w:val="3"/>
            <w:shd w:val="clear" w:color="auto" w:fill="auto"/>
            <w:vAlign w:val="bottom"/>
          </w:tcPr>
          <w:p w14:paraId="5DEC586B" w14:textId="77777777" w:rsidR="00B1578D" w:rsidRDefault="00B1578D">
            <w:pPr>
              <w:rPr>
                <w:rFonts w:ascii="宋体"/>
                <w:vanish/>
              </w:rPr>
            </w:pPr>
          </w:p>
        </w:tc>
        <w:tc>
          <w:tcPr>
            <w:tcW w:w="0" w:type="auto"/>
            <w:gridSpan w:val="3"/>
            <w:shd w:val="clear" w:color="auto" w:fill="auto"/>
            <w:vAlign w:val="bottom"/>
          </w:tcPr>
          <w:p w14:paraId="5DEC586C" w14:textId="77777777" w:rsidR="00B1578D" w:rsidRDefault="00B1578D">
            <w:pPr>
              <w:rPr>
                <w:rFonts w:ascii="宋体"/>
                <w:vanish/>
              </w:rPr>
            </w:pPr>
          </w:p>
        </w:tc>
        <w:tc>
          <w:tcPr>
            <w:tcW w:w="0" w:type="auto"/>
            <w:gridSpan w:val="3"/>
            <w:shd w:val="clear" w:color="auto" w:fill="auto"/>
            <w:vAlign w:val="bottom"/>
          </w:tcPr>
          <w:p w14:paraId="5DEC586D" w14:textId="77777777" w:rsidR="00B1578D" w:rsidRDefault="00B1578D">
            <w:pPr>
              <w:rPr>
                <w:rFonts w:ascii="宋体"/>
                <w:vanish/>
              </w:rPr>
            </w:pPr>
          </w:p>
        </w:tc>
        <w:tc>
          <w:tcPr>
            <w:tcW w:w="0" w:type="auto"/>
            <w:gridSpan w:val="3"/>
            <w:shd w:val="clear" w:color="auto" w:fill="auto"/>
            <w:vAlign w:val="bottom"/>
          </w:tcPr>
          <w:p w14:paraId="5DEC586E" w14:textId="77777777" w:rsidR="00B1578D" w:rsidRDefault="00B1578D">
            <w:pPr>
              <w:rPr>
                <w:rFonts w:ascii="宋体"/>
                <w:vanish/>
              </w:rPr>
            </w:pPr>
          </w:p>
        </w:tc>
        <w:tc>
          <w:tcPr>
            <w:tcW w:w="0" w:type="auto"/>
            <w:gridSpan w:val="3"/>
            <w:shd w:val="clear" w:color="auto" w:fill="auto"/>
            <w:vAlign w:val="bottom"/>
          </w:tcPr>
          <w:p w14:paraId="5DEC586F" w14:textId="77777777" w:rsidR="00B1578D" w:rsidRDefault="00B1578D">
            <w:pPr>
              <w:rPr>
                <w:rFonts w:ascii="宋体"/>
                <w:vanish/>
              </w:rPr>
            </w:pPr>
          </w:p>
        </w:tc>
        <w:tc>
          <w:tcPr>
            <w:tcW w:w="0" w:type="auto"/>
            <w:gridSpan w:val="3"/>
            <w:shd w:val="clear" w:color="auto" w:fill="auto"/>
            <w:vAlign w:val="bottom"/>
          </w:tcPr>
          <w:p w14:paraId="5DEC5870" w14:textId="77777777" w:rsidR="00B1578D" w:rsidRDefault="00B1578D">
            <w:pPr>
              <w:rPr>
                <w:rFonts w:ascii="宋体"/>
                <w:vanish/>
              </w:rPr>
            </w:pPr>
          </w:p>
        </w:tc>
        <w:tc>
          <w:tcPr>
            <w:tcW w:w="0" w:type="auto"/>
            <w:gridSpan w:val="3"/>
            <w:shd w:val="clear" w:color="auto" w:fill="auto"/>
            <w:vAlign w:val="bottom"/>
          </w:tcPr>
          <w:p w14:paraId="5DEC5871" w14:textId="77777777" w:rsidR="00B1578D" w:rsidRDefault="00B1578D">
            <w:pPr>
              <w:rPr>
                <w:rFonts w:ascii="宋体"/>
                <w:vanish/>
              </w:rPr>
            </w:pPr>
          </w:p>
        </w:tc>
        <w:tc>
          <w:tcPr>
            <w:tcW w:w="0" w:type="auto"/>
            <w:gridSpan w:val="3"/>
            <w:shd w:val="clear" w:color="auto" w:fill="auto"/>
            <w:vAlign w:val="bottom"/>
          </w:tcPr>
          <w:p w14:paraId="5DEC5872" w14:textId="77777777" w:rsidR="00B1578D" w:rsidRDefault="00B1578D">
            <w:pPr>
              <w:rPr>
                <w:rFonts w:ascii="宋体"/>
                <w:vanish/>
              </w:rPr>
            </w:pPr>
          </w:p>
        </w:tc>
        <w:tc>
          <w:tcPr>
            <w:tcW w:w="0" w:type="auto"/>
            <w:gridSpan w:val="3"/>
            <w:shd w:val="clear" w:color="auto" w:fill="auto"/>
            <w:vAlign w:val="bottom"/>
          </w:tcPr>
          <w:p w14:paraId="5DEC5873" w14:textId="77777777" w:rsidR="00B1578D" w:rsidRDefault="00B1578D">
            <w:pPr>
              <w:rPr>
                <w:rFonts w:ascii="宋体"/>
                <w:vanish/>
              </w:rPr>
            </w:pPr>
          </w:p>
        </w:tc>
        <w:tc>
          <w:tcPr>
            <w:tcW w:w="0" w:type="auto"/>
            <w:gridSpan w:val="3"/>
            <w:shd w:val="clear" w:color="auto" w:fill="auto"/>
            <w:vAlign w:val="bottom"/>
          </w:tcPr>
          <w:p w14:paraId="5DEC5874" w14:textId="77777777" w:rsidR="00B1578D" w:rsidRDefault="00B1578D">
            <w:pPr>
              <w:rPr>
                <w:rFonts w:ascii="宋体"/>
                <w:vanish/>
              </w:rPr>
            </w:pPr>
          </w:p>
        </w:tc>
        <w:tc>
          <w:tcPr>
            <w:tcW w:w="0" w:type="auto"/>
            <w:gridSpan w:val="3"/>
            <w:shd w:val="clear" w:color="auto" w:fill="auto"/>
            <w:vAlign w:val="bottom"/>
          </w:tcPr>
          <w:p w14:paraId="5DEC5875" w14:textId="77777777" w:rsidR="00B1578D" w:rsidRDefault="00B1578D">
            <w:pPr>
              <w:rPr>
                <w:rFonts w:ascii="宋体"/>
                <w:vanish/>
              </w:rPr>
            </w:pPr>
          </w:p>
        </w:tc>
        <w:tc>
          <w:tcPr>
            <w:tcW w:w="0" w:type="auto"/>
            <w:shd w:val="clear" w:color="auto" w:fill="auto"/>
            <w:vAlign w:val="bottom"/>
          </w:tcPr>
          <w:p w14:paraId="5DEC5876" w14:textId="77777777" w:rsidR="00B1578D" w:rsidRDefault="00B1578D">
            <w:pPr>
              <w:rPr>
                <w:rFonts w:ascii="宋体"/>
                <w:vanish/>
              </w:rPr>
            </w:pPr>
          </w:p>
        </w:tc>
        <w:tc>
          <w:tcPr>
            <w:tcW w:w="0" w:type="auto"/>
            <w:shd w:val="clear" w:color="auto" w:fill="auto"/>
            <w:vAlign w:val="bottom"/>
          </w:tcPr>
          <w:p w14:paraId="5DEC5877" w14:textId="77777777" w:rsidR="00B1578D" w:rsidRDefault="00B1578D">
            <w:pPr>
              <w:rPr>
                <w:rFonts w:ascii="宋体"/>
                <w:vanish/>
              </w:rPr>
            </w:pPr>
          </w:p>
        </w:tc>
        <w:tc>
          <w:tcPr>
            <w:tcW w:w="0" w:type="auto"/>
            <w:shd w:val="clear" w:color="auto" w:fill="auto"/>
            <w:vAlign w:val="bottom"/>
          </w:tcPr>
          <w:p w14:paraId="5DEC5878" w14:textId="77777777" w:rsidR="00B1578D" w:rsidRDefault="00B1578D">
            <w:pPr>
              <w:rPr>
                <w:rFonts w:ascii="宋体"/>
                <w:vanish/>
              </w:rPr>
            </w:pPr>
          </w:p>
        </w:tc>
      </w:tr>
      <w:tr w:rsidR="00B1578D" w14:paraId="5DEC588D" w14:textId="77777777">
        <w:trPr>
          <w:hidden/>
        </w:trPr>
        <w:tc>
          <w:tcPr>
            <w:tcW w:w="0" w:type="auto"/>
            <w:gridSpan w:val="3"/>
            <w:shd w:val="clear" w:color="auto" w:fill="auto"/>
            <w:vAlign w:val="bottom"/>
          </w:tcPr>
          <w:p w14:paraId="5DEC587A" w14:textId="77777777" w:rsidR="00B1578D" w:rsidRDefault="00B1578D">
            <w:pPr>
              <w:rPr>
                <w:rFonts w:ascii="宋体"/>
                <w:vanish/>
              </w:rPr>
            </w:pPr>
          </w:p>
        </w:tc>
        <w:tc>
          <w:tcPr>
            <w:tcW w:w="0" w:type="auto"/>
            <w:gridSpan w:val="3"/>
            <w:shd w:val="clear" w:color="auto" w:fill="auto"/>
            <w:vAlign w:val="bottom"/>
          </w:tcPr>
          <w:p w14:paraId="5DEC587B" w14:textId="77777777" w:rsidR="00B1578D" w:rsidRDefault="00B1578D">
            <w:pPr>
              <w:rPr>
                <w:rFonts w:ascii="宋体"/>
                <w:vanish/>
              </w:rPr>
            </w:pPr>
          </w:p>
        </w:tc>
        <w:tc>
          <w:tcPr>
            <w:tcW w:w="0" w:type="auto"/>
            <w:gridSpan w:val="3"/>
            <w:shd w:val="clear" w:color="auto" w:fill="auto"/>
            <w:vAlign w:val="bottom"/>
          </w:tcPr>
          <w:p w14:paraId="5DEC587C" w14:textId="77777777" w:rsidR="00B1578D" w:rsidRDefault="00B1578D">
            <w:pPr>
              <w:rPr>
                <w:rFonts w:ascii="宋体"/>
                <w:vanish/>
              </w:rPr>
            </w:pPr>
          </w:p>
        </w:tc>
        <w:tc>
          <w:tcPr>
            <w:tcW w:w="0" w:type="auto"/>
            <w:gridSpan w:val="3"/>
            <w:shd w:val="clear" w:color="auto" w:fill="auto"/>
            <w:vAlign w:val="bottom"/>
          </w:tcPr>
          <w:p w14:paraId="5DEC587D" w14:textId="77777777" w:rsidR="00B1578D" w:rsidRDefault="00B1578D">
            <w:pPr>
              <w:rPr>
                <w:rFonts w:ascii="宋体"/>
                <w:vanish/>
              </w:rPr>
            </w:pPr>
          </w:p>
        </w:tc>
        <w:tc>
          <w:tcPr>
            <w:tcW w:w="0" w:type="auto"/>
            <w:gridSpan w:val="3"/>
            <w:shd w:val="clear" w:color="auto" w:fill="auto"/>
            <w:vAlign w:val="bottom"/>
          </w:tcPr>
          <w:p w14:paraId="5DEC587E" w14:textId="77777777" w:rsidR="00B1578D" w:rsidRDefault="00B1578D">
            <w:pPr>
              <w:rPr>
                <w:rFonts w:ascii="宋体"/>
                <w:vanish/>
              </w:rPr>
            </w:pPr>
          </w:p>
        </w:tc>
        <w:tc>
          <w:tcPr>
            <w:tcW w:w="0" w:type="auto"/>
            <w:gridSpan w:val="3"/>
            <w:shd w:val="clear" w:color="auto" w:fill="auto"/>
            <w:vAlign w:val="bottom"/>
          </w:tcPr>
          <w:p w14:paraId="5DEC587F" w14:textId="77777777" w:rsidR="00B1578D" w:rsidRDefault="00B1578D">
            <w:pPr>
              <w:rPr>
                <w:rFonts w:ascii="宋体"/>
                <w:vanish/>
              </w:rPr>
            </w:pPr>
          </w:p>
        </w:tc>
        <w:tc>
          <w:tcPr>
            <w:tcW w:w="0" w:type="auto"/>
            <w:gridSpan w:val="3"/>
            <w:shd w:val="clear" w:color="auto" w:fill="auto"/>
            <w:vAlign w:val="bottom"/>
          </w:tcPr>
          <w:p w14:paraId="5DEC5880" w14:textId="77777777" w:rsidR="00B1578D" w:rsidRDefault="00B1578D">
            <w:pPr>
              <w:rPr>
                <w:rFonts w:ascii="宋体"/>
                <w:vanish/>
              </w:rPr>
            </w:pPr>
          </w:p>
        </w:tc>
        <w:tc>
          <w:tcPr>
            <w:tcW w:w="0" w:type="auto"/>
            <w:gridSpan w:val="3"/>
            <w:shd w:val="clear" w:color="auto" w:fill="auto"/>
            <w:vAlign w:val="bottom"/>
          </w:tcPr>
          <w:p w14:paraId="5DEC5881" w14:textId="77777777" w:rsidR="00B1578D" w:rsidRDefault="00B1578D">
            <w:pPr>
              <w:rPr>
                <w:rFonts w:ascii="宋体"/>
                <w:vanish/>
              </w:rPr>
            </w:pPr>
          </w:p>
        </w:tc>
        <w:tc>
          <w:tcPr>
            <w:tcW w:w="0" w:type="auto"/>
            <w:gridSpan w:val="3"/>
            <w:shd w:val="clear" w:color="auto" w:fill="auto"/>
            <w:vAlign w:val="bottom"/>
          </w:tcPr>
          <w:p w14:paraId="5DEC5882" w14:textId="77777777" w:rsidR="00B1578D" w:rsidRDefault="00B1578D">
            <w:pPr>
              <w:rPr>
                <w:rFonts w:ascii="宋体"/>
                <w:vanish/>
              </w:rPr>
            </w:pPr>
          </w:p>
        </w:tc>
        <w:tc>
          <w:tcPr>
            <w:tcW w:w="0" w:type="auto"/>
            <w:gridSpan w:val="3"/>
            <w:shd w:val="clear" w:color="auto" w:fill="auto"/>
            <w:vAlign w:val="bottom"/>
          </w:tcPr>
          <w:p w14:paraId="5DEC5883" w14:textId="77777777" w:rsidR="00B1578D" w:rsidRDefault="00B1578D">
            <w:pPr>
              <w:rPr>
                <w:rFonts w:ascii="宋体"/>
                <w:vanish/>
              </w:rPr>
            </w:pPr>
          </w:p>
        </w:tc>
        <w:tc>
          <w:tcPr>
            <w:tcW w:w="0" w:type="auto"/>
            <w:gridSpan w:val="3"/>
            <w:shd w:val="clear" w:color="auto" w:fill="auto"/>
            <w:vAlign w:val="bottom"/>
          </w:tcPr>
          <w:p w14:paraId="5DEC5884" w14:textId="77777777" w:rsidR="00B1578D" w:rsidRDefault="00B1578D">
            <w:pPr>
              <w:rPr>
                <w:rFonts w:ascii="宋体"/>
                <w:vanish/>
              </w:rPr>
            </w:pPr>
          </w:p>
        </w:tc>
        <w:tc>
          <w:tcPr>
            <w:tcW w:w="0" w:type="auto"/>
            <w:gridSpan w:val="3"/>
            <w:shd w:val="clear" w:color="auto" w:fill="auto"/>
            <w:vAlign w:val="bottom"/>
          </w:tcPr>
          <w:p w14:paraId="5DEC5885" w14:textId="77777777" w:rsidR="00B1578D" w:rsidRDefault="00B1578D">
            <w:pPr>
              <w:rPr>
                <w:rFonts w:ascii="宋体"/>
                <w:vanish/>
              </w:rPr>
            </w:pPr>
          </w:p>
        </w:tc>
        <w:tc>
          <w:tcPr>
            <w:tcW w:w="0" w:type="auto"/>
            <w:gridSpan w:val="3"/>
            <w:shd w:val="clear" w:color="auto" w:fill="auto"/>
            <w:vAlign w:val="bottom"/>
          </w:tcPr>
          <w:p w14:paraId="5DEC5886" w14:textId="77777777" w:rsidR="00B1578D" w:rsidRDefault="00B1578D">
            <w:pPr>
              <w:rPr>
                <w:rFonts w:ascii="宋体"/>
                <w:vanish/>
              </w:rPr>
            </w:pPr>
          </w:p>
        </w:tc>
        <w:tc>
          <w:tcPr>
            <w:tcW w:w="0" w:type="auto"/>
            <w:gridSpan w:val="3"/>
            <w:shd w:val="clear" w:color="auto" w:fill="auto"/>
            <w:vAlign w:val="bottom"/>
          </w:tcPr>
          <w:p w14:paraId="5DEC5887" w14:textId="77777777" w:rsidR="00B1578D" w:rsidRDefault="00B1578D">
            <w:pPr>
              <w:rPr>
                <w:rFonts w:ascii="宋体"/>
                <w:vanish/>
              </w:rPr>
            </w:pPr>
          </w:p>
        </w:tc>
        <w:tc>
          <w:tcPr>
            <w:tcW w:w="0" w:type="auto"/>
            <w:gridSpan w:val="3"/>
            <w:shd w:val="clear" w:color="auto" w:fill="auto"/>
            <w:vAlign w:val="bottom"/>
          </w:tcPr>
          <w:p w14:paraId="5DEC5888" w14:textId="77777777" w:rsidR="00B1578D" w:rsidRDefault="00B1578D">
            <w:pPr>
              <w:rPr>
                <w:rFonts w:ascii="宋体"/>
                <w:vanish/>
              </w:rPr>
            </w:pPr>
          </w:p>
        </w:tc>
        <w:tc>
          <w:tcPr>
            <w:tcW w:w="0" w:type="auto"/>
            <w:gridSpan w:val="3"/>
            <w:shd w:val="clear" w:color="auto" w:fill="auto"/>
            <w:vAlign w:val="bottom"/>
          </w:tcPr>
          <w:p w14:paraId="5DEC5889" w14:textId="77777777" w:rsidR="00B1578D" w:rsidRDefault="00B1578D">
            <w:pPr>
              <w:rPr>
                <w:rFonts w:ascii="宋体"/>
                <w:vanish/>
              </w:rPr>
            </w:pPr>
          </w:p>
        </w:tc>
        <w:tc>
          <w:tcPr>
            <w:tcW w:w="0" w:type="auto"/>
            <w:shd w:val="clear" w:color="auto" w:fill="auto"/>
            <w:vAlign w:val="bottom"/>
          </w:tcPr>
          <w:p w14:paraId="5DEC588A" w14:textId="77777777" w:rsidR="00B1578D" w:rsidRDefault="00B1578D">
            <w:pPr>
              <w:rPr>
                <w:rFonts w:ascii="宋体"/>
                <w:vanish/>
              </w:rPr>
            </w:pPr>
          </w:p>
        </w:tc>
        <w:tc>
          <w:tcPr>
            <w:tcW w:w="0" w:type="auto"/>
            <w:shd w:val="clear" w:color="auto" w:fill="auto"/>
            <w:vAlign w:val="bottom"/>
          </w:tcPr>
          <w:p w14:paraId="5DEC588B" w14:textId="77777777" w:rsidR="00B1578D" w:rsidRDefault="00B1578D">
            <w:pPr>
              <w:rPr>
                <w:rFonts w:ascii="宋体"/>
                <w:vanish/>
              </w:rPr>
            </w:pPr>
          </w:p>
        </w:tc>
        <w:tc>
          <w:tcPr>
            <w:tcW w:w="0" w:type="auto"/>
            <w:shd w:val="clear" w:color="auto" w:fill="auto"/>
            <w:vAlign w:val="bottom"/>
          </w:tcPr>
          <w:p w14:paraId="5DEC588C" w14:textId="77777777" w:rsidR="00B1578D" w:rsidRDefault="00B1578D">
            <w:pPr>
              <w:rPr>
                <w:rFonts w:ascii="宋体"/>
                <w:vanish/>
              </w:rPr>
            </w:pPr>
          </w:p>
        </w:tc>
      </w:tr>
    </w:tbl>
    <w:p w14:paraId="5DEC588E" w14:textId="77777777" w:rsidR="00B1578D" w:rsidRDefault="004D2C04">
      <w:pPr>
        <w:spacing w:before="80"/>
      </w:pPr>
      <w:r>
        <w:rPr>
          <w:rFonts w:ascii="Times New Roman" w:eastAsia="宋体" w:hAnsi="Times New Roman"/>
          <w:i/>
          <w:iCs/>
          <w:color w:val="000000"/>
          <w:sz w:val="16"/>
          <w:szCs w:val="16"/>
        </w:rPr>
        <w:t xml:space="preserve">See accompanying notes. </w:t>
      </w:r>
    </w:p>
    <w:p w14:paraId="5DEC588F" w14:textId="77777777" w:rsidR="00B1578D" w:rsidRDefault="00B1578D">
      <w:pPr>
        <w:spacing w:before="80"/>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962"/>
        <w:gridCol w:w="38"/>
        <w:gridCol w:w="79"/>
        <w:gridCol w:w="409"/>
        <w:gridCol w:w="37"/>
        <w:gridCol w:w="36"/>
        <w:gridCol w:w="36"/>
        <w:gridCol w:w="36"/>
        <w:gridCol w:w="100"/>
        <w:gridCol w:w="484"/>
        <w:gridCol w:w="36"/>
        <w:gridCol w:w="36"/>
        <w:gridCol w:w="36"/>
        <w:gridCol w:w="36"/>
        <w:gridCol w:w="101"/>
        <w:gridCol w:w="619"/>
        <w:gridCol w:w="36"/>
        <w:gridCol w:w="36"/>
        <w:gridCol w:w="36"/>
        <w:gridCol w:w="36"/>
        <w:gridCol w:w="100"/>
        <w:gridCol w:w="555"/>
        <w:gridCol w:w="36"/>
        <w:gridCol w:w="36"/>
        <w:gridCol w:w="36"/>
        <w:gridCol w:w="36"/>
        <w:gridCol w:w="136"/>
        <w:gridCol w:w="940"/>
        <w:gridCol w:w="36"/>
        <w:gridCol w:w="36"/>
        <w:gridCol w:w="36"/>
        <w:gridCol w:w="36"/>
        <w:gridCol w:w="123"/>
        <w:gridCol w:w="842"/>
        <w:gridCol w:w="36"/>
        <w:gridCol w:w="36"/>
        <w:gridCol w:w="36"/>
        <w:gridCol w:w="36"/>
        <w:gridCol w:w="137"/>
        <w:gridCol w:w="948"/>
        <w:gridCol w:w="36"/>
        <w:gridCol w:w="36"/>
        <w:gridCol w:w="36"/>
        <w:gridCol w:w="36"/>
        <w:gridCol w:w="99"/>
        <w:gridCol w:w="472"/>
        <w:gridCol w:w="36"/>
        <w:gridCol w:w="36"/>
        <w:gridCol w:w="36"/>
        <w:gridCol w:w="36"/>
      </w:tblGrid>
      <w:tr w:rsidR="00B1578D" w14:paraId="5DEC58C3" w14:textId="77777777">
        <w:trPr>
          <w:jc w:val="center"/>
        </w:trPr>
        <w:tc>
          <w:tcPr>
            <w:tcW w:w="50" w:type="pct"/>
            <w:shd w:val="clear" w:color="auto" w:fill="auto"/>
            <w:vAlign w:val="bottom"/>
          </w:tcPr>
          <w:p w14:paraId="5DEC5890" w14:textId="77777777" w:rsidR="00B1578D" w:rsidRDefault="00B1578D">
            <w:pPr>
              <w:rPr>
                <w:rFonts w:ascii="宋体"/>
              </w:rPr>
            </w:pPr>
          </w:p>
        </w:tc>
        <w:tc>
          <w:tcPr>
            <w:tcW w:w="1732" w:type="pct"/>
            <w:shd w:val="clear" w:color="auto" w:fill="auto"/>
            <w:vAlign w:val="bottom"/>
          </w:tcPr>
          <w:p w14:paraId="5DEC5891" w14:textId="77777777" w:rsidR="00B1578D" w:rsidRDefault="00B1578D">
            <w:pPr>
              <w:rPr>
                <w:rFonts w:ascii="宋体"/>
              </w:rPr>
            </w:pPr>
          </w:p>
        </w:tc>
        <w:tc>
          <w:tcPr>
            <w:tcW w:w="5" w:type="pct"/>
            <w:shd w:val="clear" w:color="auto" w:fill="auto"/>
            <w:vAlign w:val="bottom"/>
          </w:tcPr>
          <w:p w14:paraId="5DEC5892" w14:textId="77777777" w:rsidR="00B1578D" w:rsidRDefault="00B1578D">
            <w:pPr>
              <w:rPr>
                <w:rFonts w:ascii="宋体"/>
              </w:rPr>
            </w:pPr>
          </w:p>
        </w:tc>
        <w:tc>
          <w:tcPr>
            <w:tcW w:w="50" w:type="pct"/>
            <w:shd w:val="clear" w:color="auto" w:fill="auto"/>
            <w:vAlign w:val="bottom"/>
          </w:tcPr>
          <w:p w14:paraId="5DEC5893" w14:textId="77777777" w:rsidR="00B1578D" w:rsidRDefault="00B1578D">
            <w:pPr>
              <w:rPr>
                <w:rFonts w:ascii="宋体"/>
              </w:rPr>
            </w:pPr>
          </w:p>
        </w:tc>
        <w:tc>
          <w:tcPr>
            <w:tcW w:w="262" w:type="pct"/>
            <w:shd w:val="clear" w:color="auto" w:fill="auto"/>
            <w:vAlign w:val="bottom"/>
          </w:tcPr>
          <w:p w14:paraId="5DEC5894" w14:textId="77777777" w:rsidR="00B1578D" w:rsidRDefault="00B1578D">
            <w:pPr>
              <w:rPr>
                <w:rFonts w:ascii="宋体"/>
              </w:rPr>
            </w:pPr>
          </w:p>
        </w:tc>
        <w:tc>
          <w:tcPr>
            <w:tcW w:w="5" w:type="pct"/>
            <w:shd w:val="clear" w:color="auto" w:fill="auto"/>
            <w:vAlign w:val="bottom"/>
          </w:tcPr>
          <w:p w14:paraId="5DEC5895" w14:textId="77777777" w:rsidR="00B1578D" w:rsidRDefault="00B1578D">
            <w:pPr>
              <w:rPr>
                <w:rFonts w:ascii="宋体"/>
              </w:rPr>
            </w:pPr>
          </w:p>
        </w:tc>
        <w:tc>
          <w:tcPr>
            <w:tcW w:w="5" w:type="pct"/>
            <w:shd w:val="clear" w:color="auto" w:fill="auto"/>
            <w:vAlign w:val="bottom"/>
          </w:tcPr>
          <w:p w14:paraId="5DEC5896" w14:textId="77777777" w:rsidR="00B1578D" w:rsidRDefault="00B1578D">
            <w:pPr>
              <w:rPr>
                <w:rFonts w:ascii="宋体"/>
              </w:rPr>
            </w:pPr>
          </w:p>
        </w:tc>
        <w:tc>
          <w:tcPr>
            <w:tcW w:w="15" w:type="pct"/>
            <w:shd w:val="clear" w:color="auto" w:fill="auto"/>
            <w:vAlign w:val="bottom"/>
          </w:tcPr>
          <w:p w14:paraId="5DEC5897" w14:textId="77777777" w:rsidR="00B1578D" w:rsidRDefault="00B1578D">
            <w:pPr>
              <w:rPr>
                <w:rFonts w:ascii="宋体"/>
              </w:rPr>
            </w:pPr>
          </w:p>
        </w:tc>
        <w:tc>
          <w:tcPr>
            <w:tcW w:w="5" w:type="pct"/>
            <w:shd w:val="clear" w:color="auto" w:fill="auto"/>
            <w:vAlign w:val="bottom"/>
          </w:tcPr>
          <w:p w14:paraId="5DEC5898" w14:textId="77777777" w:rsidR="00B1578D" w:rsidRDefault="00B1578D">
            <w:pPr>
              <w:rPr>
                <w:rFonts w:ascii="宋体"/>
              </w:rPr>
            </w:pPr>
          </w:p>
        </w:tc>
        <w:tc>
          <w:tcPr>
            <w:tcW w:w="50" w:type="pct"/>
            <w:shd w:val="clear" w:color="auto" w:fill="auto"/>
            <w:vAlign w:val="bottom"/>
          </w:tcPr>
          <w:p w14:paraId="5DEC5899" w14:textId="77777777" w:rsidR="00B1578D" w:rsidRDefault="00B1578D">
            <w:pPr>
              <w:rPr>
                <w:rFonts w:ascii="宋体"/>
              </w:rPr>
            </w:pPr>
          </w:p>
        </w:tc>
        <w:tc>
          <w:tcPr>
            <w:tcW w:w="247" w:type="pct"/>
            <w:shd w:val="clear" w:color="auto" w:fill="auto"/>
            <w:vAlign w:val="bottom"/>
          </w:tcPr>
          <w:p w14:paraId="5DEC589A" w14:textId="77777777" w:rsidR="00B1578D" w:rsidRDefault="00B1578D">
            <w:pPr>
              <w:rPr>
                <w:rFonts w:ascii="宋体"/>
              </w:rPr>
            </w:pPr>
          </w:p>
        </w:tc>
        <w:tc>
          <w:tcPr>
            <w:tcW w:w="5" w:type="pct"/>
            <w:shd w:val="clear" w:color="auto" w:fill="auto"/>
            <w:vAlign w:val="bottom"/>
          </w:tcPr>
          <w:p w14:paraId="5DEC589B" w14:textId="77777777" w:rsidR="00B1578D" w:rsidRDefault="00B1578D">
            <w:pPr>
              <w:rPr>
                <w:rFonts w:ascii="宋体"/>
              </w:rPr>
            </w:pPr>
          </w:p>
        </w:tc>
        <w:tc>
          <w:tcPr>
            <w:tcW w:w="5" w:type="pct"/>
            <w:shd w:val="clear" w:color="auto" w:fill="auto"/>
            <w:vAlign w:val="bottom"/>
          </w:tcPr>
          <w:p w14:paraId="5DEC589C" w14:textId="77777777" w:rsidR="00B1578D" w:rsidRDefault="00B1578D">
            <w:pPr>
              <w:rPr>
                <w:rFonts w:ascii="宋体"/>
              </w:rPr>
            </w:pPr>
          </w:p>
        </w:tc>
        <w:tc>
          <w:tcPr>
            <w:tcW w:w="15" w:type="pct"/>
            <w:shd w:val="clear" w:color="auto" w:fill="auto"/>
            <w:vAlign w:val="bottom"/>
          </w:tcPr>
          <w:p w14:paraId="5DEC589D" w14:textId="77777777" w:rsidR="00B1578D" w:rsidRDefault="00B1578D">
            <w:pPr>
              <w:rPr>
                <w:rFonts w:ascii="宋体"/>
              </w:rPr>
            </w:pPr>
          </w:p>
        </w:tc>
        <w:tc>
          <w:tcPr>
            <w:tcW w:w="5" w:type="pct"/>
            <w:shd w:val="clear" w:color="auto" w:fill="auto"/>
            <w:vAlign w:val="bottom"/>
          </w:tcPr>
          <w:p w14:paraId="5DEC589E" w14:textId="77777777" w:rsidR="00B1578D" w:rsidRDefault="00B1578D">
            <w:pPr>
              <w:rPr>
                <w:rFonts w:ascii="宋体"/>
              </w:rPr>
            </w:pPr>
          </w:p>
        </w:tc>
        <w:tc>
          <w:tcPr>
            <w:tcW w:w="50" w:type="pct"/>
            <w:shd w:val="clear" w:color="auto" w:fill="auto"/>
            <w:vAlign w:val="bottom"/>
          </w:tcPr>
          <w:p w14:paraId="5DEC589F" w14:textId="77777777" w:rsidR="00B1578D" w:rsidRDefault="00B1578D">
            <w:pPr>
              <w:rPr>
                <w:rFonts w:ascii="宋体"/>
              </w:rPr>
            </w:pPr>
          </w:p>
        </w:tc>
        <w:tc>
          <w:tcPr>
            <w:tcW w:w="347" w:type="pct"/>
            <w:shd w:val="clear" w:color="auto" w:fill="auto"/>
            <w:vAlign w:val="bottom"/>
          </w:tcPr>
          <w:p w14:paraId="5DEC58A0" w14:textId="77777777" w:rsidR="00B1578D" w:rsidRDefault="00B1578D">
            <w:pPr>
              <w:rPr>
                <w:rFonts w:ascii="宋体"/>
              </w:rPr>
            </w:pPr>
          </w:p>
        </w:tc>
        <w:tc>
          <w:tcPr>
            <w:tcW w:w="5" w:type="pct"/>
            <w:shd w:val="clear" w:color="auto" w:fill="auto"/>
            <w:vAlign w:val="bottom"/>
          </w:tcPr>
          <w:p w14:paraId="5DEC58A1" w14:textId="77777777" w:rsidR="00B1578D" w:rsidRDefault="00B1578D">
            <w:pPr>
              <w:rPr>
                <w:rFonts w:ascii="宋体"/>
              </w:rPr>
            </w:pPr>
          </w:p>
        </w:tc>
        <w:tc>
          <w:tcPr>
            <w:tcW w:w="5" w:type="pct"/>
            <w:shd w:val="clear" w:color="auto" w:fill="auto"/>
            <w:vAlign w:val="bottom"/>
          </w:tcPr>
          <w:p w14:paraId="5DEC58A2" w14:textId="77777777" w:rsidR="00B1578D" w:rsidRDefault="00B1578D">
            <w:pPr>
              <w:rPr>
                <w:rFonts w:ascii="宋体"/>
              </w:rPr>
            </w:pPr>
          </w:p>
        </w:tc>
        <w:tc>
          <w:tcPr>
            <w:tcW w:w="15" w:type="pct"/>
            <w:shd w:val="clear" w:color="auto" w:fill="auto"/>
            <w:vAlign w:val="bottom"/>
          </w:tcPr>
          <w:p w14:paraId="5DEC58A3" w14:textId="77777777" w:rsidR="00B1578D" w:rsidRDefault="00B1578D">
            <w:pPr>
              <w:rPr>
                <w:rFonts w:ascii="宋体"/>
              </w:rPr>
            </w:pPr>
          </w:p>
        </w:tc>
        <w:tc>
          <w:tcPr>
            <w:tcW w:w="5" w:type="pct"/>
            <w:shd w:val="clear" w:color="auto" w:fill="auto"/>
            <w:vAlign w:val="bottom"/>
          </w:tcPr>
          <w:p w14:paraId="5DEC58A4" w14:textId="77777777" w:rsidR="00B1578D" w:rsidRDefault="00B1578D">
            <w:pPr>
              <w:rPr>
                <w:rFonts w:ascii="宋体"/>
              </w:rPr>
            </w:pPr>
          </w:p>
        </w:tc>
        <w:tc>
          <w:tcPr>
            <w:tcW w:w="50" w:type="pct"/>
            <w:shd w:val="clear" w:color="auto" w:fill="auto"/>
            <w:vAlign w:val="bottom"/>
          </w:tcPr>
          <w:p w14:paraId="5DEC58A5" w14:textId="77777777" w:rsidR="00B1578D" w:rsidRDefault="00B1578D">
            <w:pPr>
              <w:rPr>
                <w:rFonts w:ascii="宋体"/>
              </w:rPr>
            </w:pPr>
          </w:p>
        </w:tc>
        <w:tc>
          <w:tcPr>
            <w:tcW w:w="347" w:type="pct"/>
            <w:shd w:val="clear" w:color="auto" w:fill="auto"/>
            <w:vAlign w:val="bottom"/>
          </w:tcPr>
          <w:p w14:paraId="5DEC58A6" w14:textId="77777777" w:rsidR="00B1578D" w:rsidRDefault="00B1578D">
            <w:pPr>
              <w:rPr>
                <w:rFonts w:ascii="宋体"/>
              </w:rPr>
            </w:pPr>
          </w:p>
        </w:tc>
        <w:tc>
          <w:tcPr>
            <w:tcW w:w="5" w:type="pct"/>
            <w:shd w:val="clear" w:color="auto" w:fill="auto"/>
            <w:vAlign w:val="bottom"/>
          </w:tcPr>
          <w:p w14:paraId="5DEC58A7" w14:textId="77777777" w:rsidR="00B1578D" w:rsidRDefault="00B1578D">
            <w:pPr>
              <w:rPr>
                <w:rFonts w:ascii="宋体"/>
              </w:rPr>
            </w:pPr>
          </w:p>
        </w:tc>
        <w:tc>
          <w:tcPr>
            <w:tcW w:w="5" w:type="pct"/>
            <w:shd w:val="clear" w:color="auto" w:fill="auto"/>
            <w:vAlign w:val="bottom"/>
          </w:tcPr>
          <w:p w14:paraId="5DEC58A8" w14:textId="77777777" w:rsidR="00B1578D" w:rsidRDefault="00B1578D">
            <w:pPr>
              <w:rPr>
                <w:rFonts w:ascii="宋体"/>
              </w:rPr>
            </w:pPr>
          </w:p>
        </w:tc>
        <w:tc>
          <w:tcPr>
            <w:tcW w:w="15" w:type="pct"/>
            <w:shd w:val="clear" w:color="auto" w:fill="auto"/>
            <w:vAlign w:val="bottom"/>
          </w:tcPr>
          <w:p w14:paraId="5DEC58A9" w14:textId="77777777" w:rsidR="00B1578D" w:rsidRDefault="00B1578D">
            <w:pPr>
              <w:rPr>
                <w:rFonts w:ascii="宋体"/>
              </w:rPr>
            </w:pPr>
          </w:p>
        </w:tc>
        <w:tc>
          <w:tcPr>
            <w:tcW w:w="5" w:type="pct"/>
            <w:shd w:val="clear" w:color="auto" w:fill="auto"/>
            <w:vAlign w:val="bottom"/>
          </w:tcPr>
          <w:p w14:paraId="5DEC58AA" w14:textId="77777777" w:rsidR="00B1578D" w:rsidRDefault="00B1578D">
            <w:pPr>
              <w:rPr>
                <w:rFonts w:ascii="宋体"/>
              </w:rPr>
            </w:pPr>
          </w:p>
        </w:tc>
        <w:tc>
          <w:tcPr>
            <w:tcW w:w="50" w:type="pct"/>
            <w:shd w:val="clear" w:color="auto" w:fill="auto"/>
            <w:vAlign w:val="bottom"/>
          </w:tcPr>
          <w:p w14:paraId="5DEC58AB" w14:textId="77777777" w:rsidR="00B1578D" w:rsidRDefault="00B1578D">
            <w:pPr>
              <w:rPr>
                <w:rFonts w:ascii="宋体"/>
              </w:rPr>
            </w:pPr>
          </w:p>
        </w:tc>
        <w:tc>
          <w:tcPr>
            <w:tcW w:w="347" w:type="pct"/>
            <w:shd w:val="clear" w:color="auto" w:fill="auto"/>
            <w:vAlign w:val="bottom"/>
          </w:tcPr>
          <w:p w14:paraId="5DEC58AC" w14:textId="77777777" w:rsidR="00B1578D" w:rsidRDefault="00B1578D">
            <w:pPr>
              <w:rPr>
                <w:rFonts w:ascii="宋体"/>
              </w:rPr>
            </w:pPr>
          </w:p>
        </w:tc>
        <w:tc>
          <w:tcPr>
            <w:tcW w:w="5" w:type="pct"/>
            <w:shd w:val="clear" w:color="auto" w:fill="auto"/>
            <w:vAlign w:val="bottom"/>
          </w:tcPr>
          <w:p w14:paraId="5DEC58AD" w14:textId="77777777" w:rsidR="00B1578D" w:rsidRDefault="00B1578D">
            <w:pPr>
              <w:rPr>
                <w:rFonts w:ascii="宋体"/>
              </w:rPr>
            </w:pPr>
          </w:p>
        </w:tc>
        <w:tc>
          <w:tcPr>
            <w:tcW w:w="5" w:type="pct"/>
            <w:shd w:val="clear" w:color="auto" w:fill="auto"/>
            <w:vAlign w:val="bottom"/>
          </w:tcPr>
          <w:p w14:paraId="5DEC58AE" w14:textId="77777777" w:rsidR="00B1578D" w:rsidRDefault="00B1578D">
            <w:pPr>
              <w:rPr>
                <w:rFonts w:ascii="宋体"/>
              </w:rPr>
            </w:pPr>
          </w:p>
        </w:tc>
        <w:tc>
          <w:tcPr>
            <w:tcW w:w="15" w:type="pct"/>
            <w:shd w:val="clear" w:color="auto" w:fill="auto"/>
            <w:vAlign w:val="bottom"/>
          </w:tcPr>
          <w:p w14:paraId="5DEC58AF" w14:textId="77777777" w:rsidR="00B1578D" w:rsidRDefault="00B1578D">
            <w:pPr>
              <w:rPr>
                <w:rFonts w:ascii="宋体"/>
              </w:rPr>
            </w:pPr>
          </w:p>
        </w:tc>
        <w:tc>
          <w:tcPr>
            <w:tcW w:w="5" w:type="pct"/>
            <w:shd w:val="clear" w:color="auto" w:fill="auto"/>
            <w:vAlign w:val="bottom"/>
          </w:tcPr>
          <w:p w14:paraId="5DEC58B0" w14:textId="77777777" w:rsidR="00B1578D" w:rsidRDefault="00B1578D">
            <w:pPr>
              <w:rPr>
                <w:rFonts w:ascii="宋体"/>
              </w:rPr>
            </w:pPr>
          </w:p>
        </w:tc>
        <w:tc>
          <w:tcPr>
            <w:tcW w:w="50" w:type="pct"/>
            <w:shd w:val="clear" w:color="auto" w:fill="auto"/>
            <w:vAlign w:val="bottom"/>
          </w:tcPr>
          <w:p w14:paraId="5DEC58B1" w14:textId="77777777" w:rsidR="00B1578D" w:rsidRDefault="00B1578D">
            <w:pPr>
              <w:rPr>
                <w:rFonts w:ascii="宋体"/>
              </w:rPr>
            </w:pPr>
          </w:p>
        </w:tc>
        <w:tc>
          <w:tcPr>
            <w:tcW w:w="347" w:type="pct"/>
            <w:shd w:val="clear" w:color="auto" w:fill="auto"/>
            <w:vAlign w:val="bottom"/>
          </w:tcPr>
          <w:p w14:paraId="5DEC58B2" w14:textId="77777777" w:rsidR="00B1578D" w:rsidRDefault="00B1578D">
            <w:pPr>
              <w:rPr>
                <w:rFonts w:ascii="宋体"/>
              </w:rPr>
            </w:pPr>
          </w:p>
        </w:tc>
        <w:tc>
          <w:tcPr>
            <w:tcW w:w="5" w:type="pct"/>
            <w:shd w:val="clear" w:color="auto" w:fill="auto"/>
            <w:vAlign w:val="bottom"/>
          </w:tcPr>
          <w:p w14:paraId="5DEC58B3" w14:textId="77777777" w:rsidR="00B1578D" w:rsidRDefault="00B1578D">
            <w:pPr>
              <w:rPr>
                <w:rFonts w:ascii="宋体"/>
              </w:rPr>
            </w:pPr>
          </w:p>
        </w:tc>
        <w:tc>
          <w:tcPr>
            <w:tcW w:w="5" w:type="pct"/>
            <w:shd w:val="clear" w:color="auto" w:fill="auto"/>
            <w:vAlign w:val="bottom"/>
          </w:tcPr>
          <w:p w14:paraId="5DEC58B4" w14:textId="77777777" w:rsidR="00B1578D" w:rsidRDefault="00B1578D">
            <w:pPr>
              <w:rPr>
                <w:rFonts w:ascii="宋体"/>
              </w:rPr>
            </w:pPr>
          </w:p>
        </w:tc>
        <w:tc>
          <w:tcPr>
            <w:tcW w:w="15" w:type="pct"/>
            <w:shd w:val="clear" w:color="auto" w:fill="auto"/>
            <w:vAlign w:val="bottom"/>
          </w:tcPr>
          <w:p w14:paraId="5DEC58B5" w14:textId="77777777" w:rsidR="00B1578D" w:rsidRDefault="00B1578D">
            <w:pPr>
              <w:rPr>
                <w:rFonts w:ascii="宋体"/>
              </w:rPr>
            </w:pPr>
          </w:p>
        </w:tc>
        <w:tc>
          <w:tcPr>
            <w:tcW w:w="5" w:type="pct"/>
            <w:shd w:val="clear" w:color="auto" w:fill="auto"/>
            <w:vAlign w:val="bottom"/>
          </w:tcPr>
          <w:p w14:paraId="5DEC58B6" w14:textId="77777777" w:rsidR="00B1578D" w:rsidRDefault="00B1578D">
            <w:pPr>
              <w:rPr>
                <w:rFonts w:ascii="宋体"/>
              </w:rPr>
            </w:pPr>
          </w:p>
        </w:tc>
        <w:tc>
          <w:tcPr>
            <w:tcW w:w="50" w:type="pct"/>
            <w:shd w:val="clear" w:color="auto" w:fill="auto"/>
            <w:vAlign w:val="bottom"/>
          </w:tcPr>
          <w:p w14:paraId="5DEC58B7" w14:textId="77777777" w:rsidR="00B1578D" w:rsidRDefault="00B1578D">
            <w:pPr>
              <w:rPr>
                <w:rFonts w:ascii="宋体"/>
              </w:rPr>
            </w:pPr>
          </w:p>
        </w:tc>
        <w:tc>
          <w:tcPr>
            <w:tcW w:w="347" w:type="pct"/>
            <w:shd w:val="clear" w:color="auto" w:fill="auto"/>
            <w:vAlign w:val="bottom"/>
          </w:tcPr>
          <w:p w14:paraId="5DEC58B8" w14:textId="77777777" w:rsidR="00B1578D" w:rsidRDefault="00B1578D">
            <w:pPr>
              <w:rPr>
                <w:rFonts w:ascii="宋体"/>
              </w:rPr>
            </w:pPr>
          </w:p>
        </w:tc>
        <w:tc>
          <w:tcPr>
            <w:tcW w:w="5" w:type="pct"/>
            <w:shd w:val="clear" w:color="auto" w:fill="auto"/>
            <w:vAlign w:val="bottom"/>
          </w:tcPr>
          <w:p w14:paraId="5DEC58B9" w14:textId="77777777" w:rsidR="00B1578D" w:rsidRDefault="00B1578D">
            <w:pPr>
              <w:rPr>
                <w:rFonts w:ascii="宋体"/>
              </w:rPr>
            </w:pPr>
          </w:p>
        </w:tc>
        <w:tc>
          <w:tcPr>
            <w:tcW w:w="5" w:type="pct"/>
            <w:shd w:val="clear" w:color="auto" w:fill="auto"/>
            <w:vAlign w:val="bottom"/>
          </w:tcPr>
          <w:p w14:paraId="5DEC58BA" w14:textId="77777777" w:rsidR="00B1578D" w:rsidRDefault="00B1578D">
            <w:pPr>
              <w:rPr>
                <w:rFonts w:ascii="宋体"/>
              </w:rPr>
            </w:pPr>
          </w:p>
        </w:tc>
        <w:tc>
          <w:tcPr>
            <w:tcW w:w="15" w:type="pct"/>
            <w:shd w:val="clear" w:color="auto" w:fill="auto"/>
            <w:vAlign w:val="bottom"/>
          </w:tcPr>
          <w:p w14:paraId="5DEC58BB" w14:textId="77777777" w:rsidR="00B1578D" w:rsidRDefault="00B1578D">
            <w:pPr>
              <w:rPr>
                <w:rFonts w:ascii="宋体"/>
              </w:rPr>
            </w:pPr>
          </w:p>
        </w:tc>
        <w:tc>
          <w:tcPr>
            <w:tcW w:w="5" w:type="pct"/>
            <w:shd w:val="clear" w:color="auto" w:fill="auto"/>
            <w:vAlign w:val="bottom"/>
          </w:tcPr>
          <w:p w14:paraId="5DEC58BC" w14:textId="77777777" w:rsidR="00B1578D" w:rsidRDefault="00B1578D">
            <w:pPr>
              <w:rPr>
                <w:rFonts w:ascii="宋体"/>
              </w:rPr>
            </w:pPr>
          </w:p>
        </w:tc>
        <w:tc>
          <w:tcPr>
            <w:tcW w:w="50" w:type="pct"/>
            <w:shd w:val="clear" w:color="auto" w:fill="auto"/>
            <w:vAlign w:val="bottom"/>
          </w:tcPr>
          <w:p w14:paraId="5DEC58BD" w14:textId="77777777" w:rsidR="00B1578D" w:rsidRDefault="00B1578D">
            <w:pPr>
              <w:rPr>
                <w:rFonts w:ascii="宋体"/>
              </w:rPr>
            </w:pPr>
          </w:p>
        </w:tc>
        <w:tc>
          <w:tcPr>
            <w:tcW w:w="348" w:type="pct"/>
            <w:shd w:val="clear" w:color="auto" w:fill="auto"/>
            <w:vAlign w:val="bottom"/>
          </w:tcPr>
          <w:p w14:paraId="5DEC58BE" w14:textId="77777777" w:rsidR="00B1578D" w:rsidRDefault="00B1578D">
            <w:pPr>
              <w:rPr>
                <w:rFonts w:ascii="宋体"/>
              </w:rPr>
            </w:pPr>
          </w:p>
        </w:tc>
        <w:tc>
          <w:tcPr>
            <w:tcW w:w="5" w:type="pct"/>
            <w:shd w:val="clear" w:color="auto" w:fill="auto"/>
            <w:vAlign w:val="bottom"/>
          </w:tcPr>
          <w:p w14:paraId="5DEC58BF" w14:textId="77777777" w:rsidR="00B1578D" w:rsidRDefault="00B1578D">
            <w:pPr>
              <w:rPr>
                <w:rFonts w:ascii="宋体"/>
              </w:rPr>
            </w:pPr>
          </w:p>
        </w:tc>
        <w:tc>
          <w:tcPr>
            <w:tcW w:w="0" w:type="auto"/>
            <w:shd w:val="clear" w:color="auto" w:fill="auto"/>
            <w:vAlign w:val="bottom"/>
          </w:tcPr>
          <w:p w14:paraId="5DEC58C0" w14:textId="77777777" w:rsidR="00B1578D" w:rsidRDefault="00B1578D">
            <w:pPr>
              <w:rPr>
                <w:rFonts w:ascii="宋体"/>
                <w:vanish/>
              </w:rPr>
            </w:pPr>
          </w:p>
        </w:tc>
        <w:tc>
          <w:tcPr>
            <w:tcW w:w="0" w:type="auto"/>
            <w:shd w:val="clear" w:color="auto" w:fill="auto"/>
            <w:vAlign w:val="bottom"/>
          </w:tcPr>
          <w:p w14:paraId="5DEC58C1" w14:textId="77777777" w:rsidR="00B1578D" w:rsidRDefault="00B1578D">
            <w:pPr>
              <w:rPr>
                <w:rFonts w:ascii="宋体"/>
                <w:vanish/>
              </w:rPr>
            </w:pPr>
          </w:p>
        </w:tc>
        <w:tc>
          <w:tcPr>
            <w:tcW w:w="0" w:type="auto"/>
            <w:shd w:val="clear" w:color="auto" w:fill="auto"/>
            <w:vAlign w:val="bottom"/>
          </w:tcPr>
          <w:p w14:paraId="5DEC58C2" w14:textId="77777777" w:rsidR="00B1578D" w:rsidRDefault="00B1578D">
            <w:pPr>
              <w:rPr>
                <w:rFonts w:ascii="宋体"/>
                <w:vanish/>
              </w:rPr>
            </w:pPr>
          </w:p>
        </w:tc>
      </w:tr>
      <w:tr w:rsidR="00B1578D" w14:paraId="5DEC58D7" w14:textId="77777777">
        <w:trPr>
          <w:jc w:val="center"/>
        </w:trPr>
        <w:tc>
          <w:tcPr>
            <w:tcW w:w="0" w:type="auto"/>
            <w:gridSpan w:val="3"/>
            <w:shd w:val="clear" w:color="auto" w:fill="auto"/>
            <w:tcMar>
              <w:top w:w="0" w:type="dxa"/>
              <w:left w:w="20" w:type="dxa"/>
              <w:bottom w:w="0" w:type="dxa"/>
              <w:right w:w="20" w:type="dxa"/>
            </w:tcMar>
            <w:vAlign w:val="bottom"/>
          </w:tcPr>
          <w:p w14:paraId="5DEC58C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5"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6"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7"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8"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9"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A"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C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CD" w14:textId="77777777" w:rsidR="00B1578D" w:rsidRDefault="004D2C04">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5DEC58C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CF" w14:textId="77777777" w:rsidR="00B1578D" w:rsidRDefault="004D2C04">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DEC58D0"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1"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2"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3" w14:textId="77777777" w:rsidR="00B1578D" w:rsidRDefault="00B1578D">
            <w:pPr>
              <w:rPr>
                <w:rFonts w:ascii="宋体"/>
              </w:rPr>
            </w:pPr>
          </w:p>
        </w:tc>
        <w:tc>
          <w:tcPr>
            <w:tcW w:w="0" w:type="auto"/>
            <w:shd w:val="clear" w:color="auto" w:fill="auto"/>
            <w:vAlign w:val="bottom"/>
          </w:tcPr>
          <w:p w14:paraId="5DEC58D4" w14:textId="77777777" w:rsidR="00B1578D" w:rsidRDefault="00B1578D">
            <w:pPr>
              <w:rPr>
                <w:rFonts w:ascii="宋体"/>
                <w:vanish/>
              </w:rPr>
            </w:pPr>
          </w:p>
        </w:tc>
        <w:tc>
          <w:tcPr>
            <w:tcW w:w="0" w:type="auto"/>
            <w:shd w:val="clear" w:color="auto" w:fill="auto"/>
            <w:vAlign w:val="bottom"/>
          </w:tcPr>
          <w:p w14:paraId="5DEC58D5" w14:textId="77777777" w:rsidR="00B1578D" w:rsidRDefault="00B1578D">
            <w:pPr>
              <w:rPr>
                <w:rFonts w:ascii="宋体"/>
                <w:vanish/>
              </w:rPr>
            </w:pPr>
          </w:p>
        </w:tc>
        <w:tc>
          <w:tcPr>
            <w:tcW w:w="0" w:type="auto"/>
            <w:shd w:val="clear" w:color="auto" w:fill="auto"/>
            <w:vAlign w:val="bottom"/>
          </w:tcPr>
          <w:p w14:paraId="5DEC58D6" w14:textId="77777777" w:rsidR="00B1578D" w:rsidRDefault="00B1578D">
            <w:pPr>
              <w:rPr>
                <w:rFonts w:ascii="宋体"/>
                <w:vanish/>
              </w:rPr>
            </w:pPr>
          </w:p>
        </w:tc>
      </w:tr>
      <w:tr w:rsidR="00B1578D" w14:paraId="5DEC58EB" w14:textId="77777777">
        <w:trPr>
          <w:jc w:val="center"/>
        </w:trPr>
        <w:tc>
          <w:tcPr>
            <w:tcW w:w="0" w:type="auto"/>
            <w:gridSpan w:val="3"/>
            <w:shd w:val="clear" w:color="auto" w:fill="auto"/>
            <w:tcMar>
              <w:top w:w="0" w:type="dxa"/>
              <w:left w:w="20" w:type="dxa"/>
              <w:bottom w:w="0" w:type="dxa"/>
              <w:right w:w="20" w:type="dxa"/>
            </w:tcMar>
            <w:vAlign w:val="bottom"/>
          </w:tcPr>
          <w:p w14:paraId="5DEC58D8"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9"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A"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DD" w14:textId="77777777" w:rsidR="00B1578D" w:rsidRDefault="004D2C04">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5DEC58DE"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DF"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E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E1" w14:textId="77777777" w:rsidR="00B1578D" w:rsidRDefault="004D2C04">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5DEC58E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E3" w14:textId="77777777" w:rsidR="00B1578D" w:rsidRDefault="004D2C04">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5DEC58E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E5" w14:textId="77777777" w:rsidR="00B1578D" w:rsidRDefault="004D2C04">
            <w:pPr>
              <w:jc w:val="center"/>
              <w:textAlignment w:val="bottom"/>
            </w:pPr>
            <w:r>
              <w:rPr>
                <w:rFonts w:ascii="Times New Roman" w:eastAsia="宋体" w:hAnsi="Times New Roman"/>
                <w:b/>
                <w:bCs/>
                <w:color w:val="000000"/>
                <w:sz w:val="16"/>
                <w:szCs w:val="16"/>
              </w:rPr>
              <w:t>Nonredeemable</w:t>
            </w:r>
          </w:p>
        </w:tc>
        <w:tc>
          <w:tcPr>
            <w:tcW w:w="0" w:type="auto"/>
            <w:gridSpan w:val="3"/>
            <w:shd w:val="clear" w:color="auto" w:fill="auto"/>
            <w:tcMar>
              <w:top w:w="0" w:type="dxa"/>
              <w:left w:w="20" w:type="dxa"/>
              <w:bottom w:w="0" w:type="dxa"/>
              <w:right w:w="20" w:type="dxa"/>
            </w:tcMar>
            <w:vAlign w:val="bottom"/>
          </w:tcPr>
          <w:p w14:paraId="5DEC58E6"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8E7" w14:textId="77777777" w:rsidR="00B1578D" w:rsidRDefault="00B1578D">
            <w:pPr>
              <w:rPr>
                <w:rFonts w:ascii="宋体"/>
              </w:rPr>
            </w:pPr>
          </w:p>
        </w:tc>
        <w:tc>
          <w:tcPr>
            <w:tcW w:w="0" w:type="auto"/>
            <w:shd w:val="clear" w:color="auto" w:fill="auto"/>
            <w:vAlign w:val="bottom"/>
          </w:tcPr>
          <w:p w14:paraId="5DEC58E8" w14:textId="77777777" w:rsidR="00B1578D" w:rsidRDefault="00B1578D">
            <w:pPr>
              <w:rPr>
                <w:rFonts w:ascii="宋体"/>
                <w:vanish/>
              </w:rPr>
            </w:pPr>
          </w:p>
        </w:tc>
        <w:tc>
          <w:tcPr>
            <w:tcW w:w="0" w:type="auto"/>
            <w:shd w:val="clear" w:color="auto" w:fill="auto"/>
            <w:vAlign w:val="bottom"/>
          </w:tcPr>
          <w:p w14:paraId="5DEC58E9" w14:textId="77777777" w:rsidR="00B1578D" w:rsidRDefault="00B1578D">
            <w:pPr>
              <w:rPr>
                <w:rFonts w:ascii="宋体"/>
                <w:vanish/>
              </w:rPr>
            </w:pPr>
          </w:p>
        </w:tc>
        <w:tc>
          <w:tcPr>
            <w:tcW w:w="0" w:type="auto"/>
            <w:shd w:val="clear" w:color="auto" w:fill="auto"/>
            <w:vAlign w:val="bottom"/>
          </w:tcPr>
          <w:p w14:paraId="5DEC58EA" w14:textId="77777777" w:rsidR="00B1578D" w:rsidRDefault="00B1578D">
            <w:pPr>
              <w:rPr>
                <w:rFonts w:ascii="宋体"/>
                <w:vanish/>
              </w:rPr>
            </w:pPr>
          </w:p>
        </w:tc>
      </w:tr>
      <w:tr w:rsidR="00B1578D" w14:paraId="5DEC58FD"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5DEC58EC"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5DEC58ED" w14:textId="77777777" w:rsidR="00B1578D" w:rsidRDefault="004D2C04">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5DEC58E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EF" w14:textId="77777777" w:rsidR="00B1578D" w:rsidRDefault="004D2C04">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5DEC58F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F1" w14:textId="77777777" w:rsidR="00B1578D" w:rsidRDefault="004D2C04">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5DEC58F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F3" w14:textId="77777777" w:rsidR="00B1578D" w:rsidRDefault="004D2C04">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5DEC58F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F5" w14:textId="77777777" w:rsidR="00B1578D" w:rsidRDefault="004D2C04">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5DEC58F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F7" w14:textId="77777777" w:rsidR="00B1578D" w:rsidRDefault="004D2C04">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5DEC58F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8F9" w14:textId="77777777" w:rsidR="00B1578D" w:rsidRDefault="004D2C04">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5DEC58FA" w14:textId="77777777" w:rsidR="00B1578D" w:rsidRDefault="00B1578D">
            <w:pPr>
              <w:rPr>
                <w:rFonts w:ascii="宋体"/>
                <w:vanish/>
              </w:rPr>
            </w:pPr>
          </w:p>
        </w:tc>
        <w:tc>
          <w:tcPr>
            <w:tcW w:w="0" w:type="auto"/>
            <w:shd w:val="clear" w:color="auto" w:fill="auto"/>
            <w:vAlign w:val="bottom"/>
          </w:tcPr>
          <w:p w14:paraId="5DEC58FB" w14:textId="77777777" w:rsidR="00B1578D" w:rsidRDefault="00B1578D">
            <w:pPr>
              <w:rPr>
                <w:rFonts w:ascii="宋体"/>
                <w:vanish/>
              </w:rPr>
            </w:pPr>
          </w:p>
        </w:tc>
        <w:tc>
          <w:tcPr>
            <w:tcW w:w="0" w:type="auto"/>
            <w:shd w:val="clear" w:color="auto" w:fill="auto"/>
            <w:vAlign w:val="bottom"/>
          </w:tcPr>
          <w:p w14:paraId="5DEC58FC" w14:textId="77777777" w:rsidR="00B1578D" w:rsidRDefault="00B1578D">
            <w:pPr>
              <w:rPr>
                <w:rFonts w:ascii="宋体"/>
                <w:vanish/>
              </w:rPr>
            </w:pPr>
          </w:p>
        </w:tc>
      </w:tr>
      <w:tr w:rsidR="00B1578D" w14:paraId="5DEC5911" w14:textId="77777777">
        <w:trPr>
          <w:trHeight w:val="180"/>
          <w:jc w:val="center"/>
        </w:trPr>
        <w:tc>
          <w:tcPr>
            <w:tcW w:w="0" w:type="auto"/>
            <w:gridSpan w:val="3"/>
            <w:vMerge/>
            <w:shd w:val="clear" w:color="auto" w:fill="auto"/>
            <w:tcMar>
              <w:top w:w="40" w:type="dxa"/>
              <w:left w:w="20" w:type="dxa"/>
              <w:bottom w:w="40" w:type="dxa"/>
              <w:right w:w="20" w:type="dxa"/>
            </w:tcMar>
            <w:vAlign w:val="bottom"/>
          </w:tcPr>
          <w:p w14:paraId="5DEC58FE"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8FF" w14:textId="77777777" w:rsidR="00B1578D" w:rsidRDefault="004D2C04">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900"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901" w14:textId="77777777" w:rsidR="00B1578D" w:rsidRDefault="004D2C04">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DEC590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903" w14:textId="77777777" w:rsidR="00B1578D" w:rsidRDefault="004D2C04">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5DEC590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905" w14:textId="77777777" w:rsidR="00B1578D" w:rsidRDefault="004D2C04">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5DEC590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907" w14:textId="77777777" w:rsidR="00B1578D" w:rsidRDefault="004D2C04">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5DEC590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909" w14:textId="77777777" w:rsidR="00B1578D" w:rsidRDefault="004D2C04">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5DEC590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90B" w14:textId="77777777" w:rsidR="00B1578D" w:rsidRDefault="004D2C04">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5DEC590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90D" w14:textId="77777777" w:rsidR="00B1578D" w:rsidRDefault="004D2C04">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5DEC590E" w14:textId="77777777" w:rsidR="00B1578D" w:rsidRDefault="00B1578D">
            <w:pPr>
              <w:rPr>
                <w:rFonts w:ascii="宋体"/>
                <w:vanish/>
              </w:rPr>
            </w:pPr>
          </w:p>
        </w:tc>
        <w:tc>
          <w:tcPr>
            <w:tcW w:w="0" w:type="auto"/>
            <w:shd w:val="clear" w:color="auto" w:fill="auto"/>
            <w:vAlign w:val="bottom"/>
          </w:tcPr>
          <w:p w14:paraId="5DEC590F" w14:textId="77777777" w:rsidR="00B1578D" w:rsidRDefault="00B1578D">
            <w:pPr>
              <w:rPr>
                <w:rFonts w:ascii="宋体"/>
                <w:vanish/>
              </w:rPr>
            </w:pPr>
          </w:p>
        </w:tc>
        <w:tc>
          <w:tcPr>
            <w:tcW w:w="0" w:type="auto"/>
            <w:shd w:val="clear" w:color="auto" w:fill="auto"/>
            <w:vAlign w:val="bottom"/>
          </w:tcPr>
          <w:p w14:paraId="5DEC5910" w14:textId="77777777" w:rsidR="00B1578D" w:rsidRDefault="00B1578D">
            <w:pPr>
              <w:rPr>
                <w:rFonts w:ascii="宋体"/>
                <w:vanish/>
              </w:rPr>
            </w:pPr>
          </w:p>
        </w:tc>
      </w:tr>
      <w:tr w:rsidR="00B1578D" w14:paraId="5DEC5934" w14:textId="77777777">
        <w:trPr>
          <w:jc w:val="center"/>
        </w:trPr>
        <w:tc>
          <w:tcPr>
            <w:tcW w:w="0" w:type="auto"/>
            <w:gridSpan w:val="3"/>
            <w:shd w:val="clear" w:color="auto" w:fill="CCEEFF"/>
            <w:tcMar>
              <w:top w:w="40" w:type="dxa"/>
              <w:left w:w="20" w:type="dxa"/>
              <w:bottom w:w="40" w:type="dxa"/>
              <w:right w:w="20" w:type="dxa"/>
            </w:tcMar>
            <w:vAlign w:val="center"/>
          </w:tcPr>
          <w:p w14:paraId="5DEC5912" w14:textId="77777777" w:rsidR="00B1578D" w:rsidRDefault="004D2C04">
            <w:pPr>
              <w:textAlignment w:val="center"/>
            </w:pPr>
            <w:r>
              <w:rPr>
                <w:rFonts w:ascii="Times New Roman" w:eastAsia="宋体" w:hAnsi="Times New Roman"/>
                <w:b/>
                <w:bCs/>
                <w:color w:val="000000"/>
                <w:sz w:val="16"/>
                <w:szCs w:val="16"/>
              </w:rPr>
              <w:t>Balances as of February 1,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913" w14:textId="77777777" w:rsidR="00B1578D" w:rsidRDefault="004D2C04">
            <w:pPr>
              <w:jc w:val="right"/>
              <w:textAlignment w:val="center"/>
            </w:pPr>
            <w:r>
              <w:rPr>
                <w:rFonts w:ascii="Times New Roman" w:eastAsia="宋体" w:hAnsi="Times New Roman"/>
                <w:color w:val="000000"/>
                <w:sz w:val="16"/>
                <w:szCs w:val="16"/>
              </w:rPr>
              <w:t>2,821 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1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15"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916"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917" w14:textId="77777777" w:rsidR="00B1578D" w:rsidRDefault="004D2C04">
            <w:pPr>
              <w:jc w:val="right"/>
              <w:textAlignment w:val="center"/>
            </w:pPr>
            <w:r>
              <w:rPr>
                <w:rFonts w:ascii="Times New Roman" w:eastAsia="宋体" w:hAnsi="Times New Roman"/>
                <w:color w:val="000000"/>
                <w:sz w:val="16"/>
                <w:szCs w:val="16"/>
              </w:rPr>
              <w:t>282 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1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19"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91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91B" w14:textId="77777777" w:rsidR="00B1578D" w:rsidRDefault="004D2C04">
            <w:pPr>
              <w:jc w:val="right"/>
              <w:textAlignment w:val="center"/>
            </w:pPr>
            <w:r>
              <w:rPr>
                <w:rFonts w:ascii="Times New Roman" w:eastAsia="宋体" w:hAnsi="Times New Roman"/>
                <w:color w:val="000000"/>
                <w:sz w:val="16"/>
                <w:szCs w:val="16"/>
              </w:rPr>
              <w:t>3,646 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1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1D"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91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91F" w14:textId="77777777" w:rsidR="00B1578D" w:rsidRDefault="004D2C04">
            <w:pPr>
              <w:jc w:val="right"/>
              <w:textAlignment w:val="center"/>
            </w:pPr>
            <w:r>
              <w:rPr>
                <w:rFonts w:ascii="Times New Roman" w:eastAsia="宋体" w:hAnsi="Times New Roman"/>
                <w:color w:val="000000"/>
                <w:sz w:val="16"/>
                <w:szCs w:val="16"/>
              </w:rPr>
              <w:t>88,763 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2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21"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922"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923" w14:textId="77777777" w:rsidR="00B1578D" w:rsidRDefault="004D2C04">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2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25"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926"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927" w14:textId="77777777" w:rsidR="00B1578D" w:rsidRDefault="004D2C04">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2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29"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92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92B" w14:textId="77777777" w:rsidR="00B1578D" w:rsidRDefault="004D2C04">
            <w:pPr>
              <w:jc w:val="right"/>
              <w:textAlignment w:val="center"/>
            </w:pPr>
            <w:r>
              <w:rPr>
                <w:rFonts w:ascii="Times New Roman" w:eastAsia="宋体" w:hAnsi="Times New Roman"/>
                <w:color w:val="000000"/>
                <w:sz w:val="16"/>
                <w:szCs w:val="16"/>
              </w:rPr>
              <w:t>6,606 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2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2D"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92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92F" w14:textId="77777777" w:rsidR="00B1578D" w:rsidRDefault="004D2C04">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930" w14:textId="77777777" w:rsidR="00B1578D" w:rsidRDefault="00B1578D">
            <w:pPr>
              <w:jc w:val="right"/>
              <w:rPr>
                <w:rFonts w:ascii="宋体"/>
              </w:rPr>
            </w:pPr>
          </w:p>
        </w:tc>
        <w:tc>
          <w:tcPr>
            <w:tcW w:w="0" w:type="auto"/>
            <w:shd w:val="clear" w:color="auto" w:fill="auto"/>
            <w:vAlign w:val="bottom"/>
          </w:tcPr>
          <w:p w14:paraId="5DEC5931" w14:textId="77777777" w:rsidR="00B1578D" w:rsidRDefault="00B1578D">
            <w:pPr>
              <w:rPr>
                <w:rFonts w:ascii="宋体"/>
                <w:vanish/>
              </w:rPr>
            </w:pPr>
          </w:p>
        </w:tc>
        <w:tc>
          <w:tcPr>
            <w:tcW w:w="0" w:type="auto"/>
            <w:shd w:val="clear" w:color="auto" w:fill="auto"/>
            <w:vAlign w:val="bottom"/>
          </w:tcPr>
          <w:p w14:paraId="5DEC5932" w14:textId="77777777" w:rsidR="00B1578D" w:rsidRDefault="00B1578D">
            <w:pPr>
              <w:rPr>
                <w:rFonts w:ascii="宋体"/>
                <w:vanish/>
              </w:rPr>
            </w:pPr>
          </w:p>
        </w:tc>
        <w:tc>
          <w:tcPr>
            <w:tcW w:w="0" w:type="auto"/>
            <w:shd w:val="clear" w:color="auto" w:fill="auto"/>
            <w:vAlign w:val="bottom"/>
          </w:tcPr>
          <w:p w14:paraId="5DEC5933" w14:textId="77777777" w:rsidR="00B1578D" w:rsidRDefault="00B1578D">
            <w:pPr>
              <w:rPr>
                <w:rFonts w:ascii="宋体"/>
                <w:vanish/>
              </w:rPr>
            </w:pPr>
          </w:p>
        </w:tc>
      </w:tr>
      <w:tr w:rsidR="00B1578D" w14:paraId="5DEC5950" w14:textId="77777777">
        <w:trPr>
          <w:jc w:val="center"/>
        </w:trPr>
        <w:tc>
          <w:tcPr>
            <w:tcW w:w="0" w:type="auto"/>
            <w:gridSpan w:val="3"/>
            <w:shd w:val="clear" w:color="auto" w:fill="FFFFFF"/>
            <w:tcMar>
              <w:top w:w="40" w:type="dxa"/>
              <w:left w:w="20" w:type="dxa"/>
              <w:bottom w:w="40" w:type="dxa"/>
              <w:right w:w="20" w:type="dxa"/>
            </w:tcMar>
            <w:vAlign w:val="center"/>
          </w:tcPr>
          <w:p w14:paraId="5DEC5935" w14:textId="77777777" w:rsidR="00B1578D" w:rsidRDefault="004D2C04">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5DEC5936"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3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3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39"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3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3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3C"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3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3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3F" w14:textId="77777777" w:rsidR="00B1578D" w:rsidRDefault="004D2C04">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5DEC594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4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42"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4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4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45" w14:textId="77777777" w:rsidR="00B1578D" w:rsidRDefault="004D2C04">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5DEC594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4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48" w14:textId="77777777" w:rsidR="00B1578D" w:rsidRDefault="004D2C04">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5DEC594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4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4B" w14:textId="77777777" w:rsidR="00B1578D" w:rsidRDefault="004D2C04">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5DEC594C" w14:textId="77777777" w:rsidR="00B1578D" w:rsidRDefault="00B1578D">
            <w:pPr>
              <w:jc w:val="right"/>
              <w:rPr>
                <w:rFonts w:ascii="宋体"/>
              </w:rPr>
            </w:pPr>
          </w:p>
        </w:tc>
        <w:tc>
          <w:tcPr>
            <w:tcW w:w="0" w:type="auto"/>
            <w:shd w:val="clear" w:color="auto" w:fill="auto"/>
            <w:vAlign w:val="bottom"/>
          </w:tcPr>
          <w:p w14:paraId="5DEC594D" w14:textId="77777777" w:rsidR="00B1578D" w:rsidRDefault="00B1578D">
            <w:pPr>
              <w:rPr>
                <w:rFonts w:ascii="宋体"/>
                <w:vanish/>
              </w:rPr>
            </w:pPr>
          </w:p>
        </w:tc>
        <w:tc>
          <w:tcPr>
            <w:tcW w:w="0" w:type="auto"/>
            <w:shd w:val="clear" w:color="auto" w:fill="auto"/>
            <w:vAlign w:val="bottom"/>
          </w:tcPr>
          <w:p w14:paraId="5DEC594E" w14:textId="77777777" w:rsidR="00B1578D" w:rsidRDefault="00B1578D">
            <w:pPr>
              <w:rPr>
                <w:rFonts w:ascii="宋体"/>
                <w:vanish/>
              </w:rPr>
            </w:pPr>
          </w:p>
        </w:tc>
        <w:tc>
          <w:tcPr>
            <w:tcW w:w="0" w:type="auto"/>
            <w:shd w:val="clear" w:color="auto" w:fill="auto"/>
            <w:vAlign w:val="bottom"/>
          </w:tcPr>
          <w:p w14:paraId="5DEC594F" w14:textId="77777777" w:rsidR="00B1578D" w:rsidRDefault="00B1578D">
            <w:pPr>
              <w:rPr>
                <w:rFonts w:ascii="宋体"/>
                <w:vanish/>
              </w:rPr>
            </w:pPr>
          </w:p>
        </w:tc>
      </w:tr>
      <w:tr w:rsidR="00B1578D" w14:paraId="5DEC596C" w14:textId="77777777">
        <w:trPr>
          <w:jc w:val="center"/>
        </w:trPr>
        <w:tc>
          <w:tcPr>
            <w:tcW w:w="0" w:type="auto"/>
            <w:gridSpan w:val="3"/>
            <w:shd w:val="clear" w:color="auto" w:fill="CCEEFF"/>
            <w:tcMar>
              <w:top w:w="40" w:type="dxa"/>
              <w:left w:w="20" w:type="dxa"/>
              <w:bottom w:w="40" w:type="dxa"/>
              <w:right w:w="20" w:type="dxa"/>
            </w:tcMar>
            <w:vAlign w:val="center"/>
          </w:tcPr>
          <w:p w14:paraId="5DEC5951" w14:textId="77777777" w:rsidR="00B1578D" w:rsidRDefault="004D2C04">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5DEC5952"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5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5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55"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5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5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58"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5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5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5B"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5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5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5E" w14:textId="77777777" w:rsidR="00B1578D" w:rsidRDefault="004D2C04">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5DEC595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6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61" w14:textId="77777777" w:rsidR="00B1578D" w:rsidRDefault="004D2C04">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5DEC596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6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64" w14:textId="77777777" w:rsidR="00B1578D" w:rsidRDefault="004D2C04">
            <w:pPr>
              <w:jc w:val="right"/>
              <w:textAlignment w:val="center"/>
            </w:pPr>
            <w:r>
              <w:rPr>
                <w:rFonts w:ascii="Times New Roman" w:eastAsia="宋体" w:hAnsi="Times New Roman"/>
                <w:color w:val="000000"/>
                <w:sz w:val="16"/>
                <w:szCs w:val="16"/>
              </w:rPr>
              <w:t>(74)</w:t>
            </w:r>
          </w:p>
        </w:tc>
        <w:tc>
          <w:tcPr>
            <w:tcW w:w="0" w:type="auto"/>
            <w:shd w:val="clear" w:color="auto" w:fill="CCEEFF"/>
            <w:tcMar>
              <w:top w:w="40" w:type="dxa"/>
              <w:left w:w="0" w:type="dxa"/>
              <w:bottom w:w="40" w:type="dxa"/>
              <w:right w:w="20" w:type="dxa"/>
            </w:tcMar>
            <w:vAlign w:val="center"/>
          </w:tcPr>
          <w:p w14:paraId="5DEC596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6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67" w14:textId="77777777" w:rsidR="00B1578D" w:rsidRDefault="004D2C04">
            <w:pPr>
              <w:jc w:val="right"/>
              <w:textAlignment w:val="center"/>
            </w:pPr>
            <w:r>
              <w:rPr>
                <w:rFonts w:ascii="Times New Roman" w:eastAsia="宋体" w:hAnsi="Times New Roman"/>
                <w:color w:val="000000"/>
                <w:sz w:val="16"/>
                <w:szCs w:val="16"/>
              </w:rPr>
              <w:t>3,746 </w:t>
            </w:r>
          </w:p>
        </w:tc>
        <w:tc>
          <w:tcPr>
            <w:tcW w:w="0" w:type="auto"/>
            <w:shd w:val="clear" w:color="auto" w:fill="CCEEFF"/>
            <w:tcMar>
              <w:top w:w="40" w:type="dxa"/>
              <w:left w:w="0" w:type="dxa"/>
              <w:bottom w:w="40" w:type="dxa"/>
              <w:right w:w="20" w:type="dxa"/>
            </w:tcMar>
            <w:vAlign w:val="center"/>
          </w:tcPr>
          <w:p w14:paraId="5DEC5968" w14:textId="77777777" w:rsidR="00B1578D" w:rsidRDefault="00B1578D">
            <w:pPr>
              <w:jc w:val="right"/>
              <w:rPr>
                <w:rFonts w:ascii="宋体"/>
              </w:rPr>
            </w:pPr>
          </w:p>
        </w:tc>
        <w:tc>
          <w:tcPr>
            <w:tcW w:w="0" w:type="auto"/>
            <w:shd w:val="clear" w:color="auto" w:fill="auto"/>
            <w:vAlign w:val="bottom"/>
          </w:tcPr>
          <w:p w14:paraId="5DEC5969" w14:textId="77777777" w:rsidR="00B1578D" w:rsidRDefault="00B1578D">
            <w:pPr>
              <w:rPr>
                <w:rFonts w:ascii="宋体"/>
                <w:vanish/>
              </w:rPr>
            </w:pPr>
          </w:p>
        </w:tc>
        <w:tc>
          <w:tcPr>
            <w:tcW w:w="0" w:type="auto"/>
            <w:shd w:val="clear" w:color="auto" w:fill="auto"/>
            <w:vAlign w:val="bottom"/>
          </w:tcPr>
          <w:p w14:paraId="5DEC596A" w14:textId="77777777" w:rsidR="00B1578D" w:rsidRDefault="00B1578D">
            <w:pPr>
              <w:rPr>
                <w:rFonts w:ascii="宋体"/>
                <w:vanish/>
              </w:rPr>
            </w:pPr>
          </w:p>
        </w:tc>
        <w:tc>
          <w:tcPr>
            <w:tcW w:w="0" w:type="auto"/>
            <w:shd w:val="clear" w:color="auto" w:fill="auto"/>
            <w:vAlign w:val="bottom"/>
          </w:tcPr>
          <w:p w14:paraId="5DEC596B" w14:textId="77777777" w:rsidR="00B1578D" w:rsidRDefault="00B1578D">
            <w:pPr>
              <w:rPr>
                <w:rFonts w:ascii="宋体"/>
                <w:vanish/>
              </w:rPr>
            </w:pPr>
          </w:p>
        </w:tc>
      </w:tr>
      <w:tr w:rsidR="00B1578D" w14:paraId="5DEC5988" w14:textId="77777777">
        <w:trPr>
          <w:jc w:val="center"/>
        </w:trPr>
        <w:tc>
          <w:tcPr>
            <w:tcW w:w="0" w:type="auto"/>
            <w:gridSpan w:val="3"/>
            <w:shd w:val="clear" w:color="auto" w:fill="FFFFFF"/>
            <w:tcMar>
              <w:top w:w="40" w:type="dxa"/>
              <w:left w:w="20" w:type="dxa"/>
              <w:bottom w:w="40" w:type="dxa"/>
              <w:right w:w="20" w:type="dxa"/>
            </w:tcMar>
            <w:vAlign w:val="center"/>
          </w:tcPr>
          <w:p w14:paraId="5DEC596D" w14:textId="77777777" w:rsidR="00B1578D" w:rsidRDefault="004D2C04">
            <w:pPr>
              <w:textAlignment w:val="center"/>
            </w:pPr>
            <w:r>
              <w:rPr>
                <w:rFonts w:ascii="Times New Roman" w:eastAsia="宋体" w:hAnsi="Times New Roman"/>
                <w:color w:val="000000"/>
                <w:sz w:val="16"/>
                <w:szCs w:val="16"/>
              </w:rPr>
              <w:t>Dividends declared ($2.20 per share)</w:t>
            </w:r>
          </w:p>
        </w:tc>
        <w:tc>
          <w:tcPr>
            <w:tcW w:w="0" w:type="auto"/>
            <w:gridSpan w:val="2"/>
            <w:shd w:val="clear" w:color="auto" w:fill="FFFFFF"/>
            <w:tcMar>
              <w:top w:w="40" w:type="dxa"/>
              <w:left w:w="20" w:type="dxa"/>
              <w:bottom w:w="40" w:type="dxa"/>
              <w:right w:w="0" w:type="dxa"/>
            </w:tcMar>
            <w:vAlign w:val="center"/>
          </w:tcPr>
          <w:p w14:paraId="5DEC596E"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6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7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71"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7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7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74"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7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7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77" w14:textId="77777777" w:rsidR="00B1578D" w:rsidRDefault="004D2C04">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5DEC597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7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7A"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7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7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7D" w14:textId="77777777" w:rsidR="00B1578D" w:rsidRDefault="004D2C04">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5DEC597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7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80"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8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8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83" w14:textId="77777777" w:rsidR="00B1578D" w:rsidRDefault="004D2C04">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5DEC5984" w14:textId="77777777" w:rsidR="00B1578D" w:rsidRDefault="00B1578D">
            <w:pPr>
              <w:jc w:val="right"/>
              <w:rPr>
                <w:rFonts w:ascii="宋体"/>
              </w:rPr>
            </w:pPr>
          </w:p>
        </w:tc>
        <w:tc>
          <w:tcPr>
            <w:tcW w:w="0" w:type="auto"/>
            <w:shd w:val="clear" w:color="auto" w:fill="auto"/>
            <w:vAlign w:val="bottom"/>
          </w:tcPr>
          <w:p w14:paraId="5DEC5985" w14:textId="77777777" w:rsidR="00B1578D" w:rsidRDefault="00B1578D">
            <w:pPr>
              <w:rPr>
                <w:rFonts w:ascii="宋体"/>
                <w:vanish/>
              </w:rPr>
            </w:pPr>
          </w:p>
        </w:tc>
        <w:tc>
          <w:tcPr>
            <w:tcW w:w="0" w:type="auto"/>
            <w:shd w:val="clear" w:color="auto" w:fill="auto"/>
            <w:vAlign w:val="bottom"/>
          </w:tcPr>
          <w:p w14:paraId="5DEC5986" w14:textId="77777777" w:rsidR="00B1578D" w:rsidRDefault="00B1578D">
            <w:pPr>
              <w:rPr>
                <w:rFonts w:ascii="宋体"/>
                <w:vanish/>
              </w:rPr>
            </w:pPr>
          </w:p>
        </w:tc>
        <w:tc>
          <w:tcPr>
            <w:tcW w:w="0" w:type="auto"/>
            <w:shd w:val="clear" w:color="auto" w:fill="auto"/>
            <w:vAlign w:val="bottom"/>
          </w:tcPr>
          <w:p w14:paraId="5DEC5987" w14:textId="77777777" w:rsidR="00B1578D" w:rsidRDefault="00B1578D">
            <w:pPr>
              <w:rPr>
                <w:rFonts w:ascii="宋体"/>
                <w:vanish/>
              </w:rPr>
            </w:pPr>
          </w:p>
        </w:tc>
      </w:tr>
      <w:tr w:rsidR="00B1578D" w14:paraId="5DEC59A4" w14:textId="77777777">
        <w:trPr>
          <w:jc w:val="center"/>
        </w:trPr>
        <w:tc>
          <w:tcPr>
            <w:tcW w:w="0" w:type="auto"/>
            <w:gridSpan w:val="3"/>
            <w:shd w:val="clear" w:color="auto" w:fill="CCEEFF"/>
            <w:tcMar>
              <w:top w:w="40" w:type="dxa"/>
              <w:left w:w="20" w:type="dxa"/>
              <w:bottom w:w="40" w:type="dxa"/>
              <w:right w:w="20" w:type="dxa"/>
            </w:tcMar>
            <w:vAlign w:val="center"/>
          </w:tcPr>
          <w:p w14:paraId="5DEC5989" w14:textId="77777777" w:rsidR="00B1578D" w:rsidRDefault="004D2C04">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5DEC598A" w14:textId="77777777" w:rsidR="00B1578D" w:rsidRDefault="004D2C04">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5DEC598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8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8D" w14:textId="77777777" w:rsidR="00B1578D" w:rsidRDefault="004D2C04">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5DEC598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8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90" w14:textId="77777777" w:rsidR="00B1578D" w:rsidRDefault="004D2C04">
            <w:pPr>
              <w:jc w:val="right"/>
              <w:textAlignment w:val="center"/>
            </w:pPr>
            <w:r>
              <w:rPr>
                <w:rFonts w:ascii="Times New Roman" w:eastAsia="宋体" w:hAnsi="Times New Roman"/>
                <w:color w:val="000000"/>
                <w:sz w:val="16"/>
                <w:szCs w:val="16"/>
              </w:rPr>
              <w:t>(112)</w:t>
            </w:r>
          </w:p>
        </w:tc>
        <w:tc>
          <w:tcPr>
            <w:tcW w:w="0" w:type="auto"/>
            <w:shd w:val="clear" w:color="auto" w:fill="CCEEFF"/>
            <w:tcMar>
              <w:top w:w="40" w:type="dxa"/>
              <w:left w:w="0" w:type="dxa"/>
              <w:bottom w:w="40" w:type="dxa"/>
              <w:right w:w="20" w:type="dxa"/>
            </w:tcMar>
            <w:vAlign w:val="center"/>
          </w:tcPr>
          <w:p w14:paraId="5DEC599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9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93" w14:textId="77777777" w:rsidR="00B1578D" w:rsidRDefault="004D2C04">
            <w:pPr>
              <w:jc w:val="right"/>
              <w:textAlignment w:val="center"/>
            </w:pPr>
            <w:r>
              <w:rPr>
                <w:rFonts w:ascii="Times New Roman" w:eastAsia="宋体" w:hAnsi="Times New Roman"/>
                <w:color w:val="000000"/>
                <w:sz w:val="16"/>
                <w:szCs w:val="16"/>
              </w:rPr>
              <w:t>(2,718)</w:t>
            </w:r>
          </w:p>
        </w:tc>
        <w:tc>
          <w:tcPr>
            <w:tcW w:w="0" w:type="auto"/>
            <w:shd w:val="clear" w:color="auto" w:fill="CCEEFF"/>
            <w:tcMar>
              <w:top w:w="40" w:type="dxa"/>
              <w:left w:w="0" w:type="dxa"/>
              <w:bottom w:w="40" w:type="dxa"/>
              <w:right w:w="20" w:type="dxa"/>
            </w:tcMar>
            <w:vAlign w:val="center"/>
          </w:tcPr>
          <w:p w14:paraId="5DEC599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9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96"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9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9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99" w14:textId="77777777" w:rsidR="00B1578D" w:rsidRDefault="004D2C04">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5DEC599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9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9C"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9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9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9F" w14:textId="77777777" w:rsidR="00B1578D" w:rsidRDefault="004D2C04">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5DEC59A0" w14:textId="77777777" w:rsidR="00B1578D" w:rsidRDefault="00B1578D">
            <w:pPr>
              <w:jc w:val="right"/>
              <w:rPr>
                <w:rFonts w:ascii="宋体"/>
              </w:rPr>
            </w:pPr>
          </w:p>
        </w:tc>
        <w:tc>
          <w:tcPr>
            <w:tcW w:w="0" w:type="auto"/>
            <w:shd w:val="clear" w:color="auto" w:fill="auto"/>
            <w:vAlign w:val="bottom"/>
          </w:tcPr>
          <w:p w14:paraId="5DEC59A1" w14:textId="77777777" w:rsidR="00B1578D" w:rsidRDefault="00B1578D">
            <w:pPr>
              <w:rPr>
                <w:rFonts w:ascii="宋体"/>
                <w:vanish/>
              </w:rPr>
            </w:pPr>
          </w:p>
        </w:tc>
        <w:tc>
          <w:tcPr>
            <w:tcW w:w="0" w:type="auto"/>
            <w:shd w:val="clear" w:color="auto" w:fill="auto"/>
            <w:vAlign w:val="bottom"/>
          </w:tcPr>
          <w:p w14:paraId="5DEC59A2" w14:textId="77777777" w:rsidR="00B1578D" w:rsidRDefault="00B1578D">
            <w:pPr>
              <w:rPr>
                <w:rFonts w:ascii="宋体"/>
                <w:vanish/>
              </w:rPr>
            </w:pPr>
          </w:p>
        </w:tc>
        <w:tc>
          <w:tcPr>
            <w:tcW w:w="0" w:type="auto"/>
            <w:shd w:val="clear" w:color="auto" w:fill="auto"/>
            <w:vAlign w:val="bottom"/>
          </w:tcPr>
          <w:p w14:paraId="5DEC59A3" w14:textId="77777777" w:rsidR="00B1578D" w:rsidRDefault="00B1578D">
            <w:pPr>
              <w:rPr>
                <w:rFonts w:ascii="宋体"/>
                <w:vanish/>
              </w:rPr>
            </w:pPr>
          </w:p>
        </w:tc>
      </w:tr>
      <w:tr w:rsidR="00B1578D" w14:paraId="5DEC59C0" w14:textId="77777777">
        <w:trPr>
          <w:jc w:val="center"/>
        </w:trPr>
        <w:tc>
          <w:tcPr>
            <w:tcW w:w="0" w:type="auto"/>
            <w:gridSpan w:val="3"/>
            <w:shd w:val="clear" w:color="auto" w:fill="FFFFFF"/>
            <w:tcMar>
              <w:top w:w="40" w:type="dxa"/>
              <w:left w:w="20" w:type="dxa"/>
              <w:bottom w:w="40" w:type="dxa"/>
              <w:right w:w="20" w:type="dxa"/>
            </w:tcMar>
            <w:vAlign w:val="center"/>
          </w:tcPr>
          <w:p w14:paraId="5DEC59A5" w14:textId="77777777" w:rsidR="00B1578D" w:rsidRDefault="004D2C04">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5DEC59A6"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A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A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A9"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A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A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AC"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A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A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AF"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B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B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B2"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B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B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B5"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B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B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B8" w14:textId="77777777" w:rsidR="00B1578D" w:rsidRDefault="004D2C04">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5DEC59B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B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BB" w14:textId="77777777" w:rsidR="00B1578D" w:rsidRDefault="004D2C04">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5DEC59BC" w14:textId="77777777" w:rsidR="00B1578D" w:rsidRDefault="00B1578D">
            <w:pPr>
              <w:jc w:val="right"/>
              <w:rPr>
                <w:rFonts w:ascii="宋体"/>
              </w:rPr>
            </w:pPr>
          </w:p>
        </w:tc>
        <w:tc>
          <w:tcPr>
            <w:tcW w:w="0" w:type="auto"/>
            <w:shd w:val="clear" w:color="auto" w:fill="auto"/>
            <w:vAlign w:val="bottom"/>
          </w:tcPr>
          <w:p w14:paraId="5DEC59BD" w14:textId="77777777" w:rsidR="00B1578D" w:rsidRDefault="00B1578D">
            <w:pPr>
              <w:rPr>
                <w:rFonts w:ascii="宋体"/>
                <w:vanish/>
              </w:rPr>
            </w:pPr>
          </w:p>
        </w:tc>
        <w:tc>
          <w:tcPr>
            <w:tcW w:w="0" w:type="auto"/>
            <w:shd w:val="clear" w:color="auto" w:fill="auto"/>
            <w:vAlign w:val="bottom"/>
          </w:tcPr>
          <w:p w14:paraId="5DEC59BE" w14:textId="77777777" w:rsidR="00B1578D" w:rsidRDefault="00B1578D">
            <w:pPr>
              <w:rPr>
                <w:rFonts w:ascii="宋体"/>
                <w:vanish/>
              </w:rPr>
            </w:pPr>
          </w:p>
        </w:tc>
        <w:tc>
          <w:tcPr>
            <w:tcW w:w="0" w:type="auto"/>
            <w:shd w:val="clear" w:color="auto" w:fill="auto"/>
            <w:vAlign w:val="bottom"/>
          </w:tcPr>
          <w:p w14:paraId="5DEC59BF" w14:textId="77777777" w:rsidR="00B1578D" w:rsidRDefault="00B1578D">
            <w:pPr>
              <w:rPr>
                <w:rFonts w:ascii="宋体"/>
                <w:vanish/>
              </w:rPr>
            </w:pPr>
          </w:p>
        </w:tc>
      </w:tr>
      <w:tr w:rsidR="00B1578D" w14:paraId="5DEC59DC" w14:textId="77777777">
        <w:trPr>
          <w:jc w:val="center"/>
        </w:trPr>
        <w:tc>
          <w:tcPr>
            <w:tcW w:w="0" w:type="auto"/>
            <w:gridSpan w:val="3"/>
            <w:shd w:val="clear" w:color="auto" w:fill="CCEEFF"/>
            <w:tcMar>
              <w:top w:w="40" w:type="dxa"/>
              <w:left w:w="20" w:type="dxa"/>
              <w:bottom w:w="40" w:type="dxa"/>
              <w:right w:w="20" w:type="dxa"/>
            </w:tcMar>
            <w:vAlign w:val="center"/>
          </w:tcPr>
          <w:p w14:paraId="5DEC59C1" w14:textId="77777777" w:rsidR="00B1578D" w:rsidRDefault="004D2C04">
            <w:pPr>
              <w:textAlignment w:val="center"/>
            </w:pPr>
            <w:r>
              <w:rPr>
                <w:rFonts w:ascii="Times New Roman" w:eastAsia="宋体" w:hAnsi="Times New Roman"/>
                <w:color w:val="000000"/>
                <w:sz w:val="16"/>
                <w:szCs w:val="16"/>
              </w:rPr>
              <w:t>Sale of subsidiary stock</w:t>
            </w:r>
          </w:p>
        </w:tc>
        <w:tc>
          <w:tcPr>
            <w:tcW w:w="0" w:type="auto"/>
            <w:gridSpan w:val="2"/>
            <w:shd w:val="clear" w:color="auto" w:fill="CCEEFF"/>
            <w:tcMar>
              <w:top w:w="40" w:type="dxa"/>
              <w:left w:w="20" w:type="dxa"/>
              <w:bottom w:w="40" w:type="dxa"/>
              <w:right w:w="0" w:type="dxa"/>
            </w:tcMar>
            <w:vAlign w:val="center"/>
          </w:tcPr>
          <w:p w14:paraId="5DEC59C2"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C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C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C5"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C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C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C8" w14:textId="77777777" w:rsidR="00B1578D" w:rsidRDefault="004D2C04">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5DEC59C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C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CB"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C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C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CE"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9C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D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D1" w14:textId="77777777" w:rsidR="00B1578D" w:rsidRDefault="004D2C04">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5DEC59D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D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D4" w14:textId="77777777" w:rsidR="00B1578D" w:rsidRDefault="004D2C04">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5DEC59D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D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9D7" w14:textId="77777777" w:rsidR="00B1578D" w:rsidRDefault="004D2C04">
            <w:pPr>
              <w:jc w:val="right"/>
              <w:textAlignment w:val="center"/>
            </w:pPr>
            <w:r>
              <w:rPr>
                <w:rFonts w:ascii="Times New Roman" w:eastAsia="宋体" w:hAnsi="Times New Roman"/>
                <w:color w:val="000000"/>
                <w:sz w:val="16"/>
                <w:szCs w:val="16"/>
              </w:rPr>
              <w:t>75 </w:t>
            </w:r>
          </w:p>
        </w:tc>
        <w:tc>
          <w:tcPr>
            <w:tcW w:w="0" w:type="auto"/>
            <w:shd w:val="clear" w:color="auto" w:fill="CCEEFF"/>
            <w:tcMar>
              <w:top w:w="40" w:type="dxa"/>
              <w:left w:w="0" w:type="dxa"/>
              <w:bottom w:w="40" w:type="dxa"/>
              <w:right w:w="20" w:type="dxa"/>
            </w:tcMar>
            <w:vAlign w:val="center"/>
          </w:tcPr>
          <w:p w14:paraId="5DEC59D8" w14:textId="77777777" w:rsidR="00B1578D" w:rsidRDefault="00B1578D">
            <w:pPr>
              <w:jc w:val="right"/>
              <w:rPr>
                <w:rFonts w:ascii="宋体"/>
              </w:rPr>
            </w:pPr>
          </w:p>
        </w:tc>
        <w:tc>
          <w:tcPr>
            <w:tcW w:w="0" w:type="auto"/>
            <w:shd w:val="clear" w:color="auto" w:fill="auto"/>
            <w:vAlign w:val="bottom"/>
          </w:tcPr>
          <w:p w14:paraId="5DEC59D9" w14:textId="77777777" w:rsidR="00B1578D" w:rsidRDefault="00B1578D">
            <w:pPr>
              <w:rPr>
                <w:rFonts w:ascii="宋体"/>
                <w:vanish/>
              </w:rPr>
            </w:pPr>
          </w:p>
        </w:tc>
        <w:tc>
          <w:tcPr>
            <w:tcW w:w="0" w:type="auto"/>
            <w:shd w:val="clear" w:color="auto" w:fill="auto"/>
            <w:vAlign w:val="bottom"/>
          </w:tcPr>
          <w:p w14:paraId="5DEC59DA" w14:textId="77777777" w:rsidR="00B1578D" w:rsidRDefault="00B1578D">
            <w:pPr>
              <w:rPr>
                <w:rFonts w:ascii="宋体"/>
                <w:vanish/>
              </w:rPr>
            </w:pPr>
          </w:p>
        </w:tc>
        <w:tc>
          <w:tcPr>
            <w:tcW w:w="0" w:type="auto"/>
            <w:shd w:val="clear" w:color="auto" w:fill="auto"/>
            <w:vAlign w:val="bottom"/>
          </w:tcPr>
          <w:p w14:paraId="5DEC59DB" w14:textId="77777777" w:rsidR="00B1578D" w:rsidRDefault="00B1578D">
            <w:pPr>
              <w:rPr>
                <w:rFonts w:ascii="宋体"/>
                <w:vanish/>
              </w:rPr>
            </w:pPr>
          </w:p>
        </w:tc>
      </w:tr>
      <w:tr w:rsidR="00B1578D" w14:paraId="5DEC59F8" w14:textId="77777777">
        <w:trPr>
          <w:jc w:val="center"/>
        </w:trPr>
        <w:tc>
          <w:tcPr>
            <w:tcW w:w="0" w:type="auto"/>
            <w:gridSpan w:val="3"/>
            <w:shd w:val="clear" w:color="auto" w:fill="FFFFFF"/>
            <w:tcMar>
              <w:top w:w="40" w:type="dxa"/>
              <w:left w:w="20" w:type="dxa"/>
              <w:bottom w:w="40" w:type="dxa"/>
              <w:right w:w="20" w:type="dxa"/>
            </w:tcMar>
            <w:vAlign w:val="center"/>
          </w:tcPr>
          <w:p w14:paraId="5DEC59DD" w14:textId="77777777" w:rsidR="00B1578D" w:rsidRDefault="004D2C04">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5DEC59DE" w14:textId="77777777" w:rsidR="00B1578D" w:rsidRDefault="004D2C04">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5DEC59D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E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E1"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E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E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E4" w14:textId="77777777" w:rsidR="00B1578D" w:rsidRDefault="004D2C04">
            <w:pPr>
              <w:jc w:val="right"/>
              <w:textAlignment w:val="center"/>
            </w:pPr>
            <w:r>
              <w:rPr>
                <w:rFonts w:ascii="Times New Roman" w:eastAsia="宋体" w:hAnsi="Times New Roman"/>
                <w:color w:val="000000"/>
                <w:sz w:val="16"/>
                <w:szCs w:val="16"/>
              </w:rPr>
              <w:t>(128)</w:t>
            </w:r>
          </w:p>
        </w:tc>
        <w:tc>
          <w:tcPr>
            <w:tcW w:w="0" w:type="auto"/>
            <w:shd w:val="clear" w:color="auto" w:fill="FFFFFF"/>
            <w:tcMar>
              <w:top w:w="40" w:type="dxa"/>
              <w:left w:w="0" w:type="dxa"/>
              <w:bottom w:w="40" w:type="dxa"/>
              <w:right w:w="20" w:type="dxa"/>
            </w:tcMar>
            <w:vAlign w:val="center"/>
          </w:tcPr>
          <w:p w14:paraId="5DEC59E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E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E7" w14:textId="77777777" w:rsidR="00B1578D" w:rsidRDefault="004D2C04">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5DEC59E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E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EA"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9E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E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ED" w14:textId="77777777" w:rsidR="00B1578D" w:rsidRDefault="004D2C04">
            <w:pPr>
              <w:jc w:val="right"/>
              <w:textAlignment w:val="center"/>
            </w:pPr>
            <w:r>
              <w:rPr>
                <w:rFonts w:ascii="Times New Roman" w:eastAsia="宋体" w:hAnsi="Times New Roman"/>
                <w:color w:val="000000"/>
                <w:sz w:val="16"/>
                <w:szCs w:val="16"/>
              </w:rPr>
              <w:t>(126)</w:t>
            </w:r>
          </w:p>
        </w:tc>
        <w:tc>
          <w:tcPr>
            <w:tcW w:w="0" w:type="auto"/>
            <w:shd w:val="clear" w:color="auto" w:fill="FFFFFF"/>
            <w:tcMar>
              <w:top w:w="40" w:type="dxa"/>
              <w:left w:w="0" w:type="dxa"/>
              <w:bottom w:w="40" w:type="dxa"/>
              <w:right w:w="20" w:type="dxa"/>
            </w:tcMar>
            <w:vAlign w:val="center"/>
          </w:tcPr>
          <w:p w14:paraId="5DEC59E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E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F0" w14:textId="77777777" w:rsidR="00B1578D" w:rsidRDefault="004D2C04">
            <w:pPr>
              <w:jc w:val="right"/>
              <w:textAlignment w:val="center"/>
            </w:pPr>
            <w:r>
              <w:rPr>
                <w:rFonts w:ascii="Times New Roman" w:eastAsia="宋体" w:hAnsi="Times New Roman"/>
                <w:color w:val="000000"/>
                <w:sz w:val="16"/>
                <w:szCs w:val="16"/>
              </w:rPr>
              <w:t>(5)</w:t>
            </w:r>
          </w:p>
        </w:tc>
        <w:tc>
          <w:tcPr>
            <w:tcW w:w="0" w:type="auto"/>
            <w:shd w:val="clear" w:color="auto" w:fill="FFFFFF"/>
            <w:tcMar>
              <w:top w:w="40" w:type="dxa"/>
              <w:left w:w="0" w:type="dxa"/>
              <w:bottom w:w="40" w:type="dxa"/>
              <w:right w:w="20" w:type="dxa"/>
            </w:tcMar>
            <w:vAlign w:val="center"/>
          </w:tcPr>
          <w:p w14:paraId="5DEC59F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9F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9F3" w14:textId="77777777" w:rsidR="00B1578D" w:rsidRDefault="004D2C04">
            <w:pPr>
              <w:jc w:val="right"/>
              <w:textAlignment w:val="center"/>
            </w:pPr>
            <w:r>
              <w:rPr>
                <w:rFonts w:ascii="Times New Roman" w:eastAsia="宋体" w:hAnsi="Times New Roman"/>
                <w:color w:val="000000"/>
                <w:sz w:val="16"/>
                <w:szCs w:val="16"/>
              </w:rPr>
              <w:t>(131)</w:t>
            </w:r>
          </w:p>
        </w:tc>
        <w:tc>
          <w:tcPr>
            <w:tcW w:w="0" w:type="auto"/>
            <w:shd w:val="clear" w:color="auto" w:fill="FFFFFF"/>
            <w:tcMar>
              <w:top w:w="40" w:type="dxa"/>
              <w:left w:w="0" w:type="dxa"/>
              <w:bottom w:w="40" w:type="dxa"/>
              <w:right w:w="20" w:type="dxa"/>
            </w:tcMar>
            <w:vAlign w:val="center"/>
          </w:tcPr>
          <w:p w14:paraId="5DEC59F4" w14:textId="77777777" w:rsidR="00B1578D" w:rsidRDefault="00B1578D">
            <w:pPr>
              <w:jc w:val="right"/>
              <w:rPr>
                <w:rFonts w:ascii="宋体"/>
              </w:rPr>
            </w:pPr>
          </w:p>
        </w:tc>
        <w:tc>
          <w:tcPr>
            <w:tcW w:w="0" w:type="auto"/>
            <w:shd w:val="clear" w:color="auto" w:fill="auto"/>
            <w:vAlign w:val="bottom"/>
          </w:tcPr>
          <w:p w14:paraId="5DEC59F5" w14:textId="77777777" w:rsidR="00B1578D" w:rsidRDefault="00B1578D">
            <w:pPr>
              <w:rPr>
                <w:rFonts w:ascii="宋体"/>
                <w:vanish/>
              </w:rPr>
            </w:pPr>
          </w:p>
        </w:tc>
        <w:tc>
          <w:tcPr>
            <w:tcW w:w="0" w:type="auto"/>
            <w:shd w:val="clear" w:color="auto" w:fill="auto"/>
            <w:vAlign w:val="bottom"/>
          </w:tcPr>
          <w:p w14:paraId="5DEC59F6" w14:textId="77777777" w:rsidR="00B1578D" w:rsidRDefault="00B1578D">
            <w:pPr>
              <w:rPr>
                <w:rFonts w:ascii="宋体"/>
                <w:vanish/>
              </w:rPr>
            </w:pPr>
          </w:p>
        </w:tc>
        <w:tc>
          <w:tcPr>
            <w:tcW w:w="0" w:type="auto"/>
            <w:shd w:val="clear" w:color="auto" w:fill="auto"/>
            <w:vAlign w:val="bottom"/>
          </w:tcPr>
          <w:p w14:paraId="5DEC59F7" w14:textId="77777777" w:rsidR="00B1578D" w:rsidRDefault="00B1578D">
            <w:pPr>
              <w:rPr>
                <w:rFonts w:ascii="宋体"/>
                <w:vanish/>
              </w:rPr>
            </w:pPr>
          </w:p>
        </w:tc>
      </w:tr>
      <w:tr w:rsidR="00B1578D" w14:paraId="5DEC5A1B" w14:textId="77777777">
        <w:trPr>
          <w:jc w:val="center"/>
        </w:trPr>
        <w:tc>
          <w:tcPr>
            <w:tcW w:w="0" w:type="auto"/>
            <w:gridSpan w:val="3"/>
            <w:shd w:val="clear" w:color="auto" w:fill="CCEEFF"/>
            <w:tcMar>
              <w:top w:w="40" w:type="dxa"/>
              <w:left w:w="20" w:type="dxa"/>
              <w:bottom w:w="40" w:type="dxa"/>
              <w:right w:w="20" w:type="dxa"/>
            </w:tcMar>
            <w:vAlign w:val="center"/>
          </w:tcPr>
          <w:p w14:paraId="5DEC59F9" w14:textId="77777777" w:rsidR="00B1578D" w:rsidRDefault="004D2C04">
            <w:pPr>
              <w:textAlignment w:val="center"/>
            </w:pPr>
            <w:r>
              <w:rPr>
                <w:rFonts w:ascii="Times New Roman" w:eastAsia="宋体" w:hAnsi="Times New Roman"/>
                <w:b/>
                <w:bCs/>
                <w:color w:val="000000"/>
                <w:sz w:val="16"/>
                <w:szCs w:val="16"/>
              </w:rPr>
              <w:t>Balances as of April 30, 2021</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9FA" w14:textId="77777777" w:rsidR="00B1578D" w:rsidRDefault="004D2C04">
            <w:pPr>
              <w:jc w:val="right"/>
              <w:textAlignment w:val="center"/>
            </w:pPr>
            <w:r>
              <w:rPr>
                <w:rFonts w:ascii="Times New Roman" w:eastAsia="宋体" w:hAnsi="Times New Roman"/>
                <w:color w:val="000000"/>
                <w:sz w:val="16"/>
                <w:szCs w:val="16"/>
              </w:rPr>
              <w:t>2,805 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9F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9FC" w14:textId="77777777" w:rsidR="00B1578D" w:rsidRDefault="00B1578D">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9F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center"/>
          </w:tcPr>
          <w:p w14:paraId="5DEC59FE" w14:textId="77777777" w:rsidR="00B1578D" w:rsidRDefault="004D2C04">
            <w:pPr>
              <w:jc w:val="right"/>
              <w:textAlignment w:val="center"/>
            </w:pPr>
            <w:r>
              <w:rPr>
                <w:rFonts w:ascii="Times New Roman" w:eastAsia="宋体" w:hAnsi="Times New Roman"/>
                <w:color w:val="000000"/>
                <w:sz w:val="16"/>
                <w:szCs w:val="16"/>
              </w:rPr>
              <w:t>280 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9F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A00" w14:textId="77777777" w:rsidR="00B1578D" w:rsidRDefault="00B1578D">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A0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center"/>
          </w:tcPr>
          <w:p w14:paraId="5DEC5A02" w14:textId="77777777" w:rsidR="00B1578D" w:rsidRDefault="004D2C04">
            <w:pPr>
              <w:jc w:val="right"/>
              <w:textAlignment w:val="center"/>
            </w:pPr>
            <w:r>
              <w:rPr>
                <w:rFonts w:ascii="Times New Roman" w:eastAsia="宋体" w:hAnsi="Times New Roman"/>
                <w:color w:val="000000"/>
                <w:sz w:val="16"/>
                <w:szCs w:val="16"/>
              </w:rPr>
              <w:t>3,424 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A0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A04" w14:textId="77777777" w:rsidR="00B1578D" w:rsidRDefault="00B1578D">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A0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center"/>
          </w:tcPr>
          <w:p w14:paraId="5DEC5A06" w14:textId="77777777" w:rsidR="00B1578D" w:rsidRDefault="004D2C04">
            <w:pPr>
              <w:jc w:val="right"/>
              <w:textAlignment w:val="center"/>
            </w:pPr>
            <w:r>
              <w:rPr>
                <w:rFonts w:ascii="Times New Roman" w:eastAsia="宋体" w:hAnsi="Times New Roman"/>
                <w:color w:val="000000"/>
                <w:sz w:val="16"/>
                <w:szCs w:val="16"/>
              </w:rPr>
              <w:t>82,577 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A0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A08" w14:textId="77777777" w:rsidR="00B1578D" w:rsidRDefault="00B1578D">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A09"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center"/>
          </w:tcPr>
          <w:p w14:paraId="5DEC5A0A" w14:textId="77777777" w:rsidR="00B1578D" w:rsidRDefault="004D2C04">
            <w:pPr>
              <w:jc w:val="right"/>
              <w:textAlignment w:val="center"/>
            </w:pPr>
            <w:r>
              <w:rPr>
                <w:rFonts w:ascii="Times New Roman" w:eastAsia="宋体" w:hAnsi="Times New Roman"/>
                <w:color w:val="000000"/>
                <w:sz w:val="16"/>
                <w:szCs w:val="16"/>
              </w:rPr>
              <w:t>(7,946)</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A0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A0C" w14:textId="77777777" w:rsidR="00B1578D" w:rsidRDefault="00B1578D">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A0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center"/>
          </w:tcPr>
          <w:p w14:paraId="5DEC5A0E" w14:textId="77777777" w:rsidR="00B1578D" w:rsidRDefault="004D2C04">
            <w:pPr>
              <w:jc w:val="right"/>
              <w:textAlignment w:val="center"/>
            </w:pPr>
            <w:r>
              <w:rPr>
                <w:rFonts w:ascii="Times New Roman" w:eastAsia="宋体" w:hAnsi="Times New Roman"/>
                <w:color w:val="000000"/>
                <w:sz w:val="16"/>
                <w:szCs w:val="16"/>
              </w:rPr>
              <w:t>78,335 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A0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A10" w14:textId="77777777" w:rsidR="00B1578D" w:rsidRDefault="00B1578D">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A1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center"/>
          </w:tcPr>
          <w:p w14:paraId="5DEC5A12" w14:textId="77777777" w:rsidR="00B1578D" w:rsidRDefault="004D2C04">
            <w:pPr>
              <w:jc w:val="right"/>
              <w:textAlignment w:val="center"/>
            </w:pPr>
            <w:r>
              <w:rPr>
                <w:rFonts w:ascii="Times New Roman" w:eastAsia="宋体" w:hAnsi="Times New Roman"/>
                <w:color w:val="000000"/>
                <w:sz w:val="16"/>
                <w:szCs w:val="16"/>
              </w:rPr>
              <w:t>6,257 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A1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A14" w14:textId="77777777" w:rsidR="00B1578D" w:rsidRDefault="00B1578D">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center"/>
          </w:tcPr>
          <w:p w14:paraId="5DEC5A1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center"/>
          </w:tcPr>
          <w:p w14:paraId="5DEC5A16" w14:textId="77777777" w:rsidR="00B1578D" w:rsidRDefault="004D2C04">
            <w:pPr>
              <w:jc w:val="right"/>
              <w:textAlignment w:val="center"/>
            </w:pPr>
            <w:r>
              <w:rPr>
                <w:rFonts w:ascii="Times New Roman" w:eastAsia="宋体" w:hAnsi="Times New Roman"/>
                <w:color w:val="000000"/>
                <w:sz w:val="16"/>
                <w:szCs w:val="16"/>
              </w:rPr>
              <w:t>84,592 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center"/>
          </w:tcPr>
          <w:p w14:paraId="5DEC5A17" w14:textId="77777777" w:rsidR="00B1578D" w:rsidRDefault="00B1578D">
            <w:pPr>
              <w:jc w:val="right"/>
              <w:rPr>
                <w:rFonts w:ascii="宋体"/>
              </w:rPr>
            </w:pPr>
          </w:p>
        </w:tc>
        <w:tc>
          <w:tcPr>
            <w:tcW w:w="0" w:type="auto"/>
            <w:shd w:val="clear" w:color="auto" w:fill="auto"/>
            <w:vAlign w:val="bottom"/>
          </w:tcPr>
          <w:p w14:paraId="5DEC5A18" w14:textId="77777777" w:rsidR="00B1578D" w:rsidRDefault="00B1578D">
            <w:pPr>
              <w:rPr>
                <w:rFonts w:ascii="宋体"/>
                <w:vanish/>
              </w:rPr>
            </w:pPr>
          </w:p>
        </w:tc>
        <w:tc>
          <w:tcPr>
            <w:tcW w:w="0" w:type="auto"/>
            <w:shd w:val="clear" w:color="auto" w:fill="auto"/>
            <w:vAlign w:val="bottom"/>
          </w:tcPr>
          <w:p w14:paraId="5DEC5A19" w14:textId="77777777" w:rsidR="00B1578D" w:rsidRDefault="00B1578D">
            <w:pPr>
              <w:rPr>
                <w:rFonts w:ascii="宋体"/>
                <w:vanish/>
              </w:rPr>
            </w:pPr>
          </w:p>
        </w:tc>
        <w:tc>
          <w:tcPr>
            <w:tcW w:w="0" w:type="auto"/>
            <w:shd w:val="clear" w:color="auto" w:fill="auto"/>
            <w:vAlign w:val="bottom"/>
          </w:tcPr>
          <w:p w14:paraId="5DEC5A1A" w14:textId="77777777" w:rsidR="00B1578D" w:rsidRDefault="00B1578D">
            <w:pPr>
              <w:rPr>
                <w:rFonts w:ascii="宋体"/>
                <w:vanish/>
              </w:rPr>
            </w:pPr>
          </w:p>
        </w:tc>
      </w:tr>
      <w:tr w:rsidR="00B1578D" w14:paraId="5DEC5A2F" w14:textId="77777777">
        <w:trPr>
          <w:jc w:val="center"/>
          <w:hidden/>
        </w:trPr>
        <w:tc>
          <w:tcPr>
            <w:tcW w:w="0" w:type="auto"/>
            <w:gridSpan w:val="3"/>
            <w:shd w:val="clear" w:color="auto" w:fill="auto"/>
            <w:vAlign w:val="bottom"/>
          </w:tcPr>
          <w:p w14:paraId="5DEC5A1C" w14:textId="77777777" w:rsidR="00B1578D" w:rsidRDefault="00B1578D">
            <w:pPr>
              <w:rPr>
                <w:rFonts w:ascii="宋体"/>
                <w:vanish/>
              </w:rPr>
            </w:pPr>
          </w:p>
        </w:tc>
        <w:tc>
          <w:tcPr>
            <w:tcW w:w="0" w:type="auto"/>
            <w:gridSpan w:val="3"/>
            <w:shd w:val="clear" w:color="auto" w:fill="auto"/>
            <w:vAlign w:val="bottom"/>
          </w:tcPr>
          <w:p w14:paraId="5DEC5A1D" w14:textId="77777777" w:rsidR="00B1578D" w:rsidRDefault="00B1578D">
            <w:pPr>
              <w:rPr>
                <w:rFonts w:ascii="宋体"/>
                <w:vanish/>
              </w:rPr>
            </w:pPr>
          </w:p>
        </w:tc>
        <w:tc>
          <w:tcPr>
            <w:tcW w:w="0" w:type="auto"/>
            <w:gridSpan w:val="3"/>
            <w:shd w:val="clear" w:color="auto" w:fill="auto"/>
            <w:vAlign w:val="bottom"/>
          </w:tcPr>
          <w:p w14:paraId="5DEC5A1E" w14:textId="77777777" w:rsidR="00B1578D" w:rsidRDefault="00B1578D">
            <w:pPr>
              <w:rPr>
                <w:rFonts w:ascii="宋体"/>
                <w:vanish/>
              </w:rPr>
            </w:pPr>
          </w:p>
        </w:tc>
        <w:tc>
          <w:tcPr>
            <w:tcW w:w="0" w:type="auto"/>
            <w:gridSpan w:val="3"/>
            <w:shd w:val="clear" w:color="auto" w:fill="auto"/>
            <w:vAlign w:val="bottom"/>
          </w:tcPr>
          <w:p w14:paraId="5DEC5A1F" w14:textId="77777777" w:rsidR="00B1578D" w:rsidRDefault="00B1578D">
            <w:pPr>
              <w:rPr>
                <w:rFonts w:ascii="宋体"/>
                <w:vanish/>
              </w:rPr>
            </w:pPr>
          </w:p>
        </w:tc>
        <w:tc>
          <w:tcPr>
            <w:tcW w:w="0" w:type="auto"/>
            <w:gridSpan w:val="3"/>
            <w:shd w:val="clear" w:color="auto" w:fill="auto"/>
            <w:vAlign w:val="bottom"/>
          </w:tcPr>
          <w:p w14:paraId="5DEC5A20" w14:textId="77777777" w:rsidR="00B1578D" w:rsidRDefault="00B1578D">
            <w:pPr>
              <w:rPr>
                <w:rFonts w:ascii="宋体"/>
                <w:vanish/>
              </w:rPr>
            </w:pPr>
          </w:p>
        </w:tc>
        <w:tc>
          <w:tcPr>
            <w:tcW w:w="0" w:type="auto"/>
            <w:gridSpan w:val="3"/>
            <w:shd w:val="clear" w:color="auto" w:fill="auto"/>
            <w:vAlign w:val="bottom"/>
          </w:tcPr>
          <w:p w14:paraId="5DEC5A21" w14:textId="77777777" w:rsidR="00B1578D" w:rsidRDefault="00B1578D">
            <w:pPr>
              <w:rPr>
                <w:rFonts w:ascii="宋体"/>
                <w:vanish/>
              </w:rPr>
            </w:pPr>
          </w:p>
        </w:tc>
        <w:tc>
          <w:tcPr>
            <w:tcW w:w="0" w:type="auto"/>
            <w:gridSpan w:val="3"/>
            <w:shd w:val="clear" w:color="auto" w:fill="auto"/>
            <w:vAlign w:val="bottom"/>
          </w:tcPr>
          <w:p w14:paraId="5DEC5A22" w14:textId="77777777" w:rsidR="00B1578D" w:rsidRDefault="00B1578D">
            <w:pPr>
              <w:rPr>
                <w:rFonts w:ascii="宋体"/>
                <w:vanish/>
              </w:rPr>
            </w:pPr>
          </w:p>
        </w:tc>
        <w:tc>
          <w:tcPr>
            <w:tcW w:w="0" w:type="auto"/>
            <w:gridSpan w:val="3"/>
            <w:shd w:val="clear" w:color="auto" w:fill="auto"/>
            <w:vAlign w:val="bottom"/>
          </w:tcPr>
          <w:p w14:paraId="5DEC5A23" w14:textId="77777777" w:rsidR="00B1578D" w:rsidRDefault="00B1578D">
            <w:pPr>
              <w:rPr>
                <w:rFonts w:ascii="宋体"/>
                <w:vanish/>
              </w:rPr>
            </w:pPr>
          </w:p>
        </w:tc>
        <w:tc>
          <w:tcPr>
            <w:tcW w:w="0" w:type="auto"/>
            <w:gridSpan w:val="3"/>
            <w:shd w:val="clear" w:color="auto" w:fill="auto"/>
            <w:vAlign w:val="bottom"/>
          </w:tcPr>
          <w:p w14:paraId="5DEC5A24" w14:textId="77777777" w:rsidR="00B1578D" w:rsidRDefault="00B1578D">
            <w:pPr>
              <w:rPr>
                <w:rFonts w:ascii="宋体"/>
                <w:vanish/>
              </w:rPr>
            </w:pPr>
          </w:p>
        </w:tc>
        <w:tc>
          <w:tcPr>
            <w:tcW w:w="0" w:type="auto"/>
            <w:gridSpan w:val="3"/>
            <w:shd w:val="clear" w:color="auto" w:fill="auto"/>
            <w:vAlign w:val="bottom"/>
          </w:tcPr>
          <w:p w14:paraId="5DEC5A25" w14:textId="77777777" w:rsidR="00B1578D" w:rsidRDefault="00B1578D">
            <w:pPr>
              <w:rPr>
                <w:rFonts w:ascii="宋体"/>
                <w:vanish/>
              </w:rPr>
            </w:pPr>
          </w:p>
        </w:tc>
        <w:tc>
          <w:tcPr>
            <w:tcW w:w="0" w:type="auto"/>
            <w:gridSpan w:val="3"/>
            <w:shd w:val="clear" w:color="auto" w:fill="auto"/>
            <w:vAlign w:val="bottom"/>
          </w:tcPr>
          <w:p w14:paraId="5DEC5A26" w14:textId="77777777" w:rsidR="00B1578D" w:rsidRDefault="00B1578D">
            <w:pPr>
              <w:rPr>
                <w:rFonts w:ascii="宋体"/>
                <w:vanish/>
              </w:rPr>
            </w:pPr>
          </w:p>
        </w:tc>
        <w:tc>
          <w:tcPr>
            <w:tcW w:w="0" w:type="auto"/>
            <w:gridSpan w:val="3"/>
            <w:shd w:val="clear" w:color="auto" w:fill="auto"/>
            <w:vAlign w:val="bottom"/>
          </w:tcPr>
          <w:p w14:paraId="5DEC5A27" w14:textId="77777777" w:rsidR="00B1578D" w:rsidRDefault="00B1578D">
            <w:pPr>
              <w:rPr>
                <w:rFonts w:ascii="宋体"/>
                <w:vanish/>
              </w:rPr>
            </w:pPr>
          </w:p>
        </w:tc>
        <w:tc>
          <w:tcPr>
            <w:tcW w:w="0" w:type="auto"/>
            <w:gridSpan w:val="3"/>
            <w:shd w:val="clear" w:color="auto" w:fill="auto"/>
            <w:vAlign w:val="bottom"/>
          </w:tcPr>
          <w:p w14:paraId="5DEC5A28" w14:textId="77777777" w:rsidR="00B1578D" w:rsidRDefault="00B1578D">
            <w:pPr>
              <w:rPr>
                <w:rFonts w:ascii="宋体"/>
                <w:vanish/>
              </w:rPr>
            </w:pPr>
          </w:p>
        </w:tc>
        <w:tc>
          <w:tcPr>
            <w:tcW w:w="0" w:type="auto"/>
            <w:gridSpan w:val="3"/>
            <w:shd w:val="clear" w:color="auto" w:fill="auto"/>
            <w:vAlign w:val="bottom"/>
          </w:tcPr>
          <w:p w14:paraId="5DEC5A29" w14:textId="77777777" w:rsidR="00B1578D" w:rsidRDefault="00B1578D">
            <w:pPr>
              <w:rPr>
                <w:rFonts w:ascii="宋体"/>
                <w:vanish/>
              </w:rPr>
            </w:pPr>
          </w:p>
        </w:tc>
        <w:tc>
          <w:tcPr>
            <w:tcW w:w="0" w:type="auto"/>
            <w:gridSpan w:val="3"/>
            <w:shd w:val="clear" w:color="auto" w:fill="auto"/>
            <w:vAlign w:val="bottom"/>
          </w:tcPr>
          <w:p w14:paraId="5DEC5A2A" w14:textId="77777777" w:rsidR="00B1578D" w:rsidRDefault="00B1578D">
            <w:pPr>
              <w:rPr>
                <w:rFonts w:ascii="宋体"/>
                <w:vanish/>
              </w:rPr>
            </w:pPr>
          </w:p>
        </w:tc>
        <w:tc>
          <w:tcPr>
            <w:tcW w:w="0" w:type="auto"/>
            <w:gridSpan w:val="3"/>
            <w:shd w:val="clear" w:color="auto" w:fill="auto"/>
            <w:vAlign w:val="bottom"/>
          </w:tcPr>
          <w:p w14:paraId="5DEC5A2B" w14:textId="77777777" w:rsidR="00B1578D" w:rsidRDefault="00B1578D">
            <w:pPr>
              <w:rPr>
                <w:rFonts w:ascii="宋体"/>
                <w:vanish/>
              </w:rPr>
            </w:pPr>
          </w:p>
        </w:tc>
        <w:tc>
          <w:tcPr>
            <w:tcW w:w="0" w:type="auto"/>
            <w:shd w:val="clear" w:color="auto" w:fill="auto"/>
            <w:vAlign w:val="bottom"/>
          </w:tcPr>
          <w:p w14:paraId="5DEC5A2C" w14:textId="77777777" w:rsidR="00B1578D" w:rsidRDefault="00B1578D">
            <w:pPr>
              <w:rPr>
                <w:rFonts w:ascii="宋体"/>
                <w:vanish/>
              </w:rPr>
            </w:pPr>
          </w:p>
        </w:tc>
        <w:tc>
          <w:tcPr>
            <w:tcW w:w="0" w:type="auto"/>
            <w:shd w:val="clear" w:color="auto" w:fill="auto"/>
            <w:vAlign w:val="bottom"/>
          </w:tcPr>
          <w:p w14:paraId="5DEC5A2D" w14:textId="77777777" w:rsidR="00B1578D" w:rsidRDefault="00B1578D">
            <w:pPr>
              <w:rPr>
                <w:rFonts w:ascii="宋体"/>
                <w:vanish/>
              </w:rPr>
            </w:pPr>
          </w:p>
        </w:tc>
        <w:tc>
          <w:tcPr>
            <w:tcW w:w="0" w:type="auto"/>
            <w:shd w:val="clear" w:color="auto" w:fill="auto"/>
            <w:vAlign w:val="bottom"/>
          </w:tcPr>
          <w:p w14:paraId="5DEC5A2E" w14:textId="77777777" w:rsidR="00B1578D" w:rsidRDefault="00B1578D">
            <w:pPr>
              <w:rPr>
                <w:rFonts w:ascii="宋体"/>
                <w:vanish/>
              </w:rPr>
            </w:pPr>
          </w:p>
        </w:tc>
      </w:tr>
      <w:tr w:rsidR="00B1578D" w14:paraId="5DEC5A43" w14:textId="77777777">
        <w:trPr>
          <w:jc w:val="center"/>
          <w:hidden/>
        </w:trPr>
        <w:tc>
          <w:tcPr>
            <w:tcW w:w="0" w:type="auto"/>
            <w:gridSpan w:val="3"/>
            <w:shd w:val="clear" w:color="auto" w:fill="auto"/>
            <w:vAlign w:val="bottom"/>
          </w:tcPr>
          <w:p w14:paraId="5DEC5A30" w14:textId="77777777" w:rsidR="00B1578D" w:rsidRDefault="00B1578D">
            <w:pPr>
              <w:rPr>
                <w:rFonts w:ascii="宋体"/>
                <w:vanish/>
              </w:rPr>
            </w:pPr>
          </w:p>
        </w:tc>
        <w:tc>
          <w:tcPr>
            <w:tcW w:w="0" w:type="auto"/>
            <w:gridSpan w:val="3"/>
            <w:shd w:val="clear" w:color="auto" w:fill="auto"/>
            <w:vAlign w:val="bottom"/>
          </w:tcPr>
          <w:p w14:paraId="5DEC5A31" w14:textId="77777777" w:rsidR="00B1578D" w:rsidRDefault="00B1578D">
            <w:pPr>
              <w:rPr>
                <w:rFonts w:ascii="宋体"/>
                <w:vanish/>
              </w:rPr>
            </w:pPr>
          </w:p>
        </w:tc>
        <w:tc>
          <w:tcPr>
            <w:tcW w:w="0" w:type="auto"/>
            <w:gridSpan w:val="3"/>
            <w:shd w:val="clear" w:color="auto" w:fill="auto"/>
            <w:vAlign w:val="bottom"/>
          </w:tcPr>
          <w:p w14:paraId="5DEC5A32" w14:textId="77777777" w:rsidR="00B1578D" w:rsidRDefault="00B1578D">
            <w:pPr>
              <w:rPr>
                <w:rFonts w:ascii="宋体"/>
                <w:vanish/>
              </w:rPr>
            </w:pPr>
          </w:p>
        </w:tc>
        <w:tc>
          <w:tcPr>
            <w:tcW w:w="0" w:type="auto"/>
            <w:gridSpan w:val="3"/>
            <w:shd w:val="clear" w:color="auto" w:fill="auto"/>
            <w:vAlign w:val="bottom"/>
          </w:tcPr>
          <w:p w14:paraId="5DEC5A33" w14:textId="77777777" w:rsidR="00B1578D" w:rsidRDefault="00B1578D">
            <w:pPr>
              <w:rPr>
                <w:rFonts w:ascii="宋体"/>
                <w:vanish/>
              </w:rPr>
            </w:pPr>
          </w:p>
        </w:tc>
        <w:tc>
          <w:tcPr>
            <w:tcW w:w="0" w:type="auto"/>
            <w:gridSpan w:val="3"/>
            <w:shd w:val="clear" w:color="auto" w:fill="auto"/>
            <w:vAlign w:val="bottom"/>
          </w:tcPr>
          <w:p w14:paraId="5DEC5A34" w14:textId="77777777" w:rsidR="00B1578D" w:rsidRDefault="00B1578D">
            <w:pPr>
              <w:rPr>
                <w:rFonts w:ascii="宋体"/>
                <w:vanish/>
              </w:rPr>
            </w:pPr>
          </w:p>
        </w:tc>
        <w:tc>
          <w:tcPr>
            <w:tcW w:w="0" w:type="auto"/>
            <w:gridSpan w:val="3"/>
            <w:shd w:val="clear" w:color="auto" w:fill="auto"/>
            <w:vAlign w:val="bottom"/>
          </w:tcPr>
          <w:p w14:paraId="5DEC5A35" w14:textId="77777777" w:rsidR="00B1578D" w:rsidRDefault="00B1578D">
            <w:pPr>
              <w:rPr>
                <w:rFonts w:ascii="宋体"/>
                <w:vanish/>
              </w:rPr>
            </w:pPr>
          </w:p>
        </w:tc>
        <w:tc>
          <w:tcPr>
            <w:tcW w:w="0" w:type="auto"/>
            <w:gridSpan w:val="3"/>
            <w:shd w:val="clear" w:color="auto" w:fill="auto"/>
            <w:vAlign w:val="bottom"/>
          </w:tcPr>
          <w:p w14:paraId="5DEC5A36" w14:textId="77777777" w:rsidR="00B1578D" w:rsidRDefault="00B1578D">
            <w:pPr>
              <w:rPr>
                <w:rFonts w:ascii="宋体"/>
                <w:vanish/>
              </w:rPr>
            </w:pPr>
          </w:p>
        </w:tc>
        <w:tc>
          <w:tcPr>
            <w:tcW w:w="0" w:type="auto"/>
            <w:gridSpan w:val="3"/>
            <w:shd w:val="clear" w:color="auto" w:fill="auto"/>
            <w:vAlign w:val="bottom"/>
          </w:tcPr>
          <w:p w14:paraId="5DEC5A37" w14:textId="77777777" w:rsidR="00B1578D" w:rsidRDefault="00B1578D">
            <w:pPr>
              <w:rPr>
                <w:rFonts w:ascii="宋体"/>
                <w:vanish/>
              </w:rPr>
            </w:pPr>
          </w:p>
        </w:tc>
        <w:tc>
          <w:tcPr>
            <w:tcW w:w="0" w:type="auto"/>
            <w:gridSpan w:val="3"/>
            <w:shd w:val="clear" w:color="auto" w:fill="auto"/>
            <w:vAlign w:val="bottom"/>
          </w:tcPr>
          <w:p w14:paraId="5DEC5A38" w14:textId="77777777" w:rsidR="00B1578D" w:rsidRDefault="00B1578D">
            <w:pPr>
              <w:rPr>
                <w:rFonts w:ascii="宋体"/>
                <w:vanish/>
              </w:rPr>
            </w:pPr>
          </w:p>
        </w:tc>
        <w:tc>
          <w:tcPr>
            <w:tcW w:w="0" w:type="auto"/>
            <w:gridSpan w:val="3"/>
            <w:shd w:val="clear" w:color="auto" w:fill="auto"/>
            <w:vAlign w:val="bottom"/>
          </w:tcPr>
          <w:p w14:paraId="5DEC5A39" w14:textId="77777777" w:rsidR="00B1578D" w:rsidRDefault="00B1578D">
            <w:pPr>
              <w:rPr>
                <w:rFonts w:ascii="宋体"/>
                <w:vanish/>
              </w:rPr>
            </w:pPr>
          </w:p>
        </w:tc>
        <w:tc>
          <w:tcPr>
            <w:tcW w:w="0" w:type="auto"/>
            <w:gridSpan w:val="3"/>
            <w:shd w:val="clear" w:color="auto" w:fill="auto"/>
            <w:vAlign w:val="bottom"/>
          </w:tcPr>
          <w:p w14:paraId="5DEC5A3A" w14:textId="77777777" w:rsidR="00B1578D" w:rsidRDefault="00B1578D">
            <w:pPr>
              <w:rPr>
                <w:rFonts w:ascii="宋体"/>
                <w:vanish/>
              </w:rPr>
            </w:pPr>
          </w:p>
        </w:tc>
        <w:tc>
          <w:tcPr>
            <w:tcW w:w="0" w:type="auto"/>
            <w:gridSpan w:val="3"/>
            <w:shd w:val="clear" w:color="auto" w:fill="auto"/>
            <w:vAlign w:val="bottom"/>
          </w:tcPr>
          <w:p w14:paraId="5DEC5A3B" w14:textId="77777777" w:rsidR="00B1578D" w:rsidRDefault="00B1578D">
            <w:pPr>
              <w:rPr>
                <w:rFonts w:ascii="宋体"/>
                <w:vanish/>
              </w:rPr>
            </w:pPr>
          </w:p>
        </w:tc>
        <w:tc>
          <w:tcPr>
            <w:tcW w:w="0" w:type="auto"/>
            <w:gridSpan w:val="3"/>
            <w:shd w:val="clear" w:color="auto" w:fill="auto"/>
            <w:vAlign w:val="bottom"/>
          </w:tcPr>
          <w:p w14:paraId="5DEC5A3C" w14:textId="77777777" w:rsidR="00B1578D" w:rsidRDefault="00B1578D">
            <w:pPr>
              <w:rPr>
                <w:rFonts w:ascii="宋体"/>
                <w:vanish/>
              </w:rPr>
            </w:pPr>
          </w:p>
        </w:tc>
        <w:tc>
          <w:tcPr>
            <w:tcW w:w="0" w:type="auto"/>
            <w:gridSpan w:val="3"/>
            <w:shd w:val="clear" w:color="auto" w:fill="auto"/>
            <w:vAlign w:val="bottom"/>
          </w:tcPr>
          <w:p w14:paraId="5DEC5A3D" w14:textId="77777777" w:rsidR="00B1578D" w:rsidRDefault="00B1578D">
            <w:pPr>
              <w:rPr>
                <w:rFonts w:ascii="宋体"/>
                <w:vanish/>
              </w:rPr>
            </w:pPr>
          </w:p>
        </w:tc>
        <w:tc>
          <w:tcPr>
            <w:tcW w:w="0" w:type="auto"/>
            <w:gridSpan w:val="3"/>
            <w:shd w:val="clear" w:color="auto" w:fill="auto"/>
            <w:vAlign w:val="bottom"/>
          </w:tcPr>
          <w:p w14:paraId="5DEC5A3E" w14:textId="77777777" w:rsidR="00B1578D" w:rsidRDefault="00B1578D">
            <w:pPr>
              <w:rPr>
                <w:rFonts w:ascii="宋体"/>
                <w:vanish/>
              </w:rPr>
            </w:pPr>
          </w:p>
        </w:tc>
        <w:tc>
          <w:tcPr>
            <w:tcW w:w="0" w:type="auto"/>
            <w:gridSpan w:val="3"/>
            <w:shd w:val="clear" w:color="auto" w:fill="auto"/>
            <w:vAlign w:val="bottom"/>
          </w:tcPr>
          <w:p w14:paraId="5DEC5A3F" w14:textId="77777777" w:rsidR="00B1578D" w:rsidRDefault="00B1578D">
            <w:pPr>
              <w:rPr>
                <w:rFonts w:ascii="宋体"/>
                <w:vanish/>
              </w:rPr>
            </w:pPr>
          </w:p>
        </w:tc>
        <w:tc>
          <w:tcPr>
            <w:tcW w:w="0" w:type="auto"/>
            <w:shd w:val="clear" w:color="auto" w:fill="auto"/>
            <w:vAlign w:val="bottom"/>
          </w:tcPr>
          <w:p w14:paraId="5DEC5A40" w14:textId="77777777" w:rsidR="00B1578D" w:rsidRDefault="00B1578D">
            <w:pPr>
              <w:rPr>
                <w:rFonts w:ascii="宋体"/>
                <w:vanish/>
              </w:rPr>
            </w:pPr>
          </w:p>
        </w:tc>
        <w:tc>
          <w:tcPr>
            <w:tcW w:w="0" w:type="auto"/>
            <w:shd w:val="clear" w:color="auto" w:fill="auto"/>
            <w:vAlign w:val="bottom"/>
          </w:tcPr>
          <w:p w14:paraId="5DEC5A41" w14:textId="77777777" w:rsidR="00B1578D" w:rsidRDefault="00B1578D">
            <w:pPr>
              <w:rPr>
                <w:rFonts w:ascii="宋体"/>
                <w:vanish/>
              </w:rPr>
            </w:pPr>
          </w:p>
        </w:tc>
        <w:tc>
          <w:tcPr>
            <w:tcW w:w="0" w:type="auto"/>
            <w:shd w:val="clear" w:color="auto" w:fill="auto"/>
            <w:vAlign w:val="bottom"/>
          </w:tcPr>
          <w:p w14:paraId="5DEC5A42" w14:textId="77777777" w:rsidR="00B1578D" w:rsidRDefault="00B1578D">
            <w:pPr>
              <w:rPr>
                <w:rFonts w:ascii="宋体"/>
                <w:vanish/>
              </w:rPr>
            </w:pPr>
          </w:p>
        </w:tc>
      </w:tr>
      <w:tr w:rsidR="00B1578D" w14:paraId="5DEC5A57" w14:textId="77777777">
        <w:trPr>
          <w:jc w:val="center"/>
          <w:hidden/>
        </w:trPr>
        <w:tc>
          <w:tcPr>
            <w:tcW w:w="0" w:type="auto"/>
            <w:gridSpan w:val="3"/>
            <w:shd w:val="clear" w:color="auto" w:fill="auto"/>
            <w:vAlign w:val="bottom"/>
          </w:tcPr>
          <w:p w14:paraId="5DEC5A44" w14:textId="77777777" w:rsidR="00B1578D" w:rsidRDefault="00B1578D">
            <w:pPr>
              <w:rPr>
                <w:rFonts w:ascii="宋体"/>
                <w:vanish/>
              </w:rPr>
            </w:pPr>
          </w:p>
        </w:tc>
        <w:tc>
          <w:tcPr>
            <w:tcW w:w="0" w:type="auto"/>
            <w:gridSpan w:val="3"/>
            <w:shd w:val="clear" w:color="auto" w:fill="auto"/>
            <w:vAlign w:val="bottom"/>
          </w:tcPr>
          <w:p w14:paraId="5DEC5A45" w14:textId="77777777" w:rsidR="00B1578D" w:rsidRDefault="00B1578D">
            <w:pPr>
              <w:rPr>
                <w:rFonts w:ascii="宋体"/>
                <w:vanish/>
              </w:rPr>
            </w:pPr>
          </w:p>
        </w:tc>
        <w:tc>
          <w:tcPr>
            <w:tcW w:w="0" w:type="auto"/>
            <w:gridSpan w:val="3"/>
            <w:shd w:val="clear" w:color="auto" w:fill="auto"/>
            <w:vAlign w:val="bottom"/>
          </w:tcPr>
          <w:p w14:paraId="5DEC5A46" w14:textId="77777777" w:rsidR="00B1578D" w:rsidRDefault="00B1578D">
            <w:pPr>
              <w:rPr>
                <w:rFonts w:ascii="宋体"/>
                <w:vanish/>
              </w:rPr>
            </w:pPr>
          </w:p>
        </w:tc>
        <w:tc>
          <w:tcPr>
            <w:tcW w:w="0" w:type="auto"/>
            <w:gridSpan w:val="3"/>
            <w:shd w:val="clear" w:color="auto" w:fill="auto"/>
            <w:vAlign w:val="bottom"/>
          </w:tcPr>
          <w:p w14:paraId="5DEC5A47" w14:textId="77777777" w:rsidR="00B1578D" w:rsidRDefault="00B1578D">
            <w:pPr>
              <w:rPr>
                <w:rFonts w:ascii="宋体"/>
                <w:vanish/>
              </w:rPr>
            </w:pPr>
          </w:p>
        </w:tc>
        <w:tc>
          <w:tcPr>
            <w:tcW w:w="0" w:type="auto"/>
            <w:gridSpan w:val="3"/>
            <w:shd w:val="clear" w:color="auto" w:fill="auto"/>
            <w:vAlign w:val="bottom"/>
          </w:tcPr>
          <w:p w14:paraId="5DEC5A48" w14:textId="77777777" w:rsidR="00B1578D" w:rsidRDefault="00B1578D">
            <w:pPr>
              <w:rPr>
                <w:rFonts w:ascii="宋体"/>
                <w:vanish/>
              </w:rPr>
            </w:pPr>
          </w:p>
        </w:tc>
        <w:tc>
          <w:tcPr>
            <w:tcW w:w="0" w:type="auto"/>
            <w:gridSpan w:val="3"/>
            <w:shd w:val="clear" w:color="auto" w:fill="auto"/>
            <w:vAlign w:val="bottom"/>
          </w:tcPr>
          <w:p w14:paraId="5DEC5A49" w14:textId="77777777" w:rsidR="00B1578D" w:rsidRDefault="00B1578D">
            <w:pPr>
              <w:rPr>
                <w:rFonts w:ascii="宋体"/>
                <w:vanish/>
              </w:rPr>
            </w:pPr>
          </w:p>
        </w:tc>
        <w:tc>
          <w:tcPr>
            <w:tcW w:w="0" w:type="auto"/>
            <w:gridSpan w:val="3"/>
            <w:shd w:val="clear" w:color="auto" w:fill="auto"/>
            <w:vAlign w:val="bottom"/>
          </w:tcPr>
          <w:p w14:paraId="5DEC5A4A" w14:textId="77777777" w:rsidR="00B1578D" w:rsidRDefault="00B1578D">
            <w:pPr>
              <w:rPr>
                <w:rFonts w:ascii="宋体"/>
                <w:vanish/>
              </w:rPr>
            </w:pPr>
          </w:p>
        </w:tc>
        <w:tc>
          <w:tcPr>
            <w:tcW w:w="0" w:type="auto"/>
            <w:gridSpan w:val="3"/>
            <w:shd w:val="clear" w:color="auto" w:fill="auto"/>
            <w:vAlign w:val="bottom"/>
          </w:tcPr>
          <w:p w14:paraId="5DEC5A4B" w14:textId="77777777" w:rsidR="00B1578D" w:rsidRDefault="00B1578D">
            <w:pPr>
              <w:rPr>
                <w:rFonts w:ascii="宋体"/>
                <w:vanish/>
              </w:rPr>
            </w:pPr>
          </w:p>
        </w:tc>
        <w:tc>
          <w:tcPr>
            <w:tcW w:w="0" w:type="auto"/>
            <w:gridSpan w:val="3"/>
            <w:shd w:val="clear" w:color="auto" w:fill="auto"/>
            <w:vAlign w:val="bottom"/>
          </w:tcPr>
          <w:p w14:paraId="5DEC5A4C" w14:textId="77777777" w:rsidR="00B1578D" w:rsidRDefault="00B1578D">
            <w:pPr>
              <w:rPr>
                <w:rFonts w:ascii="宋体"/>
                <w:vanish/>
              </w:rPr>
            </w:pPr>
          </w:p>
        </w:tc>
        <w:tc>
          <w:tcPr>
            <w:tcW w:w="0" w:type="auto"/>
            <w:gridSpan w:val="3"/>
            <w:shd w:val="clear" w:color="auto" w:fill="auto"/>
            <w:vAlign w:val="bottom"/>
          </w:tcPr>
          <w:p w14:paraId="5DEC5A4D" w14:textId="77777777" w:rsidR="00B1578D" w:rsidRDefault="00B1578D">
            <w:pPr>
              <w:rPr>
                <w:rFonts w:ascii="宋体"/>
                <w:vanish/>
              </w:rPr>
            </w:pPr>
          </w:p>
        </w:tc>
        <w:tc>
          <w:tcPr>
            <w:tcW w:w="0" w:type="auto"/>
            <w:gridSpan w:val="3"/>
            <w:shd w:val="clear" w:color="auto" w:fill="auto"/>
            <w:vAlign w:val="bottom"/>
          </w:tcPr>
          <w:p w14:paraId="5DEC5A4E" w14:textId="77777777" w:rsidR="00B1578D" w:rsidRDefault="00B1578D">
            <w:pPr>
              <w:rPr>
                <w:rFonts w:ascii="宋体"/>
                <w:vanish/>
              </w:rPr>
            </w:pPr>
          </w:p>
        </w:tc>
        <w:tc>
          <w:tcPr>
            <w:tcW w:w="0" w:type="auto"/>
            <w:gridSpan w:val="3"/>
            <w:shd w:val="clear" w:color="auto" w:fill="auto"/>
            <w:vAlign w:val="bottom"/>
          </w:tcPr>
          <w:p w14:paraId="5DEC5A4F" w14:textId="77777777" w:rsidR="00B1578D" w:rsidRDefault="00B1578D">
            <w:pPr>
              <w:rPr>
                <w:rFonts w:ascii="宋体"/>
                <w:vanish/>
              </w:rPr>
            </w:pPr>
          </w:p>
        </w:tc>
        <w:tc>
          <w:tcPr>
            <w:tcW w:w="0" w:type="auto"/>
            <w:gridSpan w:val="3"/>
            <w:shd w:val="clear" w:color="auto" w:fill="auto"/>
            <w:vAlign w:val="bottom"/>
          </w:tcPr>
          <w:p w14:paraId="5DEC5A50" w14:textId="77777777" w:rsidR="00B1578D" w:rsidRDefault="00B1578D">
            <w:pPr>
              <w:rPr>
                <w:rFonts w:ascii="宋体"/>
                <w:vanish/>
              </w:rPr>
            </w:pPr>
          </w:p>
        </w:tc>
        <w:tc>
          <w:tcPr>
            <w:tcW w:w="0" w:type="auto"/>
            <w:gridSpan w:val="3"/>
            <w:shd w:val="clear" w:color="auto" w:fill="auto"/>
            <w:vAlign w:val="bottom"/>
          </w:tcPr>
          <w:p w14:paraId="5DEC5A51" w14:textId="77777777" w:rsidR="00B1578D" w:rsidRDefault="00B1578D">
            <w:pPr>
              <w:rPr>
                <w:rFonts w:ascii="宋体"/>
                <w:vanish/>
              </w:rPr>
            </w:pPr>
          </w:p>
        </w:tc>
        <w:tc>
          <w:tcPr>
            <w:tcW w:w="0" w:type="auto"/>
            <w:gridSpan w:val="3"/>
            <w:shd w:val="clear" w:color="auto" w:fill="auto"/>
            <w:vAlign w:val="bottom"/>
          </w:tcPr>
          <w:p w14:paraId="5DEC5A52" w14:textId="77777777" w:rsidR="00B1578D" w:rsidRDefault="00B1578D">
            <w:pPr>
              <w:rPr>
                <w:rFonts w:ascii="宋体"/>
                <w:vanish/>
              </w:rPr>
            </w:pPr>
          </w:p>
        </w:tc>
        <w:tc>
          <w:tcPr>
            <w:tcW w:w="0" w:type="auto"/>
            <w:gridSpan w:val="3"/>
            <w:shd w:val="clear" w:color="auto" w:fill="auto"/>
            <w:vAlign w:val="bottom"/>
          </w:tcPr>
          <w:p w14:paraId="5DEC5A53" w14:textId="77777777" w:rsidR="00B1578D" w:rsidRDefault="00B1578D">
            <w:pPr>
              <w:rPr>
                <w:rFonts w:ascii="宋体"/>
                <w:vanish/>
              </w:rPr>
            </w:pPr>
          </w:p>
        </w:tc>
        <w:tc>
          <w:tcPr>
            <w:tcW w:w="0" w:type="auto"/>
            <w:shd w:val="clear" w:color="auto" w:fill="auto"/>
            <w:vAlign w:val="bottom"/>
          </w:tcPr>
          <w:p w14:paraId="5DEC5A54" w14:textId="77777777" w:rsidR="00B1578D" w:rsidRDefault="00B1578D">
            <w:pPr>
              <w:rPr>
                <w:rFonts w:ascii="宋体"/>
                <w:vanish/>
              </w:rPr>
            </w:pPr>
          </w:p>
        </w:tc>
        <w:tc>
          <w:tcPr>
            <w:tcW w:w="0" w:type="auto"/>
            <w:shd w:val="clear" w:color="auto" w:fill="auto"/>
            <w:vAlign w:val="bottom"/>
          </w:tcPr>
          <w:p w14:paraId="5DEC5A55" w14:textId="77777777" w:rsidR="00B1578D" w:rsidRDefault="00B1578D">
            <w:pPr>
              <w:rPr>
                <w:rFonts w:ascii="宋体"/>
                <w:vanish/>
              </w:rPr>
            </w:pPr>
          </w:p>
        </w:tc>
        <w:tc>
          <w:tcPr>
            <w:tcW w:w="0" w:type="auto"/>
            <w:shd w:val="clear" w:color="auto" w:fill="auto"/>
            <w:vAlign w:val="bottom"/>
          </w:tcPr>
          <w:p w14:paraId="5DEC5A56" w14:textId="77777777" w:rsidR="00B1578D" w:rsidRDefault="00B1578D">
            <w:pPr>
              <w:rPr>
                <w:rFonts w:ascii="宋体"/>
                <w:vanish/>
              </w:rPr>
            </w:pPr>
          </w:p>
        </w:tc>
      </w:tr>
      <w:tr w:rsidR="00B1578D" w14:paraId="5DEC5A6B" w14:textId="77777777">
        <w:trPr>
          <w:jc w:val="center"/>
          <w:hidden/>
        </w:trPr>
        <w:tc>
          <w:tcPr>
            <w:tcW w:w="0" w:type="auto"/>
            <w:gridSpan w:val="3"/>
            <w:shd w:val="clear" w:color="auto" w:fill="auto"/>
            <w:vAlign w:val="bottom"/>
          </w:tcPr>
          <w:p w14:paraId="5DEC5A58" w14:textId="77777777" w:rsidR="00B1578D" w:rsidRDefault="00B1578D">
            <w:pPr>
              <w:rPr>
                <w:rFonts w:ascii="宋体"/>
                <w:vanish/>
              </w:rPr>
            </w:pPr>
          </w:p>
        </w:tc>
        <w:tc>
          <w:tcPr>
            <w:tcW w:w="0" w:type="auto"/>
            <w:gridSpan w:val="3"/>
            <w:shd w:val="clear" w:color="auto" w:fill="auto"/>
            <w:vAlign w:val="bottom"/>
          </w:tcPr>
          <w:p w14:paraId="5DEC5A59" w14:textId="77777777" w:rsidR="00B1578D" w:rsidRDefault="00B1578D">
            <w:pPr>
              <w:rPr>
                <w:rFonts w:ascii="宋体"/>
                <w:vanish/>
              </w:rPr>
            </w:pPr>
          </w:p>
        </w:tc>
        <w:tc>
          <w:tcPr>
            <w:tcW w:w="0" w:type="auto"/>
            <w:gridSpan w:val="3"/>
            <w:shd w:val="clear" w:color="auto" w:fill="auto"/>
            <w:vAlign w:val="bottom"/>
          </w:tcPr>
          <w:p w14:paraId="5DEC5A5A" w14:textId="77777777" w:rsidR="00B1578D" w:rsidRDefault="00B1578D">
            <w:pPr>
              <w:rPr>
                <w:rFonts w:ascii="宋体"/>
                <w:vanish/>
              </w:rPr>
            </w:pPr>
          </w:p>
        </w:tc>
        <w:tc>
          <w:tcPr>
            <w:tcW w:w="0" w:type="auto"/>
            <w:gridSpan w:val="3"/>
            <w:shd w:val="clear" w:color="auto" w:fill="auto"/>
            <w:vAlign w:val="bottom"/>
          </w:tcPr>
          <w:p w14:paraId="5DEC5A5B" w14:textId="77777777" w:rsidR="00B1578D" w:rsidRDefault="00B1578D">
            <w:pPr>
              <w:rPr>
                <w:rFonts w:ascii="宋体"/>
                <w:vanish/>
              </w:rPr>
            </w:pPr>
          </w:p>
        </w:tc>
        <w:tc>
          <w:tcPr>
            <w:tcW w:w="0" w:type="auto"/>
            <w:gridSpan w:val="3"/>
            <w:shd w:val="clear" w:color="auto" w:fill="auto"/>
            <w:vAlign w:val="bottom"/>
          </w:tcPr>
          <w:p w14:paraId="5DEC5A5C" w14:textId="77777777" w:rsidR="00B1578D" w:rsidRDefault="00B1578D">
            <w:pPr>
              <w:rPr>
                <w:rFonts w:ascii="宋体"/>
                <w:vanish/>
              </w:rPr>
            </w:pPr>
          </w:p>
        </w:tc>
        <w:tc>
          <w:tcPr>
            <w:tcW w:w="0" w:type="auto"/>
            <w:gridSpan w:val="3"/>
            <w:shd w:val="clear" w:color="auto" w:fill="auto"/>
            <w:vAlign w:val="bottom"/>
          </w:tcPr>
          <w:p w14:paraId="5DEC5A5D" w14:textId="77777777" w:rsidR="00B1578D" w:rsidRDefault="00B1578D">
            <w:pPr>
              <w:rPr>
                <w:rFonts w:ascii="宋体"/>
                <w:vanish/>
              </w:rPr>
            </w:pPr>
          </w:p>
        </w:tc>
        <w:tc>
          <w:tcPr>
            <w:tcW w:w="0" w:type="auto"/>
            <w:gridSpan w:val="3"/>
            <w:shd w:val="clear" w:color="auto" w:fill="auto"/>
            <w:vAlign w:val="bottom"/>
          </w:tcPr>
          <w:p w14:paraId="5DEC5A5E" w14:textId="77777777" w:rsidR="00B1578D" w:rsidRDefault="00B1578D">
            <w:pPr>
              <w:rPr>
                <w:rFonts w:ascii="宋体"/>
                <w:vanish/>
              </w:rPr>
            </w:pPr>
          </w:p>
        </w:tc>
        <w:tc>
          <w:tcPr>
            <w:tcW w:w="0" w:type="auto"/>
            <w:gridSpan w:val="3"/>
            <w:shd w:val="clear" w:color="auto" w:fill="auto"/>
            <w:vAlign w:val="bottom"/>
          </w:tcPr>
          <w:p w14:paraId="5DEC5A5F" w14:textId="77777777" w:rsidR="00B1578D" w:rsidRDefault="00B1578D">
            <w:pPr>
              <w:rPr>
                <w:rFonts w:ascii="宋体"/>
                <w:vanish/>
              </w:rPr>
            </w:pPr>
          </w:p>
        </w:tc>
        <w:tc>
          <w:tcPr>
            <w:tcW w:w="0" w:type="auto"/>
            <w:gridSpan w:val="3"/>
            <w:shd w:val="clear" w:color="auto" w:fill="auto"/>
            <w:vAlign w:val="bottom"/>
          </w:tcPr>
          <w:p w14:paraId="5DEC5A60" w14:textId="77777777" w:rsidR="00B1578D" w:rsidRDefault="00B1578D">
            <w:pPr>
              <w:rPr>
                <w:rFonts w:ascii="宋体"/>
                <w:vanish/>
              </w:rPr>
            </w:pPr>
          </w:p>
        </w:tc>
        <w:tc>
          <w:tcPr>
            <w:tcW w:w="0" w:type="auto"/>
            <w:gridSpan w:val="3"/>
            <w:shd w:val="clear" w:color="auto" w:fill="auto"/>
            <w:vAlign w:val="bottom"/>
          </w:tcPr>
          <w:p w14:paraId="5DEC5A61" w14:textId="77777777" w:rsidR="00B1578D" w:rsidRDefault="00B1578D">
            <w:pPr>
              <w:rPr>
                <w:rFonts w:ascii="宋体"/>
                <w:vanish/>
              </w:rPr>
            </w:pPr>
          </w:p>
        </w:tc>
        <w:tc>
          <w:tcPr>
            <w:tcW w:w="0" w:type="auto"/>
            <w:gridSpan w:val="3"/>
            <w:shd w:val="clear" w:color="auto" w:fill="auto"/>
            <w:vAlign w:val="bottom"/>
          </w:tcPr>
          <w:p w14:paraId="5DEC5A62" w14:textId="77777777" w:rsidR="00B1578D" w:rsidRDefault="00B1578D">
            <w:pPr>
              <w:rPr>
                <w:rFonts w:ascii="宋体"/>
                <w:vanish/>
              </w:rPr>
            </w:pPr>
          </w:p>
        </w:tc>
        <w:tc>
          <w:tcPr>
            <w:tcW w:w="0" w:type="auto"/>
            <w:gridSpan w:val="3"/>
            <w:shd w:val="clear" w:color="auto" w:fill="auto"/>
            <w:vAlign w:val="bottom"/>
          </w:tcPr>
          <w:p w14:paraId="5DEC5A63" w14:textId="77777777" w:rsidR="00B1578D" w:rsidRDefault="00B1578D">
            <w:pPr>
              <w:rPr>
                <w:rFonts w:ascii="宋体"/>
                <w:vanish/>
              </w:rPr>
            </w:pPr>
          </w:p>
        </w:tc>
        <w:tc>
          <w:tcPr>
            <w:tcW w:w="0" w:type="auto"/>
            <w:gridSpan w:val="3"/>
            <w:shd w:val="clear" w:color="auto" w:fill="auto"/>
            <w:vAlign w:val="bottom"/>
          </w:tcPr>
          <w:p w14:paraId="5DEC5A64" w14:textId="77777777" w:rsidR="00B1578D" w:rsidRDefault="00B1578D">
            <w:pPr>
              <w:rPr>
                <w:rFonts w:ascii="宋体"/>
                <w:vanish/>
              </w:rPr>
            </w:pPr>
          </w:p>
        </w:tc>
        <w:tc>
          <w:tcPr>
            <w:tcW w:w="0" w:type="auto"/>
            <w:gridSpan w:val="3"/>
            <w:shd w:val="clear" w:color="auto" w:fill="auto"/>
            <w:vAlign w:val="bottom"/>
          </w:tcPr>
          <w:p w14:paraId="5DEC5A65" w14:textId="77777777" w:rsidR="00B1578D" w:rsidRDefault="00B1578D">
            <w:pPr>
              <w:rPr>
                <w:rFonts w:ascii="宋体"/>
                <w:vanish/>
              </w:rPr>
            </w:pPr>
          </w:p>
        </w:tc>
        <w:tc>
          <w:tcPr>
            <w:tcW w:w="0" w:type="auto"/>
            <w:gridSpan w:val="3"/>
            <w:shd w:val="clear" w:color="auto" w:fill="auto"/>
            <w:vAlign w:val="bottom"/>
          </w:tcPr>
          <w:p w14:paraId="5DEC5A66" w14:textId="77777777" w:rsidR="00B1578D" w:rsidRDefault="00B1578D">
            <w:pPr>
              <w:rPr>
                <w:rFonts w:ascii="宋体"/>
                <w:vanish/>
              </w:rPr>
            </w:pPr>
          </w:p>
        </w:tc>
        <w:tc>
          <w:tcPr>
            <w:tcW w:w="0" w:type="auto"/>
            <w:gridSpan w:val="3"/>
            <w:shd w:val="clear" w:color="auto" w:fill="auto"/>
            <w:vAlign w:val="bottom"/>
          </w:tcPr>
          <w:p w14:paraId="5DEC5A67" w14:textId="77777777" w:rsidR="00B1578D" w:rsidRDefault="00B1578D">
            <w:pPr>
              <w:rPr>
                <w:rFonts w:ascii="宋体"/>
                <w:vanish/>
              </w:rPr>
            </w:pPr>
          </w:p>
        </w:tc>
        <w:tc>
          <w:tcPr>
            <w:tcW w:w="0" w:type="auto"/>
            <w:shd w:val="clear" w:color="auto" w:fill="auto"/>
            <w:vAlign w:val="bottom"/>
          </w:tcPr>
          <w:p w14:paraId="5DEC5A68" w14:textId="77777777" w:rsidR="00B1578D" w:rsidRDefault="00B1578D">
            <w:pPr>
              <w:rPr>
                <w:rFonts w:ascii="宋体"/>
                <w:vanish/>
              </w:rPr>
            </w:pPr>
          </w:p>
        </w:tc>
        <w:tc>
          <w:tcPr>
            <w:tcW w:w="0" w:type="auto"/>
            <w:shd w:val="clear" w:color="auto" w:fill="auto"/>
            <w:vAlign w:val="bottom"/>
          </w:tcPr>
          <w:p w14:paraId="5DEC5A69" w14:textId="77777777" w:rsidR="00B1578D" w:rsidRDefault="00B1578D">
            <w:pPr>
              <w:rPr>
                <w:rFonts w:ascii="宋体"/>
                <w:vanish/>
              </w:rPr>
            </w:pPr>
          </w:p>
        </w:tc>
        <w:tc>
          <w:tcPr>
            <w:tcW w:w="0" w:type="auto"/>
            <w:shd w:val="clear" w:color="auto" w:fill="auto"/>
            <w:vAlign w:val="bottom"/>
          </w:tcPr>
          <w:p w14:paraId="5DEC5A6A" w14:textId="77777777" w:rsidR="00B1578D" w:rsidRDefault="00B1578D">
            <w:pPr>
              <w:rPr>
                <w:rFonts w:ascii="宋体"/>
                <w:vanish/>
              </w:rPr>
            </w:pPr>
          </w:p>
        </w:tc>
      </w:tr>
      <w:tr w:rsidR="00B1578D" w14:paraId="5DEC5A7F" w14:textId="77777777">
        <w:trPr>
          <w:jc w:val="center"/>
          <w:hidden/>
        </w:trPr>
        <w:tc>
          <w:tcPr>
            <w:tcW w:w="0" w:type="auto"/>
            <w:gridSpan w:val="3"/>
            <w:shd w:val="clear" w:color="auto" w:fill="auto"/>
            <w:vAlign w:val="bottom"/>
          </w:tcPr>
          <w:p w14:paraId="5DEC5A6C" w14:textId="77777777" w:rsidR="00B1578D" w:rsidRDefault="00B1578D">
            <w:pPr>
              <w:rPr>
                <w:rFonts w:ascii="宋体"/>
                <w:vanish/>
              </w:rPr>
            </w:pPr>
          </w:p>
        </w:tc>
        <w:tc>
          <w:tcPr>
            <w:tcW w:w="0" w:type="auto"/>
            <w:gridSpan w:val="3"/>
            <w:shd w:val="clear" w:color="auto" w:fill="auto"/>
            <w:vAlign w:val="bottom"/>
          </w:tcPr>
          <w:p w14:paraId="5DEC5A6D" w14:textId="77777777" w:rsidR="00B1578D" w:rsidRDefault="00B1578D">
            <w:pPr>
              <w:rPr>
                <w:rFonts w:ascii="宋体"/>
                <w:vanish/>
              </w:rPr>
            </w:pPr>
          </w:p>
        </w:tc>
        <w:tc>
          <w:tcPr>
            <w:tcW w:w="0" w:type="auto"/>
            <w:gridSpan w:val="3"/>
            <w:shd w:val="clear" w:color="auto" w:fill="auto"/>
            <w:vAlign w:val="bottom"/>
          </w:tcPr>
          <w:p w14:paraId="5DEC5A6E" w14:textId="77777777" w:rsidR="00B1578D" w:rsidRDefault="00B1578D">
            <w:pPr>
              <w:rPr>
                <w:rFonts w:ascii="宋体"/>
                <w:vanish/>
              </w:rPr>
            </w:pPr>
          </w:p>
        </w:tc>
        <w:tc>
          <w:tcPr>
            <w:tcW w:w="0" w:type="auto"/>
            <w:gridSpan w:val="3"/>
            <w:shd w:val="clear" w:color="auto" w:fill="auto"/>
            <w:vAlign w:val="bottom"/>
          </w:tcPr>
          <w:p w14:paraId="5DEC5A6F" w14:textId="77777777" w:rsidR="00B1578D" w:rsidRDefault="00B1578D">
            <w:pPr>
              <w:rPr>
                <w:rFonts w:ascii="宋体"/>
                <w:vanish/>
              </w:rPr>
            </w:pPr>
          </w:p>
        </w:tc>
        <w:tc>
          <w:tcPr>
            <w:tcW w:w="0" w:type="auto"/>
            <w:gridSpan w:val="3"/>
            <w:shd w:val="clear" w:color="auto" w:fill="auto"/>
            <w:vAlign w:val="bottom"/>
          </w:tcPr>
          <w:p w14:paraId="5DEC5A70" w14:textId="77777777" w:rsidR="00B1578D" w:rsidRDefault="00B1578D">
            <w:pPr>
              <w:rPr>
                <w:rFonts w:ascii="宋体"/>
                <w:vanish/>
              </w:rPr>
            </w:pPr>
          </w:p>
        </w:tc>
        <w:tc>
          <w:tcPr>
            <w:tcW w:w="0" w:type="auto"/>
            <w:gridSpan w:val="3"/>
            <w:shd w:val="clear" w:color="auto" w:fill="auto"/>
            <w:vAlign w:val="bottom"/>
          </w:tcPr>
          <w:p w14:paraId="5DEC5A71" w14:textId="77777777" w:rsidR="00B1578D" w:rsidRDefault="00B1578D">
            <w:pPr>
              <w:rPr>
                <w:rFonts w:ascii="宋体"/>
                <w:vanish/>
              </w:rPr>
            </w:pPr>
          </w:p>
        </w:tc>
        <w:tc>
          <w:tcPr>
            <w:tcW w:w="0" w:type="auto"/>
            <w:gridSpan w:val="3"/>
            <w:shd w:val="clear" w:color="auto" w:fill="auto"/>
            <w:vAlign w:val="bottom"/>
          </w:tcPr>
          <w:p w14:paraId="5DEC5A72" w14:textId="77777777" w:rsidR="00B1578D" w:rsidRDefault="00B1578D">
            <w:pPr>
              <w:rPr>
                <w:rFonts w:ascii="宋体"/>
                <w:vanish/>
              </w:rPr>
            </w:pPr>
          </w:p>
        </w:tc>
        <w:tc>
          <w:tcPr>
            <w:tcW w:w="0" w:type="auto"/>
            <w:gridSpan w:val="3"/>
            <w:shd w:val="clear" w:color="auto" w:fill="auto"/>
            <w:vAlign w:val="bottom"/>
          </w:tcPr>
          <w:p w14:paraId="5DEC5A73" w14:textId="77777777" w:rsidR="00B1578D" w:rsidRDefault="00B1578D">
            <w:pPr>
              <w:rPr>
                <w:rFonts w:ascii="宋体"/>
                <w:vanish/>
              </w:rPr>
            </w:pPr>
          </w:p>
        </w:tc>
        <w:tc>
          <w:tcPr>
            <w:tcW w:w="0" w:type="auto"/>
            <w:gridSpan w:val="3"/>
            <w:shd w:val="clear" w:color="auto" w:fill="auto"/>
            <w:vAlign w:val="bottom"/>
          </w:tcPr>
          <w:p w14:paraId="5DEC5A74" w14:textId="77777777" w:rsidR="00B1578D" w:rsidRDefault="00B1578D">
            <w:pPr>
              <w:rPr>
                <w:rFonts w:ascii="宋体"/>
                <w:vanish/>
              </w:rPr>
            </w:pPr>
          </w:p>
        </w:tc>
        <w:tc>
          <w:tcPr>
            <w:tcW w:w="0" w:type="auto"/>
            <w:gridSpan w:val="3"/>
            <w:shd w:val="clear" w:color="auto" w:fill="auto"/>
            <w:vAlign w:val="bottom"/>
          </w:tcPr>
          <w:p w14:paraId="5DEC5A75" w14:textId="77777777" w:rsidR="00B1578D" w:rsidRDefault="00B1578D">
            <w:pPr>
              <w:rPr>
                <w:rFonts w:ascii="宋体"/>
                <w:vanish/>
              </w:rPr>
            </w:pPr>
          </w:p>
        </w:tc>
        <w:tc>
          <w:tcPr>
            <w:tcW w:w="0" w:type="auto"/>
            <w:gridSpan w:val="3"/>
            <w:shd w:val="clear" w:color="auto" w:fill="auto"/>
            <w:vAlign w:val="bottom"/>
          </w:tcPr>
          <w:p w14:paraId="5DEC5A76" w14:textId="77777777" w:rsidR="00B1578D" w:rsidRDefault="00B1578D">
            <w:pPr>
              <w:rPr>
                <w:rFonts w:ascii="宋体"/>
                <w:vanish/>
              </w:rPr>
            </w:pPr>
          </w:p>
        </w:tc>
        <w:tc>
          <w:tcPr>
            <w:tcW w:w="0" w:type="auto"/>
            <w:gridSpan w:val="3"/>
            <w:shd w:val="clear" w:color="auto" w:fill="auto"/>
            <w:vAlign w:val="bottom"/>
          </w:tcPr>
          <w:p w14:paraId="5DEC5A77" w14:textId="77777777" w:rsidR="00B1578D" w:rsidRDefault="00B1578D">
            <w:pPr>
              <w:rPr>
                <w:rFonts w:ascii="宋体"/>
                <w:vanish/>
              </w:rPr>
            </w:pPr>
          </w:p>
        </w:tc>
        <w:tc>
          <w:tcPr>
            <w:tcW w:w="0" w:type="auto"/>
            <w:gridSpan w:val="3"/>
            <w:shd w:val="clear" w:color="auto" w:fill="auto"/>
            <w:vAlign w:val="bottom"/>
          </w:tcPr>
          <w:p w14:paraId="5DEC5A78" w14:textId="77777777" w:rsidR="00B1578D" w:rsidRDefault="00B1578D">
            <w:pPr>
              <w:rPr>
                <w:rFonts w:ascii="宋体"/>
                <w:vanish/>
              </w:rPr>
            </w:pPr>
          </w:p>
        </w:tc>
        <w:tc>
          <w:tcPr>
            <w:tcW w:w="0" w:type="auto"/>
            <w:gridSpan w:val="3"/>
            <w:shd w:val="clear" w:color="auto" w:fill="auto"/>
            <w:vAlign w:val="bottom"/>
          </w:tcPr>
          <w:p w14:paraId="5DEC5A79" w14:textId="77777777" w:rsidR="00B1578D" w:rsidRDefault="00B1578D">
            <w:pPr>
              <w:rPr>
                <w:rFonts w:ascii="宋体"/>
                <w:vanish/>
              </w:rPr>
            </w:pPr>
          </w:p>
        </w:tc>
        <w:tc>
          <w:tcPr>
            <w:tcW w:w="0" w:type="auto"/>
            <w:gridSpan w:val="3"/>
            <w:shd w:val="clear" w:color="auto" w:fill="auto"/>
            <w:vAlign w:val="bottom"/>
          </w:tcPr>
          <w:p w14:paraId="5DEC5A7A" w14:textId="77777777" w:rsidR="00B1578D" w:rsidRDefault="00B1578D">
            <w:pPr>
              <w:rPr>
                <w:rFonts w:ascii="宋体"/>
                <w:vanish/>
              </w:rPr>
            </w:pPr>
          </w:p>
        </w:tc>
        <w:tc>
          <w:tcPr>
            <w:tcW w:w="0" w:type="auto"/>
            <w:gridSpan w:val="3"/>
            <w:shd w:val="clear" w:color="auto" w:fill="auto"/>
            <w:vAlign w:val="bottom"/>
          </w:tcPr>
          <w:p w14:paraId="5DEC5A7B" w14:textId="77777777" w:rsidR="00B1578D" w:rsidRDefault="00B1578D">
            <w:pPr>
              <w:rPr>
                <w:rFonts w:ascii="宋体"/>
                <w:vanish/>
              </w:rPr>
            </w:pPr>
          </w:p>
        </w:tc>
        <w:tc>
          <w:tcPr>
            <w:tcW w:w="0" w:type="auto"/>
            <w:shd w:val="clear" w:color="auto" w:fill="auto"/>
            <w:vAlign w:val="bottom"/>
          </w:tcPr>
          <w:p w14:paraId="5DEC5A7C" w14:textId="77777777" w:rsidR="00B1578D" w:rsidRDefault="00B1578D">
            <w:pPr>
              <w:rPr>
                <w:rFonts w:ascii="宋体"/>
                <w:vanish/>
              </w:rPr>
            </w:pPr>
          </w:p>
        </w:tc>
        <w:tc>
          <w:tcPr>
            <w:tcW w:w="0" w:type="auto"/>
            <w:shd w:val="clear" w:color="auto" w:fill="auto"/>
            <w:vAlign w:val="bottom"/>
          </w:tcPr>
          <w:p w14:paraId="5DEC5A7D" w14:textId="77777777" w:rsidR="00B1578D" w:rsidRDefault="00B1578D">
            <w:pPr>
              <w:rPr>
                <w:rFonts w:ascii="宋体"/>
                <w:vanish/>
              </w:rPr>
            </w:pPr>
          </w:p>
        </w:tc>
        <w:tc>
          <w:tcPr>
            <w:tcW w:w="0" w:type="auto"/>
            <w:shd w:val="clear" w:color="auto" w:fill="auto"/>
            <w:vAlign w:val="bottom"/>
          </w:tcPr>
          <w:p w14:paraId="5DEC5A7E" w14:textId="77777777" w:rsidR="00B1578D" w:rsidRDefault="00B1578D">
            <w:pPr>
              <w:rPr>
                <w:rFonts w:ascii="宋体"/>
                <w:vanish/>
              </w:rPr>
            </w:pPr>
          </w:p>
        </w:tc>
      </w:tr>
      <w:tr w:rsidR="00B1578D" w14:paraId="5DEC5A93" w14:textId="77777777">
        <w:trPr>
          <w:jc w:val="center"/>
          <w:hidden/>
        </w:trPr>
        <w:tc>
          <w:tcPr>
            <w:tcW w:w="0" w:type="auto"/>
            <w:gridSpan w:val="3"/>
            <w:shd w:val="clear" w:color="auto" w:fill="auto"/>
            <w:vAlign w:val="bottom"/>
          </w:tcPr>
          <w:p w14:paraId="5DEC5A80" w14:textId="77777777" w:rsidR="00B1578D" w:rsidRDefault="00B1578D">
            <w:pPr>
              <w:rPr>
                <w:rFonts w:ascii="宋体"/>
                <w:vanish/>
              </w:rPr>
            </w:pPr>
          </w:p>
        </w:tc>
        <w:tc>
          <w:tcPr>
            <w:tcW w:w="0" w:type="auto"/>
            <w:gridSpan w:val="3"/>
            <w:shd w:val="clear" w:color="auto" w:fill="auto"/>
            <w:vAlign w:val="bottom"/>
          </w:tcPr>
          <w:p w14:paraId="5DEC5A81" w14:textId="77777777" w:rsidR="00B1578D" w:rsidRDefault="00B1578D">
            <w:pPr>
              <w:rPr>
                <w:rFonts w:ascii="宋体"/>
                <w:vanish/>
              </w:rPr>
            </w:pPr>
          </w:p>
        </w:tc>
        <w:tc>
          <w:tcPr>
            <w:tcW w:w="0" w:type="auto"/>
            <w:gridSpan w:val="3"/>
            <w:shd w:val="clear" w:color="auto" w:fill="auto"/>
            <w:vAlign w:val="bottom"/>
          </w:tcPr>
          <w:p w14:paraId="5DEC5A82" w14:textId="77777777" w:rsidR="00B1578D" w:rsidRDefault="00B1578D">
            <w:pPr>
              <w:rPr>
                <w:rFonts w:ascii="宋体"/>
                <w:vanish/>
              </w:rPr>
            </w:pPr>
          </w:p>
        </w:tc>
        <w:tc>
          <w:tcPr>
            <w:tcW w:w="0" w:type="auto"/>
            <w:gridSpan w:val="3"/>
            <w:shd w:val="clear" w:color="auto" w:fill="auto"/>
            <w:vAlign w:val="bottom"/>
          </w:tcPr>
          <w:p w14:paraId="5DEC5A83" w14:textId="77777777" w:rsidR="00B1578D" w:rsidRDefault="00B1578D">
            <w:pPr>
              <w:rPr>
                <w:rFonts w:ascii="宋体"/>
                <w:vanish/>
              </w:rPr>
            </w:pPr>
          </w:p>
        </w:tc>
        <w:tc>
          <w:tcPr>
            <w:tcW w:w="0" w:type="auto"/>
            <w:gridSpan w:val="3"/>
            <w:shd w:val="clear" w:color="auto" w:fill="auto"/>
            <w:vAlign w:val="bottom"/>
          </w:tcPr>
          <w:p w14:paraId="5DEC5A84" w14:textId="77777777" w:rsidR="00B1578D" w:rsidRDefault="00B1578D">
            <w:pPr>
              <w:rPr>
                <w:rFonts w:ascii="宋体"/>
                <w:vanish/>
              </w:rPr>
            </w:pPr>
          </w:p>
        </w:tc>
        <w:tc>
          <w:tcPr>
            <w:tcW w:w="0" w:type="auto"/>
            <w:gridSpan w:val="3"/>
            <w:shd w:val="clear" w:color="auto" w:fill="auto"/>
            <w:vAlign w:val="bottom"/>
          </w:tcPr>
          <w:p w14:paraId="5DEC5A85" w14:textId="77777777" w:rsidR="00B1578D" w:rsidRDefault="00B1578D">
            <w:pPr>
              <w:rPr>
                <w:rFonts w:ascii="宋体"/>
                <w:vanish/>
              </w:rPr>
            </w:pPr>
          </w:p>
        </w:tc>
        <w:tc>
          <w:tcPr>
            <w:tcW w:w="0" w:type="auto"/>
            <w:gridSpan w:val="3"/>
            <w:shd w:val="clear" w:color="auto" w:fill="auto"/>
            <w:vAlign w:val="bottom"/>
          </w:tcPr>
          <w:p w14:paraId="5DEC5A86" w14:textId="77777777" w:rsidR="00B1578D" w:rsidRDefault="00B1578D">
            <w:pPr>
              <w:rPr>
                <w:rFonts w:ascii="宋体"/>
                <w:vanish/>
              </w:rPr>
            </w:pPr>
          </w:p>
        </w:tc>
        <w:tc>
          <w:tcPr>
            <w:tcW w:w="0" w:type="auto"/>
            <w:gridSpan w:val="3"/>
            <w:shd w:val="clear" w:color="auto" w:fill="auto"/>
            <w:vAlign w:val="bottom"/>
          </w:tcPr>
          <w:p w14:paraId="5DEC5A87" w14:textId="77777777" w:rsidR="00B1578D" w:rsidRDefault="00B1578D">
            <w:pPr>
              <w:rPr>
                <w:rFonts w:ascii="宋体"/>
                <w:vanish/>
              </w:rPr>
            </w:pPr>
          </w:p>
        </w:tc>
        <w:tc>
          <w:tcPr>
            <w:tcW w:w="0" w:type="auto"/>
            <w:gridSpan w:val="3"/>
            <w:shd w:val="clear" w:color="auto" w:fill="auto"/>
            <w:vAlign w:val="bottom"/>
          </w:tcPr>
          <w:p w14:paraId="5DEC5A88" w14:textId="77777777" w:rsidR="00B1578D" w:rsidRDefault="00B1578D">
            <w:pPr>
              <w:rPr>
                <w:rFonts w:ascii="宋体"/>
                <w:vanish/>
              </w:rPr>
            </w:pPr>
          </w:p>
        </w:tc>
        <w:tc>
          <w:tcPr>
            <w:tcW w:w="0" w:type="auto"/>
            <w:gridSpan w:val="3"/>
            <w:shd w:val="clear" w:color="auto" w:fill="auto"/>
            <w:vAlign w:val="bottom"/>
          </w:tcPr>
          <w:p w14:paraId="5DEC5A89" w14:textId="77777777" w:rsidR="00B1578D" w:rsidRDefault="00B1578D">
            <w:pPr>
              <w:rPr>
                <w:rFonts w:ascii="宋体"/>
                <w:vanish/>
              </w:rPr>
            </w:pPr>
          </w:p>
        </w:tc>
        <w:tc>
          <w:tcPr>
            <w:tcW w:w="0" w:type="auto"/>
            <w:gridSpan w:val="3"/>
            <w:shd w:val="clear" w:color="auto" w:fill="auto"/>
            <w:vAlign w:val="bottom"/>
          </w:tcPr>
          <w:p w14:paraId="5DEC5A8A" w14:textId="77777777" w:rsidR="00B1578D" w:rsidRDefault="00B1578D">
            <w:pPr>
              <w:rPr>
                <w:rFonts w:ascii="宋体"/>
                <w:vanish/>
              </w:rPr>
            </w:pPr>
          </w:p>
        </w:tc>
        <w:tc>
          <w:tcPr>
            <w:tcW w:w="0" w:type="auto"/>
            <w:gridSpan w:val="3"/>
            <w:shd w:val="clear" w:color="auto" w:fill="auto"/>
            <w:vAlign w:val="bottom"/>
          </w:tcPr>
          <w:p w14:paraId="5DEC5A8B" w14:textId="77777777" w:rsidR="00B1578D" w:rsidRDefault="00B1578D">
            <w:pPr>
              <w:rPr>
                <w:rFonts w:ascii="宋体"/>
                <w:vanish/>
              </w:rPr>
            </w:pPr>
          </w:p>
        </w:tc>
        <w:tc>
          <w:tcPr>
            <w:tcW w:w="0" w:type="auto"/>
            <w:gridSpan w:val="3"/>
            <w:shd w:val="clear" w:color="auto" w:fill="auto"/>
            <w:vAlign w:val="bottom"/>
          </w:tcPr>
          <w:p w14:paraId="5DEC5A8C" w14:textId="77777777" w:rsidR="00B1578D" w:rsidRDefault="00B1578D">
            <w:pPr>
              <w:rPr>
                <w:rFonts w:ascii="宋体"/>
                <w:vanish/>
              </w:rPr>
            </w:pPr>
          </w:p>
        </w:tc>
        <w:tc>
          <w:tcPr>
            <w:tcW w:w="0" w:type="auto"/>
            <w:gridSpan w:val="3"/>
            <w:shd w:val="clear" w:color="auto" w:fill="auto"/>
            <w:vAlign w:val="bottom"/>
          </w:tcPr>
          <w:p w14:paraId="5DEC5A8D" w14:textId="77777777" w:rsidR="00B1578D" w:rsidRDefault="00B1578D">
            <w:pPr>
              <w:rPr>
                <w:rFonts w:ascii="宋体"/>
                <w:vanish/>
              </w:rPr>
            </w:pPr>
          </w:p>
        </w:tc>
        <w:tc>
          <w:tcPr>
            <w:tcW w:w="0" w:type="auto"/>
            <w:gridSpan w:val="3"/>
            <w:shd w:val="clear" w:color="auto" w:fill="auto"/>
            <w:vAlign w:val="bottom"/>
          </w:tcPr>
          <w:p w14:paraId="5DEC5A8E" w14:textId="77777777" w:rsidR="00B1578D" w:rsidRDefault="00B1578D">
            <w:pPr>
              <w:rPr>
                <w:rFonts w:ascii="宋体"/>
                <w:vanish/>
              </w:rPr>
            </w:pPr>
          </w:p>
        </w:tc>
        <w:tc>
          <w:tcPr>
            <w:tcW w:w="0" w:type="auto"/>
            <w:gridSpan w:val="3"/>
            <w:shd w:val="clear" w:color="auto" w:fill="auto"/>
            <w:vAlign w:val="bottom"/>
          </w:tcPr>
          <w:p w14:paraId="5DEC5A8F" w14:textId="77777777" w:rsidR="00B1578D" w:rsidRDefault="00B1578D">
            <w:pPr>
              <w:rPr>
                <w:rFonts w:ascii="宋体"/>
                <w:vanish/>
              </w:rPr>
            </w:pPr>
          </w:p>
        </w:tc>
        <w:tc>
          <w:tcPr>
            <w:tcW w:w="0" w:type="auto"/>
            <w:shd w:val="clear" w:color="auto" w:fill="auto"/>
            <w:vAlign w:val="bottom"/>
          </w:tcPr>
          <w:p w14:paraId="5DEC5A90" w14:textId="77777777" w:rsidR="00B1578D" w:rsidRDefault="00B1578D">
            <w:pPr>
              <w:rPr>
                <w:rFonts w:ascii="宋体"/>
                <w:vanish/>
              </w:rPr>
            </w:pPr>
          </w:p>
        </w:tc>
        <w:tc>
          <w:tcPr>
            <w:tcW w:w="0" w:type="auto"/>
            <w:shd w:val="clear" w:color="auto" w:fill="auto"/>
            <w:vAlign w:val="bottom"/>
          </w:tcPr>
          <w:p w14:paraId="5DEC5A91" w14:textId="77777777" w:rsidR="00B1578D" w:rsidRDefault="00B1578D">
            <w:pPr>
              <w:rPr>
                <w:rFonts w:ascii="宋体"/>
                <w:vanish/>
              </w:rPr>
            </w:pPr>
          </w:p>
        </w:tc>
        <w:tc>
          <w:tcPr>
            <w:tcW w:w="0" w:type="auto"/>
            <w:shd w:val="clear" w:color="auto" w:fill="auto"/>
            <w:vAlign w:val="bottom"/>
          </w:tcPr>
          <w:p w14:paraId="5DEC5A92" w14:textId="77777777" w:rsidR="00B1578D" w:rsidRDefault="00B1578D">
            <w:pPr>
              <w:rPr>
                <w:rFonts w:ascii="宋体"/>
                <w:vanish/>
              </w:rPr>
            </w:pPr>
          </w:p>
        </w:tc>
      </w:tr>
      <w:tr w:rsidR="00B1578D" w14:paraId="5DEC5AA7" w14:textId="77777777">
        <w:trPr>
          <w:jc w:val="center"/>
          <w:hidden/>
        </w:trPr>
        <w:tc>
          <w:tcPr>
            <w:tcW w:w="0" w:type="auto"/>
            <w:gridSpan w:val="3"/>
            <w:shd w:val="clear" w:color="auto" w:fill="auto"/>
            <w:vAlign w:val="bottom"/>
          </w:tcPr>
          <w:p w14:paraId="5DEC5A94" w14:textId="77777777" w:rsidR="00B1578D" w:rsidRDefault="00B1578D">
            <w:pPr>
              <w:rPr>
                <w:rFonts w:ascii="宋体"/>
                <w:vanish/>
              </w:rPr>
            </w:pPr>
          </w:p>
        </w:tc>
        <w:tc>
          <w:tcPr>
            <w:tcW w:w="0" w:type="auto"/>
            <w:gridSpan w:val="3"/>
            <w:shd w:val="clear" w:color="auto" w:fill="auto"/>
            <w:vAlign w:val="bottom"/>
          </w:tcPr>
          <w:p w14:paraId="5DEC5A95" w14:textId="77777777" w:rsidR="00B1578D" w:rsidRDefault="00B1578D">
            <w:pPr>
              <w:rPr>
                <w:rFonts w:ascii="宋体"/>
                <w:vanish/>
              </w:rPr>
            </w:pPr>
          </w:p>
        </w:tc>
        <w:tc>
          <w:tcPr>
            <w:tcW w:w="0" w:type="auto"/>
            <w:gridSpan w:val="3"/>
            <w:shd w:val="clear" w:color="auto" w:fill="auto"/>
            <w:vAlign w:val="bottom"/>
          </w:tcPr>
          <w:p w14:paraId="5DEC5A96" w14:textId="77777777" w:rsidR="00B1578D" w:rsidRDefault="00B1578D">
            <w:pPr>
              <w:rPr>
                <w:rFonts w:ascii="宋体"/>
                <w:vanish/>
              </w:rPr>
            </w:pPr>
          </w:p>
        </w:tc>
        <w:tc>
          <w:tcPr>
            <w:tcW w:w="0" w:type="auto"/>
            <w:gridSpan w:val="3"/>
            <w:shd w:val="clear" w:color="auto" w:fill="auto"/>
            <w:vAlign w:val="bottom"/>
          </w:tcPr>
          <w:p w14:paraId="5DEC5A97" w14:textId="77777777" w:rsidR="00B1578D" w:rsidRDefault="00B1578D">
            <w:pPr>
              <w:rPr>
                <w:rFonts w:ascii="宋体"/>
                <w:vanish/>
              </w:rPr>
            </w:pPr>
          </w:p>
        </w:tc>
        <w:tc>
          <w:tcPr>
            <w:tcW w:w="0" w:type="auto"/>
            <w:gridSpan w:val="3"/>
            <w:shd w:val="clear" w:color="auto" w:fill="auto"/>
            <w:vAlign w:val="bottom"/>
          </w:tcPr>
          <w:p w14:paraId="5DEC5A98" w14:textId="77777777" w:rsidR="00B1578D" w:rsidRDefault="00B1578D">
            <w:pPr>
              <w:rPr>
                <w:rFonts w:ascii="宋体"/>
                <w:vanish/>
              </w:rPr>
            </w:pPr>
          </w:p>
        </w:tc>
        <w:tc>
          <w:tcPr>
            <w:tcW w:w="0" w:type="auto"/>
            <w:gridSpan w:val="3"/>
            <w:shd w:val="clear" w:color="auto" w:fill="auto"/>
            <w:vAlign w:val="bottom"/>
          </w:tcPr>
          <w:p w14:paraId="5DEC5A99" w14:textId="77777777" w:rsidR="00B1578D" w:rsidRDefault="00B1578D">
            <w:pPr>
              <w:rPr>
                <w:rFonts w:ascii="宋体"/>
                <w:vanish/>
              </w:rPr>
            </w:pPr>
          </w:p>
        </w:tc>
        <w:tc>
          <w:tcPr>
            <w:tcW w:w="0" w:type="auto"/>
            <w:gridSpan w:val="3"/>
            <w:shd w:val="clear" w:color="auto" w:fill="auto"/>
            <w:vAlign w:val="bottom"/>
          </w:tcPr>
          <w:p w14:paraId="5DEC5A9A" w14:textId="77777777" w:rsidR="00B1578D" w:rsidRDefault="00B1578D">
            <w:pPr>
              <w:rPr>
                <w:rFonts w:ascii="宋体"/>
                <w:vanish/>
              </w:rPr>
            </w:pPr>
          </w:p>
        </w:tc>
        <w:tc>
          <w:tcPr>
            <w:tcW w:w="0" w:type="auto"/>
            <w:gridSpan w:val="3"/>
            <w:shd w:val="clear" w:color="auto" w:fill="auto"/>
            <w:vAlign w:val="bottom"/>
          </w:tcPr>
          <w:p w14:paraId="5DEC5A9B" w14:textId="77777777" w:rsidR="00B1578D" w:rsidRDefault="00B1578D">
            <w:pPr>
              <w:rPr>
                <w:rFonts w:ascii="宋体"/>
                <w:vanish/>
              </w:rPr>
            </w:pPr>
          </w:p>
        </w:tc>
        <w:tc>
          <w:tcPr>
            <w:tcW w:w="0" w:type="auto"/>
            <w:gridSpan w:val="3"/>
            <w:shd w:val="clear" w:color="auto" w:fill="auto"/>
            <w:vAlign w:val="bottom"/>
          </w:tcPr>
          <w:p w14:paraId="5DEC5A9C" w14:textId="77777777" w:rsidR="00B1578D" w:rsidRDefault="00B1578D">
            <w:pPr>
              <w:rPr>
                <w:rFonts w:ascii="宋体"/>
                <w:vanish/>
              </w:rPr>
            </w:pPr>
          </w:p>
        </w:tc>
        <w:tc>
          <w:tcPr>
            <w:tcW w:w="0" w:type="auto"/>
            <w:gridSpan w:val="3"/>
            <w:shd w:val="clear" w:color="auto" w:fill="auto"/>
            <w:vAlign w:val="bottom"/>
          </w:tcPr>
          <w:p w14:paraId="5DEC5A9D" w14:textId="77777777" w:rsidR="00B1578D" w:rsidRDefault="00B1578D">
            <w:pPr>
              <w:rPr>
                <w:rFonts w:ascii="宋体"/>
                <w:vanish/>
              </w:rPr>
            </w:pPr>
          </w:p>
        </w:tc>
        <w:tc>
          <w:tcPr>
            <w:tcW w:w="0" w:type="auto"/>
            <w:gridSpan w:val="3"/>
            <w:shd w:val="clear" w:color="auto" w:fill="auto"/>
            <w:vAlign w:val="bottom"/>
          </w:tcPr>
          <w:p w14:paraId="5DEC5A9E" w14:textId="77777777" w:rsidR="00B1578D" w:rsidRDefault="00B1578D">
            <w:pPr>
              <w:rPr>
                <w:rFonts w:ascii="宋体"/>
                <w:vanish/>
              </w:rPr>
            </w:pPr>
          </w:p>
        </w:tc>
        <w:tc>
          <w:tcPr>
            <w:tcW w:w="0" w:type="auto"/>
            <w:gridSpan w:val="3"/>
            <w:shd w:val="clear" w:color="auto" w:fill="auto"/>
            <w:vAlign w:val="bottom"/>
          </w:tcPr>
          <w:p w14:paraId="5DEC5A9F" w14:textId="77777777" w:rsidR="00B1578D" w:rsidRDefault="00B1578D">
            <w:pPr>
              <w:rPr>
                <w:rFonts w:ascii="宋体"/>
                <w:vanish/>
              </w:rPr>
            </w:pPr>
          </w:p>
        </w:tc>
        <w:tc>
          <w:tcPr>
            <w:tcW w:w="0" w:type="auto"/>
            <w:gridSpan w:val="3"/>
            <w:shd w:val="clear" w:color="auto" w:fill="auto"/>
            <w:vAlign w:val="bottom"/>
          </w:tcPr>
          <w:p w14:paraId="5DEC5AA0" w14:textId="77777777" w:rsidR="00B1578D" w:rsidRDefault="00B1578D">
            <w:pPr>
              <w:rPr>
                <w:rFonts w:ascii="宋体"/>
                <w:vanish/>
              </w:rPr>
            </w:pPr>
          </w:p>
        </w:tc>
        <w:tc>
          <w:tcPr>
            <w:tcW w:w="0" w:type="auto"/>
            <w:gridSpan w:val="3"/>
            <w:shd w:val="clear" w:color="auto" w:fill="auto"/>
            <w:vAlign w:val="bottom"/>
          </w:tcPr>
          <w:p w14:paraId="5DEC5AA1" w14:textId="77777777" w:rsidR="00B1578D" w:rsidRDefault="00B1578D">
            <w:pPr>
              <w:rPr>
                <w:rFonts w:ascii="宋体"/>
                <w:vanish/>
              </w:rPr>
            </w:pPr>
          </w:p>
        </w:tc>
        <w:tc>
          <w:tcPr>
            <w:tcW w:w="0" w:type="auto"/>
            <w:gridSpan w:val="3"/>
            <w:shd w:val="clear" w:color="auto" w:fill="auto"/>
            <w:vAlign w:val="bottom"/>
          </w:tcPr>
          <w:p w14:paraId="5DEC5AA2" w14:textId="77777777" w:rsidR="00B1578D" w:rsidRDefault="00B1578D">
            <w:pPr>
              <w:rPr>
                <w:rFonts w:ascii="宋体"/>
                <w:vanish/>
              </w:rPr>
            </w:pPr>
          </w:p>
        </w:tc>
        <w:tc>
          <w:tcPr>
            <w:tcW w:w="0" w:type="auto"/>
            <w:gridSpan w:val="3"/>
            <w:shd w:val="clear" w:color="auto" w:fill="auto"/>
            <w:vAlign w:val="bottom"/>
          </w:tcPr>
          <w:p w14:paraId="5DEC5AA3" w14:textId="77777777" w:rsidR="00B1578D" w:rsidRDefault="00B1578D">
            <w:pPr>
              <w:rPr>
                <w:rFonts w:ascii="宋体"/>
                <w:vanish/>
              </w:rPr>
            </w:pPr>
          </w:p>
        </w:tc>
        <w:tc>
          <w:tcPr>
            <w:tcW w:w="0" w:type="auto"/>
            <w:shd w:val="clear" w:color="auto" w:fill="auto"/>
            <w:vAlign w:val="bottom"/>
          </w:tcPr>
          <w:p w14:paraId="5DEC5AA4" w14:textId="77777777" w:rsidR="00B1578D" w:rsidRDefault="00B1578D">
            <w:pPr>
              <w:rPr>
                <w:rFonts w:ascii="宋体"/>
                <w:vanish/>
              </w:rPr>
            </w:pPr>
          </w:p>
        </w:tc>
        <w:tc>
          <w:tcPr>
            <w:tcW w:w="0" w:type="auto"/>
            <w:shd w:val="clear" w:color="auto" w:fill="auto"/>
            <w:vAlign w:val="bottom"/>
          </w:tcPr>
          <w:p w14:paraId="5DEC5AA5" w14:textId="77777777" w:rsidR="00B1578D" w:rsidRDefault="00B1578D">
            <w:pPr>
              <w:rPr>
                <w:rFonts w:ascii="宋体"/>
                <w:vanish/>
              </w:rPr>
            </w:pPr>
          </w:p>
        </w:tc>
        <w:tc>
          <w:tcPr>
            <w:tcW w:w="0" w:type="auto"/>
            <w:shd w:val="clear" w:color="auto" w:fill="auto"/>
            <w:vAlign w:val="bottom"/>
          </w:tcPr>
          <w:p w14:paraId="5DEC5AA6" w14:textId="77777777" w:rsidR="00B1578D" w:rsidRDefault="00B1578D">
            <w:pPr>
              <w:rPr>
                <w:rFonts w:ascii="宋体"/>
                <w:vanish/>
              </w:rPr>
            </w:pPr>
          </w:p>
        </w:tc>
      </w:tr>
      <w:tr w:rsidR="00B1578D" w14:paraId="5DEC5ABB" w14:textId="77777777">
        <w:trPr>
          <w:jc w:val="center"/>
          <w:hidden/>
        </w:trPr>
        <w:tc>
          <w:tcPr>
            <w:tcW w:w="0" w:type="auto"/>
            <w:gridSpan w:val="3"/>
            <w:shd w:val="clear" w:color="auto" w:fill="auto"/>
            <w:vAlign w:val="bottom"/>
          </w:tcPr>
          <w:p w14:paraId="5DEC5AA8" w14:textId="77777777" w:rsidR="00B1578D" w:rsidRDefault="00B1578D">
            <w:pPr>
              <w:rPr>
                <w:rFonts w:ascii="宋体"/>
                <w:vanish/>
              </w:rPr>
            </w:pPr>
          </w:p>
        </w:tc>
        <w:tc>
          <w:tcPr>
            <w:tcW w:w="0" w:type="auto"/>
            <w:gridSpan w:val="3"/>
            <w:shd w:val="clear" w:color="auto" w:fill="auto"/>
            <w:vAlign w:val="bottom"/>
          </w:tcPr>
          <w:p w14:paraId="5DEC5AA9" w14:textId="77777777" w:rsidR="00B1578D" w:rsidRDefault="00B1578D">
            <w:pPr>
              <w:rPr>
                <w:rFonts w:ascii="宋体"/>
                <w:vanish/>
              </w:rPr>
            </w:pPr>
          </w:p>
        </w:tc>
        <w:tc>
          <w:tcPr>
            <w:tcW w:w="0" w:type="auto"/>
            <w:gridSpan w:val="3"/>
            <w:shd w:val="clear" w:color="auto" w:fill="auto"/>
            <w:vAlign w:val="bottom"/>
          </w:tcPr>
          <w:p w14:paraId="5DEC5AAA" w14:textId="77777777" w:rsidR="00B1578D" w:rsidRDefault="00B1578D">
            <w:pPr>
              <w:rPr>
                <w:rFonts w:ascii="宋体"/>
                <w:vanish/>
              </w:rPr>
            </w:pPr>
          </w:p>
        </w:tc>
        <w:tc>
          <w:tcPr>
            <w:tcW w:w="0" w:type="auto"/>
            <w:gridSpan w:val="3"/>
            <w:shd w:val="clear" w:color="auto" w:fill="auto"/>
            <w:vAlign w:val="bottom"/>
          </w:tcPr>
          <w:p w14:paraId="5DEC5AAB" w14:textId="77777777" w:rsidR="00B1578D" w:rsidRDefault="00B1578D">
            <w:pPr>
              <w:rPr>
                <w:rFonts w:ascii="宋体"/>
                <w:vanish/>
              </w:rPr>
            </w:pPr>
          </w:p>
        </w:tc>
        <w:tc>
          <w:tcPr>
            <w:tcW w:w="0" w:type="auto"/>
            <w:gridSpan w:val="3"/>
            <w:shd w:val="clear" w:color="auto" w:fill="auto"/>
            <w:vAlign w:val="bottom"/>
          </w:tcPr>
          <w:p w14:paraId="5DEC5AAC" w14:textId="77777777" w:rsidR="00B1578D" w:rsidRDefault="00B1578D">
            <w:pPr>
              <w:rPr>
                <w:rFonts w:ascii="宋体"/>
                <w:vanish/>
              </w:rPr>
            </w:pPr>
          </w:p>
        </w:tc>
        <w:tc>
          <w:tcPr>
            <w:tcW w:w="0" w:type="auto"/>
            <w:gridSpan w:val="3"/>
            <w:shd w:val="clear" w:color="auto" w:fill="auto"/>
            <w:vAlign w:val="bottom"/>
          </w:tcPr>
          <w:p w14:paraId="5DEC5AAD" w14:textId="77777777" w:rsidR="00B1578D" w:rsidRDefault="00B1578D">
            <w:pPr>
              <w:rPr>
                <w:rFonts w:ascii="宋体"/>
                <w:vanish/>
              </w:rPr>
            </w:pPr>
          </w:p>
        </w:tc>
        <w:tc>
          <w:tcPr>
            <w:tcW w:w="0" w:type="auto"/>
            <w:gridSpan w:val="3"/>
            <w:shd w:val="clear" w:color="auto" w:fill="auto"/>
            <w:vAlign w:val="bottom"/>
          </w:tcPr>
          <w:p w14:paraId="5DEC5AAE" w14:textId="77777777" w:rsidR="00B1578D" w:rsidRDefault="00B1578D">
            <w:pPr>
              <w:rPr>
                <w:rFonts w:ascii="宋体"/>
                <w:vanish/>
              </w:rPr>
            </w:pPr>
          </w:p>
        </w:tc>
        <w:tc>
          <w:tcPr>
            <w:tcW w:w="0" w:type="auto"/>
            <w:gridSpan w:val="3"/>
            <w:shd w:val="clear" w:color="auto" w:fill="auto"/>
            <w:vAlign w:val="bottom"/>
          </w:tcPr>
          <w:p w14:paraId="5DEC5AAF" w14:textId="77777777" w:rsidR="00B1578D" w:rsidRDefault="00B1578D">
            <w:pPr>
              <w:rPr>
                <w:rFonts w:ascii="宋体"/>
                <w:vanish/>
              </w:rPr>
            </w:pPr>
          </w:p>
        </w:tc>
        <w:tc>
          <w:tcPr>
            <w:tcW w:w="0" w:type="auto"/>
            <w:gridSpan w:val="3"/>
            <w:shd w:val="clear" w:color="auto" w:fill="auto"/>
            <w:vAlign w:val="bottom"/>
          </w:tcPr>
          <w:p w14:paraId="5DEC5AB0" w14:textId="77777777" w:rsidR="00B1578D" w:rsidRDefault="00B1578D">
            <w:pPr>
              <w:rPr>
                <w:rFonts w:ascii="宋体"/>
                <w:vanish/>
              </w:rPr>
            </w:pPr>
          </w:p>
        </w:tc>
        <w:tc>
          <w:tcPr>
            <w:tcW w:w="0" w:type="auto"/>
            <w:gridSpan w:val="3"/>
            <w:shd w:val="clear" w:color="auto" w:fill="auto"/>
            <w:vAlign w:val="bottom"/>
          </w:tcPr>
          <w:p w14:paraId="5DEC5AB1" w14:textId="77777777" w:rsidR="00B1578D" w:rsidRDefault="00B1578D">
            <w:pPr>
              <w:rPr>
                <w:rFonts w:ascii="宋体"/>
                <w:vanish/>
              </w:rPr>
            </w:pPr>
          </w:p>
        </w:tc>
        <w:tc>
          <w:tcPr>
            <w:tcW w:w="0" w:type="auto"/>
            <w:gridSpan w:val="3"/>
            <w:shd w:val="clear" w:color="auto" w:fill="auto"/>
            <w:vAlign w:val="bottom"/>
          </w:tcPr>
          <w:p w14:paraId="5DEC5AB2" w14:textId="77777777" w:rsidR="00B1578D" w:rsidRDefault="00B1578D">
            <w:pPr>
              <w:rPr>
                <w:rFonts w:ascii="宋体"/>
                <w:vanish/>
              </w:rPr>
            </w:pPr>
          </w:p>
        </w:tc>
        <w:tc>
          <w:tcPr>
            <w:tcW w:w="0" w:type="auto"/>
            <w:gridSpan w:val="3"/>
            <w:shd w:val="clear" w:color="auto" w:fill="auto"/>
            <w:vAlign w:val="bottom"/>
          </w:tcPr>
          <w:p w14:paraId="5DEC5AB3" w14:textId="77777777" w:rsidR="00B1578D" w:rsidRDefault="00B1578D">
            <w:pPr>
              <w:rPr>
                <w:rFonts w:ascii="宋体"/>
                <w:vanish/>
              </w:rPr>
            </w:pPr>
          </w:p>
        </w:tc>
        <w:tc>
          <w:tcPr>
            <w:tcW w:w="0" w:type="auto"/>
            <w:gridSpan w:val="3"/>
            <w:shd w:val="clear" w:color="auto" w:fill="auto"/>
            <w:vAlign w:val="bottom"/>
          </w:tcPr>
          <w:p w14:paraId="5DEC5AB4" w14:textId="77777777" w:rsidR="00B1578D" w:rsidRDefault="00B1578D">
            <w:pPr>
              <w:rPr>
                <w:rFonts w:ascii="宋体"/>
                <w:vanish/>
              </w:rPr>
            </w:pPr>
          </w:p>
        </w:tc>
        <w:tc>
          <w:tcPr>
            <w:tcW w:w="0" w:type="auto"/>
            <w:gridSpan w:val="3"/>
            <w:shd w:val="clear" w:color="auto" w:fill="auto"/>
            <w:vAlign w:val="bottom"/>
          </w:tcPr>
          <w:p w14:paraId="5DEC5AB5" w14:textId="77777777" w:rsidR="00B1578D" w:rsidRDefault="00B1578D">
            <w:pPr>
              <w:rPr>
                <w:rFonts w:ascii="宋体"/>
                <w:vanish/>
              </w:rPr>
            </w:pPr>
          </w:p>
        </w:tc>
        <w:tc>
          <w:tcPr>
            <w:tcW w:w="0" w:type="auto"/>
            <w:gridSpan w:val="3"/>
            <w:shd w:val="clear" w:color="auto" w:fill="auto"/>
            <w:vAlign w:val="bottom"/>
          </w:tcPr>
          <w:p w14:paraId="5DEC5AB6" w14:textId="77777777" w:rsidR="00B1578D" w:rsidRDefault="00B1578D">
            <w:pPr>
              <w:rPr>
                <w:rFonts w:ascii="宋体"/>
                <w:vanish/>
              </w:rPr>
            </w:pPr>
          </w:p>
        </w:tc>
        <w:tc>
          <w:tcPr>
            <w:tcW w:w="0" w:type="auto"/>
            <w:gridSpan w:val="3"/>
            <w:shd w:val="clear" w:color="auto" w:fill="auto"/>
            <w:vAlign w:val="bottom"/>
          </w:tcPr>
          <w:p w14:paraId="5DEC5AB7" w14:textId="77777777" w:rsidR="00B1578D" w:rsidRDefault="00B1578D">
            <w:pPr>
              <w:rPr>
                <w:rFonts w:ascii="宋体"/>
                <w:vanish/>
              </w:rPr>
            </w:pPr>
          </w:p>
        </w:tc>
        <w:tc>
          <w:tcPr>
            <w:tcW w:w="0" w:type="auto"/>
            <w:shd w:val="clear" w:color="auto" w:fill="auto"/>
            <w:vAlign w:val="bottom"/>
          </w:tcPr>
          <w:p w14:paraId="5DEC5AB8" w14:textId="77777777" w:rsidR="00B1578D" w:rsidRDefault="00B1578D">
            <w:pPr>
              <w:rPr>
                <w:rFonts w:ascii="宋体"/>
                <w:vanish/>
              </w:rPr>
            </w:pPr>
          </w:p>
        </w:tc>
        <w:tc>
          <w:tcPr>
            <w:tcW w:w="0" w:type="auto"/>
            <w:shd w:val="clear" w:color="auto" w:fill="auto"/>
            <w:vAlign w:val="bottom"/>
          </w:tcPr>
          <w:p w14:paraId="5DEC5AB9" w14:textId="77777777" w:rsidR="00B1578D" w:rsidRDefault="00B1578D">
            <w:pPr>
              <w:rPr>
                <w:rFonts w:ascii="宋体"/>
                <w:vanish/>
              </w:rPr>
            </w:pPr>
          </w:p>
        </w:tc>
        <w:tc>
          <w:tcPr>
            <w:tcW w:w="0" w:type="auto"/>
            <w:shd w:val="clear" w:color="auto" w:fill="auto"/>
            <w:vAlign w:val="bottom"/>
          </w:tcPr>
          <w:p w14:paraId="5DEC5ABA" w14:textId="77777777" w:rsidR="00B1578D" w:rsidRDefault="00B1578D">
            <w:pPr>
              <w:rPr>
                <w:rFonts w:ascii="宋体"/>
                <w:vanish/>
              </w:rPr>
            </w:pPr>
          </w:p>
        </w:tc>
      </w:tr>
      <w:tr w:rsidR="00B1578D" w14:paraId="5DEC5ACF" w14:textId="77777777">
        <w:trPr>
          <w:jc w:val="center"/>
          <w:hidden/>
        </w:trPr>
        <w:tc>
          <w:tcPr>
            <w:tcW w:w="0" w:type="auto"/>
            <w:gridSpan w:val="3"/>
            <w:shd w:val="clear" w:color="auto" w:fill="auto"/>
            <w:vAlign w:val="bottom"/>
          </w:tcPr>
          <w:p w14:paraId="5DEC5ABC" w14:textId="77777777" w:rsidR="00B1578D" w:rsidRDefault="00B1578D">
            <w:pPr>
              <w:rPr>
                <w:rFonts w:ascii="宋体"/>
                <w:vanish/>
              </w:rPr>
            </w:pPr>
          </w:p>
        </w:tc>
        <w:tc>
          <w:tcPr>
            <w:tcW w:w="0" w:type="auto"/>
            <w:gridSpan w:val="3"/>
            <w:shd w:val="clear" w:color="auto" w:fill="auto"/>
            <w:vAlign w:val="bottom"/>
          </w:tcPr>
          <w:p w14:paraId="5DEC5ABD" w14:textId="77777777" w:rsidR="00B1578D" w:rsidRDefault="00B1578D">
            <w:pPr>
              <w:rPr>
                <w:rFonts w:ascii="宋体"/>
                <w:vanish/>
              </w:rPr>
            </w:pPr>
          </w:p>
        </w:tc>
        <w:tc>
          <w:tcPr>
            <w:tcW w:w="0" w:type="auto"/>
            <w:gridSpan w:val="3"/>
            <w:shd w:val="clear" w:color="auto" w:fill="auto"/>
            <w:vAlign w:val="bottom"/>
          </w:tcPr>
          <w:p w14:paraId="5DEC5ABE" w14:textId="77777777" w:rsidR="00B1578D" w:rsidRDefault="00B1578D">
            <w:pPr>
              <w:rPr>
                <w:rFonts w:ascii="宋体"/>
                <w:vanish/>
              </w:rPr>
            </w:pPr>
          </w:p>
        </w:tc>
        <w:tc>
          <w:tcPr>
            <w:tcW w:w="0" w:type="auto"/>
            <w:gridSpan w:val="3"/>
            <w:shd w:val="clear" w:color="auto" w:fill="auto"/>
            <w:vAlign w:val="bottom"/>
          </w:tcPr>
          <w:p w14:paraId="5DEC5ABF" w14:textId="77777777" w:rsidR="00B1578D" w:rsidRDefault="00B1578D">
            <w:pPr>
              <w:rPr>
                <w:rFonts w:ascii="宋体"/>
                <w:vanish/>
              </w:rPr>
            </w:pPr>
          </w:p>
        </w:tc>
        <w:tc>
          <w:tcPr>
            <w:tcW w:w="0" w:type="auto"/>
            <w:gridSpan w:val="3"/>
            <w:shd w:val="clear" w:color="auto" w:fill="auto"/>
            <w:vAlign w:val="bottom"/>
          </w:tcPr>
          <w:p w14:paraId="5DEC5AC0" w14:textId="77777777" w:rsidR="00B1578D" w:rsidRDefault="00B1578D">
            <w:pPr>
              <w:rPr>
                <w:rFonts w:ascii="宋体"/>
                <w:vanish/>
              </w:rPr>
            </w:pPr>
          </w:p>
        </w:tc>
        <w:tc>
          <w:tcPr>
            <w:tcW w:w="0" w:type="auto"/>
            <w:gridSpan w:val="3"/>
            <w:shd w:val="clear" w:color="auto" w:fill="auto"/>
            <w:vAlign w:val="bottom"/>
          </w:tcPr>
          <w:p w14:paraId="5DEC5AC1" w14:textId="77777777" w:rsidR="00B1578D" w:rsidRDefault="00B1578D">
            <w:pPr>
              <w:rPr>
                <w:rFonts w:ascii="宋体"/>
                <w:vanish/>
              </w:rPr>
            </w:pPr>
          </w:p>
        </w:tc>
        <w:tc>
          <w:tcPr>
            <w:tcW w:w="0" w:type="auto"/>
            <w:gridSpan w:val="3"/>
            <w:shd w:val="clear" w:color="auto" w:fill="auto"/>
            <w:vAlign w:val="bottom"/>
          </w:tcPr>
          <w:p w14:paraId="5DEC5AC2" w14:textId="77777777" w:rsidR="00B1578D" w:rsidRDefault="00B1578D">
            <w:pPr>
              <w:rPr>
                <w:rFonts w:ascii="宋体"/>
                <w:vanish/>
              </w:rPr>
            </w:pPr>
          </w:p>
        </w:tc>
        <w:tc>
          <w:tcPr>
            <w:tcW w:w="0" w:type="auto"/>
            <w:gridSpan w:val="3"/>
            <w:shd w:val="clear" w:color="auto" w:fill="auto"/>
            <w:vAlign w:val="bottom"/>
          </w:tcPr>
          <w:p w14:paraId="5DEC5AC3" w14:textId="77777777" w:rsidR="00B1578D" w:rsidRDefault="00B1578D">
            <w:pPr>
              <w:rPr>
                <w:rFonts w:ascii="宋体"/>
                <w:vanish/>
              </w:rPr>
            </w:pPr>
          </w:p>
        </w:tc>
        <w:tc>
          <w:tcPr>
            <w:tcW w:w="0" w:type="auto"/>
            <w:gridSpan w:val="3"/>
            <w:shd w:val="clear" w:color="auto" w:fill="auto"/>
            <w:vAlign w:val="bottom"/>
          </w:tcPr>
          <w:p w14:paraId="5DEC5AC4" w14:textId="77777777" w:rsidR="00B1578D" w:rsidRDefault="00B1578D">
            <w:pPr>
              <w:rPr>
                <w:rFonts w:ascii="宋体"/>
                <w:vanish/>
              </w:rPr>
            </w:pPr>
          </w:p>
        </w:tc>
        <w:tc>
          <w:tcPr>
            <w:tcW w:w="0" w:type="auto"/>
            <w:gridSpan w:val="3"/>
            <w:shd w:val="clear" w:color="auto" w:fill="auto"/>
            <w:vAlign w:val="bottom"/>
          </w:tcPr>
          <w:p w14:paraId="5DEC5AC5" w14:textId="77777777" w:rsidR="00B1578D" w:rsidRDefault="00B1578D">
            <w:pPr>
              <w:rPr>
                <w:rFonts w:ascii="宋体"/>
                <w:vanish/>
              </w:rPr>
            </w:pPr>
          </w:p>
        </w:tc>
        <w:tc>
          <w:tcPr>
            <w:tcW w:w="0" w:type="auto"/>
            <w:gridSpan w:val="3"/>
            <w:shd w:val="clear" w:color="auto" w:fill="auto"/>
            <w:vAlign w:val="bottom"/>
          </w:tcPr>
          <w:p w14:paraId="5DEC5AC6" w14:textId="77777777" w:rsidR="00B1578D" w:rsidRDefault="00B1578D">
            <w:pPr>
              <w:rPr>
                <w:rFonts w:ascii="宋体"/>
                <w:vanish/>
              </w:rPr>
            </w:pPr>
          </w:p>
        </w:tc>
        <w:tc>
          <w:tcPr>
            <w:tcW w:w="0" w:type="auto"/>
            <w:gridSpan w:val="3"/>
            <w:shd w:val="clear" w:color="auto" w:fill="auto"/>
            <w:vAlign w:val="bottom"/>
          </w:tcPr>
          <w:p w14:paraId="5DEC5AC7" w14:textId="77777777" w:rsidR="00B1578D" w:rsidRDefault="00B1578D">
            <w:pPr>
              <w:rPr>
                <w:rFonts w:ascii="宋体"/>
                <w:vanish/>
              </w:rPr>
            </w:pPr>
          </w:p>
        </w:tc>
        <w:tc>
          <w:tcPr>
            <w:tcW w:w="0" w:type="auto"/>
            <w:gridSpan w:val="3"/>
            <w:shd w:val="clear" w:color="auto" w:fill="auto"/>
            <w:vAlign w:val="bottom"/>
          </w:tcPr>
          <w:p w14:paraId="5DEC5AC8" w14:textId="77777777" w:rsidR="00B1578D" w:rsidRDefault="00B1578D">
            <w:pPr>
              <w:rPr>
                <w:rFonts w:ascii="宋体"/>
                <w:vanish/>
              </w:rPr>
            </w:pPr>
          </w:p>
        </w:tc>
        <w:tc>
          <w:tcPr>
            <w:tcW w:w="0" w:type="auto"/>
            <w:gridSpan w:val="3"/>
            <w:shd w:val="clear" w:color="auto" w:fill="auto"/>
            <w:vAlign w:val="bottom"/>
          </w:tcPr>
          <w:p w14:paraId="5DEC5AC9" w14:textId="77777777" w:rsidR="00B1578D" w:rsidRDefault="00B1578D">
            <w:pPr>
              <w:rPr>
                <w:rFonts w:ascii="宋体"/>
                <w:vanish/>
              </w:rPr>
            </w:pPr>
          </w:p>
        </w:tc>
        <w:tc>
          <w:tcPr>
            <w:tcW w:w="0" w:type="auto"/>
            <w:gridSpan w:val="3"/>
            <w:shd w:val="clear" w:color="auto" w:fill="auto"/>
            <w:vAlign w:val="bottom"/>
          </w:tcPr>
          <w:p w14:paraId="5DEC5ACA" w14:textId="77777777" w:rsidR="00B1578D" w:rsidRDefault="00B1578D">
            <w:pPr>
              <w:rPr>
                <w:rFonts w:ascii="宋体"/>
                <w:vanish/>
              </w:rPr>
            </w:pPr>
          </w:p>
        </w:tc>
        <w:tc>
          <w:tcPr>
            <w:tcW w:w="0" w:type="auto"/>
            <w:gridSpan w:val="3"/>
            <w:shd w:val="clear" w:color="auto" w:fill="auto"/>
            <w:vAlign w:val="bottom"/>
          </w:tcPr>
          <w:p w14:paraId="5DEC5ACB" w14:textId="77777777" w:rsidR="00B1578D" w:rsidRDefault="00B1578D">
            <w:pPr>
              <w:rPr>
                <w:rFonts w:ascii="宋体"/>
                <w:vanish/>
              </w:rPr>
            </w:pPr>
          </w:p>
        </w:tc>
        <w:tc>
          <w:tcPr>
            <w:tcW w:w="0" w:type="auto"/>
            <w:shd w:val="clear" w:color="auto" w:fill="auto"/>
            <w:vAlign w:val="bottom"/>
          </w:tcPr>
          <w:p w14:paraId="5DEC5ACC" w14:textId="77777777" w:rsidR="00B1578D" w:rsidRDefault="00B1578D">
            <w:pPr>
              <w:rPr>
                <w:rFonts w:ascii="宋体"/>
                <w:vanish/>
              </w:rPr>
            </w:pPr>
          </w:p>
        </w:tc>
        <w:tc>
          <w:tcPr>
            <w:tcW w:w="0" w:type="auto"/>
            <w:shd w:val="clear" w:color="auto" w:fill="auto"/>
            <w:vAlign w:val="bottom"/>
          </w:tcPr>
          <w:p w14:paraId="5DEC5ACD" w14:textId="77777777" w:rsidR="00B1578D" w:rsidRDefault="00B1578D">
            <w:pPr>
              <w:rPr>
                <w:rFonts w:ascii="宋体"/>
                <w:vanish/>
              </w:rPr>
            </w:pPr>
          </w:p>
        </w:tc>
        <w:tc>
          <w:tcPr>
            <w:tcW w:w="0" w:type="auto"/>
            <w:shd w:val="clear" w:color="auto" w:fill="auto"/>
            <w:vAlign w:val="bottom"/>
          </w:tcPr>
          <w:p w14:paraId="5DEC5ACE" w14:textId="77777777" w:rsidR="00B1578D" w:rsidRDefault="00B1578D">
            <w:pPr>
              <w:rPr>
                <w:rFonts w:ascii="宋体"/>
                <w:vanish/>
              </w:rPr>
            </w:pPr>
          </w:p>
        </w:tc>
      </w:tr>
      <w:tr w:rsidR="00B1578D" w14:paraId="5DEC5AE3" w14:textId="77777777">
        <w:trPr>
          <w:jc w:val="center"/>
          <w:hidden/>
        </w:trPr>
        <w:tc>
          <w:tcPr>
            <w:tcW w:w="0" w:type="auto"/>
            <w:gridSpan w:val="3"/>
            <w:shd w:val="clear" w:color="auto" w:fill="auto"/>
            <w:vAlign w:val="bottom"/>
          </w:tcPr>
          <w:p w14:paraId="5DEC5AD0" w14:textId="77777777" w:rsidR="00B1578D" w:rsidRDefault="00B1578D">
            <w:pPr>
              <w:rPr>
                <w:rFonts w:ascii="宋体"/>
                <w:vanish/>
              </w:rPr>
            </w:pPr>
          </w:p>
        </w:tc>
        <w:tc>
          <w:tcPr>
            <w:tcW w:w="0" w:type="auto"/>
            <w:gridSpan w:val="3"/>
            <w:shd w:val="clear" w:color="auto" w:fill="auto"/>
            <w:vAlign w:val="bottom"/>
          </w:tcPr>
          <w:p w14:paraId="5DEC5AD1" w14:textId="77777777" w:rsidR="00B1578D" w:rsidRDefault="00B1578D">
            <w:pPr>
              <w:rPr>
                <w:rFonts w:ascii="宋体"/>
                <w:vanish/>
              </w:rPr>
            </w:pPr>
          </w:p>
        </w:tc>
        <w:tc>
          <w:tcPr>
            <w:tcW w:w="0" w:type="auto"/>
            <w:gridSpan w:val="3"/>
            <w:shd w:val="clear" w:color="auto" w:fill="auto"/>
            <w:vAlign w:val="bottom"/>
          </w:tcPr>
          <w:p w14:paraId="5DEC5AD2" w14:textId="77777777" w:rsidR="00B1578D" w:rsidRDefault="00B1578D">
            <w:pPr>
              <w:rPr>
                <w:rFonts w:ascii="宋体"/>
                <w:vanish/>
              </w:rPr>
            </w:pPr>
          </w:p>
        </w:tc>
        <w:tc>
          <w:tcPr>
            <w:tcW w:w="0" w:type="auto"/>
            <w:gridSpan w:val="3"/>
            <w:shd w:val="clear" w:color="auto" w:fill="auto"/>
            <w:vAlign w:val="bottom"/>
          </w:tcPr>
          <w:p w14:paraId="5DEC5AD3" w14:textId="77777777" w:rsidR="00B1578D" w:rsidRDefault="00B1578D">
            <w:pPr>
              <w:rPr>
                <w:rFonts w:ascii="宋体"/>
                <w:vanish/>
              </w:rPr>
            </w:pPr>
          </w:p>
        </w:tc>
        <w:tc>
          <w:tcPr>
            <w:tcW w:w="0" w:type="auto"/>
            <w:gridSpan w:val="3"/>
            <w:shd w:val="clear" w:color="auto" w:fill="auto"/>
            <w:vAlign w:val="bottom"/>
          </w:tcPr>
          <w:p w14:paraId="5DEC5AD4" w14:textId="77777777" w:rsidR="00B1578D" w:rsidRDefault="00B1578D">
            <w:pPr>
              <w:rPr>
                <w:rFonts w:ascii="宋体"/>
                <w:vanish/>
              </w:rPr>
            </w:pPr>
          </w:p>
        </w:tc>
        <w:tc>
          <w:tcPr>
            <w:tcW w:w="0" w:type="auto"/>
            <w:gridSpan w:val="3"/>
            <w:shd w:val="clear" w:color="auto" w:fill="auto"/>
            <w:vAlign w:val="bottom"/>
          </w:tcPr>
          <w:p w14:paraId="5DEC5AD5" w14:textId="77777777" w:rsidR="00B1578D" w:rsidRDefault="00B1578D">
            <w:pPr>
              <w:rPr>
                <w:rFonts w:ascii="宋体"/>
                <w:vanish/>
              </w:rPr>
            </w:pPr>
          </w:p>
        </w:tc>
        <w:tc>
          <w:tcPr>
            <w:tcW w:w="0" w:type="auto"/>
            <w:gridSpan w:val="3"/>
            <w:shd w:val="clear" w:color="auto" w:fill="auto"/>
            <w:vAlign w:val="bottom"/>
          </w:tcPr>
          <w:p w14:paraId="5DEC5AD6" w14:textId="77777777" w:rsidR="00B1578D" w:rsidRDefault="00B1578D">
            <w:pPr>
              <w:rPr>
                <w:rFonts w:ascii="宋体"/>
                <w:vanish/>
              </w:rPr>
            </w:pPr>
          </w:p>
        </w:tc>
        <w:tc>
          <w:tcPr>
            <w:tcW w:w="0" w:type="auto"/>
            <w:gridSpan w:val="3"/>
            <w:shd w:val="clear" w:color="auto" w:fill="auto"/>
            <w:vAlign w:val="bottom"/>
          </w:tcPr>
          <w:p w14:paraId="5DEC5AD7" w14:textId="77777777" w:rsidR="00B1578D" w:rsidRDefault="00B1578D">
            <w:pPr>
              <w:rPr>
                <w:rFonts w:ascii="宋体"/>
                <w:vanish/>
              </w:rPr>
            </w:pPr>
          </w:p>
        </w:tc>
        <w:tc>
          <w:tcPr>
            <w:tcW w:w="0" w:type="auto"/>
            <w:gridSpan w:val="3"/>
            <w:shd w:val="clear" w:color="auto" w:fill="auto"/>
            <w:vAlign w:val="bottom"/>
          </w:tcPr>
          <w:p w14:paraId="5DEC5AD8" w14:textId="77777777" w:rsidR="00B1578D" w:rsidRDefault="00B1578D">
            <w:pPr>
              <w:rPr>
                <w:rFonts w:ascii="宋体"/>
                <w:vanish/>
              </w:rPr>
            </w:pPr>
          </w:p>
        </w:tc>
        <w:tc>
          <w:tcPr>
            <w:tcW w:w="0" w:type="auto"/>
            <w:gridSpan w:val="3"/>
            <w:shd w:val="clear" w:color="auto" w:fill="auto"/>
            <w:vAlign w:val="bottom"/>
          </w:tcPr>
          <w:p w14:paraId="5DEC5AD9" w14:textId="77777777" w:rsidR="00B1578D" w:rsidRDefault="00B1578D">
            <w:pPr>
              <w:rPr>
                <w:rFonts w:ascii="宋体"/>
                <w:vanish/>
              </w:rPr>
            </w:pPr>
          </w:p>
        </w:tc>
        <w:tc>
          <w:tcPr>
            <w:tcW w:w="0" w:type="auto"/>
            <w:gridSpan w:val="3"/>
            <w:shd w:val="clear" w:color="auto" w:fill="auto"/>
            <w:vAlign w:val="bottom"/>
          </w:tcPr>
          <w:p w14:paraId="5DEC5ADA" w14:textId="77777777" w:rsidR="00B1578D" w:rsidRDefault="00B1578D">
            <w:pPr>
              <w:rPr>
                <w:rFonts w:ascii="宋体"/>
                <w:vanish/>
              </w:rPr>
            </w:pPr>
          </w:p>
        </w:tc>
        <w:tc>
          <w:tcPr>
            <w:tcW w:w="0" w:type="auto"/>
            <w:gridSpan w:val="3"/>
            <w:shd w:val="clear" w:color="auto" w:fill="auto"/>
            <w:vAlign w:val="bottom"/>
          </w:tcPr>
          <w:p w14:paraId="5DEC5ADB" w14:textId="77777777" w:rsidR="00B1578D" w:rsidRDefault="00B1578D">
            <w:pPr>
              <w:rPr>
                <w:rFonts w:ascii="宋体"/>
                <w:vanish/>
              </w:rPr>
            </w:pPr>
          </w:p>
        </w:tc>
        <w:tc>
          <w:tcPr>
            <w:tcW w:w="0" w:type="auto"/>
            <w:gridSpan w:val="3"/>
            <w:shd w:val="clear" w:color="auto" w:fill="auto"/>
            <w:vAlign w:val="bottom"/>
          </w:tcPr>
          <w:p w14:paraId="5DEC5ADC" w14:textId="77777777" w:rsidR="00B1578D" w:rsidRDefault="00B1578D">
            <w:pPr>
              <w:rPr>
                <w:rFonts w:ascii="宋体"/>
                <w:vanish/>
              </w:rPr>
            </w:pPr>
          </w:p>
        </w:tc>
        <w:tc>
          <w:tcPr>
            <w:tcW w:w="0" w:type="auto"/>
            <w:gridSpan w:val="3"/>
            <w:shd w:val="clear" w:color="auto" w:fill="auto"/>
            <w:vAlign w:val="bottom"/>
          </w:tcPr>
          <w:p w14:paraId="5DEC5ADD" w14:textId="77777777" w:rsidR="00B1578D" w:rsidRDefault="00B1578D">
            <w:pPr>
              <w:rPr>
                <w:rFonts w:ascii="宋体"/>
                <w:vanish/>
              </w:rPr>
            </w:pPr>
          </w:p>
        </w:tc>
        <w:tc>
          <w:tcPr>
            <w:tcW w:w="0" w:type="auto"/>
            <w:gridSpan w:val="3"/>
            <w:shd w:val="clear" w:color="auto" w:fill="auto"/>
            <w:vAlign w:val="bottom"/>
          </w:tcPr>
          <w:p w14:paraId="5DEC5ADE" w14:textId="77777777" w:rsidR="00B1578D" w:rsidRDefault="00B1578D">
            <w:pPr>
              <w:rPr>
                <w:rFonts w:ascii="宋体"/>
                <w:vanish/>
              </w:rPr>
            </w:pPr>
          </w:p>
        </w:tc>
        <w:tc>
          <w:tcPr>
            <w:tcW w:w="0" w:type="auto"/>
            <w:gridSpan w:val="3"/>
            <w:shd w:val="clear" w:color="auto" w:fill="auto"/>
            <w:vAlign w:val="bottom"/>
          </w:tcPr>
          <w:p w14:paraId="5DEC5ADF" w14:textId="77777777" w:rsidR="00B1578D" w:rsidRDefault="00B1578D">
            <w:pPr>
              <w:rPr>
                <w:rFonts w:ascii="宋体"/>
                <w:vanish/>
              </w:rPr>
            </w:pPr>
          </w:p>
        </w:tc>
        <w:tc>
          <w:tcPr>
            <w:tcW w:w="0" w:type="auto"/>
            <w:shd w:val="clear" w:color="auto" w:fill="auto"/>
            <w:vAlign w:val="bottom"/>
          </w:tcPr>
          <w:p w14:paraId="5DEC5AE0" w14:textId="77777777" w:rsidR="00B1578D" w:rsidRDefault="00B1578D">
            <w:pPr>
              <w:rPr>
                <w:rFonts w:ascii="宋体"/>
                <w:vanish/>
              </w:rPr>
            </w:pPr>
          </w:p>
        </w:tc>
        <w:tc>
          <w:tcPr>
            <w:tcW w:w="0" w:type="auto"/>
            <w:shd w:val="clear" w:color="auto" w:fill="auto"/>
            <w:vAlign w:val="bottom"/>
          </w:tcPr>
          <w:p w14:paraId="5DEC5AE1" w14:textId="77777777" w:rsidR="00B1578D" w:rsidRDefault="00B1578D">
            <w:pPr>
              <w:rPr>
                <w:rFonts w:ascii="宋体"/>
                <w:vanish/>
              </w:rPr>
            </w:pPr>
          </w:p>
        </w:tc>
        <w:tc>
          <w:tcPr>
            <w:tcW w:w="0" w:type="auto"/>
            <w:shd w:val="clear" w:color="auto" w:fill="auto"/>
            <w:vAlign w:val="bottom"/>
          </w:tcPr>
          <w:p w14:paraId="5DEC5AE2" w14:textId="77777777" w:rsidR="00B1578D" w:rsidRDefault="00B1578D">
            <w:pPr>
              <w:rPr>
                <w:rFonts w:ascii="宋体"/>
                <w:vanish/>
              </w:rPr>
            </w:pPr>
          </w:p>
        </w:tc>
      </w:tr>
      <w:tr w:rsidR="00B1578D" w14:paraId="5DEC5AF7" w14:textId="77777777">
        <w:trPr>
          <w:jc w:val="center"/>
          <w:hidden/>
        </w:trPr>
        <w:tc>
          <w:tcPr>
            <w:tcW w:w="0" w:type="auto"/>
            <w:gridSpan w:val="3"/>
            <w:shd w:val="clear" w:color="auto" w:fill="auto"/>
            <w:vAlign w:val="bottom"/>
          </w:tcPr>
          <w:p w14:paraId="5DEC5AE4" w14:textId="77777777" w:rsidR="00B1578D" w:rsidRDefault="00B1578D">
            <w:pPr>
              <w:rPr>
                <w:rFonts w:ascii="宋体"/>
                <w:vanish/>
              </w:rPr>
            </w:pPr>
          </w:p>
        </w:tc>
        <w:tc>
          <w:tcPr>
            <w:tcW w:w="0" w:type="auto"/>
            <w:gridSpan w:val="3"/>
            <w:shd w:val="clear" w:color="auto" w:fill="auto"/>
            <w:vAlign w:val="bottom"/>
          </w:tcPr>
          <w:p w14:paraId="5DEC5AE5" w14:textId="77777777" w:rsidR="00B1578D" w:rsidRDefault="00B1578D">
            <w:pPr>
              <w:rPr>
                <w:rFonts w:ascii="宋体"/>
                <w:vanish/>
              </w:rPr>
            </w:pPr>
          </w:p>
        </w:tc>
        <w:tc>
          <w:tcPr>
            <w:tcW w:w="0" w:type="auto"/>
            <w:gridSpan w:val="3"/>
            <w:shd w:val="clear" w:color="auto" w:fill="auto"/>
            <w:vAlign w:val="bottom"/>
          </w:tcPr>
          <w:p w14:paraId="5DEC5AE6" w14:textId="77777777" w:rsidR="00B1578D" w:rsidRDefault="00B1578D">
            <w:pPr>
              <w:rPr>
                <w:rFonts w:ascii="宋体"/>
                <w:vanish/>
              </w:rPr>
            </w:pPr>
          </w:p>
        </w:tc>
        <w:tc>
          <w:tcPr>
            <w:tcW w:w="0" w:type="auto"/>
            <w:gridSpan w:val="3"/>
            <w:shd w:val="clear" w:color="auto" w:fill="auto"/>
            <w:vAlign w:val="bottom"/>
          </w:tcPr>
          <w:p w14:paraId="5DEC5AE7" w14:textId="77777777" w:rsidR="00B1578D" w:rsidRDefault="00B1578D">
            <w:pPr>
              <w:rPr>
                <w:rFonts w:ascii="宋体"/>
                <w:vanish/>
              </w:rPr>
            </w:pPr>
          </w:p>
        </w:tc>
        <w:tc>
          <w:tcPr>
            <w:tcW w:w="0" w:type="auto"/>
            <w:gridSpan w:val="3"/>
            <w:shd w:val="clear" w:color="auto" w:fill="auto"/>
            <w:vAlign w:val="bottom"/>
          </w:tcPr>
          <w:p w14:paraId="5DEC5AE8" w14:textId="77777777" w:rsidR="00B1578D" w:rsidRDefault="00B1578D">
            <w:pPr>
              <w:rPr>
                <w:rFonts w:ascii="宋体"/>
                <w:vanish/>
              </w:rPr>
            </w:pPr>
          </w:p>
        </w:tc>
        <w:tc>
          <w:tcPr>
            <w:tcW w:w="0" w:type="auto"/>
            <w:gridSpan w:val="3"/>
            <w:shd w:val="clear" w:color="auto" w:fill="auto"/>
            <w:vAlign w:val="bottom"/>
          </w:tcPr>
          <w:p w14:paraId="5DEC5AE9" w14:textId="77777777" w:rsidR="00B1578D" w:rsidRDefault="00B1578D">
            <w:pPr>
              <w:rPr>
                <w:rFonts w:ascii="宋体"/>
                <w:vanish/>
              </w:rPr>
            </w:pPr>
          </w:p>
        </w:tc>
        <w:tc>
          <w:tcPr>
            <w:tcW w:w="0" w:type="auto"/>
            <w:gridSpan w:val="3"/>
            <w:shd w:val="clear" w:color="auto" w:fill="auto"/>
            <w:vAlign w:val="bottom"/>
          </w:tcPr>
          <w:p w14:paraId="5DEC5AEA" w14:textId="77777777" w:rsidR="00B1578D" w:rsidRDefault="00B1578D">
            <w:pPr>
              <w:rPr>
                <w:rFonts w:ascii="宋体"/>
                <w:vanish/>
              </w:rPr>
            </w:pPr>
          </w:p>
        </w:tc>
        <w:tc>
          <w:tcPr>
            <w:tcW w:w="0" w:type="auto"/>
            <w:gridSpan w:val="3"/>
            <w:shd w:val="clear" w:color="auto" w:fill="auto"/>
            <w:vAlign w:val="bottom"/>
          </w:tcPr>
          <w:p w14:paraId="5DEC5AEB" w14:textId="77777777" w:rsidR="00B1578D" w:rsidRDefault="00B1578D">
            <w:pPr>
              <w:rPr>
                <w:rFonts w:ascii="宋体"/>
                <w:vanish/>
              </w:rPr>
            </w:pPr>
          </w:p>
        </w:tc>
        <w:tc>
          <w:tcPr>
            <w:tcW w:w="0" w:type="auto"/>
            <w:gridSpan w:val="3"/>
            <w:shd w:val="clear" w:color="auto" w:fill="auto"/>
            <w:vAlign w:val="bottom"/>
          </w:tcPr>
          <w:p w14:paraId="5DEC5AEC" w14:textId="77777777" w:rsidR="00B1578D" w:rsidRDefault="00B1578D">
            <w:pPr>
              <w:rPr>
                <w:rFonts w:ascii="宋体"/>
                <w:vanish/>
              </w:rPr>
            </w:pPr>
          </w:p>
        </w:tc>
        <w:tc>
          <w:tcPr>
            <w:tcW w:w="0" w:type="auto"/>
            <w:gridSpan w:val="3"/>
            <w:shd w:val="clear" w:color="auto" w:fill="auto"/>
            <w:vAlign w:val="bottom"/>
          </w:tcPr>
          <w:p w14:paraId="5DEC5AED" w14:textId="77777777" w:rsidR="00B1578D" w:rsidRDefault="00B1578D">
            <w:pPr>
              <w:rPr>
                <w:rFonts w:ascii="宋体"/>
                <w:vanish/>
              </w:rPr>
            </w:pPr>
          </w:p>
        </w:tc>
        <w:tc>
          <w:tcPr>
            <w:tcW w:w="0" w:type="auto"/>
            <w:gridSpan w:val="3"/>
            <w:shd w:val="clear" w:color="auto" w:fill="auto"/>
            <w:vAlign w:val="bottom"/>
          </w:tcPr>
          <w:p w14:paraId="5DEC5AEE" w14:textId="77777777" w:rsidR="00B1578D" w:rsidRDefault="00B1578D">
            <w:pPr>
              <w:rPr>
                <w:rFonts w:ascii="宋体"/>
                <w:vanish/>
              </w:rPr>
            </w:pPr>
          </w:p>
        </w:tc>
        <w:tc>
          <w:tcPr>
            <w:tcW w:w="0" w:type="auto"/>
            <w:gridSpan w:val="3"/>
            <w:shd w:val="clear" w:color="auto" w:fill="auto"/>
            <w:vAlign w:val="bottom"/>
          </w:tcPr>
          <w:p w14:paraId="5DEC5AEF" w14:textId="77777777" w:rsidR="00B1578D" w:rsidRDefault="00B1578D">
            <w:pPr>
              <w:rPr>
                <w:rFonts w:ascii="宋体"/>
                <w:vanish/>
              </w:rPr>
            </w:pPr>
          </w:p>
        </w:tc>
        <w:tc>
          <w:tcPr>
            <w:tcW w:w="0" w:type="auto"/>
            <w:gridSpan w:val="3"/>
            <w:shd w:val="clear" w:color="auto" w:fill="auto"/>
            <w:vAlign w:val="bottom"/>
          </w:tcPr>
          <w:p w14:paraId="5DEC5AF0" w14:textId="77777777" w:rsidR="00B1578D" w:rsidRDefault="00B1578D">
            <w:pPr>
              <w:rPr>
                <w:rFonts w:ascii="宋体"/>
                <w:vanish/>
              </w:rPr>
            </w:pPr>
          </w:p>
        </w:tc>
        <w:tc>
          <w:tcPr>
            <w:tcW w:w="0" w:type="auto"/>
            <w:gridSpan w:val="3"/>
            <w:shd w:val="clear" w:color="auto" w:fill="auto"/>
            <w:vAlign w:val="bottom"/>
          </w:tcPr>
          <w:p w14:paraId="5DEC5AF1" w14:textId="77777777" w:rsidR="00B1578D" w:rsidRDefault="00B1578D">
            <w:pPr>
              <w:rPr>
                <w:rFonts w:ascii="宋体"/>
                <w:vanish/>
              </w:rPr>
            </w:pPr>
          </w:p>
        </w:tc>
        <w:tc>
          <w:tcPr>
            <w:tcW w:w="0" w:type="auto"/>
            <w:gridSpan w:val="3"/>
            <w:shd w:val="clear" w:color="auto" w:fill="auto"/>
            <w:vAlign w:val="bottom"/>
          </w:tcPr>
          <w:p w14:paraId="5DEC5AF2" w14:textId="77777777" w:rsidR="00B1578D" w:rsidRDefault="00B1578D">
            <w:pPr>
              <w:rPr>
                <w:rFonts w:ascii="宋体"/>
                <w:vanish/>
              </w:rPr>
            </w:pPr>
          </w:p>
        </w:tc>
        <w:tc>
          <w:tcPr>
            <w:tcW w:w="0" w:type="auto"/>
            <w:gridSpan w:val="3"/>
            <w:shd w:val="clear" w:color="auto" w:fill="auto"/>
            <w:vAlign w:val="bottom"/>
          </w:tcPr>
          <w:p w14:paraId="5DEC5AF3" w14:textId="77777777" w:rsidR="00B1578D" w:rsidRDefault="00B1578D">
            <w:pPr>
              <w:rPr>
                <w:rFonts w:ascii="宋体"/>
                <w:vanish/>
              </w:rPr>
            </w:pPr>
          </w:p>
        </w:tc>
        <w:tc>
          <w:tcPr>
            <w:tcW w:w="0" w:type="auto"/>
            <w:shd w:val="clear" w:color="auto" w:fill="auto"/>
            <w:vAlign w:val="bottom"/>
          </w:tcPr>
          <w:p w14:paraId="5DEC5AF4" w14:textId="77777777" w:rsidR="00B1578D" w:rsidRDefault="00B1578D">
            <w:pPr>
              <w:rPr>
                <w:rFonts w:ascii="宋体"/>
                <w:vanish/>
              </w:rPr>
            </w:pPr>
          </w:p>
        </w:tc>
        <w:tc>
          <w:tcPr>
            <w:tcW w:w="0" w:type="auto"/>
            <w:shd w:val="clear" w:color="auto" w:fill="auto"/>
            <w:vAlign w:val="bottom"/>
          </w:tcPr>
          <w:p w14:paraId="5DEC5AF5" w14:textId="77777777" w:rsidR="00B1578D" w:rsidRDefault="00B1578D">
            <w:pPr>
              <w:rPr>
                <w:rFonts w:ascii="宋体"/>
                <w:vanish/>
              </w:rPr>
            </w:pPr>
          </w:p>
        </w:tc>
        <w:tc>
          <w:tcPr>
            <w:tcW w:w="0" w:type="auto"/>
            <w:shd w:val="clear" w:color="auto" w:fill="auto"/>
            <w:vAlign w:val="bottom"/>
          </w:tcPr>
          <w:p w14:paraId="5DEC5AF6" w14:textId="77777777" w:rsidR="00B1578D" w:rsidRDefault="00B1578D">
            <w:pPr>
              <w:rPr>
                <w:rFonts w:ascii="宋体"/>
                <w:vanish/>
              </w:rPr>
            </w:pPr>
          </w:p>
        </w:tc>
      </w:tr>
      <w:tr w:rsidR="00B1578D" w14:paraId="5DEC5B0B" w14:textId="77777777">
        <w:trPr>
          <w:jc w:val="center"/>
          <w:hidden/>
        </w:trPr>
        <w:tc>
          <w:tcPr>
            <w:tcW w:w="0" w:type="auto"/>
            <w:gridSpan w:val="3"/>
            <w:shd w:val="clear" w:color="auto" w:fill="auto"/>
            <w:vAlign w:val="bottom"/>
          </w:tcPr>
          <w:p w14:paraId="5DEC5AF8" w14:textId="77777777" w:rsidR="00B1578D" w:rsidRDefault="00B1578D">
            <w:pPr>
              <w:rPr>
                <w:rFonts w:ascii="宋体"/>
                <w:vanish/>
              </w:rPr>
            </w:pPr>
          </w:p>
        </w:tc>
        <w:tc>
          <w:tcPr>
            <w:tcW w:w="0" w:type="auto"/>
            <w:gridSpan w:val="3"/>
            <w:shd w:val="clear" w:color="auto" w:fill="auto"/>
            <w:vAlign w:val="bottom"/>
          </w:tcPr>
          <w:p w14:paraId="5DEC5AF9" w14:textId="77777777" w:rsidR="00B1578D" w:rsidRDefault="00B1578D">
            <w:pPr>
              <w:rPr>
                <w:rFonts w:ascii="宋体"/>
                <w:vanish/>
              </w:rPr>
            </w:pPr>
          </w:p>
        </w:tc>
        <w:tc>
          <w:tcPr>
            <w:tcW w:w="0" w:type="auto"/>
            <w:gridSpan w:val="3"/>
            <w:shd w:val="clear" w:color="auto" w:fill="auto"/>
            <w:vAlign w:val="bottom"/>
          </w:tcPr>
          <w:p w14:paraId="5DEC5AFA" w14:textId="77777777" w:rsidR="00B1578D" w:rsidRDefault="00B1578D">
            <w:pPr>
              <w:rPr>
                <w:rFonts w:ascii="宋体"/>
                <w:vanish/>
              </w:rPr>
            </w:pPr>
          </w:p>
        </w:tc>
        <w:tc>
          <w:tcPr>
            <w:tcW w:w="0" w:type="auto"/>
            <w:gridSpan w:val="3"/>
            <w:shd w:val="clear" w:color="auto" w:fill="auto"/>
            <w:vAlign w:val="bottom"/>
          </w:tcPr>
          <w:p w14:paraId="5DEC5AFB" w14:textId="77777777" w:rsidR="00B1578D" w:rsidRDefault="00B1578D">
            <w:pPr>
              <w:rPr>
                <w:rFonts w:ascii="宋体"/>
                <w:vanish/>
              </w:rPr>
            </w:pPr>
          </w:p>
        </w:tc>
        <w:tc>
          <w:tcPr>
            <w:tcW w:w="0" w:type="auto"/>
            <w:gridSpan w:val="3"/>
            <w:shd w:val="clear" w:color="auto" w:fill="auto"/>
            <w:vAlign w:val="bottom"/>
          </w:tcPr>
          <w:p w14:paraId="5DEC5AFC" w14:textId="77777777" w:rsidR="00B1578D" w:rsidRDefault="00B1578D">
            <w:pPr>
              <w:rPr>
                <w:rFonts w:ascii="宋体"/>
                <w:vanish/>
              </w:rPr>
            </w:pPr>
          </w:p>
        </w:tc>
        <w:tc>
          <w:tcPr>
            <w:tcW w:w="0" w:type="auto"/>
            <w:gridSpan w:val="3"/>
            <w:shd w:val="clear" w:color="auto" w:fill="auto"/>
            <w:vAlign w:val="bottom"/>
          </w:tcPr>
          <w:p w14:paraId="5DEC5AFD" w14:textId="77777777" w:rsidR="00B1578D" w:rsidRDefault="00B1578D">
            <w:pPr>
              <w:rPr>
                <w:rFonts w:ascii="宋体"/>
                <w:vanish/>
              </w:rPr>
            </w:pPr>
          </w:p>
        </w:tc>
        <w:tc>
          <w:tcPr>
            <w:tcW w:w="0" w:type="auto"/>
            <w:gridSpan w:val="3"/>
            <w:shd w:val="clear" w:color="auto" w:fill="auto"/>
            <w:vAlign w:val="bottom"/>
          </w:tcPr>
          <w:p w14:paraId="5DEC5AFE" w14:textId="77777777" w:rsidR="00B1578D" w:rsidRDefault="00B1578D">
            <w:pPr>
              <w:rPr>
                <w:rFonts w:ascii="宋体"/>
                <w:vanish/>
              </w:rPr>
            </w:pPr>
          </w:p>
        </w:tc>
        <w:tc>
          <w:tcPr>
            <w:tcW w:w="0" w:type="auto"/>
            <w:gridSpan w:val="3"/>
            <w:shd w:val="clear" w:color="auto" w:fill="auto"/>
            <w:vAlign w:val="bottom"/>
          </w:tcPr>
          <w:p w14:paraId="5DEC5AFF" w14:textId="77777777" w:rsidR="00B1578D" w:rsidRDefault="00B1578D">
            <w:pPr>
              <w:rPr>
                <w:rFonts w:ascii="宋体"/>
                <w:vanish/>
              </w:rPr>
            </w:pPr>
          </w:p>
        </w:tc>
        <w:tc>
          <w:tcPr>
            <w:tcW w:w="0" w:type="auto"/>
            <w:gridSpan w:val="3"/>
            <w:shd w:val="clear" w:color="auto" w:fill="auto"/>
            <w:vAlign w:val="bottom"/>
          </w:tcPr>
          <w:p w14:paraId="5DEC5B00" w14:textId="77777777" w:rsidR="00B1578D" w:rsidRDefault="00B1578D">
            <w:pPr>
              <w:rPr>
                <w:rFonts w:ascii="宋体"/>
                <w:vanish/>
              </w:rPr>
            </w:pPr>
          </w:p>
        </w:tc>
        <w:tc>
          <w:tcPr>
            <w:tcW w:w="0" w:type="auto"/>
            <w:gridSpan w:val="3"/>
            <w:shd w:val="clear" w:color="auto" w:fill="auto"/>
            <w:vAlign w:val="bottom"/>
          </w:tcPr>
          <w:p w14:paraId="5DEC5B01" w14:textId="77777777" w:rsidR="00B1578D" w:rsidRDefault="00B1578D">
            <w:pPr>
              <w:rPr>
                <w:rFonts w:ascii="宋体"/>
                <w:vanish/>
              </w:rPr>
            </w:pPr>
          </w:p>
        </w:tc>
        <w:tc>
          <w:tcPr>
            <w:tcW w:w="0" w:type="auto"/>
            <w:gridSpan w:val="3"/>
            <w:shd w:val="clear" w:color="auto" w:fill="auto"/>
            <w:vAlign w:val="bottom"/>
          </w:tcPr>
          <w:p w14:paraId="5DEC5B02" w14:textId="77777777" w:rsidR="00B1578D" w:rsidRDefault="00B1578D">
            <w:pPr>
              <w:rPr>
                <w:rFonts w:ascii="宋体"/>
                <w:vanish/>
              </w:rPr>
            </w:pPr>
          </w:p>
        </w:tc>
        <w:tc>
          <w:tcPr>
            <w:tcW w:w="0" w:type="auto"/>
            <w:gridSpan w:val="3"/>
            <w:shd w:val="clear" w:color="auto" w:fill="auto"/>
            <w:vAlign w:val="bottom"/>
          </w:tcPr>
          <w:p w14:paraId="5DEC5B03" w14:textId="77777777" w:rsidR="00B1578D" w:rsidRDefault="00B1578D">
            <w:pPr>
              <w:rPr>
                <w:rFonts w:ascii="宋体"/>
                <w:vanish/>
              </w:rPr>
            </w:pPr>
          </w:p>
        </w:tc>
        <w:tc>
          <w:tcPr>
            <w:tcW w:w="0" w:type="auto"/>
            <w:gridSpan w:val="3"/>
            <w:shd w:val="clear" w:color="auto" w:fill="auto"/>
            <w:vAlign w:val="bottom"/>
          </w:tcPr>
          <w:p w14:paraId="5DEC5B04" w14:textId="77777777" w:rsidR="00B1578D" w:rsidRDefault="00B1578D">
            <w:pPr>
              <w:rPr>
                <w:rFonts w:ascii="宋体"/>
                <w:vanish/>
              </w:rPr>
            </w:pPr>
          </w:p>
        </w:tc>
        <w:tc>
          <w:tcPr>
            <w:tcW w:w="0" w:type="auto"/>
            <w:gridSpan w:val="3"/>
            <w:shd w:val="clear" w:color="auto" w:fill="auto"/>
            <w:vAlign w:val="bottom"/>
          </w:tcPr>
          <w:p w14:paraId="5DEC5B05" w14:textId="77777777" w:rsidR="00B1578D" w:rsidRDefault="00B1578D">
            <w:pPr>
              <w:rPr>
                <w:rFonts w:ascii="宋体"/>
                <w:vanish/>
              </w:rPr>
            </w:pPr>
          </w:p>
        </w:tc>
        <w:tc>
          <w:tcPr>
            <w:tcW w:w="0" w:type="auto"/>
            <w:gridSpan w:val="3"/>
            <w:shd w:val="clear" w:color="auto" w:fill="auto"/>
            <w:vAlign w:val="bottom"/>
          </w:tcPr>
          <w:p w14:paraId="5DEC5B06" w14:textId="77777777" w:rsidR="00B1578D" w:rsidRDefault="00B1578D">
            <w:pPr>
              <w:rPr>
                <w:rFonts w:ascii="宋体"/>
                <w:vanish/>
              </w:rPr>
            </w:pPr>
          </w:p>
        </w:tc>
        <w:tc>
          <w:tcPr>
            <w:tcW w:w="0" w:type="auto"/>
            <w:gridSpan w:val="3"/>
            <w:shd w:val="clear" w:color="auto" w:fill="auto"/>
            <w:vAlign w:val="bottom"/>
          </w:tcPr>
          <w:p w14:paraId="5DEC5B07" w14:textId="77777777" w:rsidR="00B1578D" w:rsidRDefault="00B1578D">
            <w:pPr>
              <w:rPr>
                <w:rFonts w:ascii="宋体"/>
                <w:vanish/>
              </w:rPr>
            </w:pPr>
          </w:p>
        </w:tc>
        <w:tc>
          <w:tcPr>
            <w:tcW w:w="0" w:type="auto"/>
            <w:shd w:val="clear" w:color="auto" w:fill="auto"/>
            <w:vAlign w:val="bottom"/>
          </w:tcPr>
          <w:p w14:paraId="5DEC5B08" w14:textId="77777777" w:rsidR="00B1578D" w:rsidRDefault="00B1578D">
            <w:pPr>
              <w:rPr>
                <w:rFonts w:ascii="宋体"/>
                <w:vanish/>
              </w:rPr>
            </w:pPr>
          </w:p>
        </w:tc>
        <w:tc>
          <w:tcPr>
            <w:tcW w:w="0" w:type="auto"/>
            <w:shd w:val="clear" w:color="auto" w:fill="auto"/>
            <w:vAlign w:val="bottom"/>
          </w:tcPr>
          <w:p w14:paraId="5DEC5B09" w14:textId="77777777" w:rsidR="00B1578D" w:rsidRDefault="00B1578D">
            <w:pPr>
              <w:rPr>
                <w:rFonts w:ascii="宋体"/>
                <w:vanish/>
              </w:rPr>
            </w:pPr>
          </w:p>
        </w:tc>
        <w:tc>
          <w:tcPr>
            <w:tcW w:w="0" w:type="auto"/>
            <w:shd w:val="clear" w:color="auto" w:fill="auto"/>
            <w:vAlign w:val="bottom"/>
          </w:tcPr>
          <w:p w14:paraId="5DEC5B0A" w14:textId="77777777" w:rsidR="00B1578D" w:rsidRDefault="00B1578D">
            <w:pPr>
              <w:rPr>
                <w:rFonts w:ascii="宋体"/>
                <w:vanish/>
              </w:rPr>
            </w:pPr>
          </w:p>
        </w:tc>
      </w:tr>
      <w:tr w:rsidR="00B1578D" w14:paraId="5DEC5B1F" w14:textId="77777777">
        <w:trPr>
          <w:jc w:val="center"/>
          <w:hidden/>
        </w:trPr>
        <w:tc>
          <w:tcPr>
            <w:tcW w:w="0" w:type="auto"/>
            <w:gridSpan w:val="3"/>
            <w:shd w:val="clear" w:color="auto" w:fill="auto"/>
            <w:vAlign w:val="bottom"/>
          </w:tcPr>
          <w:p w14:paraId="5DEC5B0C" w14:textId="77777777" w:rsidR="00B1578D" w:rsidRDefault="00B1578D">
            <w:pPr>
              <w:rPr>
                <w:rFonts w:ascii="宋体"/>
                <w:vanish/>
              </w:rPr>
            </w:pPr>
          </w:p>
        </w:tc>
        <w:tc>
          <w:tcPr>
            <w:tcW w:w="0" w:type="auto"/>
            <w:gridSpan w:val="3"/>
            <w:shd w:val="clear" w:color="auto" w:fill="auto"/>
            <w:vAlign w:val="bottom"/>
          </w:tcPr>
          <w:p w14:paraId="5DEC5B0D" w14:textId="77777777" w:rsidR="00B1578D" w:rsidRDefault="00B1578D">
            <w:pPr>
              <w:rPr>
                <w:rFonts w:ascii="宋体"/>
                <w:vanish/>
              </w:rPr>
            </w:pPr>
          </w:p>
        </w:tc>
        <w:tc>
          <w:tcPr>
            <w:tcW w:w="0" w:type="auto"/>
            <w:gridSpan w:val="3"/>
            <w:shd w:val="clear" w:color="auto" w:fill="auto"/>
            <w:vAlign w:val="bottom"/>
          </w:tcPr>
          <w:p w14:paraId="5DEC5B0E" w14:textId="77777777" w:rsidR="00B1578D" w:rsidRDefault="00B1578D">
            <w:pPr>
              <w:rPr>
                <w:rFonts w:ascii="宋体"/>
                <w:vanish/>
              </w:rPr>
            </w:pPr>
          </w:p>
        </w:tc>
        <w:tc>
          <w:tcPr>
            <w:tcW w:w="0" w:type="auto"/>
            <w:gridSpan w:val="3"/>
            <w:shd w:val="clear" w:color="auto" w:fill="auto"/>
            <w:vAlign w:val="bottom"/>
          </w:tcPr>
          <w:p w14:paraId="5DEC5B0F" w14:textId="77777777" w:rsidR="00B1578D" w:rsidRDefault="00B1578D">
            <w:pPr>
              <w:rPr>
                <w:rFonts w:ascii="宋体"/>
                <w:vanish/>
              </w:rPr>
            </w:pPr>
          </w:p>
        </w:tc>
        <w:tc>
          <w:tcPr>
            <w:tcW w:w="0" w:type="auto"/>
            <w:gridSpan w:val="3"/>
            <w:shd w:val="clear" w:color="auto" w:fill="auto"/>
            <w:vAlign w:val="bottom"/>
          </w:tcPr>
          <w:p w14:paraId="5DEC5B10" w14:textId="77777777" w:rsidR="00B1578D" w:rsidRDefault="00B1578D">
            <w:pPr>
              <w:rPr>
                <w:rFonts w:ascii="宋体"/>
                <w:vanish/>
              </w:rPr>
            </w:pPr>
          </w:p>
        </w:tc>
        <w:tc>
          <w:tcPr>
            <w:tcW w:w="0" w:type="auto"/>
            <w:gridSpan w:val="3"/>
            <w:shd w:val="clear" w:color="auto" w:fill="auto"/>
            <w:vAlign w:val="bottom"/>
          </w:tcPr>
          <w:p w14:paraId="5DEC5B11" w14:textId="77777777" w:rsidR="00B1578D" w:rsidRDefault="00B1578D">
            <w:pPr>
              <w:rPr>
                <w:rFonts w:ascii="宋体"/>
                <w:vanish/>
              </w:rPr>
            </w:pPr>
          </w:p>
        </w:tc>
        <w:tc>
          <w:tcPr>
            <w:tcW w:w="0" w:type="auto"/>
            <w:gridSpan w:val="3"/>
            <w:shd w:val="clear" w:color="auto" w:fill="auto"/>
            <w:vAlign w:val="bottom"/>
          </w:tcPr>
          <w:p w14:paraId="5DEC5B12" w14:textId="77777777" w:rsidR="00B1578D" w:rsidRDefault="00B1578D">
            <w:pPr>
              <w:rPr>
                <w:rFonts w:ascii="宋体"/>
                <w:vanish/>
              </w:rPr>
            </w:pPr>
          </w:p>
        </w:tc>
        <w:tc>
          <w:tcPr>
            <w:tcW w:w="0" w:type="auto"/>
            <w:gridSpan w:val="3"/>
            <w:shd w:val="clear" w:color="auto" w:fill="auto"/>
            <w:vAlign w:val="bottom"/>
          </w:tcPr>
          <w:p w14:paraId="5DEC5B13" w14:textId="77777777" w:rsidR="00B1578D" w:rsidRDefault="00B1578D">
            <w:pPr>
              <w:rPr>
                <w:rFonts w:ascii="宋体"/>
                <w:vanish/>
              </w:rPr>
            </w:pPr>
          </w:p>
        </w:tc>
        <w:tc>
          <w:tcPr>
            <w:tcW w:w="0" w:type="auto"/>
            <w:gridSpan w:val="3"/>
            <w:shd w:val="clear" w:color="auto" w:fill="auto"/>
            <w:vAlign w:val="bottom"/>
          </w:tcPr>
          <w:p w14:paraId="5DEC5B14" w14:textId="77777777" w:rsidR="00B1578D" w:rsidRDefault="00B1578D">
            <w:pPr>
              <w:rPr>
                <w:rFonts w:ascii="宋体"/>
                <w:vanish/>
              </w:rPr>
            </w:pPr>
          </w:p>
        </w:tc>
        <w:tc>
          <w:tcPr>
            <w:tcW w:w="0" w:type="auto"/>
            <w:gridSpan w:val="3"/>
            <w:shd w:val="clear" w:color="auto" w:fill="auto"/>
            <w:vAlign w:val="bottom"/>
          </w:tcPr>
          <w:p w14:paraId="5DEC5B15" w14:textId="77777777" w:rsidR="00B1578D" w:rsidRDefault="00B1578D">
            <w:pPr>
              <w:rPr>
                <w:rFonts w:ascii="宋体"/>
                <w:vanish/>
              </w:rPr>
            </w:pPr>
          </w:p>
        </w:tc>
        <w:tc>
          <w:tcPr>
            <w:tcW w:w="0" w:type="auto"/>
            <w:gridSpan w:val="3"/>
            <w:shd w:val="clear" w:color="auto" w:fill="auto"/>
            <w:vAlign w:val="bottom"/>
          </w:tcPr>
          <w:p w14:paraId="5DEC5B16" w14:textId="77777777" w:rsidR="00B1578D" w:rsidRDefault="00B1578D">
            <w:pPr>
              <w:rPr>
                <w:rFonts w:ascii="宋体"/>
                <w:vanish/>
              </w:rPr>
            </w:pPr>
          </w:p>
        </w:tc>
        <w:tc>
          <w:tcPr>
            <w:tcW w:w="0" w:type="auto"/>
            <w:gridSpan w:val="3"/>
            <w:shd w:val="clear" w:color="auto" w:fill="auto"/>
            <w:vAlign w:val="bottom"/>
          </w:tcPr>
          <w:p w14:paraId="5DEC5B17" w14:textId="77777777" w:rsidR="00B1578D" w:rsidRDefault="00B1578D">
            <w:pPr>
              <w:rPr>
                <w:rFonts w:ascii="宋体"/>
                <w:vanish/>
              </w:rPr>
            </w:pPr>
          </w:p>
        </w:tc>
        <w:tc>
          <w:tcPr>
            <w:tcW w:w="0" w:type="auto"/>
            <w:gridSpan w:val="3"/>
            <w:shd w:val="clear" w:color="auto" w:fill="auto"/>
            <w:vAlign w:val="bottom"/>
          </w:tcPr>
          <w:p w14:paraId="5DEC5B18" w14:textId="77777777" w:rsidR="00B1578D" w:rsidRDefault="00B1578D">
            <w:pPr>
              <w:rPr>
                <w:rFonts w:ascii="宋体"/>
                <w:vanish/>
              </w:rPr>
            </w:pPr>
          </w:p>
        </w:tc>
        <w:tc>
          <w:tcPr>
            <w:tcW w:w="0" w:type="auto"/>
            <w:gridSpan w:val="3"/>
            <w:shd w:val="clear" w:color="auto" w:fill="auto"/>
            <w:vAlign w:val="bottom"/>
          </w:tcPr>
          <w:p w14:paraId="5DEC5B19" w14:textId="77777777" w:rsidR="00B1578D" w:rsidRDefault="00B1578D">
            <w:pPr>
              <w:rPr>
                <w:rFonts w:ascii="宋体"/>
                <w:vanish/>
              </w:rPr>
            </w:pPr>
          </w:p>
        </w:tc>
        <w:tc>
          <w:tcPr>
            <w:tcW w:w="0" w:type="auto"/>
            <w:gridSpan w:val="3"/>
            <w:shd w:val="clear" w:color="auto" w:fill="auto"/>
            <w:vAlign w:val="bottom"/>
          </w:tcPr>
          <w:p w14:paraId="5DEC5B1A" w14:textId="77777777" w:rsidR="00B1578D" w:rsidRDefault="00B1578D">
            <w:pPr>
              <w:rPr>
                <w:rFonts w:ascii="宋体"/>
                <w:vanish/>
              </w:rPr>
            </w:pPr>
          </w:p>
        </w:tc>
        <w:tc>
          <w:tcPr>
            <w:tcW w:w="0" w:type="auto"/>
            <w:gridSpan w:val="3"/>
            <w:shd w:val="clear" w:color="auto" w:fill="auto"/>
            <w:vAlign w:val="bottom"/>
          </w:tcPr>
          <w:p w14:paraId="5DEC5B1B" w14:textId="77777777" w:rsidR="00B1578D" w:rsidRDefault="00B1578D">
            <w:pPr>
              <w:rPr>
                <w:rFonts w:ascii="宋体"/>
                <w:vanish/>
              </w:rPr>
            </w:pPr>
          </w:p>
        </w:tc>
        <w:tc>
          <w:tcPr>
            <w:tcW w:w="0" w:type="auto"/>
            <w:shd w:val="clear" w:color="auto" w:fill="auto"/>
            <w:vAlign w:val="bottom"/>
          </w:tcPr>
          <w:p w14:paraId="5DEC5B1C" w14:textId="77777777" w:rsidR="00B1578D" w:rsidRDefault="00B1578D">
            <w:pPr>
              <w:rPr>
                <w:rFonts w:ascii="宋体"/>
                <w:vanish/>
              </w:rPr>
            </w:pPr>
          </w:p>
        </w:tc>
        <w:tc>
          <w:tcPr>
            <w:tcW w:w="0" w:type="auto"/>
            <w:shd w:val="clear" w:color="auto" w:fill="auto"/>
            <w:vAlign w:val="bottom"/>
          </w:tcPr>
          <w:p w14:paraId="5DEC5B1D" w14:textId="77777777" w:rsidR="00B1578D" w:rsidRDefault="00B1578D">
            <w:pPr>
              <w:rPr>
                <w:rFonts w:ascii="宋体"/>
                <w:vanish/>
              </w:rPr>
            </w:pPr>
          </w:p>
        </w:tc>
        <w:tc>
          <w:tcPr>
            <w:tcW w:w="0" w:type="auto"/>
            <w:shd w:val="clear" w:color="auto" w:fill="auto"/>
            <w:vAlign w:val="bottom"/>
          </w:tcPr>
          <w:p w14:paraId="5DEC5B1E" w14:textId="77777777" w:rsidR="00B1578D" w:rsidRDefault="00B1578D">
            <w:pPr>
              <w:rPr>
                <w:rFonts w:ascii="宋体"/>
                <w:vanish/>
              </w:rPr>
            </w:pPr>
          </w:p>
        </w:tc>
      </w:tr>
      <w:tr w:rsidR="00B1578D" w14:paraId="5DEC5B33" w14:textId="77777777">
        <w:trPr>
          <w:jc w:val="center"/>
          <w:hidden/>
        </w:trPr>
        <w:tc>
          <w:tcPr>
            <w:tcW w:w="0" w:type="auto"/>
            <w:gridSpan w:val="3"/>
            <w:shd w:val="clear" w:color="auto" w:fill="auto"/>
            <w:vAlign w:val="bottom"/>
          </w:tcPr>
          <w:p w14:paraId="5DEC5B20" w14:textId="77777777" w:rsidR="00B1578D" w:rsidRDefault="00B1578D">
            <w:pPr>
              <w:rPr>
                <w:rFonts w:ascii="宋体"/>
                <w:vanish/>
              </w:rPr>
            </w:pPr>
          </w:p>
        </w:tc>
        <w:tc>
          <w:tcPr>
            <w:tcW w:w="0" w:type="auto"/>
            <w:gridSpan w:val="3"/>
            <w:shd w:val="clear" w:color="auto" w:fill="auto"/>
            <w:vAlign w:val="bottom"/>
          </w:tcPr>
          <w:p w14:paraId="5DEC5B21" w14:textId="77777777" w:rsidR="00B1578D" w:rsidRDefault="00B1578D">
            <w:pPr>
              <w:rPr>
                <w:rFonts w:ascii="宋体"/>
                <w:vanish/>
              </w:rPr>
            </w:pPr>
          </w:p>
        </w:tc>
        <w:tc>
          <w:tcPr>
            <w:tcW w:w="0" w:type="auto"/>
            <w:gridSpan w:val="3"/>
            <w:shd w:val="clear" w:color="auto" w:fill="auto"/>
            <w:vAlign w:val="bottom"/>
          </w:tcPr>
          <w:p w14:paraId="5DEC5B22" w14:textId="77777777" w:rsidR="00B1578D" w:rsidRDefault="00B1578D">
            <w:pPr>
              <w:rPr>
                <w:rFonts w:ascii="宋体"/>
                <w:vanish/>
              </w:rPr>
            </w:pPr>
          </w:p>
        </w:tc>
        <w:tc>
          <w:tcPr>
            <w:tcW w:w="0" w:type="auto"/>
            <w:gridSpan w:val="3"/>
            <w:shd w:val="clear" w:color="auto" w:fill="auto"/>
            <w:vAlign w:val="bottom"/>
          </w:tcPr>
          <w:p w14:paraId="5DEC5B23" w14:textId="77777777" w:rsidR="00B1578D" w:rsidRDefault="00B1578D">
            <w:pPr>
              <w:rPr>
                <w:rFonts w:ascii="宋体"/>
                <w:vanish/>
              </w:rPr>
            </w:pPr>
          </w:p>
        </w:tc>
        <w:tc>
          <w:tcPr>
            <w:tcW w:w="0" w:type="auto"/>
            <w:gridSpan w:val="3"/>
            <w:shd w:val="clear" w:color="auto" w:fill="auto"/>
            <w:vAlign w:val="bottom"/>
          </w:tcPr>
          <w:p w14:paraId="5DEC5B24" w14:textId="77777777" w:rsidR="00B1578D" w:rsidRDefault="00B1578D">
            <w:pPr>
              <w:rPr>
                <w:rFonts w:ascii="宋体"/>
                <w:vanish/>
              </w:rPr>
            </w:pPr>
          </w:p>
        </w:tc>
        <w:tc>
          <w:tcPr>
            <w:tcW w:w="0" w:type="auto"/>
            <w:gridSpan w:val="3"/>
            <w:shd w:val="clear" w:color="auto" w:fill="auto"/>
            <w:vAlign w:val="bottom"/>
          </w:tcPr>
          <w:p w14:paraId="5DEC5B25" w14:textId="77777777" w:rsidR="00B1578D" w:rsidRDefault="00B1578D">
            <w:pPr>
              <w:rPr>
                <w:rFonts w:ascii="宋体"/>
                <w:vanish/>
              </w:rPr>
            </w:pPr>
          </w:p>
        </w:tc>
        <w:tc>
          <w:tcPr>
            <w:tcW w:w="0" w:type="auto"/>
            <w:gridSpan w:val="3"/>
            <w:shd w:val="clear" w:color="auto" w:fill="auto"/>
            <w:vAlign w:val="bottom"/>
          </w:tcPr>
          <w:p w14:paraId="5DEC5B26" w14:textId="77777777" w:rsidR="00B1578D" w:rsidRDefault="00B1578D">
            <w:pPr>
              <w:rPr>
                <w:rFonts w:ascii="宋体"/>
                <w:vanish/>
              </w:rPr>
            </w:pPr>
          </w:p>
        </w:tc>
        <w:tc>
          <w:tcPr>
            <w:tcW w:w="0" w:type="auto"/>
            <w:gridSpan w:val="3"/>
            <w:shd w:val="clear" w:color="auto" w:fill="auto"/>
            <w:vAlign w:val="bottom"/>
          </w:tcPr>
          <w:p w14:paraId="5DEC5B27" w14:textId="77777777" w:rsidR="00B1578D" w:rsidRDefault="00B1578D">
            <w:pPr>
              <w:rPr>
                <w:rFonts w:ascii="宋体"/>
                <w:vanish/>
              </w:rPr>
            </w:pPr>
          </w:p>
        </w:tc>
        <w:tc>
          <w:tcPr>
            <w:tcW w:w="0" w:type="auto"/>
            <w:gridSpan w:val="3"/>
            <w:shd w:val="clear" w:color="auto" w:fill="auto"/>
            <w:vAlign w:val="bottom"/>
          </w:tcPr>
          <w:p w14:paraId="5DEC5B28" w14:textId="77777777" w:rsidR="00B1578D" w:rsidRDefault="00B1578D">
            <w:pPr>
              <w:rPr>
                <w:rFonts w:ascii="宋体"/>
                <w:vanish/>
              </w:rPr>
            </w:pPr>
          </w:p>
        </w:tc>
        <w:tc>
          <w:tcPr>
            <w:tcW w:w="0" w:type="auto"/>
            <w:gridSpan w:val="3"/>
            <w:shd w:val="clear" w:color="auto" w:fill="auto"/>
            <w:vAlign w:val="bottom"/>
          </w:tcPr>
          <w:p w14:paraId="5DEC5B29" w14:textId="77777777" w:rsidR="00B1578D" w:rsidRDefault="00B1578D">
            <w:pPr>
              <w:rPr>
                <w:rFonts w:ascii="宋体"/>
                <w:vanish/>
              </w:rPr>
            </w:pPr>
          </w:p>
        </w:tc>
        <w:tc>
          <w:tcPr>
            <w:tcW w:w="0" w:type="auto"/>
            <w:gridSpan w:val="3"/>
            <w:shd w:val="clear" w:color="auto" w:fill="auto"/>
            <w:vAlign w:val="bottom"/>
          </w:tcPr>
          <w:p w14:paraId="5DEC5B2A" w14:textId="77777777" w:rsidR="00B1578D" w:rsidRDefault="00B1578D">
            <w:pPr>
              <w:rPr>
                <w:rFonts w:ascii="宋体"/>
                <w:vanish/>
              </w:rPr>
            </w:pPr>
          </w:p>
        </w:tc>
        <w:tc>
          <w:tcPr>
            <w:tcW w:w="0" w:type="auto"/>
            <w:gridSpan w:val="3"/>
            <w:shd w:val="clear" w:color="auto" w:fill="auto"/>
            <w:vAlign w:val="bottom"/>
          </w:tcPr>
          <w:p w14:paraId="5DEC5B2B" w14:textId="77777777" w:rsidR="00B1578D" w:rsidRDefault="00B1578D">
            <w:pPr>
              <w:rPr>
                <w:rFonts w:ascii="宋体"/>
                <w:vanish/>
              </w:rPr>
            </w:pPr>
          </w:p>
        </w:tc>
        <w:tc>
          <w:tcPr>
            <w:tcW w:w="0" w:type="auto"/>
            <w:gridSpan w:val="3"/>
            <w:shd w:val="clear" w:color="auto" w:fill="auto"/>
            <w:vAlign w:val="bottom"/>
          </w:tcPr>
          <w:p w14:paraId="5DEC5B2C" w14:textId="77777777" w:rsidR="00B1578D" w:rsidRDefault="00B1578D">
            <w:pPr>
              <w:rPr>
                <w:rFonts w:ascii="宋体"/>
                <w:vanish/>
              </w:rPr>
            </w:pPr>
          </w:p>
        </w:tc>
        <w:tc>
          <w:tcPr>
            <w:tcW w:w="0" w:type="auto"/>
            <w:gridSpan w:val="3"/>
            <w:shd w:val="clear" w:color="auto" w:fill="auto"/>
            <w:vAlign w:val="bottom"/>
          </w:tcPr>
          <w:p w14:paraId="5DEC5B2D" w14:textId="77777777" w:rsidR="00B1578D" w:rsidRDefault="00B1578D">
            <w:pPr>
              <w:rPr>
                <w:rFonts w:ascii="宋体"/>
                <w:vanish/>
              </w:rPr>
            </w:pPr>
          </w:p>
        </w:tc>
        <w:tc>
          <w:tcPr>
            <w:tcW w:w="0" w:type="auto"/>
            <w:gridSpan w:val="3"/>
            <w:shd w:val="clear" w:color="auto" w:fill="auto"/>
            <w:vAlign w:val="bottom"/>
          </w:tcPr>
          <w:p w14:paraId="5DEC5B2E" w14:textId="77777777" w:rsidR="00B1578D" w:rsidRDefault="00B1578D">
            <w:pPr>
              <w:rPr>
                <w:rFonts w:ascii="宋体"/>
                <w:vanish/>
              </w:rPr>
            </w:pPr>
          </w:p>
        </w:tc>
        <w:tc>
          <w:tcPr>
            <w:tcW w:w="0" w:type="auto"/>
            <w:gridSpan w:val="3"/>
            <w:shd w:val="clear" w:color="auto" w:fill="auto"/>
            <w:vAlign w:val="bottom"/>
          </w:tcPr>
          <w:p w14:paraId="5DEC5B2F" w14:textId="77777777" w:rsidR="00B1578D" w:rsidRDefault="00B1578D">
            <w:pPr>
              <w:rPr>
                <w:rFonts w:ascii="宋体"/>
                <w:vanish/>
              </w:rPr>
            </w:pPr>
          </w:p>
        </w:tc>
        <w:tc>
          <w:tcPr>
            <w:tcW w:w="0" w:type="auto"/>
            <w:shd w:val="clear" w:color="auto" w:fill="auto"/>
            <w:vAlign w:val="bottom"/>
          </w:tcPr>
          <w:p w14:paraId="5DEC5B30" w14:textId="77777777" w:rsidR="00B1578D" w:rsidRDefault="00B1578D">
            <w:pPr>
              <w:rPr>
                <w:rFonts w:ascii="宋体"/>
                <w:vanish/>
              </w:rPr>
            </w:pPr>
          </w:p>
        </w:tc>
        <w:tc>
          <w:tcPr>
            <w:tcW w:w="0" w:type="auto"/>
            <w:shd w:val="clear" w:color="auto" w:fill="auto"/>
            <w:vAlign w:val="bottom"/>
          </w:tcPr>
          <w:p w14:paraId="5DEC5B31" w14:textId="77777777" w:rsidR="00B1578D" w:rsidRDefault="00B1578D">
            <w:pPr>
              <w:rPr>
                <w:rFonts w:ascii="宋体"/>
                <w:vanish/>
              </w:rPr>
            </w:pPr>
          </w:p>
        </w:tc>
        <w:tc>
          <w:tcPr>
            <w:tcW w:w="0" w:type="auto"/>
            <w:shd w:val="clear" w:color="auto" w:fill="auto"/>
            <w:vAlign w:val="bottom"/>
          </w:tcPr>
          <w:p w14:paraId="5DEC5B32" w14:textId="77777777" w:rsidR="00B1578D" w:rsidRDefault="00B1578D">
            <w:pPr>
              <w:rPr>
                <w:rFonts w:ascii="宋体"/>
                <w:vanish/>
              </w:rPr>
            </w:pPr>
          </w:p>
        </w:tc>
      </w:tr>
      <w:tr w:rsidR="00B1578D" w14:paraId="5DEC5B47" w14:textId="77777777">
        <w:trPr>
          <w:jc w:val="center"/>
          <w:hidden/>
        </w:trPr>
        <w:tc>
          <w:tcPr>
            <w:tcW w:w="0" w:type="auto"/>
            <w:gridSpan w:val="3"/>
            <w:shd w:val="clear" w:color="auto" w:fill="auto"/>
            <w:vAlign w:val="bottom"/>
          </w:tcPr>
          <w:p w14:paraId="5DEC5B34" w14:textId="77777777" w:rsidR="00B1578D" w:rsidRDefault="00B1578D">
            <w:pPr>
              <w:rPr>
                <w:rFonts w:ascii="宋体"/>
                <w:vanish/>
              </w:rPr>
            </w:pPr>
          </w:p>
        </w:tc>
        <w:tc>
          <w:tcPr>
            <w:tcW w:w="0" w:type="auto"/>
            <w:gridSpan w:val="3"/>
            <w:shd w:val="clear" w:color="auto" w:fill="auto"/>
            <w:vAlign w:val="bottom"/>
          </w:tcPr>
          <w:p w14:paraId="5DEC5B35" w14:textId="77777777" w:rsidR="00B1578D" w:rsidRDefault="00B1578D">
            <w:pPr>
              <w:rPr>
                <w:rFonts w:ascii="宋体"/>
                <w:vanish/>
              </w:rPr>
            </w:pPr>
          </w:p>
        </w:tc>
        <w:tc>
          <w:tcPr>
            <w:tcW w:w="0" w:type="auto"/>
            <w:gridSpan w:val="3"/>
            <w:shd w:val="clear" w:color="auto" w:fill="auto"/>
            <w:vAlign w:val="bottom"/>
          </w:tcPr>
          <w:p w14:paraId="5DEC5B36" w14:textId="77777777" w:rsidR="00B1578D" w:rsidRDefault="00B1578D">
            <w:pPr>
              <w:rPr>
                <w:rFonts w:ascii="宋体"/>
                <w:vanish/>
              </w:rPr>
            </w:pPr>
          </w:p>
        </w:tc>
        <w:tc>
          <w:tcPr>
            <w:tcW w:w="0" w:type="auto"/>
            <w:gridSpan w:val="3"/>
            <w:shd w:val="clear" w:color="auto" w:fill="auto"/>
            <w:vAlign w:val="bottom"/>
          </w:tcPr>
          <w:p w14:paraId="5DEC5B37" w14:textId="77777777" w:rsidR="00B1578D" w:rsidRDefault="00B1578D">
            <w:pPr>
              <w:rPr>
                <w:rFonts w:ascii="宋体"/>
                <w:vanish/>
              </w:rPr>
            </w:pPr>
          </w:p>
        </w:tc>
        <w:tc>
          <w:tcPr>
            <w:tcW w:w="0" w:type="auto"/>
            <w:gridSpan w:val="3"/>
            <w:shd w:val="clear" w:color="auto" w:fill="auto"/>
            <w:vAlign w:val="bottom"/>
          </w:tcPr>
          <w:p w14:paraId="5DEC5B38" w14:textId="77777777" w:rsidR="00B1578D" w:rsidRDefault="00B1578D">
            <w:pPr>
              <w:rPr>
                <w:rFonts w:ascii="宋体"/>
                <w:vanish/>
              </w:rPr>
            </w:pPr>
          </w:p>
        </w:tc>
        <w:tc>
          <w:tcPr>
            <w:tcW w:w="0" w:type="auto"/>
            <w:gridSpan w:val="3"/>
            <w:shd w:val="clear" w:color="auto" w:fill="auto"/>
            <w:vAlign w:val="bottom"/>
          </w:tcPr>
          <w:p w14:paraId="5DEC5B39" w14:textId="77777777" w:rsidR="00B1578D" w:rsidRDefault="00B1578D">
            <w:pPr>
              <w:rPr>
                <w:rFonts w:ascii="宋体"/>
                <w:vanish/>
              </w:rPr>
            </w:pPr>
          </w:p>
        </w:tc>
        <w:tc>
          <w:tcPr>
            <w:tcW w:w="0" w:type="auto"/>
            <w:gridSpan w:val="3"/>
            <w:shd w:val="clear" w:color="auto" w:fill="auto"/>
            <w:vAlign w:val="bottom"/>
          </w:tcPr>
          <w:p w14:paraId="5DEC5B3A" w14:textId="77777777" w:rsidR="00B1578D" w:rsidRDefault="00B1578D">
            <w:pPr>
              <w:rPr>
                <w:rFonts w:ascii="宋体"/>
                <w:vanish/>
              </w:rPr>
            </w:pPr>
          </w:p>
        </w:tc>
        <w:tc>
          <w:tcPr>
            <w:tcW w:w="0" w:type="auto"/>
            <w:gridSpan w:val="3"/>
            <w:shd w:val="clear" w:color="auto" w:fill="auto"/>
            <w:vAlign w:val="bottom"/>
          </w:tcPr>
          <w:p w14:paraId="5DEC5B3B" w14:textId="77777777" w:rsidR="00B1578D" w:rsidRDefault="00B1578D">
            <w:pPr>
              <w:rPr>
                <w:rFonts w:ascii="宋体"/>
                <w:vanish/>
              </w:rPr>
            </w:pPr>
          </w:p>
        </w:tc>
        <w:tc>
          <w:tcPr>
            <w:tcW w:w="0" w:type="auto"/>
            <w:gridSpan w:val="3"/>
            <w:shd w:val="clear" w:color="auto" w:fill="auto"/>
            <w:vAlign w:val="bottom"/>
          </w:tcPr>
          <w:p w14:paraId="5DEC5B3C" w14:textId="77777777" w:rsidR="00B1578D" w:rsidRDefault="00B1578D">
            <w:pPr>
              <w:rPr>
                <w:rFonts w:ascii="宋体"/>
                <w:vanish/>
              </w:rPr>
            </w:pPr>
          </w:p>
        </w:tc>
        <w:tc>
          <w:tcPr>
            <w:tcW w:w="0" w:type="auto"/>
            <w:gridSpan w:val="3"/>
            <w:shd w:val="clear" w:color="auto" w:fill="auto"/>
            <w:vAlign w:val="bottom"/>
          </w:tcPr>
          <w:p w14:paraId="5DEC5B3D" w14:textId="77777777" w:rsidR="00B1578D" w:rsidRDefault="00B1578D">
            <w:pPr>
              <w:rPr>
                <w:rFonts w:ascii="宋体"/>
                <w:vanish/>
              </w:rPr>
            </w:pPr>
          </w:p>
        </w:tc>
        <w:tc>
          <w:tcPr>
            <w:tcW w:w="0" w:type="auto"/>
            <w:gridSpan w:val="3"/>
            <w:shd w:val="clear" w:color="auto" w:fill="auto"/>
            <w:vAlign w:val="bottom"/>
          </w:tcPr>
          <w:p w14:paraId="5DEC5B3E" w14:textId="77777777" w:rsidR="00B1578D" w:rsidRDefault="00B1578D">
            <w:pPr>
              <w:rPr>
                <w:rFonts w:ascii="宋体"/>
                <w:vanish/>
              </w:rPr>
            </w:pPr>
          </w:p>
        </w:tc>
        <w:tc>
          <w:tcPr>
            <w:tcW w:w="0" w:type="auto"/>
            <w:gridSpan w:val="3"/>
            <w:shd w:val="clear" w:color="auto" w:fill="auto"/>
            <w:vAlign w:val="bottom"/>
          </w:tcPr>
          <w:p w14:paraId="5DEC5B3F" w14:textId="77777777" w:rsidR="00B1578D" w:rsidRDefault="00B1578D">
            <w:pPr>
              <w:rPr>
                <w:rFonts w:ascii="宋体"/>
                <w:vanish/>
              </w:rPr>
            </w:pPr>
          </w:p>
        </w:tc>
        <w:tc>
          <w:tcPr>
            <w:tcW w:w="0" w:type="auto"/>
            <w:gridSpan w:val="3"/>
            <w:shd w:val="clear" w:color="auto" w:fill="auto"/>
            <w:vAlign w:val="bottom"/>
          </w:tcPr>
          <w:p w14:paraId="5DEC5B40" w14:textId="77777777" w:rsidR="00B1578D" w:rsidRDefault="00B1578D">
            <w:pPr>
              <w:rPr>
                <w:rFonts w:ascii="宋体"/>
                <w:vanish/>
              </w:rPr>
            </w:pPr>
          </w:p>
        </w:tc>
        <w:tc>
          <w:tcPr>
            <w:tcW w:w="0" w:type="auto"/>
            <w:gridSpan w:val="3"/>
            <w:shd w:val="clear" w:color="auto" w:fill="auto"/>
            <w:vAlign w:val="bottom"/>
          </w:tcPr>
          <w:p w14:paraId="5DEC5B41" w14:textId="77777777" w:rsidR="00B1578D" w:rsidRDefault="00B1578D">
            <w:pPr>
              <w:rPr>
                <w:rFonts w:ascii="宋体"/>
                <w:vanish/>
              </w:rPr>
            </w:pPr>
          </w:p>
        </w:tc>
        <w:tc>
          <w:tcPr>
            <w:tcW w:w="0" w:type="auto"/>
            <w:gridSpan w:val="3"/>
            <w:shd w:val="clear" w:color="auto" w:fill="auto"/>
            <w:vAlign w:val="bottom"/>
          </w:tcPr>
          <w:p w14:paraId="5DEC5B42" w14:textId="77777777" w:rsidR="00B1578D" w:rsidRDefault="00B1578D">
            <w:pPr>
              <w:rPr>
                <w:rFonts w:ascii="宋体"/>
                <w:vanish/>
              </w:rPr>
            </w:pPr>
          </w:p>
        </w:tc>
        <w:tc>
          <w:tcPr>
            <w:tcW w:w="0" w:type="auto"/>
            <w:gridSpan w:val="3"/>
            <w:shd w:val="clear" w:color="auto" w:fill="auto"/>
            <w:vAlign w:val="bottom"/>
          </w:tcPr>
          <w:p w14:paraId="5DEC5B43" w14:textId="77777777" w:rsidR="00B1578D" w:rsidRDefault="00B1578D">
            <w:pPr>
              <w:rPr>
                <w:rFonts w:ascii="宋体"/>
                <w:vanish/>
              </w:rPr>
            </w:pPr>
          </w:p>
        </w:tc>
        <w:tc>
          <w:tcPr>
            <w:tcW w:w="0" w:type="auto"/>
            <w:shd w:val="clear" w:color="auto" w:fill="auto"/>
            <w:vAlign w:val="bottom"/>
          </w:tcPr>
          <w:p w14:paraId="5DEC5B44" w14:textId="77777777" w:rsidR="00B1578D" w:rsidRDefault="00B1578D">
            <w:pPr>
              <w:rPr>
                <w:rFonts w:ascii="宋体"/>
                <w:vanish/>
              </w:rPr>
            </w:pPr>
          </w:p>
        </w:tc>
        <w:tc>
          <w:tcPr>
            <w:tcW w:w="0" w:type="auto"/>
            <w:shd w:val="clear" w:color="auto" w:fill="auto"/>
            <w:vAlign w:val="bottom"/>
          </w:tcPr>
          <w:p w14:paraId="5DEC5B45" w14:textId="77777777" w:rsidR="00B1578D" w:rsidRDefault="00B1578D">
            <w:pPr>
              <w:rPr>
                <w:rFonts w:ascii="宋体"/>
                <w:vanish/>
              </w:rPr>
            </w:pPr>
          </w:p>
        </w:tc>
        <w:tc>
          <w:tcPr>
            <w:tcW w:w="0" w:type="auto"/>
            <w:shd w:val="clear" w:color="auto" w:fill="auto"/>
            <w:vAlign w:val="bottom"/>
          </w:tcPr>
          <w:p w14:paraId="5DEC5B46" w14:textId="77777777" w:rsidR="00B1578D" w:rsidRDefault="00B1578D">
            <w:pPr>
              <w:rPr>
                <w:rFonts w:ascii="宋体"/>
                <w:vanish/>
              </w:rPr>
            </w:pPr>
          </w:p>
        </w:tc>
      </w:tr>
      <w:tr w:rsidR="00B1578D" w14:paraId="5DEC5B5B" w14:textId="77777777">
        <w:trPr>
          <w:jc w:val="center"/>
          <w:hidden/>
        </w:trPr>
        <w:tc>
          <w:tcPr>
            <w:tcW w:w="0" w:type="auto"/>
            <w:gridSpan w:val="3"/>
            <w:shd w:val="clear" w:color="auto" w:fill="auto"/>
            <w:vAlign w:val="bottom"/>
          </w:tcPr>
          <w:p w14:paraId="5DEC5B48" w14:textId="77777777" w:rsidR="00B1578D" w:rsidRDefault="00B1578D">
            <w:pPr>
              <w:rPr>
                <w:rFonts w:ascii="宋体"/>
                <w:vanish/>
              </w:rPr>
            </w:pPr>
          </w:p>
        </w:tc>
        <w:tc>
          <w:tcPr>
            <w:tcW w:w="0" w:type="auto"/>
            <w:gridSpan w:val="3"/>
            <w:shd w:val="clear" w:color="auto" w:fill="auto"/>
            <w:vAlign w:val="bottom"/>
          </w:tcPr>
          <w:p w14:paraId="5DEC5B49" w14:textId="77777777" w:rsidR="00B1578D" w:rsidRDefault="00B1578D">
            <w:pPr>
              <w:rPr>
                <w:rFonts w:ascii="宋体"/>
                <w:vanish/>
              </w:rPr>
            </w:pPr>
          </w:p>
        </w:tc>
        <w:tc>
          <w:tcPr>
            <w:tcW w:w="0" w:type="auto"/>
            <w:gridSpan w:val="3"/>
            <w:shd w:val="clear" w:color="auto" w:fill="auto"/>
            <w:vAlign w:val="bottom"/>
          </w:tcPr>
          <w:p w14:paraId="5DEC5B4A" w14:textId="77777777" w:rsidR="00B1578D" w:rsidRDefault="00B1578D">
            <w:pPr>
              <w:rPr>
                <w:rFonts w:ascii="宋体"/>
                <w:vanish/>
              </w:rPr>
            </w:pPr>
          </w:p>
        </w:tc>
        <w:tc>
          <w:tcPr>
            <w:tcW w:w="0" w:type="auto"/>
            <w:gridSpan w:val="3"/>
            <w:shd w:val="clear" w:color="auto" w:fill="auto"/>
            <w:vAlign w:val="bottom"/>
          </w:tcPr>
          <w:p w14:paraId="5DEC5B4B" w14:textId="77777777" w:rsidR="00B1578D" w:rsidRDefault="00B1578D">
            <w:pPr>
              <w:rPr>
                <w:rFonts w:ascii="宋体"/>
                <w:vanish/>
              </w:rPr>
            </w:pPr>
          </w:p>
        </w:tc>
        <w:tc>
          <w:tcPr>
            <w:tcW w:w="0" w:type="auto"/>
            <w:gridSpan w:val="3"/>
            <w:shd w:val="clear" w:color="auto" w:fill="auto"/>
            <w:vAlign w:val="bottom"/>
          </w:tcPr>
          <w:p w14:paraId="5DEC5B4C" w14:textId="77777777" w:rsidR="00B1578D" w:rsidRDefault="00B1578D">
            <w:pPr>
              <w:rPr>
                <w:rFonts w:ascii="宋体"/>
                <w:vanish/>
              </w:rPr>
            </w:pPr>
          </w:p>
        </w:tc>
        <w:tc>
          <w:tcPr>
            <w:tcW w:w="0" w:type="auto"/>
            <w:gridSpan w:val="3"/>
            <w:shd w:val="clear" w:color="auto" w:fill="auto"/>
            <w:vAlign w:val="bottom"/>
          </w:tcPr>
          <w:p w14:paraId="5DEC5B4D" w14:textId="77777777" w:rsidR="00B1578D" w:rsidRDefault="00B1578D">
            <w:pPr>
              <w:rPr>
                <w:rFonts w:ascii="宋体"/>
                <w:vanish/>
              </w:rPr>
            </w:pPr>
          </w:p>
        </w:tc>
        <w:tc>
          <w:tcPr>
            <w:tcW w:w="0" w:type="auto"/>
            <w:gridSpan w:val="3"/>
            <w:shd w:val="clear" w:color="auto" w:fill="auto"/>
            <w:vAlign w:val="bottom"/>
          </w:tcPr>
          <w:p w14:paraId="5DEC5B4E" w14:textId="77777777" w:rsidR="00B1578D" w:rsidRDefault="00B1578D">
            <w:pPr>
              <w:rPr>
                <w:rFonts w:ascii="宋体"/>
                <w:vanish/>
              </w:rPr>
            </w:pPr>
          </w:p>
        </w:tc>
        <w:tc>
          <w:tcPr>
            <w:tcW w:w="0" w:type="auto"/>
            <w:gridSpan w:val="3"/>
            <w:shd w:val="clear" w:color="auto" w:fill="auto"/>
            <w:vAlign w:val="bottom"/>
          </w:tcPr>
          <w:p w14:paraId="5DEC5B4F" w14:textId="77777777" w:rsidR="00B1578D" w:rsidRDefault="00B1578D">
            <w:pPr>
              <w:rPr>
                <w:rFonts w:ascii="宋体"/>
                <w:vanish/>
              </w:rPr>
            </w:pPr>
          </w:p>
        </w:tc>
        <w:tc>
          <w:tcPr>
            <w:tcW w:w="0" w:type="auto"/>
            <w:gridSpan w:val="3"/>
            <w:shd w:val="clear" w:color="auto" w:fill="auto"/>
            <w:vAlign w:val="bottom"/>
          </w:tcPr>
          <w:p w14:paraId="5DEC5B50" w14:textId="77777777" w:rsidR="00B1578D" w:rsidRDefault="00B1578D">
            <w:pPr>
              <w:rPr>
                <w:rFonts w:ascii="宋体"/>
                <w:vanish/>
              </w:rPr>
            </w:pPr>
          </w:p>
        </w:tc>
        <w:tc>
          <w:tcPr>
            <w:tcW w:w="0" w:type="auto"/>
            <w:gridSpan w:val="3"/>
            <w:shd w:val="clear" w:color="auto" w:fill="auto"/>
            <w:vAlign w:val="bottom"/>
          </w:tcPr>
          <w:p w14:paraId="5DEC5B51" w14:textId="77777777" w:rsidR="00B1578D" w:rsidRDefault="00B1578D">
            <w:pPr>
              <w:rPr>
                <w:rFonts w:ascii="宋体"/>
                <w:vanish/>
              </w:rPr>
            </w:pPr>
          </w:p>
        </w:tc>
        <w:tc>
          <w:tcPr>
            <w:tcW w:w="0" w:type="auto"/>
            <w:gridSpan w:val="3"/>
            <w:shd w:val="clear" w:color="auto" w:fill="auto"/>
            <w:vAlign w:val="bottom"/>
          </w:tcPr>
          <w:p w14:paraId="5DEC5B52" w14:textId="77777777" w:rsidR="00B1578D" w:rsidRDefault="00B1578D">
            <w:pPr>
              <w:rPr>
                <w:rFonts w:ascii="宋体"/>
                <w:vanish/>
              </w:rPr>
            </w:pPr>
          </w:p>
        </w:tc>
        <w:tc>
          <w:tcPr>
            <w:tcW w:w="0" w:type="auto"/>
            <w:gridSpan w:val="3"/>
            <w:shd w:val="clear" w:color="auto" w:fill="auto"/>
            <w:vAlign w:val="bottom"/>
          </w:tcPr>
          <w:p w14:paraId="5DEC5B53" w14:textId="77777777" w:rsidR="00B1578D" w:rsidRDefault="00B1578D">
            <w:pPr>
              <w:rPr>
                <w:rFonts w:ascii="宋体"/>
                <w:vanish/>
              </w:rPr>
            </w:pPr>
          </w:p>
        </w:tc>
        <w:tc>
          <w:tcPr>
            <w:tcW w:w="0" w:type="auto"/>
            <w:gridSpan w:val="3"/>
            <w:shd w:val="clear" w:color="auto" w:fill="auto"/>
            <w:vAlign w:val="bottom"/>
          </w:tcPr>
          <w:p w14:paraId="5DEC5B54" w14:textId="77777777" w:rsidR="00B1578D" w:rsidRDefault="00B1578D">
            <w:pPr>
              <w:rPr>
                <w:rFonts w:ascii="宋体"/>
                <w:vanish/>
              </w:rPr>
            </w:pPr>
          </w:p>
        </w:tc>
        <w:tc>
          <w:tcPr>
            <w:tcW w:w="0" w:type="auto"/>
            <w:gridSpan w:val="3"/>
            <w:shd w:val="clear" w:color="auto" w:fill="auto"/>
            <w:vAlign w:val="bottom"/>
          </w:tcPr>
          <w:p w14:paraId="5DEC5B55" w14:textId="77777777" w:rsidR="00B1578D" w:rsidRDefault="00B1578D">
            <w:pPr>
              <w:rPr>
                <w:rFonts w:ascii="宋体"/>
                <w:vanish/>
              </w:rPr>
            </w:pPr>
          </w:p>
        </w:tc>
        <w:tc>
          <w:tcPr>
            <w:tcW w:w="0" w:type="auto"/>
            <w:gridSpan w:val="3"/>
            <w:shd w:val="clear" w:color="auto" w:fill="auto"/>
            <w:vAlign w:val="bottom"/>
          </w:tcPr>
          <w:p w14:paraId="5DEC5B56" w14:textId="77777777" w:rsidR="00B1578D" w:rsidRDefault="00B1578D">
            <w:pPr>
              <w:rPr>
                <w:rFonts w:ascii="宋体"/>
                <w:vanish/>
              </w:rPr>
            </w:pPr>
          </w:p>
        </w:tc>
        <w:tc>
          <w:tcPr>
            <w:tcW w:w="0" w:type="auto"/>
            <w:gridSpan w:val="3"/>
            <w:shd w:val="clear" w:color="auto" w:fill="auto"/>
            <w:vAlign w:val="bottom"/>
          </w:tcPr>
          <w:p w14:paraId="5DEC5B57" w14:textId="77777777" w:rsidR="00B1578D" w:rsidRDefault="00B1578D">
            <w:pPr>
              <w:rPr>
                <w:rFonts w:ascii="宋体"/>
                <w:vanish/>
              </w:rPr>
            </w:pPr>
          </w:p>
        </w:tc>
        <w:tc>
          <w:tcPr>
            <w:tcW w:w="0" w:type="auto"/>
            <w:shd w:val="clear" w:color="auto" w:fill="auto"/>
            <w:vAlign w:val="bottom"/>
          </w:tcPr>
          <w:p w14:paraId="5DEC5B58" w14:textId="77777777" w:rsidR="00B1578D" w:rsidRDefault="00B1578D">
            <w:pPr>
              <w:rPr>
                <w:rFonts w:ascii="宋体"/>
                <w:vanish/>
              </w:rPr>
            </w:pPr>
          </w:p>
        </w:tc>
        <w:tc>
          <w:tcPr>
            <w:tcW w:w="0" w:type="auto"/>
            <w:shd w:val="clear" w:color="auto" w:fill="auto"/>
            <w:vAlign w:val="bottom"/>
          </w:tcPr>
          <w:p w14:paraId="5DEC5B59" w14:textId="77777777" w:rsidR="00B1578D" w:rsidRDefault="00B1578D">
            <w:pPr>
              <w:rPr>
                <w:rFonts w:ascii="宋体"/>
                <w:vanish/>
              </w:rPr>
            </w:pPr>
          </w:p>
        </w:tc>
        <w:tc>
          <w:tcPr>
            <w:tcW w:w="0" w:type="auto"/>
            <w:shd w:val="clear" w:color="auto" w:fill="auto"/>
            <w:vAlign w:val="bottom"/>
          </w:tcPr>
          <w:p w14:paraId="5DEC5B5A" w14:textId="77777777" w:rsidR="00B1578D" w:rsidRDefault="00B1578D">
            <w:pPr>
              <w:rPr>
                <w:rFonts w:ascii="宋体"/>
                <w:vanish/>
              </w:rPr>
            </w:pPr>
          </w:p>
        </w:tc>
      </w:tr>
      <w:tr w:rsidR="00B1578D" w14:paraId="5DEC5B6F" w14:textId="77777777">
        <w:trPr>
          <w:jc w:val="center"/>
          <w:hidden/>
        </w:trPr>
        <w:tc>
          <w:tcPr>
            <w:tcW w:w="0" w:type="auto"/>
            <w:gridSpan w:val="3"/>
            <w:shd w:val="clear" w:color="auto" w:fill="auto"/>
            <w:vAlign w:val="bottom"/>
          </w:tcPr>
          <w:p w14:paraId="5DEC5B5C" w14:textId="77777777" w:rsidR="00B1578D" w:rsidRDefault="00B1578D">
            <w:pPr>
              <w:rPr>
                <w:rFonts w:ascii="宋体"/>
                <w:vanish/>
              </w:rPr>
            </w:pPr>
          </w:p>
        </w:tc>
        <w:tc>
          <w:tcPr>
            <w:tcW w:w="0" w:type="auto"/>
            <w:gridSpan w:val="3"/>
            <w:shd w:val="clear" w:color="auto" w:fill="auto"/>
            <w:vAlign w:val="bottom"/>
          </w:tcPr>
          <w:p w14:paraId="5DEC5B5D" w14:textId="77777777" w:rsidR="00B1578D" w:rsidRDefault="00B1578D">
            <w:pPr>
              <w:rPr>
                <w:rFonts w:ascii="宋体"/>
                <w:vanish/>
              </w:rPr>
            </w:pPr>
          </w:p>
        </w:tc>
        <w:tc>
          <w:tcPr>
            <w:tcW w:w="0" w:type="auto"/>
            <w:gridSpan w:val="3"/>
            <w:shd w:val="clear" w:color="auto" w:fill="auto"/>
            <w:vAlign w:val="bottom"/>
          </w:tcPr>
          <w:p w14:paraId="5DEC5B5E" w14:textId="77777777" w:rsidR="00B1578D" w:rsidRDefault="00B1578D">
            <w:pPr>
              <w:rPr>
                <w:rFonts w:ascii="宋体"/>
                <w:vanish/>
              </w:rPr>
            </w:pPr>
          </w:p>
        </w:tc>
        <w:tc>
          <w:tcPr>
            <w:tcW w:w="0" w:type="auto"/>
            <w:gridSpan w:val="3"/>
            <w:shd w:val="clear" w:color="auto" w:fill="auto"/>
            <w:vAlign w:val="bottom"/>
          </w:tcPr>
          <w:p w14:paraId="5DEC5B5F" w14:textId="77777777" w:rsidR="00B1578D" w:rsidRDefault="00B1578D">
            <w:pPr>
              <w:rPr>
                <w:rFonts w:ascii="宋体"/>
                <w:vanish/>
              </w:rPr>
            </w:pPr>
          </w:p>
        </w:tc>
        <w:tc>
          <w:tcPr>
            <w:tcW w:w="0" w:type="auto"/>
            <w:gridSpan w:val="3"/>
            <w:shd w:val="clear" w:color="auto" w:fill="auto"/>
            <w:vAlign w:val="bottom"/>
          </w:tcPr>
          <w:p w14:paraId="5DEC5B60" w14:textId="77777777" w:rsidR="00B1578D" w:rsidRDefault="00B1578D">
            <w:pPr>
              <w:rPr>
                <w:rFonts w:ascii="宋体"/>
                <w:vanish/>
              </w:rPr>
            </w:pPr>
          </w:p>
        </w:tc>
        <w:tc>
          <w:tcPr>
            <w:tcW w:w="0" w:type="auto"/>
            <w:gridSpan w:val="3"/>
            <w:shd w:val="clear" w:color="auto" w:fill="auto"/>
            <w:vAlign w:val="bottom"/>
          </w:tcPr>
          <w:p w14:paraId="5DEC5B61" w14:textId="77777777" w:rsidR="00B1578D" w:rsidRDefault="00B1578D">
            <w:pPr>
              <w:rPr>
                <w:rFonts w:ascii="宋体"/>
                <w:vanish/>
              </w:rPr>
            </w:pPr>
          </w:p>
        </w:tc>
        <w:tc>
          <w:tcPr>
            <w:tcW w:w="0" w:type="auto"/>
            <w:gridSpan w:val="3"/>
            <w:shd w:val="clear" w:color="auto" w:fill="auto"/>
            <w:vAlign w:val="bottom"/>
          </w:tcPr>
          <w:p w14:paraId="5DEC5B62" w14:textId="77777777" w:rsidR="00B1578D" w:rsidRDefault="00B1578D">
            <w:pPr>
              <w:rPr>
                <w:rFonts w:ascii="宋体"/>
                <w:vanish/>
              </w:rPr>
            </w:pPr>
          </w:p>
        </w:tc>
        <w:tc>
          <w:tcPr>
            <w:tcW w:w="0" w:type="auto"/>
            <w:gridSpan w:val="3"/>
            <w:shd w:val="clear" w:color="auto" w:fill="auto"/>
            <w:vAlign w:val="bottom"/>
          </w:tcPr>
          <w:p w14:paraId="5DEC5B63" w14:textId="77777777" w:rsidR="00B1578D" w:rsidRDefault="00B1578D">
            <w:pPr>
              <w:rPr>
                <w:rFonts w:ascii="宋体"/>
                <w:vanish/>
              </w:rPr>
            </w:pPr>
          </w:p>
        </w:tc>
        <w:tc>
          <w:tcPr>
            <w:tcW w:w="0" w:type="auto"/>
            <w:gridSpan w:val="3"/>
            <w:shd w:val="clear" w:color="auto" w:fill="auto"/>
            <w:vAlign w:val="bottom"/>
          </w:tcPr>
          <w:p w14:paraId="5DEC5B64" w14:textId="77777777" w:rsidR="00B1578D" w:rsidRDefault="00B1578D">
            <w:pPr>
              <w:rPr>
                <w:rFonts w:ascii="宋体"/>
                <w:vanish/>
              </w:rPr>
            </w:pPr>
          </w:p>
        </w:tc>
        <w:tc>
          <w:tcPr>
            <w:tcW w:w="0" w:type="auto"/>
            <w:gridSpan w:val="3"/>
            <w:shd w:val="clear" w:color="auto" w:fill="auto"/>
            <w:vAlign w:val="bottom"/>
          </w:tcPr>
          <w:p w14:paraId="5DEC5B65" w14:textId="77777777" w:rsidR="00B1578D" w:rsidRDefault="00B1578D">
            <w:pPr>
              <w:rPr>
                <w:rFonts w:ascii="宋体"/>
                <w:vanish/>
              </w:rPr>
            </w:pPr>
          </w:p>
        </w:tc>
        <w:tc>
          <w:tcPr>
            <w:tcW w:w="0" w:type="auto"/>
            <w:gridSpan w:val="3"/>
            <w:shd w:val="clear" w:color="auto" w:fill="auto"/>
            <w:vAlign w:val="bottom"/>
          </w:tcPr>
          <w:p w14:paraId="5DEC5B66" w14:textId="77777777" w:rsidR="00B1578D" w:rsidRDefault="00B1578D">
            <w:pPr>
              <w:rPr>
                <w:rFonts w:ascii="宋体"/>
                <w:vanish/>
              </w:rPr>
            </w:pPr>
          </w:p>
        </w:tc>
        <w:tc>
          <w:tcPr>
            <w:tcW w:w="0" w:type="auto"/>
            <w:gridSpan w:val="3"/>
            <w:shd w:val="clear" w:color="auto" w:fill="auto"/>
            <w:vAlign w:val="bottom"/>
          </w:tcPr>
          <w:p w14:paraId="5DEC5B67" w14:textId="77777777" w:rsidR="00B1578D" w:rsidRDefault="00B1578D">
            <w:pPr>
              <w:rPr>
                <w:rFonts w:ascii="宋体"/>
                <w:vanish/>
              </w:rPr>
            </w:pPr>
          </w:p>
        </w:tc>
        <w:tc>
          <w:tcPr>
            <w:tcW w:w="0" w:type="auto"/>
            <w:gridSpan w:val="3"/>
            <w:shd w:val="clear" w:color="auto" w:fill="auto"/>
            <w:vAlign w:val="bottom"/>
          </w:tcPr>
          <w:p w14:paraId="5DEC5B68" w14:textId="77777777" w:rsidR="00B1578D" w:rsidRDefault="00B1578D">
            <w:pPr>
              <w:rPr>
                <w:rFonts w:ascii="宋体"/>
                <w:vanish/>
              </w:rPr>
            </w:pPr>
          </w:p>
        </w:tc>
        <w:tc>
          <w:tcPr>
            <w:tcW w:w="0" w:type="auto"/>
            <w:gridSpan w:val="3"/>
            <w:shd w:val="clear" w:color="auto" w:fill="auto"/>
            <w:vAlign w:val="bottom"/>
          </w:tcPr>
          <w:p w14:paraId="5DEC5B69" w14:textId="77777777" w:rsidR="00B1578D" w:rsidRDefault="00B1578D">
            <w:pPr>
              <w:rPr>
                <w:rFonts w:ascii="宋体"/>
                <w:vanish/>
              </w:rPr>
            </w:pPr>
          </w:p>
        </w:tc>
        <w:tc>
          <w:tcPr>
            <w:tcW w:w="0" w:type="auto"/>
            <w:gridSpan w:val="3"/>
            <w:shd w:val="clear" w:color="auto" w:fill="auto"/>
            <w:vAlign w:val="bottom"/>
          </w:tcPr>
          <w:p w14:paraId="5DEC5B6A" w14:textId="77777777" w:rsidR="00B1578D" w:rsidRDefault="00B1578D">
            <w:pPr>
              <w:rPr>
                <w:rFonts w:ascii="宋体"/>
                <w:vanish/>
              </w:rPr>
            </w:pPr>
          </w:p>
        </w:tc>
        <w:tc>
          <w:tcPr>
            <w:tcW w:w="0" w:type="auto"/>
            <w:gridSpan w:val="3"/>
            <w:shd w:val="clear" w:color="auto" w:fill="auto"/>
            <w:vAlign w:val="bottom"/>
          </w:tcPr>
          <w:p w14:paraId="5DEC5B6B" w14:textId="77777777" w:rsidR="00B1578D" w:rsidRDefault="00B1578D">
            <w:pPr>
              <w:rPr>
                <w:rFonts w:ascii="宋体"/>
                <w:vanish/>
              </w:rPr>
            </w:pPr>
          </w:p>
        </w:tc>
        <w:tc>
          <w:tcPr>
            <w:tcW w:w="0" w:type="auto"/>
            <w:shd w:val="clear" w:color="auto" w:fill="auto"/>
            <w:vAlign w:val="bottom"/>
          </w:tcPr>
          <w:p w14:paraId="5DEC5B6C" w14:textId="77777777" w:rsidR="00B1578D" w:rsidRDefault="00B1578D">
            <w:pPr>
              <w:rPr>
                <w:rFonts w:ascii="宋体"/>
                <w:vanish/>
              </w:rPr>
            </w:pPr>
          </w:p>
        </w:tc>
        <w:tc>
          <w:tcPr>
            <w:tcW w:w="0" w:type="auto"/>
            <w:shd w:val="clear" w:color="auto" w:fill="auto"/>
            <w:vAlign w:val="bottom"/>
          </w:tcPr>
          <w:p w14:paraId="5DEC5B6D" w14:textId="77777777" w:rsidR="00B1578D" w:rsidRDefault="00B1578D">
            <w:pPr>
              <w:rPr>
                <w:rFonts w:ascii="宋体"/>
                <w:vanish/>
              </w:rPr>
            </w:pPr>
          </w:p>
        </w:tc>
        <w:tc>
          <w:tcPr>
            <w:tcW w:w="0" w:type="auto"/>
            <w:shd w:val="clear" w:color="auto" w:fill="auto"/>
            <w:vAlign w:val="bottom"/>
          </w:tcPr>
          <w:p w14:paraId="5DEC5B6E" w14:textId="77777777" w:rsidR="00B1578D" w:rsidRDefault="00B1578D">
            <w:pPr>
              <w:rPr>
                <w:rFonts w:ascii="宋体"/>
                <w:vanish/>
              </w:rPr>
            </w:pPr>
          </w:p>
        </w:tc>
      </w:tr>
      <w:tr w:rsidR="00B1578D" w14:paraId="5DEC5B83" w14:textId="77777777">
        <w:trPr>
          <w:jc w:val="center"/>
          <w:hidden/>
        </w:trPr>
        <w:tc>
          <w:tcPr>
            <w:tcW w:w="0" w:type="auto"/>
            <w:gridSpan w:val="3"/>
            <w:shd w:val="clear" w:color="auto" w:fill="auto"/>
            <w:vAlign w:val="bottom"/>
          </w:tcPr>
          <w:p w14:paraId="5DEC5B70" w14:textId="77777777" w:rsidR="00B1578D" w:rsidRDefault="00B1578D">
            <w:pPr>
              <w:rPr>
                <w:rFonts w:ascii="宋体"/>
                <w:vanish/>
              </w:rPr>
            </w:pPr>
          </w:p>
        </w:tc>
        <w:tc>
          <w:tcPr>
            <w:tcW w:w="0" w:type="auto"/>
            <w:gridSpan w:val="3"/>
            <w:shd w:val="clear" w:color="auto" w:fill="auto"/>
            <w:vAlign w:val="bottom"/>
          </w:tcPr>
          <w:p w14:paraId="5DEC5B71" w14:textId="77777777" w:rsidR="00B1578D" w:rsidRDefault="00B1578D">
            <w:pPr>
              <w:rPr>
                <w:rFonts w:ascii="宋体"/>
                <w:vanish/>
              </w:rPr>
            </w:pPr>
          </w:p>
        </w:tc>
        <w:tc>
          <w:tcPr>
            <w:tcW w:w="0" w:type="auto"/>
            <w:gridSpan w:val="3"/>
            <w:shd w:val="clear" w:color="auto" w:fill="auto"/>
            <w:vAlign w:val="bottom"/>
          </w:tcPr>
          <w:p w14:paraId="5DEC5B72" w14:textId="77777777" w:rsidR="00B1578D" w:rsidRDefault="00B1578D">
            <w:pPr>
              <w:rPr>
                <w:rFonts w:ascii="宋体"/>
                <w:vanish/>
              </w:rPr>
            </w:pPr>
          </w:p>
        </w:tc>
        <w:tc>
          <w:tcPr>
            <w:tcW w:w="0" w:type="auto"/>
            <w:gridSpan w:val="3"/>
            <w:shd w:val="clear" w:color="auto" w:fill="auto"/>
            <w:vAlign w:val="bottom"/>
          </w:tcPr>
          <w:p w14:paraId="5DEC5B73" w14:textId="77777777" w:rsidR="00B1578D" w:rsidRDefault="00B1578D">
            <w:pPr>
              <w:rPr>
                <w:rFonts w:ascii="宋体"/>
                <w:vanish/>
              </w:rPr>
            </w:pPr>
          </w:p>
        </w:tc>
        <w:tc>
          <w:tcPr>
            <w:tcW w:w="0" w:type="auto"/>
            <w:gridSpan w:val="3"/>
            <w:shd w:val="clear" w:color="auto" w:fill="auto"/>
            <w:vAlign w:val="bottom"/>
          </w:tcPr>
          <w:p w14:paraId="5DEC5B74" w14:textId="77777777" w:rsidR="00B1578D" w:rsidRDefault="00B1578D">
            <w:pPr>
              <w:rPr>
                <w:rFonts w:ascii="宋体"/>
                <w:vanish/>
              </w:rPr>
            </w:pPr>
          </w:p>
        </w:tc>
        <w:tc>
          <w:tcPr>
            <w:tcW w:w="0" w:type="auto"/>
            <w:gridSpan w:val="3"/>
            <w:shd w:val="clear" w:color="auto" w:fill="auto"/>
            <w:vAlign w:val="bottom"/>
          </w:tcPr>
          <w:p w14:paraId="5DEC5B75" w14:textId="77777777" w:rsidR="00B1578D" w:rsidRDefault="00B1578D">
            <w:pPr>
              <w:rPr>
                <w:rFonts w:ascii="宋体"/>
                <w:vanish/>
              </w:rPr>
            </w:pPr>
          </w:p>
        </w:tc>
        <w:tc>
          <w:tcPr>
            <w:tcW w:w="0" w:type="auto"/>
            <w:gridSpan w:val="3"/>
            <w:shd w:val="clear" w:color="auto" w:fill="auto"/>
            <w:vAlign w:val="bottom"/>
          </w:tcPr>
          <w:p w14:paraId="5DEC5B76" w14:textId="77777777" w:rsidR="00B1578D" w:rsidRDefault="00B1578D">
            <w:pPr>
              <w:rPr>
                <w:rFonts w:ascii="宋体"/>
                <w:vanish/>
              </w:rPr>
            </w:pPr>
          </w:p>
        </w:tc>
        <w:tc>
          <w:tcPr>
            <w:tcW w:w="0" w:type="auto"/>
            <w:gridSpan w:val="3"/>
            <w:shd w:val="clear" w:color="auto" w:fill="auto"/>
            <w:vAlign w:val="bottom"/>
          </w:tcPr>
          <w:p w14:paraId="5DEC5B77" w14:textId="77777777" w:rsidR="00B1578D" w:rsidRDefault="00B1578D">
            <w:pPr>
              <w:rPr>
                <w:rFonts w:ascii="宋体"/>
                <w:vanish/>
              </w:rPr>
            </w:pPr>
          </w:p>
        </w:tc>
        <w:tc>
          <w:tcPr>
            <w:tcW w:w="0" w:type="auto"/>
            <w:gridSpan w:val="3"/>
            <w:shd w:val="clear" w:color="auto" w:fill="auto"/>
            <w:vAlign w:val="bottom"/>
          </w:tcPr>
          <w:p w14:paraId="5DEC5B78" w14:textId="77777777" w:rsidR="00B1578D" w:rsidRDefault="00B1578D">
            <w:pPr>
              <w:rPr>
                <w:rFonts w:ascii="宋体"/>
                <w:vanish/>
              </w:rPr>
            </w:pPr>
          </w:p>
        </w:tc>
        <w:tc>
          <w:tcPr>
            <w:tcW w:w="0" w:type="auto"/>
            <w:gridSpan w:val="3"/>
            <w:shd w:val="clear" w:color="auto" w:fill="auto"/>
            <w:vAlign w:val="bottom"/>
          </w:tcPr>
          <w:p w14:paraId="5DEC5B79" w14:textId="77777777" w:rsidR="00B1578D" w:rsidRDefault="00B1578D">
            <w:pPr>
              <w:rPr>
                <w:rFonts w:ascii="宋体"/>
                <w:vanish/>
              </w:rPr>
            </w:pPr>
          </w:p>
        </w:tc>
        <w:tc>
          <w:tcPr>
            <w:tcW w:w="0" w:type="auto"/>
            <w:gridSpan w:val="3"/>
            <w:shd w:val="clear" w:color="auto" w:fill="auto"/>
            <w:vAlign w:val="bottom"/>
          </w:tcPr>
          <w:p w14:paraId="5DEC5B7A" w14:textId="77777777" w:rsidR="00B1578D" w:rsidRDefault="00B1578D">
            <w:pPr>
              <w:rPr>
                <w:rFonts w:ascii="宋体"/>
                <w:vanish/>
              </w:rPr>
            </w:pPr>
          </w:p>
        </w:tc>
        <w:tc>
          <w:tcPr>
            <w:tcW w:w="0" w:type="auto"/>
            <w:gridSpan w:val="3"/>
            <w:shd w:val="clear" w:color="auto" w:fill="auto"/>
            <w:vAlign w:val="bottom"/>
          </w:tcPr>
          <w:p w14:paraId="5DEC5B7B" w14:textId="77777777" w:rsidR="00B1578D" w:rsidRDefault="00B1578D">
            <w:pPr>
              <w:rPr>
                <w:rFonts w:ascii="宋体"/>
                <w:vanish/>
              </w:rPr>
            </w:pPr>
          </w:p>
        </w:tc>
        <w:tc>
          <w:tcPr>
            <w:tcW w:w="0" w:type="auto"/>
            <w:gridSpan w:val="3"/>
            <w:shd w:val="clear" w:color="auto" w:fill="auto"/>
            <w:vAlign w:val="bottom"/>
          </w:tcPr>
          <w:p w14:paraId="5DEC5B7C" w14:textId="77777777" w:rsidR="00B1578D" w:rsidRDefault="00B1578D">
            <w:pPr>
              <w:rPr>
                <w:rFonts w:ascii="宋体"/>
                <w:vanish/>
              </w:rPr>
            </w:pPr>
          </w:p>
        </w:tc>
        <w:tc>
          <w:tcPr>
            <w:tcW w:w="0" w:type="auto"/>
            <w:gridSpan w:val="3"/>
            <w:shd w:val="clear" w:color="auto" w:fill="auto"/>
            <w:vAlign w:val="bottom"/>
          </w:tcPr>
          <w:p w14:paraId="5DEC5B7D" w14:textId="77777777" w:rsidR="00B1578D" w:rsidRDefault="00B1578D">
            <w:pPr>
              <w:rPr>
                <w:rFonts w:ascii="宋体"/>
                <w:vanish/>
              </w:rPr>
            </w:pPr>
          </w:p>
        </w:tc>
        <w:tc>
          <w:tcPr>
            <w:tcW w:w="0" w:type="auto"/>
            <w:gridSpan w:val="3"/>
            <w:shd w:val="clear" w:color="auto" w:fill="auto"/>
            <w:vAlign w:val="bottom"/>
          </w:tcPr>
          <w:p w14:paraId="5DEC5B7E" w14:textId="77777777" w:rsidR="00B1578D" w:rsidRDefault="00B1578D">
            <w:pPr>
              <w:rPr>
                <w:rFonts w:ascii="宋体"/>
                <w:vanish/>
              </w:rPr>
            </w:pPr>
          </w:p>
        </w:tc>
        <w:tc>
          <w:tcPr>
            <w:tcW w:w="0" w:type="auto"/>
            <w:gridSpan w:val="3"/>
            <w:shd w:val="clear" w:color="auto" w:fill="auto"/>
            <w:vAlign w:val="bottom"/>
          </w:tcPr>
          <w:p w14:paraId="5DEC5B7F" w14:textId="77777777" w:rsidR="00B1578D" w:rsidRDefault="00B1578D">
            <w:pPr>
              <w:rPr>
                <w:rFonts w:ascii="宋体"/>
                <w:vanish/>
              </w:rPr>
            </w:pPr>
          </w:p>
        </w:tc>
        <w:tc>
          <w:tcPr>
            <w:tcW w:w="0" w:type="auto"/>
            <w:shd w:val="clear" w:color="auto" w:fill="auto"/>
            <w:vAlign w:val="bottom"/>
          </w:tcPr>
          <w:p w14:paraId="5DEC5B80" w14:textId="77777777" w:rsidR="00B1578D" w:rsidRDefault="00B1578D">
            <w:pPr>
              <w:rPr>
                <w:rFonts w:ascii="宋体"/>
                <w:vanish/>
              </w:rPr>
            </w:pPr>
          </w:p>
        </w:tc>
        <w:tc>
          <w:tcPr>
            <w:tcW w:w="0" w:type="auto"/>
            <w:shd w:val="clear" w:color="auto" w:fill="auto"/>
            <w:vAlign w:val="bottom"/>
          </w:tcPr>
          <w:p w14:paraId="5DEC5B81" w14:textId="77777777" w:rsidR="00B1578D" w:rsidRDefault="00B1578D">
            <w:pPr>
              <w:rPr>
                <w:rFonts w:ascii="宋体"/>
                <w:vanish/>
              </w:rPr>
            </w:pPr>
          </w:p>
        </w:tc>
        <w:tc>
          <w:tcPr>
            <w:tcW w:w="0" w:type="auto"/>
            <w:shd w:val="clear" w:color="auto" w:fill="auto"/>
            <w:vAlign w:val="bottom"/>
          </w:tcPr>
          <w:p w14:paraId="5DEC5B82" w14:textId="77777777" w:rsidR="00B1578D" w:rsidRDefault="00B1578D">
            <w:pPr>
              <w:rPr>
                <w:rFonts w:ascii="宋体"/>
                <w:vanish/>
              </w:rPr>
            </w:pPr>
          </w:p>
        </w:tc>
      </w:tr>
      <w:tr w:rsidR="00B1578D" w14:paraId="5DEC5B97" w14:textId="77777777">
        <w:trPr>
          <w:jc w:val="center"/>
          <w:hidden/>
        </w:trPr>
        <w:tc>
          <w:tcPr>
            <w:tcW w:w="0" w:type="auto"/>
            <w:gridSpan w:val="3"/>
            <w:shd w:val="clear" w:color="auto" w:fill="auto"/>
            <w:vAlign w:val="bottom"/>
          </w:tcPr>
          <w:p w14:paraId="5DEC5B84" w14:textId="77777777" w:rsidR="00B1578D" w:rsidRDefault="00B1578D">
            <w:pPr>
              <w:rPr>
                <w:rFonts w:ascii="宋体"/>
                <w:vanish/>
              </w:rPr>
            </w:pPr>
          </w:p>
        </w:tc>
        <w:tc>
          <w:tcPr>
            <w:tcW w:w="0" w:type="auto"/>
            <w:gridSpan w:val="3"/>
            <w:shd w:val="clear" w:color="auto" w:fill="auto"/>
            <w:vAlign w:val="bottom"/>
          </w:tcPr>
          <w:p w14:paraId="5DEC5B85" w14:textId="77777777" w:rsidR="00B1578D" w:rsidRDefault="00B1578D">
            <w:pPr>
              <w:rPr>
                <w:rFonts w:ascii="宋体"/>
                <w:vanish/>
              </w:rPr>
            </w:pPr>
          </w:p>
        </w:tc>
        <w:tc>
          <w:tcPr>
            <w:tcW w:w="0" w:type="auto"/>
            <w:gridSpan w:val="3"/>
            <w:shd w:val="clear" w:color="auto" w:fill="auto"/>
            <w:vAlign w:val="bottom"/>
          </w:tcPr>
          <w:p w14:paraId="5DEC5B86" w14:textId="77777777" w:rsidR="00B1578D" w:rsidRDefault="00B1578D">
            <w:pPr>
              <w:rPr>
                <w:rFonts w:ascii="宋体"/>
                <w:vanish/>
              </w:rPr>
            </w:pPr>
          </w:p>
        </w:tc>
        <w:tc>
          <w:tcPr>
            <w:tcW w:w="0" w:type="auto"/>
            <w:gridSpan w:val="3"/>
            <w:shd w:val="clear" w:color="auto" w:fill="auto"/>
            <w:vAlign w:val="bottom"/>
          </w:tcPr>
          <w:p w14:paraId="5DEC5B87" w14:textId="77777777" w:rsidR="00B1578D" w:rsidRDefault="00B1578D">
            <w:pPr>
              <w:rPr>
                <w:rFonts w:ascii="宋体"/>
                <w:vanish/>
              </w:rPr>
            </w:pPr>
          </w:p>
        </w:tc>
        <w:tc>
          <w:tcPr>
            <w:tcW w:w="0" w:type="auto"/>
            <w:gridSpan w:val="3"/>
            <w:shd w:val="clear" w:color="auto" w:fill="auto"/>
            <w:vAlign w:val="bottom"/>
          </w:tcPr>
          <w:p w14:paraId="5DEC5B88" w14:textId="77777777" w:rsidR="00B1578D" w:rsidRDefault="00B1578D">
            <w:pPr>
              <w:rPr>
                <w:rFonts w:ascii="宋体"/>
                <w:vanish/>
              </w:rPr>
            </w:pPr>
          </w:p>
        </w:tc>
        <w:tc>
          <w:tcPr>
            <w:tcW w:w="0" w:type="auto"/>
            <w:gridSpan w:val="3"/>
            <w:shd w:val="clear" w:color="auto" w:fill="auto"/>
            <w:vAlign w:val="bottom"/>
          </w:tcPr>
          <w:p w14:paraId="5DEC5B89" w14:textId="77777777" w:rsidR="00B1578D" w:rsidRDefault="00B1578D">
            <w:pPr>
              <w:rPr>
                <w:rFonts w:ascii="宋体"/>
                <w:vanish/>
              </w:rPr>
            </w:pPr>
          </w:p>
        </w:tc>
        <w:tc>
          <w:tcPr>
            <w:tcW w:w="0" w:type="auto"/>
            <w:gridSpan w:val="3"/>
            <w:shd w:val="clear" w:color="auto" w:fill="auto"/>
            <w:vAlign w:val="bottom"/>
          </w:tcPr>
          <w:p w14:paraId="5DEC5B8A" w14:textId="77777777" w:rsidR="00B1578D" w:rsidRDefault="00B1578D">
            <w:pPr>
              <w:rPr>
                <w:rFonts w:ascii="宋体"/>
                <w:vanish/>
              </w:rPr>
            </w:pPr>
          </w:p>
        </w:tc>
        <w:tc>
          <w:tcPr>
            <w:tcW w:w="0" w:type="auto"/>
            <w:gridSpan w:val="3"/>
            <w:shd w:val="clear" w:color="auto" w:fill="auto"/>
            <w:vAlign w:val="bottom"/>
          </w:tcPr>
          <w:p w14:paraId="5DEC5B8B" w14:textId="77777777" w:rsidR="00B1578D" w:rsidRDefault="00B1578D">
            <w:pPr>
              <w:rPr>
                <w:rFonts w:ascii="宋体"/>
                <w:vanish/>
              </w:rPr>
            </w:pPr>
          </w:p>
        </w:tc>
        <w:tc>
          <w:tcPr>
            <w:tcW w:w="0" w:type="auto"/>
            <w:gridSpan w:val="3"/>
            <w:shd w:val="clear" w:color="auto" w:fill="auto"/>
            <w:vAlign w:val="bottom"/>
          </w:tcPr>
          <w:p w14:paraId="5DEC5B8C" w14:textId="77777777" w:rsidR="00B1578D" w:rsidRDefault="00B1578D">
            <w:pPr>
              <w:rPr>
                <w:rFonts w:ascii="宋体"/>
                <w:vanish/>
              </w:rPr>
            </w:pPr>
          </w:p>
        </w:tc>
        <w:tc>
          <w:tcPr>
            <w:tcW w:w="0" w:type="auto"/>
            <w:gridSpan w:val="3"/>
            <w:shd w:val="clear" w:color="auto" w:fill="auto"/>
            <w:vAlign w:val="bottom"/>
          </w:tcPr>
          <w:p w14:paraId="5DEC5B8D" w14:textId="77777777" w:rsidR="00B1578D" w:rsidRDefault="00B1578D">
            <w:pPr>
              <w:rPr>
                <w:rFonts w:ascii="宋体"/>
                <w:vanish/>
              </w:rPr>
            </w:pPr>
          </w:p>
        </w:tc>
        <w:tc>
          <w:tcPr>
            <w:tcW w:w="0" w:type="auto"/>
            <w:gridSpan w:val="3"/>
            <w:shd w:val="clear" w:color="auto" w:fill="auto"/>
            <w:vAlign w:val="bottom"/>
          </w:tcPr>
          <w:p w14:paraId="5DEC5B8E" w14:textId="77777777" w:rsidR="00B1578D" w:rsidRDefault="00B1578D">
            <w:pPr>
              <w:rPr>
                <w:rFonts w:ascii="宋体"/>
                <w:vanish/>
              </w:rPr>
            </w:pPr>
          </w:p>
        </w:tc>
        <w:tc>
          <w:tcPr>
            <w:tcW w:w="0" w:type="auto"/>
            <w:gridSpan w:val="3"/>
            <w:shd w:val="clear" w:color="auto" w:fill="auto"/>
            <w:vAlign w:val="bottom"/>
          </w:tcPr>
          <w:p w14:paraId="5DEC5B8F" w14:textId="77777777" w:rsidR="00B1578D" w:rsidRDefault="00B1578D">
            <w:pPr>
              <w:rPr>
                <w:rFonts w:ascii="宋体"/>
                <w:vanish/>
              </w:rPr>
            </w:pPr>
          </w:p>
        </w:tc>
        <w:tc>
          <w:tcPr>
            <w:tcW w:w="0" w:type="auto"/>
            <w:gridSpan w:val="3"/>
            <w:shd w:val="clear" w:color="auto" w:fill="auto"/>
            <w:vAlign w:val="bottom"/>
          </w:tcPr>
          <w:p w14:paraId="5DEC5B90" w14:textId="77777777" w:rsidR="00B1578D" w:rsidRDefault="00B1578D">
            <w:pPr>
              <w:rPr>
                <w:rFonts w:ascii="宋体"/>
                <w:vanish/>
              </w:rPr>
            </w:pPr>
          </w:p>
        </w:tc>
        <w:tc>
          <w:tcPr>
            <w:tcW w:w="0" w:type="auto"/>
            <w:gridSpan w:val="3"/>
            <w:shd w:val="clear" w:color="auto" w:fill="auto"/>
            <w:vAlign w:val="bottom"/>
          </w:tcPr>
          <w:p w14:paraId="5DEC5B91" w14:textId="77777777" w:rsidR="00B1578D" w:rsidRDefault="00B1578D">
            <w:pPr>
              <w:rPr>
                <w:rFonts w:ascii="宋体"/>
                <w:vanish/>
              </w:rPr>
            </w:pPr>
          </w:p>
        </w:tc>
        <w:tc>
          <w:tcPr>
            <w:tcW w:w="0" w:type="auto"/>
            <w:gridSpan w:val="3"/>
            <w:shd w:val="clear" w:color="auto" w:fill="auto"/>
            <w:vAlign w:val="bottom"/>
          </w:tcPr>
          <w:p w14:paraId="5DEC5B92" w14:textId="77777777" w:rsidR="00B1578D" w:rsidRDefault="00B1578D">
            <w:pPr>
              <w:rPr>
                <w:rFonts w:ascii="宋体"/>
                <w:vanish/>
              </w:rPr>
            </w:pPr>
          </w:p>
        </w:tc>
        <w:tc>
          <w:tcPr>
            <w:tcW w:w="0" w:type="auto"/>
            <w:gridSpan w:val="3"/>
            <w:shd w:val="clear" w:color="auto" w:fill="auto"/>
            <w:vAlign w:val="bottom"/>
          </w:tcPr>
          <w:p w14:paraId="5DEC5B93" w14:textId="77777777" w:rsidR="00B1578D" w:rsidRDefault="00B1578D">
            <w:pPr>
              <w:rPr>
                <w:rFonts w:ascii="宋体"/>
                <w:vanish/>
              </w:rPr>
            </w:pPr>
          </w:p>
        </w:tc>
        <w:tc>
          <w:tcPr>
            <w:tcW w:w="0" w:type="auto"/>
            <w:shd w:val="clear" w:color="auto" w:fill="auto"/>
            <w:vAlign w:val="bottom"/>
          </w:tcPr>
          <w:p w14:paraId="5DEC5B94" w14:textId="77777777" w:rsidR="00B1578D" w:rsidRDefault="00B1578D">
            <w:pPr>
              <w:rPr>
                <w:rFonts w:ascii="宋体"/>
                <w:vanish/>
              </w:rPr>
            </w:pPr>
          </w:p>
        </w:tc>
        <w:tc>
          <w:tcPr>
            <w:tcW w:w="0" w:type="auto"/>
            <w:shd w:val="clear" w:color="auto" w:fill="auto"/>
            <w:vAlign w:val="bottom"/>
          </w:tcPr>
          <w:p w14:paraId="5DEC5B95" w14:textId="77777777" w:rsidR="00B1578D" w:rsidRDefault="00B1578D">
            <w:pPr>
              <w:rPr>
                <w:rFonts w:ascii="宋体"/>
                <w:vanish/>
              </w:rPr>
            </w:pPr>
          </w:p>
        </w:tc>
        <w:tc>
          <w:tcPr>
            <w:tcW w:w="0" w:type="auto"/>
            <w:shd w:val="clear" w:color="auto" w:fill="auto"/>
            <w:vAlign w:val="bottom"/>
          </w:tcPr>
          <w:p w14:paraId="5DEC5B96" w14:textId="77777777" w:rsidR="00B1578D" w:rsidRDefault="00B1578D">
            <w:pPr>
              <w:rPr>
                <w:rFonts w:ascii="宋体"/>
                <w:vanish/>
              </w:rPr>
            </w:pPr>
          </w:p>
        </w:tc>
      </w:tr>
      <w:tr w:rsidR="00B1578D" w14:paraId="5DEC5BAB" w14:textId="77777777">
        <w:trPr>
          <w:jc w:val="center"/>
          <w:hidden/>
        </w:trPr>
        <w:tc>
          <w:tcPr>
            <w:tcW w:w="0" w:type="auto"/>
            <w:gridSpan w:val="3"/>
            <w:shd w:val="clear" w:color="auto" w:fill="auto"/>
            <w:vAlign w:val="bottom"/>
          </w:tcPr>
          <w:p w14:paraId="5DEC5B98" w14:textId="77777777" w:rsidR="00B1578D" w:rsidRDefault="00B1578D">
            <w:pPr>
              <w:rPr>
                <w:rFonts w:ascii="宋体"/>
                <w:vanish/>
              </w:rPr>
            </w:pPr>
          </w:p>
        </w:tc>
        <w:tc>
          <w:tcPr>
            <w:tcW w:w="0" w:type="auto"/>
            <w:gridSpan w:val="3"/>
            <w:shd w:val="clear" w:color="auto" w:fill="auto"/>
            <w:vAlign w:val="bottom"/>
          </w:tcPr>
          <w:p w14:paraId="5DEC5B99" w14:textId="77777777" w:rsidR="00B1578D" w:rsidRDefault="00B1578D">
            <w:pPr>
              <w:rPr>
                <w:rFonts w:ascii="宋体"/>
                <w:vanish/>
              </w:rPr>
            </w:pPr>
          </w:p>
        </w:tc>
        <w:tc>
          <w:tcPr>
            <w:tcW w:w="0" w:type="auto"/>
            <w:gridSpan w:val="3"/>
            <w:shd w:val="clear" w:color="auto" w:fill="auto"/>
            <w:vAlign w:val="bottom"/>
          </w:tcPr>
          <w:p w14:paraId="5DEC5B9A" w14:textId="77777777" w:rsidR="00B1578D" w:rsidRDefault="00B1578D">
            <w:pPr>
              <w:rPr>
                <w:rFonts w:ascii="宋体"/>
                <w:vanish/>
              </w:rPr>
            </w:pPr>
          </w:p>
        </w:tc>
        <w:tc>
          <w:tcPr>
            <w:tcW w:w="0" w:type="auto"/>
            <w:gridSpan w:val="3"/>
            <w:shd w:val="clear" w:color="auto" w:fill="auto"/>
            <w:vAlign w:val="bottom"/>
          </w:tcPr>
          <w:p w14:paraId="5DEC5B9B" w14:textId="77777777" w:rsidR="00B1578D" w:rsidRDefault="00B1578D">
            <w:pPr>
              <w:rPr>
                <w:rFonts w:ascii="宋体"/>
                <w:vanish/>
              </w:rPr>
            </w:pPr>
          </w:p>
        </w:tc>
        <w:tc>
          <w:tcPr>
            <w:tcW w:w="0" w:type="auto"/>
            <w:gridSpan w:val="3"/>
            <w:shd w:val="clear" w:color="auto" w:fill="auto"/>
            <w:vAlign w:val="bottom"/>
          </w:tcPr>
          <w:p w14:paraId="5DEC5B9C" w14:textId="77777777" w:rsidR="00B1578D" w:rsidRDefault="00B1578D">
            <w:pPr>
              <w:rPr>
                <w:rFonts w:ascii="宋体"/>
                <w:vanish/>
              </w:rPr>
            </w:pPr>
          </w:p>
        </w:tc>
        <w:tc>
          <w:tcPr>
            <w:tcW w:w="0" w:type="auto"/>
            <w:gridSpan w:val="3"/>
            <w:shd w:val="clear" w:color="auto" w:fill="auto"/>
            <w:vAlign w:val="bottom"/>
          </w:tcPr>
          <w:p w14:paraId="5DEC5B9D" w14:textId="77777777" w:rsidR="00B1578D" w:rsidRDefault="00B1578D">
            <w:pPr>
              <w:rPr>
                <w:rFonts w:ascii="宋体"/>
                <w:vanish/>
              </w:rPr>
            </w:pPr>
          </w:p>
        </w:tc>
        <w:tc>
          <w:tcPr>
            <w:tcW w:w="0" w:type="auto"/>
            <w:gridSpan w:val="3"/>
            <w:shd w:val="clear" w:color="auto" w:fill="auto"/>
            <w:vAlign w:val="bottom"/>
          </w:tcPr>
          <w:p w14:paraId="5DEC5B9E" w14:textId="77777777" w:rsidR="00B1578D" w:rsidRDefault="00B1578D">
            <w:pPr>
              <w:rPr>
                <w:rFonts w:ascii="宋体"/>
                <w:vanish/>
              </w:rPr>
            </w:pPr>
          </w:p>
        </w:tc>
        <w:tc>
          <w:tcPr>
            <w:tcW w:w="0" w:type="auto"/>
            <w:gridSpan w:val="3"/>
            <w:shd w:val="clear" w:color="auto" w:fill="auto"/>
            <w:vAlign w:val="bottom"/>
          </w:tcPr>
          <w:p w14:paraId="5DEC5B9F" w14:textId="77777777" w:rsidR="00B1578D" w:rsidRDefault="00B1578D">
            <w:pPr>
              <w:rPr>
                <w:rFonts w:ascii="宋体"/>
                <w:vanish/>
              </w:rPr>
            </w:pPr>
          </w:p>
        </w:tc>
        <w:tc>
          <w:tcPr>
            <w:tcW w:w="0" w:type="auto"/>
            <w:gridSpan w:val="3"/>
            <w:shd w:val="clear" w:color="auto" w:fill="auto"/>
            <w:vAlign w:val="bottom"/>
          </w:tcPr>
          <w:p w14:paraId="5DEC5BA0" w14:textId="77777777" w:rsidR="00B1578D" w:rsidRDefault="00B1578D">
            <w:pPr>
              <w:rPr>
                <w:rFonts w:ascii="宋体"/>
                <w:vanish/>
              </w:rPr>
            </w:pPr>
          </w:p>
        </w:tc>
        <w:tc>
          <w:tcPr>
            <w:tcW w:w="0" w:type="auto"/>
            <w:gridSpan w:val="3"/>
            <w:shd w:val="clear" w:color="auto" w:fill="auto"/>
            <w:vAlign w:val="bottom"/>
          </w:tcPr>
          <w:p w14:paraId="5DEC5BA1" w14:textId="77777777" w:rsidR="00B1578D" w:rsidRDefault="00B1578D">
            <w:pPr>
              <w:rPr>
                <w:rFonts w:ascii="宋体"/>
                <w:vanish/>
              </w:rPr>
            </w:pPr>
          </w:p>
        </w:tc>
        <w:tc>
          <w:tcPr>
            <w:tcW w:w="0" w:type="auto"/>
            <w:gridSpan w:val="3"/>
            <w:shd w:val="clear" w:color="auto" w:fill="auto"/>
            <w:vAlign w:val="bottom"/>
          </w:tcPr>
          <w:p w14:paraId="5DEC5BA2" w14:textId="77777777" w:rsidR="00B1578D" w:rsidRDefault="00B1578D">
            <w:pPr>
              <w:rPr>
                <w:rFonts w:ascii="宋体"/>
                <w:vanish/>
              </w:rPr>
            </w:pPr>
          </w:p>
        </w:tc>
        <w:tc>
          <w:tcPr>
            <w:tcW w:w="0" w:type="auto"/>
            <w:gridSpan w:val="3"/>
            <w:shd w:val="clear" w:color="auto" w:fill="auto"/>
            <w:vAlign w:val="bottom"/>
          </w:tcPr>
          <w:p w14:paraId="5DEC5BA3" w14:textId="77777777" w:rsidR="00B1578D" w:rsidRDefault="00B1578D">
            <w:pPr>
              <w:rPr>
                <w:rFonts w:ascii="宋体"/>
                <w:vanish/>
              </w:rPr>
            </w:pPr>
          </w:p>
        </w:tc>
        <w:tc>
          <w:tcPr>
            <w:tcW w:w="0" w:type="auto"/>
            <w:gridSpan w:val="3"/>
            <w:shd w:val="clear" w:color="auto" w:fill="auto"/>
            <w:vAlign w:val="bottom"/>
          </w:tcPr>
          <w:p w14:paraId="5DEC5BA4" w14:textId="77777777" w:rsidR="00B1578D" w:rsidRDefault="00B1578D">
            <w:pPr>
              <w:rPr>
                <w:rFonts w:ascii="宋体"/>
                <w:vanish/>
              </w:rPr>
            </w:pPr>
          </w:p>
        </w:tc>
        <w:tc>
          <w:tcPr>
            <w:tcW w:w="0" w:type="auto"/>
            <w:gridSpan w:val="3"/>
            <w:shd w:val="clear" w:color="auto" w:fill="auto"/>
            <w:vAlign w:val="bottom"/>
          </w:tcPr>
          <w:p w14:paraId="5DEC5BA5" w14:textId="77777777" w:rsidR="00B1578D" w:rsidRDefault="00B1578D">
            <w:pPr>
              <w:rPr>
                <w:rFonts w:ascii="宋体"/>
                <w:vanish/>
              </w:rPr>
            </w:pPr>
          </w:p>
        </w:tc>
        <w:tc>
          <w:tcPr>
            <w:tcW w:w="0" w:type="auto"/>
            <w:gridSpan w:val="3"/>
            <w:shd w:val="clear" w:color="auto" w:fill="auto"/>
            <w:vAlign w:val="bottom"/>
          </w:tcPr>
          <w:p w14:paraId="5DEC5BA6" w14:textId="77777777" w:rsidR="00B1578D" w:rsidRDefault="00B1578D">
            <w:pPr>
              <w:rPr>
                <w:rFonts w:ascii="宋体"/>
                <w:vanish/>
              </w:rPr>
            </w:pPr>
          </w:p>
        </w:tc>
        <w:tc>
          <w:tcPr>
            <w:tcW w:w="0" w:type="auto"/>
            <w:gridSpan w:val="3"/>
            <w:shd w:val="clear" w:color="auto" w:fill="auto"/>
            <w:vAlign w:val="bottom"/>
          </w:tcPr>
          <w:p w14:paraId="5DEC5BA7" w14:textId="77777777" w:rsidR="00B1578D" w:rsidRDefault="00B1578D">
            <w:pPr>
              <w:rPr>
                <w:rFonts w:ascii="宋体"/>
                <w:vanish/>
              </w:rPr>
            </w:pPr>
          </w:p>
        </w:tc>
        <w:tc>
          <w:tcPr>
            <w:tcW w:w="0" w:type="auto"/>
            <w:shd w:val="clear" w:color="auto" w:fill="auto"/>
            <w:vAlign w:val="bottom"/>
          </w:tcPr>
          <w:p w14:paraId="5DEC5BA8" w14:textId="77777777" w:rsidR="00B1578D" w:rsidRDefault="00B1578D">
            <w:pPr>
              <w:rPr>
                <w:rFonts w:ascii="宋体"/>
                <w:vanish/>
              </w:rPr>
            </w:pPr>
          </w:p>
        </w:tc>
        <w:tc>
          <w:tcPr>
            <w:tcW w:w="0" w:type="auto"/>
            <w:shd w:val="clear" w:color="auto" w:fill="auto"/>
            <w:vAlign w:val="bottom"/>
          </w:tcPr>
          <w:p w14:paraId="5DEC5BA9" w14:textId="77777777" w:rsidR="00B1578D" w:rsidRDefault="00B1578D">
            <w:pPr>
              <w:rPr>
                <w:rFonts w:ascii="宋体"/>
                <w:vanish/>
              </w:rPr>
            </w:pPr>
          </w:p>
        </w:tc>
        <w:tc>
          <w:tcPr>
            <w:tcW w:w="0" w:type="auto"/>
            <w:shd w:val="clear" w:color="auto" w:fill="auto"/>
            <w:vAlign w:val="bottom"/>
          </w:tcPr>
          <w:p w14:paraId="5DEC5BAA" w14:textId="77777777" w:rsidR="00B1578D" w:rsidRDefault="00B1578D">
            <w:pPr>
              <w:rPr>
                <w:rFonts w:ascii="宋体"/>
                <w:vanish/>
              </w:rPr>
            </w:pPr>
          </w:p>
        </w:tc>
      </w:tr>
      <w:tr w:rsidR="00B1578D" w14:paraId="5DEC5BBF" w14:textId="77777777">
        <w:trPr>
          <w:jc w:val="center"/>
          <w:hidden/>
        </w:trPr>
        <w:tc>
          <w:tcPr>
            <w:tcW w:w="0" w:type="auto"/>
            <w:gridSpan w:val="3"/>
            <w:shd w:val="clear" w:color="auto" w:fill="auto"/>
            <w:vAlign w:val="bottom"/>
          </w:tcPr>
          <w:p w14:paraId="5DEC5BAC" w14:textId="77777777" w:rsidR="00B1578D" w:rsidRDefault="00B1578D">
            <w:pPr>
              <w:rPr>
                <w:rFonts w:ascii="宋体"/>
                <w:vanish/>
              </w:rPr>
            </w:pPr>
          </w:p>
        </w:tc>
        <w:tc>
          <w:tcPr>
            <w:tcW w:w="0" w:type="auto"/>
            <w:gridSpan w:val="3"/>
            <w:shd w:val="clear" w:color="auto" w:fill="auto"/>
            <w:vAlign w:val="bottom"/>
          </w:tcPr>
          <w:p w14:paraId="5DEC5BAD" w14:textId="77777777" w:rsidR="00B1578D" w:rsidRDefault="00B1578D">
            <w:pPr>
              <w:rPr>
                <w:rFonts w:ascii="宋体"/>
                <w:vanish/>
              </w:rPr>
            </w:pPr>
          </w:p>
        </w:tc>
        <w:tc>
          <w:tcPr>
            <w:tcW w:w="0" w:type="auto"/>
            <w:gridSpan w:val="3"/>
            <w:shd w:val="clear" w:color="auto" w:fill="auto"/>
            <w:vAlign w:val="bottom"/>
          </w:tcPr>
          <w:p w14:paraId="5DEC5BAE" w14:textId="77777777" w:rsidR="00B1578D" w:rsidRDefault="00B1578D">
            <w:pPr>
              <w:rPr>
                <w:rFonts w:ascii="宋体"/>
                <w:vanish/>
              </w:rPr>
            </w:pPr>
          </w:p>
        </w:tc>
        <w:tc>
          <w:tcPr>
            <w:tcW w:w="0" w:type="auto"/>
            <w:gridSpan w:val="3"/>
            <w:shd w:val="clear" w:color="auto" w:fill="auto"/>
            <w:vAlign w:val="bottom"/>
          </w:tcPr>
          <w:p w14:paraId="5DEC5BAF" w14:textId="77777777" w:rsidR="00B1578D" w:rsidRDefault="00B1578D">
            <w:pPr>
              <w:rPr>
                <w:rFonts w:ascii="宋体"/>
                <w:vanish/>
              </w:rPr>
            </w:pPr>
          </w:p>
        </w:tc>
        <w:tc>
          <w:tcPr>
            <w:tcW w:w="0" w:type="auto"/>
            <w:gridSpan w:val="3"/>
            <w:shd w:val="clear" w:color="auto" w:fill="auto"/>
            <w:vAlign w:val="bottom"/>
          </w:tcPr>
          <w:p w14:paraId="5DEC5BB0" w14:textId="77777777" w:rsidR="00B1578D" w:rsidRDefault="00B1578D">
            <w:pPr>
              <w:rPr>
                <w:rFonts w:ascii="宋体"/>
                <w:vanish/>
              </w:rPr>
            </w:pPr>
          </w:p>
        </w:tc>
        <w:tc>
          <w:tcPr>
            <w:tcW w:w="0" w:type="auto"/>
            <w:gridSpan w:val="3"/>
            <w:shd w:val="clear" w:color="auto" w:fill="auto"/>
            <w:vAlign w:val="bottom"/>
          </w:tcPr>
          <w:p w14:paraId="5DEC5BB1" w14:textId="77777777" w:rsidR="00B1578D" w:rsidRDefault="00B1578D">
            <w:pPr>
              <w:rPr>
                <w:rFonts w:ascii="宋体"/>
                <w:vanish/>
              </w:rPr>
            </w:pPr>
          </w:p>
        </w:tc>
        <w:tc>
          <w:tcPr>
            <w:tcW w:w="0" w:type="auto"/>
            <w:gridSpan w:val="3"/>
            <w:shd w:val="clear" w:color="auto" w:fill="auto"/>
            <w:vAlign w:val="bottom"/>
          </w:tcPr>
          <w:p w14:paraId="5DEC5BB2" w14:textId="77777777" w:rsidR="00B1578D" w:rsidRDefault="00B1578D">
            <w:pPr>
              <w:rPr>
                <w:rFonts w:ascii="宋体"/>
                <w:vanish/>
              </w:rPr>
            </w:pPr>
          </w:p>
        </w:tc>
        <w:tc>
          <w:tcPr>
            <w:tcW w:w="0" w:type="auto"/>
            <w:gridSpan w:val="3"/>
            <w:shd w:val="clear" w:color="auto" w:fill="auto"/>
            <w:vAlign w:val="bottom"/>
          </w:tcPr>
          <w:p w14:paraId="5DEC5BB3" w14:textId="77777777" w:rsidR="00B1578D" w:rsidRDefault="00B1578D">
            <w:pPr>
              <w:rPr>
                <w:rFonts w:ascii="宋体"/>
                <w:vanish/>
              </w:rPr>
            </w:pPr>
          </w:p>
        </w:tc>
        <w:tc>
          <w:tcPr>
            <w:tcW w:w="0" w:type="auto"/>
            <w:gridSpan w:val="3"/>
            <w:shd w:val="clear" w:color="auto" w:fill="auto"/>
            <w:vAlign w:val="bottom"/>
          </w:tcPr>
          <w:p w14:paraId="5DEC5BB4" w14:textId="77777777" w:rsidR="00B1578D" w:rsidRDefault="00B1578D">
            <w:pPr>
              <w:rPr>
                <w:rFonts w:ascii="宋体"/>
                <w:vanish/>
              </w:rPr>
            </w:pPr>
          </w:p>
        </w:tc>
        <w:tc>
          <w:tcPr>
            <w:tcW w:w="0" w:type="auto"/>
            <w:gridSpan w:val="3"/>
            <w:shd w:val="clear" w:color="auto" w:fill="auto"/>
            <w:vAlign w:val="bottom"/>
          </w:tcPr>
          <w:p w14:paraId="5DEC5BB5" w14:textId="77777777" w:rsidR="00B1578D" w:rsidRDefault="00B1578D">
            <w:pPr>
              <w:rPr>
                <w:rFonts w:ascii="宋体"/>
                <w:vanish/>
              </w:rPr>
            </w:pPr>
          </w:p>
        </w:tc>
        <w:tc>
          <w:tcPr>
            <w:tcW w:w="0" w:type="auto"/>
            <w:gridSpan w:val="3"/>
            <w:shd w:val="clear" w:color="auto" w:fill="auto"/>
            <w:vAlign w:val="bottom"/>
          </w:tcPr>
          <w:p w14:paraId="5DEC5BB6" w14:textId="77777777" w:rsidR="00B1578D" w:rsidRDefault="00B1578D">
            <w:pPr>
              <w:rPr>
                <w:rFonts w:ascii="宋体"/>
                <w:vanish/>
              </w:rPr>
            </w:pPr>
          </w:p>
        </w:tc>
        <w:tc>
          <w:tcPr>
            <w:tcW w:w="0" w:type="auto"/>
            <w:gridSpan w:val="3"/>
            <w:shd w:val="clear" w:color="auto" w:fill="auto"/>
            <w:vAlign w:val="bottom"/>
          </w:tcPr>
          <w:p w14:paraId="5DEC5BB7" w14:textId="77777777" w:rsidR="00B1578D" w:rsidRDefault="00B1578D">
            <w:pPr>
              <w:rPr>
                <w:rFonts w:ascii="宋体"/>
                <w:vanish/>
              </w:rPr>
            </w:pPr>
          </w:p>
        </w:tc>
        <w:tc>
          <w:tcPr>
            <w:tcW w:w="0" w:type="auto"/>
            <w:gridSpan w:val="3"/>
            <w:shd w:val="clear" w:color="auto" w:fill="auto"/>
            <w:vAlign w:val="bottom"/>
          </w:tcPr>
          <w:p w14:paraId="5DEC5BB8" w14:textId="77777777" w:rsidR="00B1578D" w:rsidRDefault="00B1578D">
            <w:pPr>
              <w:rPr>
                <w:rFonts w:ascii="宋体"/>
                <w:vanish/>
              </w:rPr>
            </w:pPr>
          </w:p>
        </w:tc>
        <w:tc>
          <w:tcPr>
            <w:tcW w:w="0" w:type="auto"/>
            <w:gridSpan w:val="3"/>
            <w:shd w:val="clear" w:color="auto" w:fill="auto"/>
            <w:vAlign w:val="bottom"/>
          </w:tcPr>
          <w:p w14:paraId="5DEC5BB9" w14:textId="77777777" w:rsidR="00B1578D" w:rsidRDefault="00B1578D">
            <w:pPr>
              <w:rPr>
                <w:rFonts w:ascii="宋体"/>
                <w:vanish/>
              </w:rPr>
            </w:pPr>
          </w:p>
        </w:tc>
        <w:tc>
          <w:tcPr>
            <w:tcW w:w="0" w:type="auto"/>
            <w:gridSpan w:val="3"/>
            <w:shd w:val="clear" w:color="auto" w:fill="auto"/>
            <w:vAlign w:val="bottom"/>
          </w:tcPr>
          <w:p w14:paraId="5DEC5BBA" w14:textId="77777777" w:rsidR="00B1578D" w:rsidRDefault="00B1578D">
            <w:pPr>
              <w:rPr>
                <w:rFonts w:ascii="宋体"/>
                <w:vanish/>
              </w:rPr>
            </w:pPr>
          </w:p>
        </w:tc>
        <w:tc>
          <w:tcPr>
            <w:tcW w:w="0" w:type="auto"/>
            <w:gridSpan w:val="3"/>
            <w:shd w:val="clear" w:color="auto" w:fill="auto"/>
            <w:vAlign w:val="bottom"/>
          </w:tcPr>
          <w:p w14:paraId="5DEC5BBB" w14:textId="77777777" w:rsidR="00B1578D" w:rsidRDefault="00B1578D">
            <w:pPr>
              <w:rPr>
                <w:rFonts w:ascii="宋体"/>
                <w:vanish/>
              </w:rPr>
            </w:pPr>
          </w:p>
        </w:tc>
        <w:tc>
          <w:tcPr>
            <w:tcW w:w="0" w:type="auto"/>
            <w:shd w:val="clear" w:color="auto" w:fill="auto"/>
            <w:vAlign w:val="bottom"/>
          </w:tcPr>
          <w:p w14:paraId="5DEC5BBC" w14:textId="77777777" w:rsidR="00B1578D" w:rsidRDefault="00B1578D">
            <w:pPr>
              <w:rPr>
                <w:rFonts w:ascii="宋体"/>
                <w:vanish/>
              </w:rPr>
            </w:pPr>
          </w:p>
        </w:tc>
        <w:tc>
          <w:tcPr>
            <w:tcW w:w="0" w:type="auto"/>
            <w:shd w:val="clear" w:color="auto" w:fill="auto"/>
            <w:vAlign w:val="bottom"/>
          </w:tcPr>
          <w:p w14:paraId="5DEC5BBD" w14:textId="77777777" w:rsidR="00B1578D" w:rsidRDefault="00B1578D">
            <w:pPr>
              <w:rPr>
                <w:rFonts w:ascii="宋体"/>
                <w:vanish/>
              </w:rPr>
            </w:pPr>
          </w:p>
        </w:tc>
        <w:tc>
          <w:tcPr>
            <w:tcW w:w="0" w:type="auto"/>
            <w:shd w:val="clear" w:color="auto" w:fill="auto"/>
            <w:vAlign w:val="bottom"/>
          </w:tcPr>
          <w:p w14:paraId="5DEC5BBE" w14:textId="77777777" w:rsidR="00B1578D" w:rsidRDefault="00B1578D">
            <w:pPr>
              <w:rPr>
                <w:rFonts w:ascii="宋体"/>
                <w:vanish/>
              </w:rPr>
            </w:pPr>
          </w:p>
        </w:tc>
      </w:tr>
      <w:tr w:rsidR="00B1578D" w14:paraId="5DEC5BD3" w14:textId="77777777">
        <w:trPr>
          <w:jc w:val="center"/>
          <w:hidden/>
        </w:trPr>
        <w:tc>
          <w:tcPr>
            <w:tcW w:w="0" w:type="auto"/>
            <w:gridSpan w:val="3"/>
            <w:shd w:val="clear" w:color="auto" w:fill="auto"/>
            <w:vAlign w:val="bottom"/>
          </w:tcPr>
          <w:p w14:paraId="5DEC5BC0" w14:textId="77777777" w:rsidR="00B1578D" w:rsidRDefault="00B1578D">
            <w:pPr>
              <w:rPr>
                <w:rFonts w:ascii="宋体"/>
                <w:vanish/>
              </w:rPr>
            </w:pPr>
          </w:p>
        </w:tc>
        <w:tc>
          <w:tcPr>
            <w:tcW w:w="0" w:type="auto"/>
            <w:gridSpan w:val="3"/>
            <w:shd w:val="clear" w:color="auto" w:fill="auto"/>
            <w:vAlign w:val="bottom"/>
          </w:tcPr>
          <w:p w14:paraId="5DEC5BC1" w14:textId="77777777" w:rsidR="00B1578D" w:rsidRDefault="00B1578D">
            <w:pPr>
              <w:rPr>
                <w:rFonts w:ascii="宋体"/>
                <w:vanish/>
              </w:rPr>
            </w:pPr>
          </w:p>
        </w:tc>
        <w:tc>
          <w:tcPr>
            <w:tcW w:w="0" w:type="auto"/>
            <w:gridSpan w:val="3"/>
            <w:shd w:val="clear" w:color="auto" w:fill="auto"/>
            <w:vAlign w:val="bottom"/>
          </w:tcPr>
          <w:p w14:paraId="5DEC5BC2" w14:textId="77777777" w:rsidR="00B1578D" w:rsidRDefault="00B1578D">
            <w:pPr>
              <w:rPr>
                <w:rFonts w:ascii="宋体"/>
                <w:vanish/>
              </w:rPr>
            </w:pPr>
          </w:p>
        </w:tc>
        <w:tc>
          <w:tcPr>
            <w:tcW w:w="0" w:type="auto"/>
            <w:gridSpan w:val="3"/>
            <w:shd w:val="clear" w:color="auto" w:fill="auto"/>
            <w:vAlign w:val="bottom"/>
          </w:tcPr>
          <w:p w14:paraId="5DEC5BC3" w14:textId="77777777" w:rsidR="00B1578D" w:rsidRDefault="00B1578D">
            <w:pPr>
              <w:rPr>
                <w:rFonts w:ascii="宋体"/>
                <w:vanish/>
              </w:rPr>
            </w:pPr>
          </w:p>
        </w:tc>
        <w:tc>
          <w:tcPr>
            <w:tcW w:w="0" w:type="auto"/>
            <w:gridSpan w:val="3"/>
            <w:shd w:val="clear" w:color="auto" w:fill="auto"/>
            <w:vAlign w:val="bottom"/>
          </w:tcPr>
          <w:p w14:paraId="5DEC5BC4" w14:textId="77777777" w:rsidR="00B1578D" w:rsidRDefault="00B1578D">
            <w:pPr>
              <w:rPr>
                <w:rFonts w:ascii="宋体"/>
                <w:vanish/>
              </w:rPr>
            </w:pPr>
          </w:p>
        </w:tc>
        <w:tc>
          <w:tcPr>
            <w:tcW w:w="0" w:type="auto"/>
            <w:gridSpan w:val="3"/>
            <w:shd w:val="clear" w:color="auto" w:fill="auto"/>
            <w:vAlign w:val="bottom"/>
          </w:tcPr>
          <w:p w14:paraId="5DEC5BC5" w14:textId="77777777" w:rsidR="00B1578D" w:rsidRDefault="00B1578D">
            <w:pPr>
              <w:rPr>
                <w:rFonts w:ascii="宋体"/>
                <w:vanish/>
              </w:rPr>
            </w:pPr>
          </w:p>
        </w:tc>
        <w:tc>
          <w:tcPr>
            <w:tcW w:w="0" w:type="auto"/>
            <w:gridSpan w:val="3"/>
            <w:shd w:val="clear" w:color="auto" w:fill="auto"/>
            <w:vAlign w:val="bottom"/>
          </w:tcPr>
          <w:p w14:paraId="5DEC5BC6" w14:textId="77777777" w:rsidR="00B1578D" w:rsidRDefault="00B1578D">
            <w:pPr>
              <w:rPr>
                <w:rFonts w:ascii="宋体"/>
                <w:vanish/>
              </w:rPr>
            </w:pPr>
          </w:p>
        </w:tc>
        <w:tc>
          <w:tcPr>
            <w:tcW w:w="0" w:type="auto"/>
            <w:gridSpan w:val="3"/>
            <w:shd w:val="clear" w:color="auto" w:fill="auto"/>
            <w:vAlign w:val="bottom"/>
          </w:tcPr>
          <w:p w14:paraId="5DEC5BC7" w14:textId="77777777" w:rsidR="00B1578D" w:rsidRDefault="00B1578D">
            <w:pPr>
              <w:rPr>
                <w:rFonts w:ascii="宋体"/>
                <w:vanish/>
              </w:rPr>
            </w:pPr>
          </w:p>
        </w:tc>
        <w:tc>
          <w:tcPr>
            <w:tcW w:w="0" w:type="auto"/>
            <w:gridSpan w:val="3"/>
            <w:shd w:val="clear" w:color="auto" w:fill="auto"/>
            <w:vAlign w:val="bottom"/>
          </w:tcPr>
          <w:p w14:paraId="5DEC5BC8" w14:textId="77777777" w:rsidR="00B1578D" w:rsidRDefault="00B1578D">
            <w:pPr>
              <w:rPr>
                <w:rFonts w:ascii="宋体"/>
                <w:vanish/>
              </w:rPr>
            </w:pPr>
          </w:p>
        </w:tc>
        <w:tc>
          <w:tcPr>
            <w:tcW w:w="0" w:type="auto"/>
            <w:gridSpan w:val="3"/>
            <w:shd w:val="clear" w:color="auto" w:fill="auto"/>
            <w:vAlign w:val="bottom"/>
          </w:tcPr>
          <w:p w14:paraId="5DEC5BC9" w14:textId="77777777" w:rsidR="00B1578D" w:rsidRDefault="00B1578D">
            <w:pPr>
              <w:rPr>
                <w:rFonts w:ascii="宋体"/>
                <w:vanish/>
              </w:rPr>
            </w:pPr>
          </w:p>
        </w:tc>
        <w:tc>
          <w:tcPr>
            <w:tcW w:w="0" w:type="auto"/>
            <w:gridSpan w:val="3"/>
            <w:shd w:val="clear" w:color="auto" w:fill="auto"/>
            <w:vAlign w:val="bottom"/>
          </w:tcPr>
          <w:p w14:paraId="5DEC5BCA" w14:textId="77777777" w:rsidR="00B1578D" w:rsidRDefault="00B1578D">
            <w:pPr>
              <w:rPr>
                <w:rFonts w:ascii="宋体"/>
                <w:vanish/>
              </w:rPr>
            </w:pPr>
          </w:p>
        </w:tc>
        <w:tc>
          <w:tcPr>
            <w:tcW w:w="0" w:type="auto"/>
            <w:gridSpan w:val="3"/>
            <w:shd w:val="clear" w:color="auto" w:fill="auto"/>
            <w:vAlign w:val="bottom"/>
          </w:tcPr>
          <w:p w14:paraId="5DEC5BCB" w14:textId="77777777" w:rsidR="00B1578D" w:rsidRDefault="00B1578D">
            <w:pPr>
              <w:rPr>
                <w:rFonts w:ascii="宋体"/>
                <w:vanish/>
              </w:rPr>
            </w:pPr>
          </w:p>
        </w:tc>
        <w:tc>
          <w:tcPr>
            <w:tcW w:w="0" w:type="auto"/>
            <w:gridSpan w:val="3"/>
            <w:shd w:val="clear" w:color="auto" w:fill="auto"/>
            <w:vAlign w:val="bottom"/>
          </w:tcPr>
          <w:p w14:paraId="5DEC5BCC" w14:textId="77777777" w:rsidR="00B1578D" w:rsidRDefault="00B1578D">
            <w:pPr>
              <w:rPr>
                <w:rFonts w:ascii="宋体"/>
                <w:vanish/>
              </w:rPr>
            </w:pPr>
          </w:p>
        </w:tc>
        <w:tc>
          <w:tcPr>
            <w:tcW w:w="0" w:type="auto"/>
            <w:gridSpan w:val="3"/>
            <w:shd w:val="clear" w:color="auto" w:fill="auto"/>
            <w:vAlign w:val="bottom"/>
          </w:tcPr>
          <w:p w14:paraId="5DEC5BCD" w14:textId="77777777" w:rsidR="00B1578D" w:rsidRDefault="00B1578D">
            <w:pPr>
              <w:rPr>
                <w:rFonts w:ascii="宋体"/>
                <w:vanish/>
              </w:rPr>
            </w:pPr>
          </w:p>
        </w:tc>
        <w:tc>
          <w:tcPr>
            <w:tcW w:w="0" w:type="auto"/>
            <w:gridSpan w:val="3"/>
            <w:shd w:val="clear" w:color="auto" w:fill="auto"/>
            <w:vAlign w:val="bottom"/>
          </w:tcPr>
          <w:p w14:paraId="5DEC5BCE" w14:textId="77777777" w:rsidR="00B1578D" w:rsidRDefault="00B1578D">
            <w:pPr>
              <w:rPr>
                <w:rFonts w:ascii="宋体"/>
                <w:vanish/>
              </w:rPr>
            </w:pPr>
          </w:p>
        </w:tc>
        <w:tc>
          <w:tcPr>
            <w:tcW w:w="0" w:type="auto"/>
            <w:gridSpan w:val="3"/>
            <w:shd w:val="clear" w:color="auto" w:fill="auto"/>
            <w:vAlign w:val="bottom"/>
          </w:tcPr>
          <w:p w14:paraId="5DEC5BCF" w14:textId="77777777" w:rsidR="00B1578D" w:rsidRDefault="00B1578D">
            <w:pPr>
              <w:rPr>
                <w:rFonts w:ascii="宋体"/>
                <w:vanish/>
              </w:rPr>
            </w:pPr>
          </w:p>
        </w:tc>
        <w:tc>
          <w:tcPr>
            <w:tcW w:w="0" w:type="auto"/>
            <w:shd w:val="clear" w:color="auto" w:fill="auto"/>
            <w:vAlign w:val="bottom"/>
          </w:tcPr>
          <w:p w14:paraId="5DEC5BD0" w14:textId="77777777" w:rsidR="00B1578D" w:rsidRDefault="00B1578D">
            <w:pPr>
              <w:rPr>
                <w:rFonts w:ascii="宋体"/>
                <w:vanish/>
              </w:rPr>
            </w:pPr>
          </w:p>
        </w:tc>
        <w:tc>
          <w:tcPr>
            <w:tcW w:w="0" w:type="auto"/>
            <w:shd w:val="clear" w:color="auto" w:fill="auto"/>
            <w:vAlign w:val="bottom"/>
          </w:tcPr>
          <w:p w14:paraId="5DEC5BD1" w14:textId="77777777" w:rsidR="00B1578D" w:rsidRDefault="00B1578D">
            <w:pPr>
              <w:rPr>
                <w:rFonts w:ascii="宋体"/>
                <w:vanish/>
              </w:rPr>
            </w:pPr>
          </w:p>
        </w:tc>
        <w:tc>
          <w:tcPr>
            <w:tcW w:w="0" w:type="auto"/>
            <w:shd w:val="clear" w:color="auto" w:fill="auto"/>
            <w:vAlign w:val="bottom"/>
          </w:tcPr>
          <w:p w14:paraId="5DEC5BD2" w14:textId="77777777" w:rsidR="00B1578D" w:rsidRDefault="00B1578D">
            <w:pPr>
              <w:rPr>
                <w:rFonts w:ascii="宋体"/>
                <w:vanish/>
              </w:rPr>
            </w:pPr>
          </w:p>
        </w:tc>
      </w:tr>
      <w:tr w:rsidR="00B1578D" w14:paraId="5DEC5BE7" w14:textId="77777777">
        <w:trPr>
          <w:jc w:val="center"/>
          <w:hidden/>
        </w:trPr>
        <w:tc>
          <w:tcPr>
            <w:tcW w:w="0" w:type="auto"/>
            <w:gridSpan w:val="3"/>
            <w:shd w:val="clear" w:color="auto" w:fill="auto"/>
            <w:vAlign w:val="bottom"/>
          </w:tcPr>
          <w:p w14:paraId="5DEC5BD4" w14:textId="77777777" w:rsidR="00B1578D" w:rsidRDefault="00B1578D">
            <w:pPr>
              <w:rPr>
                <w:rFonts w:ascii="宋体"/>
                <w:vanish/>
              </w:rPr>
            </w:pPr>
          </w:p>
        </w:tc>
        <w:tc>
          <w:tcPr>
            <w:tcW w:w="0" w:type="auto"/>
            <w:gridSpan w:val="3"/>
            <w:shd w:val="clear" w:color="auto" w:fill="auto"/>
            <w:vAlign w:val="bottom"/>
          </w:tcPr>
          <w:p w14:paraId="5DEC5BD5" w14:textId="77777777" w:rsidR="00B1578D" w:rsidRDefault="00B1578D">
            <w:pPr>
              <w:rPr>
                <w:rFonts w:ascii="宋体"/>
                <w:vanish/>
              </w:rPr>
            </w:pPr>
          </w:p>
        </w:tc>
        <w:tc>
          <w:tcPr>
            <w:tcW w:w="0" w:type="auto"/>
            <w:gridSpan w:val="3"/>
            <w:shd w:val="clear" w:color="auto" w:fill="auto"/>
            <w:vAlign w:val="bottom"/>
          </w:tcPr>
          <w:p w14:paraId="5DEC5BD6" w14:textId="77777777" w:rsidR="00B1578D" w:rsidRDefault="00B1578D">
            <w:pPr>
              <w:rPr>
                <w:rFonts w:ascii="宋体"/>
                <w:vanish/>
              </w:rPr>
            </w:pPr>
          </w:p>
        </w:tc>
        <w:tc>
          <w:tcPr>
            <w:tcW w:w="0" w:type="auto"/>
            <w:gridSpan w:val="3"/>
            <w:shd w:val="clear" w:color="auto" w:fill="auto"/>
            <w:vAlign w:val="bottom"/>
          </w:tcPr>
          <w:p w14:paraId="5DEC5BD7" w14:textId="77777777" w:rsidR="00B1578D" w:rsidRDefault="00B1578D">
            <w:pPr>
              <w:rPr>
                <w:rFonts w:ascii="宋体"/>
                <w:vanish/>
              </w:rPr>
            </w:pPr>
          </w:p>
        </w:tc>
        <w:tc>
          <w:tcPr>
            <w:tcW w:w="0" w:type="auto"/>
            <w:gridSpan w:val="3"/>
            <w:shd w:val="clear" w:color="auto" w:fill="auto"/>
            <w:vAlign w:val="bottom"/>
          </w:tcPr>
          <w:p w14:paraId="5DEC5BD8" w14:textId="77777777" w:rsidR="00B1578D" w:rsidRDefault="00B1578D">
            <w:pPr>
              <w:rPr>
                <w:rFonts w:ascii="宋体"/>
                <w:vanish/>
              </w:rPr>
            </w:pPr>
          </w:p>
        </w:tc>
        <w:tc>
          <w:tcPr>
            <w:tcW w:w="0" w:type="auto"/>
            <w:gridSpan w:val="3"/>
            <w:shd w:val="clear" w:color="auto" w:fill="auto"/>
            <w:vAlign w:val="bottom"/>
          </w:tcPr>
          <w:p w14:paraId="5DEC5BD9" w14:textId="77777777" w:rsidR="00B1578D" w:rsidRDefault="00B1578D">
            <w:pPr>
              <w:rPr>
                <w:rFonts w:ascii="宋体"/>
                <w:vanish/>
              </w:rPr>
            </w:pPr>
          </w:p>
        </w:tc>
        <w:tc>
          <w:tcPr>
            <w:tcW w:w="0" w:type="auto"/>
            <w:gridSpan w:val="3"/>
            <w:shd w:val="clear" w:color="auto" w:fill="auto"/>
            <w:vAlign w:val="bottom"/>
          </w:tcPr>
          <w:p w14:paraId="5DEC5BDA" w14:textId="77777777" w:rsidR="00B1578D" w:rsidRDefault="00B1578D">
            <w:pPr>
              <w:rPr>
                <w:rFonts w:ascii="宋体"/>
                <w:vanish/>
              </w:rPr>
            </w:pPr>
          </w:p>
        </w:tc>
        <w:tc>
          <w:tcPr>
            <w:tcW w:w="0" w:type="auto"/>
            <w:gridSpan w:val="3"/>
            <w:shd w:val="clear" w:color="auto" w:fill="auto"/>
            <w:vAlign w:val="bottom"/>
          </w:tcPr>
          <w:p w14:paraId="5DEC5BDB" w14:textId="77777777" w:rsidR="00B1578D" w:rsidRDefault="00B1578D">
            <w:pPr>
              <w:rPr>
                <w:rFonts w:ascii="宋体"/>
                <w:vanish/>
              </w:rPr>
            </w:pPr>
          </w:p>
        </w:tc>
        <w:tc>
          <w:tcPr>
            <w:tcW w:w="0" w:type="auto"/>
            <w:gridSpan w:val="3"/>
            <w:shd w:val="clear" w:color="auto" w:fill="auto"/>
            <w:vAlign w:val="bottom"/>
          </w:tcPr>
          <w:p w14:paraId="5DEC5BDC" w14:textId="77777777" w:rsidR="00B1578D" w:rsidRDefault="00B1578D">
            <w:pPr>
              <w:rPr>
                <w:rFonts w:ascii="宋体"/>
                <w:vanish/>
              </w:rPr>
            </w:pPr>
          </w:p>
        </w:tc>
        <w:tc>
          <w:tcPr>
            <w:tcW w:w="0" w:type="auto"/>
            <w:gridSpan w:val="3"/>
            <w:shd w:val="clear" w:color="auto" w:fill="auto"/>
            <w:vAlign w:val="bottom"/>
          </w:tcPr>
          <w:p w14:paraId="5DEC5BDD" w14:textId="77777777" w:rsidR="00B1578D" w:rsidRDefault="00B1578D">
            <w:pPr>
              <w:rPr>
                <w:rFonts w:ascii="宋体"/>
                <w:vanish/>
              </w:rPr>
            </w:pPr>
          </w:p>
        </w:tc>
        <w:tc>
          <w:tcPr>
            <w:tcW w:w="0" w:type="auto"/>
            <w:gridSpan w:val="3"/>
            <w:shd w:val="clear" w:color="auto" w:fill="auto"/>
            <w:vAlign w:val="bottom"/>
          </w:tcPr>
          <w:p w14:paraId="5DEC5BDE" w14:textId="77777777" w:rsidR="00B1578D" w:rsidRDefault="00B1578D">
            <w:pPr>
              <w:rPr>
                <w:rFonts w:ascii="宋体"/>
                <w:vanish/>
              </w:rPr>
            </w:pPr>
          </w:p>
        </w:tc>
        <w:tc>
          <w:tcPr>
            <w:tcW w:w="0" w:type="auto"/>
            <w:gridSpan w:val="3"/>
            <w:shd w:val="clear" w:color="auto" w:fill="auto"/>
            <w:vAlign w:val="bottom"/>
          </w:tcPr>
          <w:p w14:paraId="5DEC5BDF" w14:textId="77777777" w:rsidR="00B1578D" w:rsidRDefault="00B1578D">
            <w:pPr>
              <w:rPr>
                <w:rFonts w:ascii="宋体"/>
                <w:vanish/>
              </w:rPr>
            </w:pPr>
          </w:p>
        </w:tc>
        <w:tc>
          <w:tcPr>
            <w:tcW w:w="0" w:type="auto"/>
            <w:gridSpan w:val="3"/>
            <w:shd w:val="clear" w:color="auto" w:fill="auto"/>
            <w:vAlign w:val="bottom"/>
          </w:tcPr>
          <w:p w14:paraId="5DEC5BE0" w14:textId="77777777" w:rsidR="00B1578D" w:rsidRDefault="00B1578D">
            <w:pPr>
              <w:rPr>
                <w:rFonts w:ascii="宋体"/>
                <w:vanish/>
              </w:rPr>
            </w:pPr>
          </w:p>
        </w:tc>
        <w:tc>
          <w:tcPr>
            <w:tcW w:w="0" w:type="auto"/>
            <w:gridSpan w:val="3"/>
            <w:shd w:val="clear" w:color="auto" w:fill="auto"/>
            <w:vAlign w:val="bottom"/>
          </w:tcPr>
          <w:p w14:paraId="5DEC5BE1" w14:textId="77777777" w:rsidR="00B1578D" w:rsidRDefault="00B1578D">
            <w:pPr>
              <w:rPr>
                <w:rFonts w:ascii="宋体"/>
                <w:vanish/>
              </w:rPr>
            </w:pPr>
          </w:p>
        </w:tc>
        <w:tc>
          <w:tcPr>
            <w:tcW w:w="0" w:type="auto"/>
            <w:gridSpan w:val="3"/>
            <w:shd w:val="clear" w:color="auto" w:fill="auto"/>
            <w:vAlign w:val="bottom"/>
          </w:tcPr>
          <w:p w14:paraId="5DEC5BE2" w14:textId="77777777" w:rsidR="00B1578D" w:rsidRDefault="00B1578D">
            <w:pPr>
              <w:rPr>
                <w:rFonts w:ascii="宋体"/>
                <w:vanish/>
              </w:rPr>
            </w:pPr>
          </w:p>
        </w:tc>
        <w:tc>
          <w:tcPr>
            <w:tcW w:w="0" w:type="auto"/>
            <w:gridSpan w:val="3"/>
            <w:shd w:val="clear" w:color="auto" w:fill="auto"/>
            <w:vAlign w:val="bottom"/>
          </w:tcPr>
          <w:p w14:paraId="5DEC5BE3" w14:textId="77777777" w:rsidR="00B1578D" w:rsidRDefault="00B1578D">
            <w:pPr>
              <w:rPr>
                <w:rFonts w:ascii="宋体"/>
                <w:vanish/>
              </w:rPr>
            </w:pPr>
          </w:p>
        </w:tc>
        <w:tc>
          <w:tcPr>
            <w:tcW w:w="0" w:type="auto"/>
            <w:shd w:val="clear" w:color="auto" w:fill="auto"/>
            <w:vAlign w:val="bottom"/>
          </w:tcPr>
          <w:p w14:paraId="5DEC5BE4" w14:textId="77777777" w:rsidR="00B1578D" w:rsidRDefault="00B1578D">
            <w:pPr>
              <w:rPr>
                <w:rFonts w:ascii="宋体"/>
                <w:vanish/>
              </w:rPr>
            </w:pPr>
          </w:p>
        </w:tc>
        <w:tc>
          <w:tcPr>
            <w:tcW w:w="0" w:type="auto"/>
            <w:shd w:val="clear" w:color="auto" w:fill="auto"/>
            <w:vAlign w:val="bottom"/>
          </w:tcPr>
          <w:p w14:paraId="5DEC5BE5" w14:textId="77777777" w:rsidR="00B1578D" w:rsidRDefault="00B1578D">
            <w:pPr>
              <w:rPr>
                <w:rFonts w:ascii="宋体"/>
                <w:vanish/>
              </w:rPr>
            </w:pPr>
          </w:p>
        </w:tc>
        <w:tc>
          <w:tcPr>
            <w:tcW w:w="0" w:type="auto"/>
            <w:shd w:val="clear" w:color="auto" w:fill="auto"/>
            <w:vAlign w:val="bottom"/>
          </w:tcPr>
          <w:p w14:paraId="5DEC5BE6" w14:textId="77777777" w:rsidR="00B1578D" w:rsidRDefault="00B1578D">
            <w:pPr>
              <w:rPr>
                <w:rFonts w:ascii="宋体"/>
                <w:vanish/>
              </w:rPr>
            </w:pPr>
          </w:p>
        </w:tc>
      </w:tr>
      <w:tr w:rsidR="00B1578D" w14:paraId="5DEC5BFB" w14:textId="77777777">
        <w:trPr>
          <w:jc w:val="center"/>
          <w:hidden/>
        </w:trPr>
        <w:tc>
          <w:tcPr>
            <w:tcW w:w="0" w:type="auto"/>
            <w:gridSpan w:val="3"/>
            <w:shd w:val="clear" w:color="auto" w:fill="auto"/>
            <w:vAlign w:val="bottom"/>
          </w:tcPr>
          <w:p w14:paraId="5DEC5BE8" w14:textId="77777777" w:rsidR="00B1578D" w:rsidRDefault="00B1578D">
            <w:pPr>
              <w:rPr>
                <w:rFonts w:ascii="宋体"/>
                <w:vanish/>
              </w:rPr>
            </w:pPr>
          </w:p>
        </w:tc>
        <w:tc>
          <w:tcPr>
            <w:tcW w:w="0" w:type="auto"/>
            <w:gridSpan w:val="3"/>
            <w:shd w:val="clear" w:color="auto" w:fill="auto"/>
            <w:vAlign w:val="bottom"/>
          </w:tcPr>
          <w:p w14:paraId="5DEC5BE9" w14:textId="77777777" w:rsidR="00B1578D" w:rsidRDefault="00B1578D">
            <w:pPr>
              <w:rPr>
                <w:rFonts w:ascii="宋体"/>
                <w:vanish/>
              </w:rPr>
            </w:pPr>
          </w:p>
        </w:tc>
        <w:tc>
          <w:tcPr>
            <w:tcW w:w="0" w:type="auto"/>
            <w:gridSpan w:val="3"/>
            <w:shd w:val="clear" w:color="auto" w:fill="auto"/>
            <w:vAlign w:val="bottom"/>
          </w:tcPr>
          <w:p w14:paraId="5DEC5BEA" w14:textId="77777777" w:rsidR="00B1578D" w:rsidRDefault="00B1578D">
            <w:pPr>
              <w:rPr>
                <w:rFonts w:ascii="宋体"/>
                <w:vanish/>
              </w:rPr>
            </w:pPr>
          </w:p>
        </w:tc>
        <w:tc>
          <w:tcPr>
            <w:tcW w:w="0" w:type="auto"/>
            <w:gridSpan w:val="3"/>
            <w:shd w:val="clear" w:color="auto" w:fill="auto"/>
            <w:vAlign w:val="bottom"/>
          </w:tcPr>
          <w:p w14:paraId="5DEC5BEB" w14:textId="77777777" w:rsidR="00B1578D" w:rsidRDefault="00B1578D">
            <w:pPr>
              <w:rPr>
                <w:rFonts w:ascii="宋体"/>
                <w:vanish/>
              </w:rPr>
            </w:pPr>
          </w:p>
        </w:tc>
        <w:tc>
          <w:tcPr>
            <w:tcW w:w="0" w:type="auto"/>
            <w:gridSpan w:val="3"/>
            <w:shd w:val="clear" w:color="auto" w:fill="auto"/>
            <w:vAlign w:val="bottom"/>
          </w:tcPr>
          <w:p w14:paraId="5DEC5BEC" w14:textId="77777777" w:rsidR="00B1578D" w:rsidRDefault="00B1578D">
            <w:pPr>
              <w:rPr>
                <w:rFonts w:ascii="宋体"/>
                <w:vanish/>
              </w:rPr>
            </w:pPr>
          </w:p>
        </w:tc>
        <w:tc>
          <w:tcPr>
            <w:tcW w:w="0" w:type="auto"/>
            <w:gridSpan w:val="3"/>
            <w:shd w:val="clear" w:color="auto" w:fill="auto"/>
            <w:vAlign w:val="bottom"/>
          </w:tcPr>
          <w:p w14:paraId="5DEC5BED" w14:textId="77777777" w:rsidR="00B1578D" w:rsidRDefault="00B1578D">
            <w:pPr>
              <w:rPr>
                <w:rFonts w:ascii="宋体"/>
                <w:vanish/>
              </w:rPr>
            </w:pPr>
          </w:p>
        </w:tc>
        <w:tc>
          <w:tcPr>
            <w:tcW w:w="0" w:type="auto"/>
            <w:gridSpan w:val="3"/>
            <w:shd w:val="clear" w:color="auto" w:fill="auto"/>
            <w:vAlign w:val="bottom"/>
          </w:tcPr>
          <w:p w14:paraId="5DEC5BEE" w14:textId="77777777" w:rsidR="00B1578D" w:rsidRDefault="00B1578D">
            <w:pPr>
              <w:rPr>
                <w:rFonts w:ascii="宋体"/>
                <w:vanish/>
              </w:rPr>
            </w:pPr>
          </w:p>
        </w:tc>
        <w:tc>
          <w:tcPr>
            <w:tcW w:w="0" w:type="auto"/>
            <w:gridSpan w:val="3"/>
            <w:shd w:val="clear" w:color="auto" w:fill="auto"/>
            <w:vAlign w:val="bottom"/>
          </w:tcPr>
          <w:p w14:paraId="5DEC5BEF" w14:textId="77777777" w:rsidR="00B1578D" w:rsidRDefault="00B1578D">
            <w:pPr>
              <w:rPr>
                <w:rFonts w:ascii="宋体"/>
                <w:vanish/>
              </w:rPr>
            </w:pPr>
          </w:p>
        </w:tc>
        <w:tc>
          <w:tcPr>
            <w:tcW w:w="0" w:type="auto"/>
            <w:gridSpan w:val="3"/>
            <w:shd w:val="clear" w:color="auto" w:fill="auto"/>
            <w:vAlign w:val="bottom"/>
          </w:tcPr>
          <w:p w14:paraId="5DEC5BF0" w14:textId="77777777" w:rsidR="00B1578D" w:rsidRDefault="00B1578D">
            <w:pPr>
              <w:rPr>
                <w:rFonts w:ascii="宋体"/>
                <w:vanish/>
              </w:rPr>
            </w:pPr>
          </w:p>
        </w:tc>
        <w:tc>
          <w:tcPr>
            <w:tcW w:w="0" w:type="auto"/>
            <w:gridSpan w:val="3"/>
            <w:shd w:val="clear" w:color="auto" w:fill="auto"/>
            <w:vAlign w:val="bottom"/>
          </w:tcPr>
          <w:p w14:paraId="5DEC5BF1" w14:textId="77777777" w:rsidR="00B1578D" w:rsidRDefault="00B1578D">
            <w:pPr>
              <w:rPr>
                <w:rFonts w:ascii="宋体"/>
                <w:vanish/>
              </w:rPr>
            </w:pPr>
          </w:p>
        </w:tc>
        <w:tc>
          <w:tcPr>
            <w:tcW w:w="0" w:type="auto"/>
            <w:gridSpan w:val="3"/>
            <w:shd w:val="clear" w:color="auto" w:fill="auto"/>
            <w:vAlign w:val="bottom"/>
          </w:tcPr>
          <w:p w14:paraId="5DEC5BF2" w14:textId="77777777" w:rsidR="00B1578D" w:rsidRDefault="00B1578D">
            <w:pPr>
              <w:rPr>
                <w:rFonts w:ascii="宋体"/>
                <w:vanish/>
              </w:rPr>
            </w:pPr>
          </w:p>
        </w:tc>
        <w:tc>
          <w:tcPr>
            <w:tcW w:w="0" w:type="auto"/>
            <w:gridSpan w:val="3"/>
            <w:shd w:val="clear" w:color="auto" w:fill="auto"/>
            <w:vAlign w:val="bottom"/>
          </w:tcPr>
          <w:p w14:paraId="5DEC5BF3" w14:textId="77777777" w:rsidR="00B1578D" w:rsidRDefault="00B1578D">
            <w:pPr>
              <w:rPr>
                <w:rFonts w:ascii="宋体"/>
                <w:vanish/>
              </w:rPr>
            </w:pPr>
          </w:p>
        </w:tc>
        <w:tc>
          <w:tcPr>
            <w:tcW w:w="0" w:type="auto"/>
            <w:gridSpan w:val="3"/>
            <w:shd w:val="clear" w:color="auto" w:fill="auto"/>
            <w:vAlign w:val="bottom"/>
          </w:tcPr>
          <w:p w14:paraId="5DEC5BF4" w14:textId="77777777" w:rsidR="00B1578D" w:rsidRDefault="00B1578D">
            <w:pPr>
              <w:rPr>
                <w:rFonts w:ascii="宋体"/>
                <w:vanish/>
              </w:rPr>
            </w:pPr>
          </w:p>
        </w:tc>
        <w:tc>
          <w:tcPr>
            <w:tcW w:w="0" w:type="auto"/>
            <w:gridSpan w:val="3"/>
            <w:shd w:val="clear" w:color="auto" w:fill="auto"/>
            <w:vAlign w:val="bottom"/>
          </w:tcPr>
          <w:p w14:paraId="5DEC5BF5" w14:textId="77777777" w:rsidR="00B1578D" w:rsidRDefault="00B1578D">
            <w:pPr>
              <w:rPr>
                <w:rFonts w:ascii="宋体"/>
                <w:vanish/>
              </w:rPr>
            </w:pPr>
          </w:p>
        </w:tc>
        <w:tc>
          <w:tcPr>
            <w:tcW w:w="0" w:type="auto"/>
            <w:gridSpan w:val="3"/>
            <w:shd w:val="clear" w:color="auto" w:fill="auto"/>
            <w:vAlign w:val="bottom"/>
          </w:tcPr>
          <w:p w14:paraId="5DEC5BF6" w14:textId="77777777" w:rsidR="00B1578D" w:rsidRDefault="00B1578D">
            <w:pPr>
              <w:rPr>
                <w:rFonts w:ascii="宋体"/>
                <w:vanish/>
              </w:rPr>
            </w:pPr>
          </w:p>
        </w:tc>
        <w:tc>
          <w:tcPr>
            <w:tcW w:w="0" w:type="auto"/>
            <w:gridSpan w:val="3"/>
            <w:shd w:val="clear" w:color="auto" w:fill="auto"/>
            <w:vAlign w:val="bottom"/>
          </w:tcPr>
          <w:p w14:paraId="5DEC5BF7" w14:textId="77777777" w:rsidR="00B1578D" w:rsidRDefault="00B1578D">
            <w:pPr>
              <w:rPr>
                <w:rFonts w:ascii="宋体"/>
                <w:vanish/>
              </w:rPr>
            </w:pPr>
          </w:p>
        </w:tc>
        <w:tc>
          <w:tcPr>
            <w:tcW w:w="0" w:type="auto"/>
            <w:shd w:val="clear" w:color="auto" w:fill="auto"/>
            <w:vAlign w:val="bottom"/>
          </w:tcPr>
          <w:p w14:paraId="5DEC5BF8" w14:textId="77777777" w:rsidR="00B1578D" w:rsidRDefault="00B1578D">
            <w:pPr>
              <w:rPr>
                <w:rFonts w:ascii="宋体"/>
                <w:vanish/>
              </w:rPr>
            </w:pPr>
          </w:p>
        </w:tc>
        <w:tc>
          <w:tcPr>
            <w:tcW w:w="0" w:type="auto"/>
            <w:shd w:val="clear" w:color="auto" w:fill="auto"/>
            <w:vAlign w:val="bottom"/>
          </w:tcPr>
          <w:p w14:paraId="5DEC5BF9" w14:textId="77777777" w:rsidR="00B1578D" w:rsidRDefault="00B1578D">
            <w:pPr>
              <w:rPr>
                <w:rFonts w:ascii="宋体"/>
                <w:vanish/>
              </w:rPr>
            </w:pPr>
          </w:p>
        </w:tc>
        <w:tc>
          <w:tcPr>
            <w:tcW w:w="0" w:type="auto"/>
            <w:shd w:val="clear" w:color="auto" w:fill="auto"/>
            <w:vAlign w:val="bottom"/>
          </w:tcPr>
          <w:p w14:paraId="5DEC5BFA" w14:textId="77777777" w:rsidR="00B1578D" w:rsidRDefault="00B1578D">
            <w:pPr>
              <w:rPr>
                <w:rFonts w:ascii="宋体"/>
                <w:vanish/>
              </w:rPr>
            </w:pPr>
          </w:p>
        </w:tc>
      </w:tr>
      <w:tr w:rsidR="00B1578D" w14:paraId="5DEC5C0F" w14:textId="77777777">
        <w:trPr>
          <w:jc w:val="center"/>
          <w:hidden/>
        </w:trPr>
        <w:tc>
          <w:tcPr>
            <w:tcW w:w="0" w:type="auto"/>
            <w:gridSpan w:val="3"/>
            <w:shd w:val="clear" w:color="auto" w:fill="auto"/>
            <w:vAlign w:val="bottom"/>
          </w:tcPr>
          <w:p w14:paraId="5DEC5BFC" w14:textId="77777777" w:rsidR="00B1578D" w:rsidRDefault="00B1578D">
            <w:pPr>
              <w:rPr>
                <w:rFonts w:ascii="宋体"/>
                <w:vanish/>
              </w:rPr>
            </w:pPr>
          </w:p>
        </w:tc>
        <w:tc>
          <w:tcPr>
            <w:tcW w:w="0" w:type="auto"/>
            <w:gridSpan w:val="3"/>
            <w:shd w:val="clear" w:color="auto" w:fill="auto"/>
            <w:vAlign w:val="bottom"/>
          </w:tcPr>
          <w:p w14:paraId="5DEC5BFD" w14:textId="77777777" w:rsidR="00B1578D" w:rsidRDefault="00B1578D">
            <w:pPr>
              <w:rPr>
                <w:rFonts w:ascii="宋体"/>
                <w:vanish/>
              </w:rPr>
            </w:pPr>
          </w:p>
        </w:tc>
        <w:tc>
          <w:tcPr>
            <w:tcW w:w="0" w:type="auto"/>
            <w:gridSpan w:val="3"/>
            <w:shd w:val="clear" w:color="auto" w:fill="auto"/>
            <w:vAlign w:val="bottom"/>
          </w:tcPr>
          <w:p w14:paraId="5DEC5BFE" w14:textId="77777777" w:rsidR="00B1578D" w:rsidRDefault="00B1578D">
            <w:pPr>
              <w:rPr>
                <w:rFonts w:ascii="宋体"/>
                <w:vanish/>
              </w:rPr>
            </w:pPr>
          </w:p>
        </w:tc>
        <w:tc>
          <w:tcPr>
            <w:tcW w:w="0" w:type="auto"/>
            <w:gridSpan w:val="3"/>
            <w:shd w:val="clear" w:color="auto" w:fill="auto"/>
            <w:vAlign w:val="bottom"/>
          </w:tcPr>
          <w:p w14:paraId="5DEC5BFF" w14:textId="77777777" w:rsidR="00B1578D" w:rsidRDefault="00B1578D">
            <w:pPr>
              <w:rPr>
                <w:rFonts w:ascii="宋体"/>
                <w:vanish/>
              </w:rPr>
            </w:pPr>
          </w:p>
        </w:tc>
        <w:tc>
          <w:tcPr>
            <w:tcW w:w="0" w:type="auto"/>
            <w:gridSpan w:val="3"/>
            <w:shd w:val="clear" w:color="auto" w:fill="auto"/>
            <w:vAlign w:val="bottom"/>
          </w:tcPr>
          <w:p w14:paraId="5DEC5C00" w14:textId="77777777" w:rsidR="00B1578D" w:rsidRDefault="00B1578D">
            <w:pPr>
              <w:rPr>
                <w:rFonts w:ascii="宋体"/>
                <w:vanish/>
              </w:rPr>
            </w:pPr>
          </w:p>
        </w:tc>
        <w:tc>
          <w:tcPr>
            <w:tcW w:w="0" w:type="auto"/>
            <w:gridSpan w:val="3"/>
            <w:shd w:val="clear" w:color="auto" w:fill="auto"/>
            <w:vAlign w:val="bottom"/>
          </w:tcPr>
          <w:p w14:paraId="5DEC5C01" w14:textId="77777777" w:rsidR="00B1578D" w:rsidRDefault="00B1578D">
            <w:pPr>
              <w:rPr>
                <w:rFonts w:ascii="宋体"/>
                <w:vanish/>
              </w:rPr>
            </w:pPr>
          </w:p>
        </w:tc>
        <w:tc>
          <w:tcPr>
            <w:tcW w:w="0" w:type="auto"/>
            <w:gridSpan w:val="3"/>
            <w:shd w:val="clear" w:color="auto" w:fill="auto"/>
            <w:vAlign w:val="bottom"/>
          </w:tcPr>
          <w:p w14:paraId="5DEC5C02" w14:textId="77777777" w:rsidR="00B1578D" w:rsidRDefault="00B1578D">
            <w:pPr>
              <w:rPr>
                <w:rFonts w:ascii="宋体"/>
                <w:vanish/>
              </w:rPr>
            </w:pPr>
          </w:p>
        </w:tc>
        <w:tc>
          <w:tcPr>
            <w:tcW w:w="0" w:type="auto"/>
            <w:gridSpan w:val="3"/>
            <w:shd w:val="clear" w:color="auto" w:fill="auto"/>
            <w:vAlign w:val="bottom"/>
          </w:tcPr>
          <w:p w14:paraId="5DEC5C03" w14:textId="77777777" w:rsidR="00B1578D" w:rsidRDefault="00B1578D">
            <w:pPr>
              <w:rPr>
                <w:rFonts w:ascii="宋体"/>
                <w:vanish/>
              </w:rPr>
            </w:pPr>
          </w:p>
        </w:tc>
        <w:tc>
          <w:tcPr>
            <w:tcW w:w="0" w:type="auto"/>
            <w:gridSpan w:val="3"/>
            <w:shd w:val="clear" w:color="auto" w:fill="auto"/>
            <w:vAlign w:val="bottom"/>
          </w:tcPr>
          <w:p w14:paraId="5DEC5C04" w14:textId="77777777" w:rsidR="00B1578D" w:rsidRDefault="00B1578D">
            <w:pPr>
              <w:rPr>
                <w:rFonts w:ascii="宋体"/>
                <w:vanish/>
              </w:rPr>
            </w:pPr>
          </w:p>
        </w:tc>
        <w:tc>
          <w:tcPr>
            <w:tcW w:w="0" w:type="auto"/>
            <w:gridSpan w:val="3"/>
            <w:shd w:val="clear" w:color="auto" w:fill="auto"/>
            <w:vAlign w:val="bottom"/>
          </w:tcPr>
          <w:p w14:paraId="5DEC5C05" w14:textId="77777777" w:rsidR="00B1578D" w:rsidRDefault="00B1578D">
            <w:pPr>
              <w:rPr>
                <w:rFonts w:ascii="宋体"/>
                <w:vanish/>
              </w:rPr>
            </w:pPr>
          </w:p>
        </w:tc>
        <w:tc>
          <w:tcPr>
            <w:tcW w:w="0" w:type="auto"/>
            <w:gridSpan w:val="3"/>
            <w:shd w:val="clear" w:color="auto" w:fill="auto"/>
            <w:vAlign w:val="bottom"/>
          </w:tcPr>
          <w:p w14:paraId="5DEC5C06" w14:textId="77777777" w:rsidR="00B1578D" w:rsidRDefault="00B1578D">
            <w:pPr>
              <w:rPr>
                <w:rFonts w:ascii="宋体"/>
                <w:vanish/>
              </w:rPr>
            </w:pPr>
          </w:p>
        </w:tc>
        <w:tc>
          <w:tcPr>
            <w:tcW w:w="0" w:type="auto"/>
            <w:gridSpan w:val="3"/>
            <w:shd w:val="clear" w:color="auto" w:fill="auto"/>
            <w:vAlign w:val="bottom"/>
          </w:tcPr>
          <w:p w14:paraId="5DEC5C07" w14:textId="77777777" w:rsidR="00B1578D" w:rsidRDefault="00B1578D">
            <w:pPr>
              <w:rPr>
                <w:rFonts w:ascii="宋体"/>
                <w:vanish/>
              </w:rPr>
            </w:pPr>
          </w:p>
        </w:tc>
        <w:tc>
          <w:tcPr>
            <w:tcW w:w="0" w:type="auto"/>
            <w:gridSpan w:val="3"/>
            <w:shd w:val="clear" w:color="auto" w:fill="auto"/>
            <w:vAlign w:val="bottom"/>
          </w:tcPr>
          <w:p w14:paraId="5DEC5C08" w14:textId="77777777" w:rsidR="00B1578D" w:rsidRDefault="00B1578D">
            <w:pPr>
              <w:rPr>
                <w:rFonts w:ascii="宋体"/>
                <w:vanish/>
              </w:rPr>
            </w:pPr>
          </w:p>
        </w:tc>
        <w:tc>
          <w:tcPr>
            <w:tcW w:w="0" w:type="auto"/>
            <w:gridSpan w:val="3"/>
            <w:shd w:val="clear" w:color="auto" w:fill="auto"/>
            <w:vAlign w:val="bottom"/>
          </w:tcPr>
          <w:p w14:paraId="5DEC5C09" w14:textId="77777777" w:rsidR="00B1578D" w:rsidRDefault="00B1578D">
            <w:pPr>
              <w:rPr>
                <w:rFonts w:ascii="宋体"/>
                <w:vanish/>
              </w:rPr>
            </w:pPr>
          </w:p>
        </w:tc>
        <w:tc>
          <w:tcPr>
            <w:tcW w:w="0" w:type="auto"/>
            <w:gridSpan w:val="3"/>
            <w:shd w:val="clear" w:color="auto" w:fill="auto"/>
            <w:vAlign w:val="bottom"/>
          </w:tcPr>
          <w:p w14:paraId="5DEC5C0A" w14:textId="77777777" w:rsidR="00B1578D" w:rsidRDefault="00B1578D">
            <w:pPr>
              <w:rPr>
                <w:rFonts w:ascii="宋体"/>
                <w:vanish/>
              </w:rPr>
            </w:pPr>
          </w:p>
        </w:tc>
        <w:tc>
          <w:tcPr>
            <w:tcW w:w="0" w:type="auto"/>
            <w:gridSpan w:val="3"/>
            <w:shd w:val="clear" w:color="auto" w:fill="auto"/>
            <w:vAlign w:val="bottom"/>
          </w:tcPr>
          <w:p w14:paraId="5DEC5C0B" w14:textId="77777777" w:rsidR="00B1578D" w:rsidRDefault="00B1578D">
            <w:pPr>
              <w:rPr>
                <w:rFonts w:ascii="宋体"/>
                <w:vanish/>
              </w:rPr>
            </w:pPr>
          </w:p>
        </w:tc>
        <w:tc>
          <w:tcPr>
            <w:tcW w:w="0" w:type="auto"/>
            <w:shd w:val="clear" w:color="auto" w:fill="auto"/>
            <w:vAlign w:val="bottom"/>
          </w:tcPr>
          <w:p w14:paraId="5DEC5C0C" w14:textId="77777777" w:rsidR="00B1578D" w:rsidRDefault="00B1578D">
            <w:pPr>
              <w:rPr>
                <w:rFonts w:ascii="宋体"/>
                <w:vanish/>
              </w:rPr>
            </w:pPr>
          </w:p>
        </w:tc>
        <w:tc>
          <w:tcPr>
            <w:tcW w:w="0" w:type="auto"/>
            <w:shd w:val="clear" w:color="auto" w:fill="auto"/>
            <w:vAlign w:val="bottom"/>
          </w:tcPr>
          <w:p w14:paraId="5DEC5C0D" w14:textId="77777777" w:rsidR="00B1578D" w:rsidRDefault="00B1578D">
            <w:pPr>
              <w:rPr>
                <w:rFonts w:ascii="宋体"/>
                <w:vanish/>
              </w:rPr>
            </w:pPr>
          </w:p>
        </w:tc>
        <w:tc>
          <w:tcPr>
            <w:tcW w:w="0" w:type="auto"/>
            <w:shd w:val="clear" w:color="auto" w:fill="auto"/>
            <w:vAlign w:val="bottom"/>
          </w:tcPr>
          <w:p w14:paraId="5DEC5C0E" w14:textId="77777777" w:rsidR="00B1578D" w:rsidRDefault="00B1578D">
            <w:pPr>
              <w:rPr>
                <w:rFonts w:ascii="宋体"/>
                <w:vanish/>
              </w:rPr>
            </w:pPr>
          </w:p>
        </w:tc>
      </w:tr>
      <w:tr w:rsidR="00B1578D" w14:paraId="5DEC5C23" w14:textId="77777777">
        <w:trPr>
          <w:jc w:val="center"/>
          <w:hidden/>
        </w:trPr>
        <w:tc>
          <w:tcPr>
            <w:tcW w:w="0" w:type="auto"/>
            <w:gridSpan w:val="3"/>
            <w:shd w:val="clear" w:color="auto" w:fill="auto"/>
            <w:vAlign w:val="bottom"/>
          </w:tcPr>
          <w:p w14:paraId="5DEC5C10" w14:textId="77777777" w:rsidR="00B1578D" w:rsidRDefault="00B1578D">
            <w:pPr>
              <w:rPr>
                <w:rFonts w:ascii="宋体"/>
                <w:vanish/>
              </w:rPr>
            </w:pPr>
          </w:p>
        </w:tc>
        <w:tc>
          <w:tcPr>
            <w:tcW w:w="0" w:type="auto"/>
            <w:gridSpan w:val="3"/>
            <w:shd w:val="clear" w:color="auto" w:fill="auto"/>
            <w:vAlign w:val="bottom"/>
          </w:tcPr>
          <w:p w14:paraId="5DEC5C11" w14:textId="77777777" w:rsidR="00B1578D" w:rsidRDefault="00B1578D">
            <w:pPr>
              <w:rPr>
                <w:rFonts w:ascii="宋体"/>
                <w:vanish/>
              </w:rPr>
            </w:pPr>
          </w:p>
        </w:tc>
        <w:tc>
          <w:tcPr>
            <w:tcW w:w="0" w:type="auto"/>
            <w:gridSpan w:val="3"/>
            <w:shd w:val="clear" w:color="auto" w:fill="auto"/>
            <w:vAlign w:val="bottom"/>
          </w:tcPr>
          <w:p w14:paraId="5DEC5C12" w14:textId="77777777" w:rsidR="00B1578D" w:rsidRDefault="00B1578D">
            <w:pPr>
              <w:rPr>
                <w:rFonts w:ascii="宋体"/>
                <w:vanish/>
              </w:rPr>
            </w:pPr>
          </w:p>
        </w:tc>
        <w:tc>
          <w:tcPr>
            <w:tcW w:w="0" w:type="auto"/>
            <w:gridSpan w:val="3"/>
            <w:shd w:val="clear" w:color="auto" w:fill="auto"/>
            <w:vAlign w:val="bottom"/>
          </w:tcPr>
          <w:p w14:paraId="5DEC5C13" w14:textId="77777777" w:rsidR="00B1578D" w:rsidRDefault="00B1578D">
            <w:pPr>
              <w:rPr>
                <w:rFonts w:ascii="宋体"/>
                <w:vanish/>
              </w:rPr>
            </w:pPr>
          </w:p>
        </w:tc>
        <w:tc>
          <w:tcPr>
            <w:tcW w:w="0" w:type="auto"/>
            <w:gridSpan w:val="3"/>
            <w:shd w:val="clear" w:color="auto" w:fill="auto"/>
            <w:vAlign w:val="bottom"/>
          </w:tcPr>
          <w:p w14:paraId="5DEC5C14" w14:textId="77777777" w:rsidR="00B1578D" w:rsidRDefault="00B1578D">
            <w:pPr>
              <w:rPr>
                <w:rFonts w:ascii="宋体"/>
                <w:vanish/>
              </w:rPr>
            </w:pPr>
          </w:p>
        </w:tc>
        <w:tc>
          <w:tcPr>
            <w:tcW w:w="0" w:type="auto"/>
            <w:gridSpan w:val="3"/>
            <w:shd w:val="clear" w:color="auto" w:fill="auto"/>
            <w:vAlign w:val="bottom"/>
          </w:tcPr>
          <w:p w14:paraId="5DEC5C15" w14:textId="77777777" w:rsidR="00B1578D" w:rsidRDefault="00B1578D">
            <w:pPr>
              <w:rPr>
                <w:rFonts w:ascii="宋体"/>
                <w:vanish/>
              </w:rPr>
            </w:pPr>
          </w:p>
        </w:tc>
        <w:tc>
          <w:tcPr>
            <w:tcW w:w="0" w:type="auto"/>
            <w:gridSpan w:val="3"/>
            <w:shd w:val="clear" w:color="auto" w:fill="auto"/>
            <w:vAlign w:val="bottom"/>
          </w:tcPr>
          <w:p w14:paraId="5DEC5C16" w14:textId="77777777" w:rsidR="00B1578D" w:rsidRDefault="00B1578D">
            <w:pPr>
              <w:rPr>
                <w:rFonts w:ascii="宋体"/>
                <w:vanish/>
              </w:rPr>
            </w:pPr>
          </w:p>
        </w:tc>
        <w:tc>
          <w:tcPr>
            <w:tcW w:w="0" w:type="auto"/>
            <w:gridSpan w:val="3"/>
            <w:shd w:val="clear" w:color="auto" w:fill="auto"/>
            <w:vAlign w:val="bottom"/>
          </w:tcPr>
          <w:p w14:paraId="5DEC5C17" w14:textId="77777777" w:rsidR="00B1578D" w:rsidRDefault="00B1578D">
            <w:pPr>
              <w:rPr>
                <w:rFonts w:ascii="宋体"/>
                <w:vanish/>
              </w:rPr>
            </w:pPr>
          </w:p>
        </w:tc>
        <w:tc>
          <w:tcPr>
            <w:tcW w:w="0" w:type="auto"/>
            <w:gridSpan w:val="3"/>
            <w:shd w:val="clear" w:color="auto" w:fill="auto"/>
            <w:vAlign w:val="bottom"/>
          </w:tcPr>
          <w:p w14:paraId="5DEC5C18" w14:textId="77777777" w:rsidR="00B1578D" w:rsidRDefault="00B1578D">
            <w:pPr>
              <w:rPr>
                <w:rFonts w:ascii="宋体"/>
                <w:vanish/>
              </w:rPr>
            </w:pPr>
          </w:p>
        </w:tc>
        <w:tc>
          <w:tcPr>
            <w:tcW w:w="0" w:type="auto"/>
            <w:gridSpan w:val="3"/>
            <w:shd w:val="clear" w:color="auto" w:fill="auto"/>
            <w:vAlign w:val="bottom"/>
          </w:tcPr>
          <w:p w14:paraId="5DEC5C19" w14:textId="77777777" w:rsidR="00B1578D" w:rsidRDefault="00B1578D">
            <w:pPr>
              <w:rPr>
                <w:rFonts w:ascii="宋体"/>
                <w:vanish/>
              </w:rPr>
            </w:pPr>
          </w:p>
        </w:tc>
        <w:tc>
          <w:tcPr>
            <w:tcW w:w="0" w:type="auto"/>
            <w:gridSpan w:val="3"/>
            <w:shd w:val="clear" w:color="auto" w:fill="auto"/>
            <w:vAlign w:val="bottom"/>
          </w:tcPr>
          <w:p w14:paraId="5DEC5C1A" w14:textId="77777777" w:rsidR="00B1578D" w:rsidRDefault="00B1578D">
            <w:pPr>
              <w:rPr>
                <w:rFonts w:ascii="宋体"/>
                <w:vanish/>
              </w:rPr>
            </w:pPr>
          </w:p>
        </w:tc>
        <w:tc>
          <w:tcPr>
            <w:tcW w:w="0" w:type="auto"/>
            <w:gridSpan w:val="3"/>
            <w:shd w:val="clear" w:color="auto" w:fill="auto"/>
            <w:vAlign w:val="bottom"/>
          </w:tcPr>
          <w:p w14:paraId="5DEC5C1B" w14:textId="77777777" w:rsidR="00B1578D" w:rsidRDefault="00B1578D">
            <w:pPr>
              <w:rPr>
                <w:rFonts w:ascii="宋体"/>
                <w:vanish/>
              </w:rPr>
            </w:pPr>
          </w:p>
        </w:tc>
        <w:tc>
          <w:tcPr>
            <w:tcW w:w="0" w:type="auto"/>
            <w:gridSpan w:val="3"/>
            <w:shd w:val="clear" w:color="auto" w:fill="auto"/>
            <w:vAlign w:val="bottom"/>
          </w:tcPr>
          <w:p w14:paraId="5DEC5C1C" w14:textId="77777777" w:rsidR="00B1578D" w:rsidRDefault="00B1578D">
            <w:pPr>
              <w:rPr>
                <w:rFonts w:ascii="宋体"/>
                <w:vanish/>
              </w:rPr>
            </w:pPr>
          </w:p>
        </w:tc>
        <w:tc>
          <w:tcPr>
            <w:tcW w:w="0" w:type="auto"/>
            <w:gridSpan w:val="3"/>
            <w:shd w:val="clear" w:color="auto" w:fill="auto"/>
            <w:vAlign w:val="bottom"/>
          </w:tcPr>
          <w:p w14:paraId="5DEC5C1D" w14:textId="77777777" w:rsidR="00B1578D" w:rsidRDefault="00B1578D">
            <w:pPr>
              <w:rPr>
                <w:rFonts w:ascii="宋体"/>
                <w:vanish/>
              </w:rPr>
            </w:pPr>
          </w:p>
        </w:tc>
        <w:tc>
          <w:tcPr>
            <w:tcW w:w="0" w:type="auto"/>
            <w:gridSpan w:val="3"/>
            <w:shd w:val="clear" w:color="auto" w:fill="auto"/>
            <w:vAlign w:val="bottom"/>
          </w:tcPr>
          <w:p w14:paraId="5DEC5C1E" w14:textId="77777777" w:rsidR="00B1578D" w:rsidRDefault="00B1578D">
            <w:pPr>
              <w:rPr>
                <w:rFonts w:ascii="宋体"/>
                <w:vanish/>
              </w:rPr>
            </w:pPr>
          </w:p>
        </w:tc>
        <w:tc>
          <w:tcPr>
            <w:tcW w:w="0" w:type="auto"/>
            <w:gridSpan w:val="3"/>
            <w:shd w:val="clear" w:color="auto" w:fill="auto"/>
            <w:vAlign w:val="bottom"/>
          </w:tcPr>
          <w:p w14:paraId="5DEC5C1F" w14:textId="77777777" w:rsidR="00B1578D" w:rsidRDefault="00B1578D">
            <w:pPr>
              <w:rPr>
                <w:rFonts w:ascii="宋体"/>
                <w:vanish/>
              </w:rPr>
            </w:pPr>
          </w:p>
        </w:tc>
        <w:tc>
          <w:tcPr>
            <w:tcW w:w="0" w:type="auto"/>
            <w:shd w:val="clear" w:color="auto" w:fill="auto"/>
            <w:vAlign w:val="bottom"/>
          </w:tcPr>
          <w:p w14:paraId="5DEC5C20" w14:textId="77777777" w:rsidR="00B1578D" w:rsidRDefault="00B1578D">
            <w:pPr>
              <w:rPr>
                <w:rFonts w:ascii="宋体"/>
                <w:vanish/>
              </w:rPr>
            </w:pPr>
          </w:p>
        </w:tc>
        <w:tc>
          <w:tcPr>
            <w:tcW w:w="0" w:type="auto"/>
            <w:shd w:val="clear" w:color="auto" w:fill="auto"/>
            <w:vAlign w:val="bottom"/>
          </w:tcPr>
          <w:p w14:paraId="5DEC5C21" w14:textId="77777777" w:rsidR="00B1578D" w:rsidRDefault="00B1578D">
            <w:pPr>
              <w:rPr>
                <w:rFonts w:ascii="宋体"/>
                <w:vanish/>
              </w:rPr>
            </w:pPr>
          </w:p>
        </w:tc>
        <w:tc>
          <w:tcPr>
            <w:tcW w:w="0" w:type="auto"/>
            <w:shd w:val="clear" w:color="auto" w:fill="auto"/>
            <w:vAlign w:val="bottom"/>
          </w:tcPr>
          <w:p w14:paraId="5DEC5C22" w14:textId="77777777" w:rsidR="00B1578D" w:rsidRDefault="00B1578D">
            <w:pPr>
              <w:rPr>
                <w:rFonts w:ascii="宋体"/>
                <w:vanish/>
              </w:rPr>
            </w:pPr>
          </w:p>
        </w:tc>
      </w:tr>
    </w:tbl>
    <w:p w14:paraId="5DEC5C24" w14:textId="77777777" w:rsidR="00B1578D" w:rsidRDefault="004D2C04">
      <w:pPr>
        <w:spacing w:before="80"/>
      </w:pPr>
      <w:r>
        <w:rPr>
          <w:rFonts w:ascii="Times New Roman" w:eastAsia="宋体" w:hAnsi="Times New Roman"/>
          <w:i/>
          <w:iCs/>
          <w:color w:val="000000"/>
          <w:sz w:val="16"/>
          <w:szCs w:val="16"/>
        </w:rPr>
        <w:t xml:space="preserve">See accompanying notes. </w:t>
      </w:r>
    </w:p>
    <w:p w14:paraId="5DEC5C25" w14:textId="77777777" w:rsidR="00B1578D" w:rsidRDefault="00B1578D">
      <w:pPr>
        <w:jc w:val="center"/>
      </w:pPr>
    </w:p>
    <w:p w14:paraId="5DEC5C26" w14:textId="77777777" w:rsidR="00B1578D" w:rsidRDefault="00B1578D"/>
    <w:p w14:paraId="5DEC5C27" w14:textId="77777777" w:rsidR="00B1578D" w:rsidRDefault="004D2C04">
      <w:pPr>
        <w:jc w:val="center"/>
      </w:pPr>
      <w:r>
        <w:rPr>
          <w:rFonts w:ascii="Times New Roman" w:eastAsia="宋体" w:hAnsi="Times New Roman"/>
          <w:color w:val="000000"/>
          <w:sz w:val="20"/>
          <w:szCs w:val="20"/>
        </w:rPr>
        <w:t>6</w:t>
      </w:r>
    </w:p>
    <w:p w14:paraId="5DEC5C28" w14:textId="77777777" w:rsidR="00B1578D" w:rsidRDefault="004D2C04">
      <w:r>
        <w:pict w14:anchorId="5DEC6F2B">
          <v:rect id="_x0000_i1030" style="width:415.3pt;height:1.5pt" o:hralign="center" o:hrstd="t" o:hr="t" fillcolor="#a0a0a0" stroked="f"/>
        </w:pict>
      </w:r>
    </w:p>
    <w:p w14:paraId="5DEC5C29" w14:textId="77777777" w:rsidR="00B1578D" w:rsidRDefault="004D2C04">
      <w:hyperlink r:id="rId45" w:anchor="ia92fe4e1fa654d85928fb72942eadb02_7" w:history="1">
        <w:r>
          <w:rPr>
            <w:rStyle w:val="a5"/>
            <w:rFonts w:ascii="Times New Roman" w:eastAsia="宋体" w:hAnsi="Times New Roman"/>
            <w:sz w:val="20"/>
            <w:szCs w:val="20"/>
          </w:rPr>
          <w:t>Table of Contents</w:t>
        </w:r>
      </w:hyperlink>
    </w:p>
    <w:p w14:paraId="5DEC5C2A" w14:textId="77777777" w:rsidR="00B1578D" w:rsidRDefault="004D2C04">
      <w:pPr>
        <w:jc w:val="center"/>
      </w:pPr>
      <w:r>
        <w:rPr>
          <w:rFonts w:ascii="Times New Roman" w:eastAsia="宋体" w:hAnsi="Times New Roman"/>
          <w:b/>
          <w:bCs/>
          <w:color w:val="000000"/>
          <w:sz w:val="20"/>
          <w:szCs w:val="20"/>
        </w:rPr>
        <w:t>Walmart Inc.</w:t>
      </w:r>
    </w:p>
    <w:p w14:paraId="5DEC5C2B" w14:textId="77777777" w:rsidR="00B1578D" w:rsidRDefault="004D2C04">
      <w:pPr>
        <w:spacing w:before="60"/>
        <w:jc w:val="center"/>
      </w:pPr>
      <w:r>
        <w:rPr>
          <w:rFonts w:ascii="Times New Roman" w:eastAsia="宋体" w:hAnsi="Times New Roman"/>
          <w:b/>
          <w:bCs/>
          <w:color w:val="000000"/>
          <w:sz w:val="20"/>
          <w:szCs w:val="20"/>
        </w:rPr>
        <w:t>Condensed Consolidated Statements of Cash Flows</w:t>
      </w:r>
    </w:p>
    <w:p w14:paraId="5DEC5C2C" w14:textId="77777777" w:rsidR="00B1578D" w:rsidRDefault="004D2C04">
      <w:pPr>
        <w:spacing w:before="60"/>
        <w:jc w:val="center"/>
      </w:pPr>
      <w:r>
        <w:rPr>
          <w:rFonts w:ascii="Times New Roman" w:eastAsia="宋体" w:hAnsi="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155"/>
        <w:gridCol w:w="39"/>
        <w:gridCol w:w="36"/>
        <w:gridCol w:w="36"/>
        <w:gridCol w:w="36"/>
        <w:gridCol w:w="100"/>
        <w:gridCol w:w="756"/>
        <w:gridCol w:w="36"/>
        <w:gridCol w:w="36"/>
        <w:gridCol w:w="36"/>
        <w:gridCol w:w="36"/>
        <w:gridCol w:w="100"/>
        <w:gridCol w:w="782"/>
        <w:gridCol w:w="36"/>
        <w:gridCol w:w="36"/>
        <w:gridCol w:w="36"/>
      </w:tblGrid>
      <w:tr w:rsidR="00B1578D" w14:paraId="5DEC5C3E" w14:textId="77777777">
        <w:tc>
          <w:tcPr>
            <w:tcW w:w="50" w:type="pct"/>
            <w:shd w:val="clear" w:color="auto" w:fill="auto"/>
            <w:vAlign w:val="bottom"/>
          </w:tcPr>
          <w:p w14:paraId="5DEC5C2D" w14:textId="77777777" w:rsidR="00B1578D" w:rsidRDefault="00B1578D">
            <w:pPr>
              <w:rPr>
                <w:rFonts w:ascii="宋体"/>
              </w:rPr>
            </w:pPr>
          </w:p>
        </w:tc>
        <w:tc>
          <w:tcPr>
            <w:tcW w:w="3746" w:type="pct"/>
            <w:shd w:val="clear" w:color="auto" w:fill="auto"/>
            <w:vAlign w:val="bottom"/>
          </w:tcPr>
          <w:p w14:paraId="5DEC5C2E" w14:textId="77777777" w:rsidR="00B1578D" w:rsidRDefault="00B1578D">
            <w:pPr>
              <w:rPr>
                <w:rFonts w:ascii="宋体"/>
              </w:rPr>
            </w:pPr>
          </w:p>
        </w:tc>
        <w:tc>
          <w:tcPr>
            <w:tcW w:w="5" w:type="pct"/>
            <w:shd w:val="clear" w:color="auto" w:fill="auto"/>
            <w:vAlign w:val="bottom"/>
          </w:tcPr>
          <w:p w14:paraId="5DEC5C2F" w14:textId="77777777" w:rsidR="00B1578D" w:rsidRDefault="00B1578D">
            <w:pPr>
              <w:rPr>
                <w:rFonts w:ascii="宋体"/>
              </w:rPr>
            </w:pPr>
          </w:p>
        </w:tc>
        <w:tc>
          <w:tcPr>
            <w:tcW w:w="5" w:type="pct"/>
            <w:shd w:val="clear" w:color="auto" w:fill="auto"/>
            <w:vAlign w:val="bottom"/>
          </w:tcPr>
          <w:p w14:paraId="5DEC5C30" w14:textId="77777777" w:rsidR="00B1578D" w:rsidRDefault="00B1578D">
            <w:pPr>
              <w:rPr>
                <w:rFonts w:ascii="宋体"/>
              </w:rPr>
            </w:pPr>
          </w:p>
        </w:tc>
        <w:tc>
          <w:tcPr>
            <w:tcW w:w="26" w:type="pct"/>
            <w:shd w:val="clear" w:color="auto" w:fill="auto"/>
            <w:vAlign w:val="bottom"/>
          </w:tcPr>
          <w:p w14:paraId="5DEC5C31" w14:textId="77777777" w:rsidR="00B1578D" w:rsidRDefault="00B1578D">
            <w:pPr>
              <w:rPr>
                <w:rFonts w:ascii="宋体"/>
              </w:rPr>
            </w:pPr>
          </w:p>
        </w:tc>
        <w:tc>
          <w:tcPr>
            <w:tcW w:w="5" w:type="pct"/>
            <w:shd w:val="clear" w:color="auto" w:fill="auto"/>
            <w:vAlign w:val="bottom"/>
          </w:tcPr>
          <w:p w14:paraId="5DEC5C32" w14:textId="77777777" w:rsidR="00B1578D" w:rsidRDefault="00B1578D">
            <w:pPr>
              <w:rPr>
                <w:rFonts w:ascii="宋体"/>
              </w:rPr>
            </w:pPr>
          </w:p>
        </w:tc>
        <w:tc>
          <w:tcPr>
            <w:tcW w:w="50" w:type="pct"/>
            <w:shd w:val="clear" w:color="auto" w:fill="auto"/>
            <w:vAlign w:val="bottom"/>
          </w:tcPr>
          <w:p w14:paraId="5DEC5C33" w14:textId="77777777" w:rsidR="00B1578D" w:rsidRDefault="00B1578D">
            <w:pPr>
              <w:rPr>
                <w:rFonts w:ascii="宋体"/>
              </w:rPr>
            </w:pPr>
          </w:p>
        </w:tc>
        <w:tc>
          <w:tcPr>
            <w:tcW w:w="500" w:type="pct"/>
            <w:shd w:val="clear" w:color="auto" w:fill="auto"/>
            <w:vAlign w:val="bottom"/>
          </w:tcPr>
          <w:p w14:paraId="5DEC5C34" w14:textId="77777777" w:rsidR="00B1578D" w:rsidRDefault="00B1578D">
            <w:pPr>
              <w:rPr>
                <w:rFonts w:ascii="宋体"/>
              </w:rPr>
            </w:pPr>
          </w:p>
        </w:tc>
        <w:tc>
          <w:tcPr>
            <w:tcW w:w="5" w:type="pct"/>
            <w:shd w:val="clear" w:color="auto" w:fill="auto"/>
            <w:vAlign w:val="bottom"/>
          </w:tcPr>
          <w:p w14:paraId="5DEC5C35" w14:textId="77777777" w:rsidR="00B1578D" w:rsidRDefault="00B1578D">
            <w:pPr>
              <w:rPr>
                <w:rFonts w:ascii="宋体"/>
              </w:rPr>
            </w:pPr>
          </w:p>
        </w:tc>
        <w:tc>
          <w:tcPr>
            <w:tcW w:w="5" w:type="pct"/>
            <w:shd w:val="clear" w:color="auto" w:fill="auto"/>
            <w:vAlign w:val="bottom"/>
          </w:tcPr>
          <w:p w14:paraId="5DEC5C36" w14:textId="77777777" w:rsidR="00B1578D" w:rsidRDefault="00B1578D">
            <w:pPr>
              <w:rPr>
                <w:rFonts w:ascii="宋体"/>
              </w:rPr>
            </w:pPr>
          </w:p>
        </w:tc>
        <w:tc>
          <w:tcPr>
            <w:tcW w:w="41" w:type="pct"/>
            <w:shd w:val="clear" w:color="auto" w:fill="auto"/>
            <w:vAlign w:val="bottom"/>
          </w:tcPr>
          <w:p w14:paraId="5DEC5C37" w14:textId="77777777" w:rsidR="00B1578D" w:rsidRDefault="00B1578D">
            <w:pPr>
              <w:rPr>
                <w:rFonts w:ascii="宋体"/>
              </w:rPr>
            </w:pPr>
          </w:p>
        </w:tc>
        <w:tc>
          <w:tcPr>
            <w:tcW w:w="5" w:type="pct"/>
            <w:shd w:val="clear" w:color="auto" w:fill="auto"/>
            <w:vAlign w:val="bottom"/>
          </w:tcPr>
          <w:p w14:paraId="5DEC5C38" w14:textId="77777777" w:rsidR="00B1578D" w:rsidRDefault="00B1578D">
            <w:pPr>
              <w:rPr>
                <w:rFonts w:ascii="宋体"/>
              </w:rPr>
            </w:pPr>
          </w:p>
        </w:tc>
        <w:tc>
          <w:tcPr>
            <w:tcW w:w="50" w:type="pct"/>
            <w:shd w:val="clear" w:color="auto" w:fill="auto"/>
            <w:vAlign w:val="bottom"/>
          </w:tcPr>
          <w:p w14:paraId="5DEC5C39" w14:textId="77777777" w:rsidR="00B1578D" w:rsidRDefault="00B1578D">
            <w:pPr>
              <w:rPr>
                <w:rFonts w:ascii="宋体"/>
              </w:rPr>
            </w:pPr>
          </w:p>
        </w:tc>
        <w:tc>
          <w:tcPr>
            <w:tcW w:w="500" w:type="pct"/>
            <w:shd w:val="clear" w:color="auto" w:fill="auto"/>
            <w:vAlign w:val="bottom"/>
          </w:tcPr>
          <w:p w14:paraId="5DEC5C3A" w14:textId="77777777" w:rsidR="00B1578D" w:rsidRDefault="00B1578D">
            <w:pPr>
              <w:rPr>
                <w:rFonts w:ascii="宋体"/>
              </w:rPr>
            </w:pPr>
          </w:p>
        </w:tc>
        <w:tc>
          <w:tcPr>
            <w:tcW w:w="5" w:type="pct"/>
            <w:shd w:val="clear" w:color="auto" w:fill="auto"/>
            <w:vAlign w:val="bottom"/>
          </w:tcPr>
          <w:p w14:paraId="5DEC5C3B" w14:textId="77777777" w:rsidR="00B1578D" w:rsidRDefault="00B1578D">
            <w:pPr>
              <w:rPr>
                <w:rFonts w:ascii="宋体"/>
              </w:rPr>
            </w:pPr>
          </w:p>
        </w:tc>
        <w:tc>
          <w:tcPr>
            <w:tcW w:w="0" w:type="auto"/>
            <w:shd w:val="clear" w:color="auto" w:fill="auto"/>
            <w:vAlign w:val="bottom"/>
          </w:tcPr>
          <w:p w14:paraId="5DEC5C3C" w14:textId="77777777" w:rsidR="00B1578D" w:rsidRDefault="00B1578D">
            <w:pPr>
              <w:rPr>
                <w:rFonts w:ascii="宋体"/>
                <w:vanish/>
              </w:rPr>
            </w:pPr>
          </w:p>
        </w:tc>
        <w:tc>
          <w:tcPr>
            <w:tcW w:w="0" w:type="auto"/>
            <w:shd w:val="clear" w:color="auto" w:fill="auto"/>
            <w:vAlign w:val="bottom"/>
          </w:tcPr>
          <w:p w14:paraId="5DEC5C3D" w14:textId="77777777" w:rsidR="00B1578D" w:rsidRDefault="00B1578D">
            <w:pPr>
              <w:rPr>
                <w:rFonts w:ascii="宋体"/>
                <w:vanish/>
              </w:rPr>
            </w:pPr>
          </w:p>
        </w:tc>
      </w:tr>
      <w:tr w:rsidR="00B1578D" w14:paraId="5DEC5C44" w14:textId="77777777">
        <w:tc>
          <w:tcPr>
            <w:tcW w:w="0" w:type="auto"/>
            <w:gridSpan w:val="3"/>
            <w:shd w:val="clear" w:color="auto" w:fill="auto"/>
            <w:tcMar>
              <w:top w:w="0" w:type="dxa"/>
              <w:left w:w="20" w:type="dxa"/>
              <w:bottom w:w="0" w:type="dxa"/>
              <w:right w:w="20" w:type="dxa"/>
            </w:tcMar>
            <w:vAlign w:val="bottom"/>
          </w:tcPr>
          <w:p w14:paraId="5DEC5C3F"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C40"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5C41"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5C42" w14:textId="77777777" w:rsidR="00B1578D" w:rsidRDefault="00B1578D">
            <w:pPr>
              <w:rPr>
                <w:rFonts w:ascii="宋体"/>
                <w:vanish/>
              </w:rPr>
            </w:pPr>
          </w:p>
        </w:tc>
        <w:tc>
          <w:tcPr>
            <w:tcW w:w="0" w:type="auto"/>
            <w:shd w:val="clear" w:color="auto" w:fill="auto"/>
            <w:vAlign w:val="bottom"/>
          </w:tcPr>
          <w:p w14:paraId="5DEC5C43" w14:textId="77777777" w:rsidR="00B1578D" w:rsidRDefault="00B1578D">
            <w:pPr>
              <w:rPr>
                <w:rFonts w:ascii="宋体"/>
                <w:vanish/>
              </w:rPr>
            </w:pPr>
          </w:p>
        </w:tc>
      </w:tr>
      <w:tr w:rsidR="00B1578D" w14:paraId="5DEC5C4C" w14:textId="77777777">
        <w:tc>
          <w:tcPr>
            <w:tcW w:w="0" w:type="auto"/>
            <w:gridSpan w:val="3"/>
            <w:shd w:val="clear" w:color="auto" w:fill="auto"/>
            <w:tcMar>
              <w:top w:w="40" w:type="dxa"/>
              <w:left w:w="20" w:type="dxa"/>
              <w:bottom w:w="40" w:type="dxa"/>
              <w:right w:w="20" w:type="dxa"/>
            </w:tcMar>
            <w:vAlign w:val="bottom"/>
          </w:tcPr>
          <w:p w14:paraId="5DEC5C45"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5C46"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C47"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C48"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C49"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5C4A" w14:textId="77777777" w:rsidR="00B1578D" w:rsidRDefault="00B1578D">
            <w:pPr>
              <w:rPr>
                <w:rFonts w:ascii="宋体"/>
                <w:vanish/>
              </w:rPr>
            </w:pPr>
          </w:p>
        </w:tc>
        <w:tc>
          <w:tcPr>
            <w:tcW w:w="0" w:type="auto"/>
            <w:shd w:val="clear" w:color="auto" w:fill="auto"/>
            <w:vAlign w:val="bottom"/>
          </w:tcPr>
          <w:p w14:paraId="5DEC5C4B" w14:textId="77777777" w:rsidR="00B1578D" w:rsidRDefault="00B1578D">
            <w:pPr>
              <w:rPr>
                <w:rFonts w:ascii="宋体"/>
                <w:vanish/>
              </w:rPr>
            </w:pPr>
          </w:p>
        </w:tc>
      </w:tr>
      <w:tr w:rsidR="00B1578D" w14:paraId="5DEC5C54" w14:textId="77777777">
        <w:tc>
          <w:tcPr>
            <w:tcW w:w="0" w:type="auto"/>
            <w:gridSpan w:val="3"/>
            <w:shd w:val="clear" w:color="auto" w:fill="auto"/>
            <w:tcMar>
              <w:top w:w="40" w:type="dxa"/>
              <w:left w:w="20" w:type="dxa"/>
              <w:bottom w:w="40" w:type="dxa"/>
              <w:right w:w="20" w:type="dxa"/>
            </w:tcMar>
            <w:vAlign w:val="center"/>
          </w:tcPr>
          <w:p w14:paraId="5DEC5C4D" w14:textId="77777777" w:rsidR="00B1578D" w:rsidRDefault="004D2C04">
            <w:pPr>
              <w:textAlignment w:val="center"/>
            </w:pPr>
            <w:r>
              <w:rPr>
                <w:rFonts w:ascii="Times New Roman" w:eastAsia="宋体" w:hAnsi="Times New Roman"/>
                <w:b/>
                <w:bCs/>
                <w:color w:val="000000"/>
                <w:sz w:val="16"/>
                <w:szCs w:val="16"/>
              </w:rPr>
              <w:t>Cash flows from operating activities:</w:t>
            </w:r>
          </w:p>
        </w:tc>
        <w:tc>
          <w:tcPr>
            <w:tcW w:w="0" w:type="auto"/>
            <w:gridSpan w:val="3"/>
            <w:shd w:val="clear" w:color="auto" w:fill="auto"/>
            <w:tcMar>
              <w:top w:w="0" w:type="dxa"/>
              <w:left w:w="20" w:type="dxa"/>
              <w:bottom w:w="0" w:type="dxa"/>
              <w:right w:w="20" w:type="dxa"/>
            </w:tcMar>
            <w:vAlign w:val="bottom"/>
          </w:tcPr>
          <w:p w14:paraId="5DEC5C4E"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C4F"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C50"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C51" w14:textId="77777777" w:rsidR="00B1578D" w:rsidRDefault="00B1578D">
            <w:pPr>
              <w:rPr>
                <w:rFonts w:ascii="宋体"/>
              </w:rPr>
            </w:pPr>
          </w:p>
        </w:tc>
        <w:tc>
          <w:tcPr>
            <w:tcW w:w="0" w:type="auto"/>
            <w:shd w:val="clear" w:color="auto" w:fill="auto"/>
            <w:vAlign w:val="bottom"/>
          </w:tcPr>
          <w:p w14:paraId="5DEC5C52" w14:textId="77777777" w:rsidR="00B1578D" w:rsidRDefault="00B1578D">
            <w:pPr>
              <w:rPr>
                <w:rFonts w:ascii="宋体"/>
                <w:vanish/>
              </w:rPr>
            </w:pPr>
          </w:p>
        </w:tc>
        <w:tc>
          <w:tcPr>
            <w:tcW w:w="0" w:type="auto"/>
            <w:shd w:val="clear" w:color="auto" w:fill="auto"/>
            <w:vAlign w:val="bottom"/>
          </w:tcPr>
          <w:p w14:paraId="5DEC5C53" w14:textId="77777777" w:rsidR="00B1578D" w:rsidRDefault="00B1578D">
            <w:pPr>
              <w:rPr>
                <w:rFonts w:ascii="宋体"/>
                <w:vanish/>
              </w:rPr>
            </w:pPr>
          </w:p>
        </w:tc>
      </w:tr>
      <w:tr w:rsidR="00B1578D" w14:paraId="5DEC5C60" w14:textId="77777777">
        <w:tc>
          <w:tcPr>
            <w:tcW w:w="0" w:type="auto"/>
            <w:gridSpan w:val="3"/>
            <w:shd w:val="clear" w:color="auto" w:fill="CCEEFF"/>
            <w:tcMar>
              <w:top w:w="40" w:type="dxa"/>
              <w:left w:w="380" w:type="dxa"/>
              <w:bottom w:w="40" w:type="dxa"/>
              <w:right w:w="20" w:type="dxa"/>
            </w:tcMar>
            <w:vAlign w:val="center"/>
          </w:tcPr>
          <w:p w14:paraId="5DEC5C55" w14:textId="77777777" w:rsidR="00B1578D" w:rsidRDefault="004D2C04">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5DEC5C56"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C5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C58" w14:textId="77777777" w:rsidR="00B1578D" w:rsidRDefault="004D2C04">
            <w:pPr>
              <w:jc w:val="right"/>
              <w:textAlignment w:val="center"/>
            </w:pPr>
            <w:r>
              <w:rPr>
                <w:rFonts w:ascii="Times New Roman" w:eastAsia="宋体" w:hAnsi="Times New Roman"/>
                <w:color w:val="000000"/>
                <w:sz w:val="16"/>
                <w:szCs w:val="16"/>
              </w:rPr>
              <w:t>2,103 </w:t>
            </w:r>
          </w:p>
        </w:tc>
        <w:tc>
          <w:tcPr>
            <w:tcW w:w="0" w:type="auto"/>
            <w:shd w:val="clear" w:color="auto" w:fill="CCEEFF"/>
            <w:tcMar>
              <w:top w:w="40" w:type="dxa"/>
              <w:left w:w="0" w:type="dxa"/>
              <w:bottom w:w="40" w:type="dxa"/>
              <w:right w:w="20" w:type="dxa"/>
            </w:tcMar>
            <w:vAlign w:val="center"/>
          </w:tcPr>
          <w:p w14:paraId="5DEC5C5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C5A"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C5B"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C5C" w14:textId="77777777" w:rsidR="00B1578D" w:rsidRDefault="004D2C04">
            <w:pPr>
              <w:jc w:val="right"/>
              <w:textAlignment w:val="center"/>
            </w:pPr>
            <w:r>
              <w:rPr>
                <w:rFonts w:ascii="Times New Roman" w:eastAsia="宋体" w:hAnsi="Times New Roman"/>
                <w:color w:val="000000"/>
                <w:sz w:val="16"/>
                <w:szCs w:val="16"/>
              </w:rPr>
              <w:t>2,811 </w:t>
            </w:r>
          </w:p>
        </w:tc>
        <w:tc>
          <w:tcPr>
            <w:tcW w:w="0" w:type="auto"/>
            <w:shd w:val="clear" w:color="auto" w:fill="CCEEFF"/>
            <w:tcMar>
              <w:top w:w="40" w:type="dxa"/>
              <w:left w:w="0" w:type="dxa"/>
              <w:bottom w:w="40" w:type="dxa"/>
              <w:right w:w="20" w:type="dxa"/>
            </w:tcMar>
            <w:vAlign w:val="center"/>
          </w:tcPr>
          <w:p w14:paraId="5DEC5C5D" w14:textId="77777777" w:rsidR="00B1578D" w:rsidRDefault="00B1578D">
            <w:pPr>
              <w:jc w:val="right"/>
              <w:rPr>
                <w:rFonts w:ascii="宋体"/>
              </w:rPr>
            </w:pPr>
          </w:p>
        </w:tc>
        <w:tc>
          <w:tcPr>
            <w:tcW w:w="0" w:type="auto"/>
            <w:shd w:val="clear" w:color="auto" w:fill="auto"/>
            <w:vAlign w:val="bottom"/>
          </w:tcPr>
          <w:p w14:paraId="5DEC5C5E" w14:textId="77777777" w:rsidR="00B1578D" w:rsidRDefault="00B1578D">
            <w:pPr>
              <w:rPr>
                <w:rFonts w:ascii="宋体"/>
                <w:vanish/>
              </w:rPr>
            </w:pPr>
          </w:p>
        </w:tc>
        <w:tc>
          <w:tcPr>
            <w:tcW w:w="0" w:type="auto"/>
            <w:shd w:val="clear" w:color="auto" w:fill="auto"/>
            <w:vAlign w:val="bottom"/>
          </w:tcPr>
          <w:p w14:paraId="5DEC5C5F" w14:textId="77777777" w:rsidR="00B1578D" w:rsidRDefault="00B1578D">
            <w:pPr>
              <w:rPr>
                <w:rFonts w:ascii="宋体"/>
                <w:vanish/>
              </w:rPr>
            </w:pPr>
          </w:p>
        </w:tc>
      </w:tr>
      <w:tr w:rsidR="00B1578D" w14:paraId="5DEC5C68" w14:textId="77777777">
        <w:trPr>
          <w:hidden/>
        </w:trPr>
        <w:tc>
          <w:tcPr>
            <w:tcW w:w="0" w:type="auto"/>
            <w:gridSpan w:val="3"/>
            <w:shd w:val="clear" w:color="auto" w:fill="auto"/>
            <w:vAlign w:val="bottom"/>
          </w:tcPr>
          <w:p w14:paraId="5DEC5C61" w14:textId="77777777" w:rsidR="00B1578D" w:rsidRDefault="00B1578D">
            <w:pPr>
              <w:rPr>
                <w:rFonts w:ascii="宋体"/>
                <w:vanish/>
              </w:rPr>
            </w:pPr>
          </w:p>
        </w:tc>
        <w:tc>
          <w:tcPr>
            <w:tcW w:w="0" w:type="auto"/>
            <w:gridSpan w:val="3"/>
            <w:shd w:val="clear" w:color="auto" w:fill="auto"/>
            <w:vAlign w:val="bottom"/>
          </w:tcPr>
          <w:p w14:paraId="5DEC5C62" w14:textId="77777777" w:rsidR="00B1578D" w:rsidRDefault="00B1578D">
            <w:pPr>
              <w:rPr>
                <w:rFonts w:ascii="宋体"/>
                <w:vanish/>
              </w:rPr>
            </w:pPr>
          </w:p>
        </w:tc>
        <w:tc>
          <w:tcPr>
            <w:tcW w:w="0" w:type="auto"/>
            <w:gridSpan w:val="3"/>
            <w:shd w:val="clear" w:color="auto" w:fill="auto"/>
            <w:vAlign w:val="bottom"/>
          </w:tcPr>
          <w:p w14:paraId="5DEC5C63" w14:textId="77777777" w:rsidR="00B1578D" w:rsidRDefault="00B1578D">
            <w:pPr>
              <w:rPr>
                <w:rFonts w:ascii="宋体"/>
                <w:vanish/>
              </w:rPr>
            </w:pPr>
          </w:p>
        </w:tc>
        <w:tc>
          <w:tcPr>
            <w:tcW w:w="0" w:type="auto"/>
            <w:gridSpan w:val="3"/>
            <w:shd w:val="clear" w:color="auto" w:fill="auto"/>
            <w:vAlign w:val="bottom"/>
          </w:tcPr>
          <w:p w14:paraId="5DEC5C64" w14:textId="77777777" w:rsidR="00B1578D" w:rsidRDefault="00B1578D">
            <w:pPr>
              <w:rPr>
                <w:rFonts w:ascii="宋体"/>
                <w:vanish/>
              </w:rPr>
            </w:pPr>
          </w:p>
        </w:tc>
        <w:tc>
          <w:tcPr>
            <w:tcW w:w="0" w:type="auto"/>
            <w:gridSpan w:val="3"/>
            <w:shd w:val="clear" w:color="auto" w:fill="auto"/>
            <w:vAlign w:val="bottom"/>
          </w:tcPr>
          <w:p w14:paraId="5DEC5C65" w14:textId="77777777" w:rsidR="00B1578D" w:rsidRDefault="00B1578D">
            <w:pPr>
              <w:rPr>
                <w:rFonts w:ascii="宋体"/>
                <w:vanish/>
              </w:rPr>
            </w:pPr>
          </w:p>
        </w:tc>
        <w:tc>
          <w:tcPr>
            <w:tcW w:w="0" w:type="auto"/>
            <w:shd w:val="clear" w:color="auto" w:fill="auto"/>
            <w:vAlign w:val="bottom"/>
          </w:tcPr>
          <w:p w14:paraId="5DEC5C66" w14:textId="77777777" w:rsidR="00B1578D" w:rsidRDefault="00B1578D">
            <w:pPr>
              <w:rPr>
                <w:rFonts w:ascii="宋体"/>
                <w:vanish/>
              </w:rPr>
            </w:pPr>
          </w:p>
        </w:tc>
        <w:tc>
          <w:tcPr>
            <w:tcW w:w="0" w:type="auto"/>
            <w:shd w:val="clear" w:color="auto" w:fill="auto"/>
            <w:vAlign w:val="bottom"/>
          </w:tcPr>
          <w:p w14:paraId="5DEC5C67" w14:textId="77777777" w:rsidR="00B1578D" w:rsidRDefault="00B1578D">
            <w:pPr>
              <w:rPr>
                <w:rFonts w:ascii="宋体"/>
                <w:vanish/>
              </w:rPr>
            </w:pPr>
          </w:p>
        </w:tc>
      </w:tr>
      <w:tr w:rsidR="00B1578D" w14:paraId="5DEC5C70" w14:textId="77777777">
        <w:trPr>
          <w:hidden/>
        </w:trPr>
        <w:tc>
          <w:tcPr>
            <w:tcW w:w="0" w:type="auto"/>
            <w:gridSpan w:val="3"/>
            <w:shd w:val="clear" w:color="auto" w:fill="auto"/>
            <w:vAlign w:val="bottom"/>
          </w:tcPr>
          <w:p w14:paraId="5DEC5C69" w14:textId="77777777" w:rsidR="00B1578D" w:rsidRDefault="00B1578D">
            <w:pPr>
              <w:rPr>
                <w:rFonts w:ascii="宋体"/>
                <w:vanish/>
              </w:rPr>
            </w:pPr>
          </w:p>
        </w:tc>
        <w:tc>
          <w:tcPr>
            <w:tcW w:w="0" w:type="auto"/>
            <w:gridSpan w:val="3"/>
            <w:shd w:val="clear" w:color="auto" w:fill="auto"/>
            <w:vAlign w:val="bottom"/>
          </w:tcPr>
          <w:p w14:paraId="5DEC5C6A" w14:textId="77777777" w:rsidR="00B1578D" w:rsidRDefault="00B1578D">
            <w:pPr>
              <w:rPr>
                <w:rFonts w:ascii="宋体"/>
                <w:vanish/>
              </w:rPr>
            </w:pPr>
          </w:p>
        </w:tc>
        <w:tc>
          <w:tcPr>
            <w:tcW w:w="0" w:type="auto"/>
            <w:gridSpan w:val="3"/>
            <w:shd w:val="clear" w:color="auto" w:fill="auto"/>
            <w:vAlign w:val="bottom"/>
          </w:tcPr>
          <w:p w14:paraId="5DEC5C6B" w14:textId="77777777" w:rsidR="00B1578D" w:rsidRDefault="00B1578D">
            <w:pPr>
              <w:rPr>
                <w:rFonts w:ascii="宋体"/>
                <w:vanish/>
              </w:rPr>
            </w:pPr>
          </w:p>
        </w:tc>
        <w:tc>
          <w:tcPr>
            <w:tcW w:w="0" w:type="auto"/>
            <w:gridSpan w:val="3"/>
            <w:shd w:val="clear" w:color="auto" w:fill="auto"/>
            <w:vAlign w:val="bottom"/>
          </w:tcPr>
          <w:p w14:paraId="5DEC5C6C" w14:textId="77777777" w:rsidR="00B1578D" w:rsidRDefault="00B1578D">
            <w:pPr>
              <w:rPr>
                <w:rFonts w:ascii="宋体"/>
                <w:vanish/>
              </w:rPr>
            </w:pPr>
          </w:p>
        </w:tc>
        <w:tc>
          <w:tcPr>
            <w:tcW w:w="0" w:type="auto"/>
            <w:gridSpan w:val="3"/>
            <w:shd w:val="clear" w:color="auto" w:fill="auto"/>
            <w:vAlign w:val="bottom"/>
          </w:tcPr>
          <w:p w14:paraId="5DEC5C6D" w14:textId="77777777" w:rsidR="00B1578D" w:rsidRDefault="00B1578D">
            <w:pPr>
              <w:rPr>
                <w:rFonts w:ascii="宋体"/>
                <w:vanish/>
              </w:rPr>
            </w:pPr>
          </w:p>
        </w:tc>
        <w:tc>
          <w:tcPr>
            <w:tcW w:w="0" w:type="auto"/>
            <w:shd w:val="clear" w:color="auto" w:fill="auto"/>
            <w:vAlign w:val="bottom"/>
          </w:tcPr>
          <w:p w14:paraId="5DEC5C6E" w14:textId="77777777" w:rsidR="00B1578D" w:rsidRDefault="00B1578D">
            <w:pPr>
              <w:rPr>
                <w:rFonts w:ascii="宋体"/>
                <w:vanish/>
              </w:rPr>
            </w:pPr>
          </w:p>
        </w:tc>
        <w:tc>
          <w:tcPr>
            <w:tcW w:w="0" w:type="auto"/>
            <w:shd w:val="clear" w:color="auto" w:fill="auto"/>
            <w:vAlign w:val="bottom"/>
          </w:tcPr>
          <w:p w14:paraId="5DEC5C6F" w14:textId="77777777" w:rsidR="00B1578D" w:rsidRDefault="00B1578D">
            <w:pPr>
              <w:rPr>
                <w:rFonts w:ascii="宋体"/>
                <w:vanish/>
              </w:rPr>
            </w:pPr>
          </w:p>
        </w:tc>
      </w:tr>
      <w:tr w:rsidR="00B1578D" w14:paraId="5DEC5C78" w14:textId="77777777">
        <w:tc>
          <w:tcPr>
            <w:tcW w:w="0" w:type="auto"/>
            <w:gridSpan w:val="3"/>
            <w:shd w:val="clear" w:color="auto" w:fill="FFFFFF"/>
            <w:tcMar>
              <w:top w:w="40" w:type="dxa"/>
              <w:left w:w="380" w:type="dxa"/>
              <w:bottom w:w="40" w:type="dxa"/>
              <w:right w:w="20" w:type="dxa"/>
            </w:tcMar>
            <w:vAlign w:val="center"/>
          </w:tcPr>
          <w:p w14:paraId="5DEC5C71" w14:textId="77777777" w:rsidR="00B1578D" w:rsidRDefault="004D2C04">
            <w:pPr>
              <w:textAlignment w:val="center"/>
            </w:pPr>
            <w:r>
              <w:rPr>
                <w:rFonts w:ascii="Times New Roman" w:eastAsia="宋体" w:hAnsi="Times New Roman"/>
                <w:color w:val="000000"/>
                <w:sz w:val="16"/>
                <w:szCs w:val="16"/>
              </w:rPr>
              <w:t xml:space="preserve">Adjustments to reconcile consolidated net income to net cash </w:t>
            </w:r>
            <w:r>
              <w:rPr>
                <w:rFonts w:ascii="Times New Roman" w:eastAsia="宋体" w:hAnsi="Times New Roman"/>
                <w:color w:val="000000"/>
                <w:sz w:val="16"/>
                <w:szCs w:val="16"/>
              </w:rPr>
              <w:t>provided by (used in) operating activities:</w:t>
            </w:r>
          </w:p>
        </w:tc>
        <w:tc>
          <w:tcPr>
            <w:tcW w:w="0" w:type="auto"/>
            <w:gridSpan w:val="3"/>
            <w:shd w:val="clear" w:color="auto" w:fill="FFFFFF"/>
            <w:tcMar>
              <w:top w:w="0" w:type="dxa"/>
              <w:left w:w="20" w:type="dxa"/>
              <w:bottom w:w="0" w:type="dxa"/>
              <w:right w:w="20" w:type="dxa"/>
            </w:tcMar>
            <w:vAlign w:val="bottom"/>
          </w:tcPr>
          <w:p w14:paraId="5DEC5C72"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C73"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C74"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C75" w14:textId="77777777" w:rsidR="00B1578D" w:rsidRDefault="00B1578D">
            <w:pPr>
              <w:rPr>
                <w:rFonts w:ascii="宋体"/>
              </w:rPr>
            </w:pPr>
          </w:p>
        </w:tc>
        <w:tc>
          <w:tcPr>
            <w:tcW w:w="0" w:type="auto"/>
            <w:shd w:val="clear" w:color="auto" w:fill="auto"/>
            <w:vAlign w:val="bottom"/>
          </w:tcPr>
          <w:p w14:paraId="5DEC5C76" w14:textId="77777777" w:rsidR="00B1578D" w:rsidRDefault="00B1578D">
            <w:pPr>
              <w:rPr>
                <w:rFonts w:ascii="宋体"/>
                <w:vanish/>
              </w:rPr>
            </w:pPr>
          </w:p>
        </w:tc>
        <w:tc>
          <w:tcPr>
            <w:tcW w:w="0" w:type="auto"/>
            <w:shd w:val="clear" w:color="auto" w:fill="auto"/>
            <w:vAlign w:val="bottom"/>
          </w:tcPr>
          <w:p w14:paraId="5DEC5C77" w14:textId="77777777" w:rsidR="00B1578D" w:rsidRDefault="00B1578D">
            <w:pPr>
              <w:rPr>
                <w:rFonts w:ascii="宋体"/>
                <w:vanish/>
              </w:rPr>
            </w:pPr>
          </w:p>
        </w:tc>
      </w:tr>
      <w:tr w:rsidR="00B1578D" w14:paraId="5DEC5C82" w14:textId="77777777">
        <w:tc>
          <w:tcPr>
            <w:tcW w:w="0" w:type="auto"/>
            <w:gridSpan w:val="3"/>
            <w:shd w:val="clear" w:color="auto" w:fill="CCEEFF"/>
            <w:tcMar>
              <w:top w:w="40" w:type="dxa"/>
              <w:left w:w="740" w:type="dxa"/>
              <w:bottom w:w="40" w:type="dxa"/>
              <w:right w:w="20" w:type="dxa"/>
            </w:tcMar>
            <w:vAlign w:val="center"/>
          </w:tcPr>
          <w:p w14:paraId="5DEC5C79" w14:textId="77777777" w:rsidR="00B1578D" w:rsidRDefault="004D2C04">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5DEC5C7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7B" w14:textId="77777777" w:rsidR="00B1578D" w:rsidRDefault="004D2C04">
            <w:pPr>
              <w:jc w:val="right"/>
              <w:textAlignment w:val="center"/>
            </w:pPr>
            <w:r>
              <w:rPr>
                <w:rFonts w:ascii="Times New Roman" w:eastAsia="宋体" w:hAnsi="Times New Roman"/>
                <w:color w:val="000000"/>
                <w:sz w:val="16"/>
                <w:szCs w:val="16"/>
              </w:rPr>
              <w:t>2,680 </w:t>
            </w:r>
          </w:p>
        </w:tc>
        <w:tc>
          <w:tcPr>
            <w:tcW w:w="0" w:type="auto"/>
            <w:shd w:val="clear" w:color="auto" w:fill="CCEEFF"/>
            <w:tcMar>
              <w:top w:w="40" w:type="dxa"/>
              <w:left w:w="0" w:type="dxa"/>
              <w:bottom w:w="40" w:type="dxa"/>
              <w:right w:w="20" w:type="dxa"/>
            </w:tcMar>
            <w:vAlign w:val="center"/>
          </w:tcPr>
          <w:p w14:paraId="5DEC5C7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C7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7E" w14:textId="77777777" w:rsidR="00B1578D" w:rsidRDefault="004D2C04">
            <w:pPr>
              <w:jc w:val="right"/>
              <w:textAlignment w:val="center"/>
            </w:pPr>
            <w:r>
              <w:rPr>
                <w:rFonts w:ascii="Times New Roman" w:eastAsia="宋体" w:hAnsi="Times New Roman"/>
                <w:color w:val="000000"/>
                <w:sz w:val="16"/>
                <w:szCs w:val="16"/>
              </w:rPr>
              <w:t>2,661 </w:t>
            </w:r>
          </w:p>
        </w:tc>
        <w:tc>
          <w:tcPr>
            <w:tcW w:w="0" w:type="auto"/>
            <w:shd w:val="clear" w:color="auto" w:fill="CCEEFF"/>
            <w:tcMar>
              <w:top w:w="40" w:type="dxa"/>
              <w:left w:w="0" w:type="dxa"/>
              <w:bottom w:w="40" w:type="dxa"/>
              <w:right w:w="20" w:type="dxa"/>
            </w:tcMar>
            <w:vAlign w:val="center"/>
          </w:tcPr>
          <w:p w14:paraId="5DEC5C7F" w14:textId="77777777" w:rsidR="00B1578D" w:rsidRDefault="00B1578D">
            <w:pPr>
              <w:jc w:val="right"/>
              <w:rPr>
                <w:rFonts w:ascii="宋体"/>
              </w:rPr>
            </w:pPr>
          </w:p>
        </w:tc>
        <w:tc>
          <w:tcPr>
            <w:tcW w:w="0" w:type="auto"/>
            <w:shd w:val="clear" w:color="auto" w:fill="auto"/>
            <w:vAlign w:val="bottom"/>
          </w:tcPr>
          <w:p w14:paraId="5DEC5C80" w14:textId="77777777" w:rsidR="00B1578D" w:rsidRDefault="00B1578D">
            <w:pPr>
              <w:rPr>
                <w:rFonts w:ascii="宋体"/>
                <w:vanish/>
              </w:rPr>
            </w:pPr>
          </w:p>
        </w:tc>
        <w:tc>
          <w:tcPr>
            <w:tcW w:w="0" w:type="auto"/>
            <w:shd w:val="clear" w:color="auto" w:fill="auto"/>
            <w:vAlign w:val="bottom"/>
          </w:tcPr>
          <w:p w14:paraId="5DEC5C81" w14:textId="77777777" w:rsidR="00B1578D" w:rsidRDefault="00B1578D">
            <w:pPr>
              <w:rPr>
                <w:rFonts w:ascii="宋体"/>
                <w:vanish/>
              </w:rPr>
            </w:pPr>
          </w:p>
        </w:tc>
      </w:tr>
      <w:tr w:rsidR="00B1578D" w14:paraId="5DEC5C8C" w14:textId="77777777">
        <w:tc>
          <w:tcPr>
            <w:tcW w:w="0" w:type="auto"/>
            <w:gridSpan w:val="3"/>
            <w:shd w:val="clear" w:color="auto" w:fill="FFFFFF"/>
            <w:tcMar>
              <w:top w:w="40" w:type="dxa"/>
              <w:left w:w="740" w:type="dxa"/>
              <w:bottom w:w="40" w:type="dxa"/>
              <w:right w:w="20" w:type="dxa"/>
            </w:tcMar>
            <w:vAlign w:val="center"/>
          </w:tcPr>
          <w:p w14:paraId="5DEC5C83" w14:textId="77777777" w:rsidR="00B1578D" w:rsidRDefault="004D2C04">
            <w:pPr>
              <w:textAlignment w:val="center"/>
            </w:pPr>
            <w:r>
              <w:rPr>
                <w:rFonts w:ascii="Times New Roman" w:eastAsia="宋体" w:hAnsi="Times New Roman"/>
                <w:color w:val="000000"/>
                <w:sz w:val="16"/>
                <w:szCs w:val="16"/>
              </w:rPr>
              <w:t>Net unrealized and realized (gains) and losses</w:t>
            </w:r>
          </w:p>
        </w:tc>
        <w:tc>
          <w:tcPr>
            <w:tcW w:w="0" w:type="auto"/>
            <w:gridSpan w:val="3"/>
            <w:shd w:val="clear" w:color="auto" w:fill="FFFFFF"/>
            <w:tcMar>
              <w:top w:w="0" w:type="dxa"/>
              <w:left w:w="20" w:type="dxa"/>
              <w:bottom w:w="0" w:type="dxa"/>
              <w:right w:w="20" w:type="dxa"/>
            </w:tcMar>
            <w:vAlign w:val="bottom"/>
          </w:tcPr>
          <w:p w14:paraId="5DEC5C8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85" w14:textId="77777777" w:rsidR="00B1578D" w:rsidRDefault="004D2C04">
            <w:pPr>
              <w:jc w:val="right"/>
              <w:textAlignment w:val="center"/>
            </w:pPr>
            <w:r>
              <w:rPr>
                <w:rFonts w:ascii="Times New Roman" w:eastAsia="宋体" w:hAnsi="Times New Roman"/>
                <w:color w:val="000000"/>
                <w:sz w:val="16"/>
                <w:szCs w:val="16"/>
              </w:rPr>
              <w:t>1,989 </w:t>
            </w:r>
          </w:p>
        </w:tc>
        <w:tc>
          <w:tcPr>
            <w:tcW w:w="0" w:type="auto"/>
            <w:shd w:val="clear" w:color="auto" w:fill="FFFFFF"/>
            <w:tcMar>
              <w:top w:w="40" w:type="dxa"/>
              <w:left w:w="0" w:type="dxa"/>
              <w:bottom w:w="40" w:type="dxa"/>
              <w:right w:w="20" w:type="dxa"/>
            </w:tcMar>
            <w:vAlign w:val="center"/>
          </w:tcPr>
          <w:p w14:paraId="5DEC5C8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C8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88" w14:textId="77777777" w:rsidR="00B1578D" w:rsidRDefault="004D2C04">
            <w:pPr>
              <w:jc w:val="right"/>
              <w:textAlignment w:val="center"/>
            </w:pPr>
            <w:r>
              <w:rPr>
                <w:rFonts w:ascii="Times New Roman" w:eastAsia="宋体" w:hAnsi="Times New Roman"/>
                <w:color w:val="000000"/>
                <w:sz w:val="16"/>
                <w:szCs w:val="16"/>
              </w:rPr>
              <w:t>2,077 </w:t>
            </w:r>
          </w:p>
        </w:tc>
        <w:tc>
          <w:tcPr>
            <w:tcW w:w="0" w:type="auto"/>
            <w:shd w:val="clear" w:color="auto" w:fill="FFFFFF"/>
            <w:tcMar>
              <w:top w:w="40" w:type="dxa"/>
              <w:left w:w="0" w:type="dxa"/>
              <w:bottom w:w="40" w:type="dxa"/>
              <w:right w:w="20" w:type="dxa"/>
            </w:tcMar>
            <w:vAlign w:val="center"/>
          </w:tcPr>
          <w:p w14:paraId="5DEC5C89" w14:textId="77777777" w:rsidR="00B1578D" w:rsidRDefault="00B1578D">
            <w:pPr>
              <w:jc w:val="right"/>
              <w:rPr>
                <w:rFonts w:ascii="宋体"/>
              </w:rPr>
            </w:pPr>
          </w:p>
        </w:tc>
        <w:tc>
          <w:tcPr>
            <w:tcW w:w="0" w:type="auto"/>
            <w:shd w:val="clear" w:color="auto" w:fill="auto"/>
            <w:vAlign w:val="bottom"/>
          </w:tcPr>
          <w:p w14:paraId="5DEC5C8A" w14:textId="77777777" w:rsidR="00B1578D" w:rsidRDefault="00B1578D">
            <w:pPr>
              <w:rPr>
                <w:rFonts w:ascii="宋体"/>
                <w:vanish/>
              </w:rPr>
            </w:pPr>
          </w:p>
        </w:tc>
        <w:tc>
          <w:tcPr>
            <w:tcW w:w="0" w:type="auto"/>
            <w:shd w:val="clear" w:color="auto" w:fill="auto"/>
            <w:vAlign w:val="bottom"/>
          </w:tcPr>
          <w:p w14:paraId="5DEC5C8B" w14:textId="77777777" w:rsidR="00B1578D" w:rsidRDefault="00B1578D">
            <w:pPr>
              <w:rPr>
                <w:rFonts w:ascii="宋体"/>
                <w:vanish/>
              </w:rPr>
            </w:pPr>
          </w:p>
        </w:tc>
      </w:tr>
      <w:tr w:rsidR="00B1578D" w14:paraId="5DEC5C96" w14:textId="77777777">
        <w:tc>
          <w:tcPr>
            <w:tcW w:w="0" w:type="auto"/>
            <w:gridSpan w:val="3"/>
            <w:shd w:val="clear" w:color="auto" w:fill="CCEEFF"/>
            <w:tcMar>
              <w:top w:w="40" w:type="dxa"/>
              <w:left w:w="740" w:type="dxa"/>
              <w:bottom w:w="40" w:type="dxa"/>
              <w:right w:w="20" w:type="dxa"/>
            </w:tcMar>
            <w:vAlign w:val="center"/>
          </w:tcPr>
          <w:p w14:paraId="5DEC5C8D" w14:textId="77777777" w:rsidR="00B1578D" w:rsidRDefault="004D2C04">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vAlign w:val="bottom"/>
          </w:tcPr>
          <w:p w14:paraId="5DEC5C8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8F"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C9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C9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92" w14:textId="77777777" w:rsidR="00B1578D" w:rsidRDefault="004D2C04">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5DEC5C93" w14:textId="77777777" w:rsidR="00B1578D" w:rsidRDefault="00B1578D">
            <w:pPr>
              <w:jc w:val="right"/>
              <w:rPr>
                <w:rFonts w:ascii="宋体"/>
              </w:rPr>
            </w:pPr>
          </w:p>
        </w:tc>
        <w:tc>
          <w:tcPr>
            <w:tcW w:w="0" w:type="auto"/>
            <w:shd w:val="clear" w:color="auto" w:fill="auto"/>
            <w:vAlign w:val="bottom"/>
          </w:tcPr>
          <w:p w14:paraId="5DEC5C94" w14:textId="77777777" w:rsidR="00B1578D" w:rsidRDefault="00B1578D">
            <w:pPr>
              <w:rPr>
                <w:rFonts w:ascii="宋体"/>
                <w:vanish/>
              </w:rPr>
            </w:pPr>
          </w:p>
        </w:tc>
        <w:tc>
          <w:tcPr>
            <w:tcW w:w="0" w:type="auto"/>
            <w:shd w:val="clear" w:color="auto" w:fill="auto"/>
            <w:vAlign w:val="bottom"/>
          </w:tcPr>
          <w:p w14:paraId="5DEC5C95" w14:textId="77777777" w:rsidR="00B1578D" w:rsidRDefault="00B1578D">
            <w:pPr>
              <w:rPr>
                <w:rFonts w:ascii="宋体"/>
                <w:vanish/>
              </w:rPr>
            </w:pPr>
          </w:p>
        </w:tc>
      </w:tr>
      <w:tr w:rsidR="00B1578D" w14:paraId="5DEC5CA0" w14:textId="77777777">
        <w:tc>
          <w:tcPr>
            <w:tcW w:w="0" w:type="auto"/>
            <w:gridSpan w:val="3"/>
            <w:shd w:val="clear" w:color="auto" w:fill="FFFFFF"/>
            <w:tcMar>
              <w:top w:w="40" w:type="dxa"/>
              <w:left w:w="740" w:type="dxa"/>
              <w:bottom w:w="40" w:type="dxa"/>
              <w:right w:w="20" w:type="dxa"/>
            </w:tcMar>
            <w:vAlign w:val="center"/>
          </w:tcPr>
          <w:p w14:paraId="5DEC5C97" w14:textId="77777777" w:rsidR="00B1578D" w:rsidRDefault="004D2C04">
            <w:pPr>
              <w:textAlignment w:val="center"/>
            </w:pPr>
            <w:r>
              <w:rPr>
                <w:rFonts w:ascii="Times New Roman" w:eastAsia="宋体" w:hAnsi="Times New Roman"/>
                <w:color w:val="000000"/>
                <w:sz w:val="16"/>
                <w:szCs w:val="16"/>
              </w:rPr>
              <w:t>Deferred income taxes</w:t>
            </w:r>
          </w:p>
        </w:tc>
        <w:tc>
          <w:tcPr>
            <w:tcW w:w="0" w:type="auto"/>
            <w:gridSpan w:val="3"/>
            <w:shd w:val="clear" w:color="auto" w:fill="FFFFFF"/>
            <w:tcMar>
              <w:top w:w="0" w:type="dxa"/>
              <w:left w:w="20" w:type="dxa"/>
              <w:bottom w:w="0" w:type="dxa"/>
              <w:right w:w="20" w:type="dxa"/>
            </w:tcMar>
            <w:vAlign w:val="bottom"/>
          </w:tcPr>
          <w:p w14:paraId="5DEC5C9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99" w14:textId="77777777" w:rsidR="00B1578D" w:rsidRDefault="004D2C04">
            <w:pPr>
              <w:jc w:val="right"/>
              <w:textAlignment w:val="center"/>
            </w:pPr>
            <w:r>
              <w:rPr>
                <w:rFonts w:ascii="Times New Roman" w:eastAsia="宋体" w:hAnsi="Times New Roman"/>
                <w:color w:val="000000"/>
                <w:sz w:val="16"/>
                <w:szCs w:val="16"/>
              </w:rPr>
              <w:t>(69)</w:t>
            </w:r>
          </w:p>
        </w:tc>
        <w:tc>
          <w:tcPr>
            <w:tcW w:w="0" w:type="auto"/>
            <w:shd w:val="clear" w:color="auto" w:fill="FFFFFF"/>
            <w:tcMar>
              <w:top w:w="40" w:type="dxa"/>
              <w:left w:w="0" w:type="dxa"/>
              <w:bottom w:w="40" w:type="dxa"/>
              <w:right w:w="20" w:type="dxa"/>
            </w:tcMar>
            <w:vAlign w:val="center"/>
          </w:tcPr>
          <w:p w14:paraId="5DEC5C9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C9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9C" w14:textId="77777777" w:rsidR="00B1578D" w:rsidRDefault="004D2C04">
            <w:pPr>
              <w:jc w:val="right"/>
              <w:textAlignment w:val="center"/>
            </w:pPr>
            <w:r>
              <w:rPr>
                <w:rFonts w:ascii="Times New Roman" w:eastAsia="宋体" w:hAnsi="Times New Roman"/>
                <w:color w:val="000000"/>
                <w:sz w:val="16"/>
                <w:szCs w:val="16"/>
              </w:rPr>
              <w:t>(155)</w:t>
            </w:r>
          </w:p>
        </w:tc>
        <w:tc>
          <w:tcPr>
            <w:tcW w:w="0" w:type="auto"/>
            <w:shd w:val="clear" w:color="auto" w:fill="FFFFFF"/>
            <w:tcMar>
              <w:top w:w="40" w:type="dxa"/>
              <w:left w:w="0" w:type="dxa"/>
              <w:bottom w:w="40" w:type="dxa"/>
              <w:right w:w="20" w:type="dxa"/>
            </w:tcMar>
            <w:vAlign w:val="center"/>
          </w:tcPr>
          <w:p w14:paraId="5DEC5C9D" w14:textId="77777777" w:rsidR="00B1578D" w:rsidRDefault="00B1578D">
            <w:pPr>
              <w:jc w:val="right"/>
              <w:rPr>
                <w:rFonts w:ascii="宋体"/>
              </w:rPr>
            </w:pPr>
          </w:p>
        </w:tc>
        <w:tc>
          <w:tcPr>
            <w:tcW w:w="0" w:type="auto"/>
            <w:shd w:val="clear" w:color="auto" w:fill="auto"/>
            <w:vAlign w:val="bottom"/>
          </w:tcPr>
          <w:p w14:paraId="5DEC5C9E" w14:textId="77777777" w:rsidR="00B1578D" w:rsidRDefault="00B1578D">
            <w:pPr>
              <w:rPr>
                <w:rFonts w:ascii="宋体"/>
                <w:vanish/>
              </w:rPr>
            </w:pPr>
          </w:p>
        </w:tc>
        <w:tc>
          <w:tcPr>
            <w:tcW w:w="0" w:type="auto"/>
            <w:shd w:val="clear" w:color="auto" w:fill="auto"/>
            <w:vAlign w:val="bottom"/>
          </w:tcPr>
          <w:p w14:paraId="5DEC5C9F" w14:textId="77777777" w:rsidR="00B1578D" w:rsidRDefault="00B1578D">
            <w:pPr>
              <w:rPr>
                <w:rFonts w:ascii="宋体"/>
                <w:vanish/>
              </w:rPr>
            </w:pPr>
          </w:p>
        </w:tc>
      </w:tr>
      <w:tr w:rsidR="00B1578D" w14:paraId="5DEC5CA8" w14:textId="77777777">
        <w:trPr>
          <w:hidden/>
        </w:trPr>
        <w:tc>
          <w:tcPr>
            <w:tcW w:w="0" w:type="auto"/>
            <w:gridSpan w:val="3"/>
            <w:shd w:val="clear" w:color="auto" w:fill="auto"/>
            <w:vAlign w:val="bottom"/>
          </w:tcPr>
          <w:p w14:paraId="5DEC5CA1" w14:textId="77777777" w:rsidR="00B1578D" w:rsidRDefault="00B1578D">
            <w:pPr>
              <w:rPr>
                <w:rFonts w:ascii="宋体"/>
                <w:vanish/>
              </w:rPr>
            </w:pPr>
          </w:p>
        </w:tc>
        <w:tc>
          <w:tcPr>
            <w:tcW w:w="0" w:type="auto"/>
            <w:gridSpan w:val="3"/>
            <w:shd w:val="clear" w:color="auto" w:fill="auto"/>
            <w:vAlign w:val="bottom"/>
          </w:tcPr>
          <w:p w14:paraId="5DEC5CA2" w14:textId="77777777" w:rsidR="00B1578D" w:rsidRDefault="00B1578D">
            <w:pPr>
              <w:rPr>
                <w:rFonts w:ascii="宋体"/>
                <w:vanish/>
              </w:rPr>
            </w:pPr>
          </w:p>
        </w:tc>
        <w:tc>
          <w:tcPr>
            <w:tcW w:w="0" w:type="auto"/>
            <w:gridSpan w:val="3"/>
            <w:shd w:val="clear" w:color="auto" w:fill="auto"/>
            <w:vAlign w:val="bottom"/>
          </w:tcPr>
          <w:p w14:paraId="5DEC5CA3" w14:textId="77777777" w:rsidR="00B1578D" w:rsidRDefault="00B1578D">
            <w:pPr>
              <w:rPr>
                <w:rFonts w:ascii="宋体"/>
                <w:vanish/>
              </w:rPr>
            </w:pPr>
          </w:p>
        </w:tc>
        <w:tc>
          <w:tcPr>
            <w:tcW w:w="0" w:type="auto"/>
            <w:gridSpan w:val="3"/>
            <w:shd w:val="clear" w:color="auto" w:fill="auto"/>
            <w:vAlign w:val="bottom"/>
          </w:tcPr>
          <w:p w14:paraId="5DEC5CA4" w14:textId="77777777" w:rsidR="00B1578D" w:rsidRDefault="00B1578D">
            <w:pPr>
              <w:rPr>
                <w:rFonts w:ascii="宋体"/>
                <w:vanish/>
              </w:rPr>
            </w:pPr>
          </w:p>
        </w:tc>
        <w:tc>
          <w:tcPr>
            <w:tcW w:w="0" w:type="auto"/>
            <w:gridSpan w:val="3"/>
            <w:shd w:val="clear" w:color="auto" w:fill="auto"/>
            <w:vAlign w:val="bottom"/>
          </w:tcPr>
          <w:p w14:paraId="5DEC5CA5" w14:textId="77777777" w:rsidR="00B1578D" w:rsidRDefault="00B1578D">
            <w:pPr>
              <w:rPr>
                <w:rFonts w:ascii="宋体"/>
                <w:vanish/>
              </w:rPr>
            </w:pPr>
          </w:p>
        </w:tc>
        <w:tc>
          <w:tcPr>
            <w:tcW w:w="0" w:type="auto"/>
            <w:shd w:val="clear" w:color="auto" w:fill="auto"/>
            <w:vAlign w:val="bottom"/>
          </w:tcPr>
          <w:p w14:paraId="5DEC5CA6" w14:textId="77777777" w:rsidR="00B1578D" w:rsidRDefault="00B1578D">
            <w:pPr>
              <w:rPr>
                <w:rFonts w:ascii="宋体"/>
                <w:vanish/>
              </w:rPr>
            </w:pPr>
          </w:p>
        </w:tc>
        <w:tc>
          <w:tcPr>
            <w:tcW w:w="0" w:type="auto"/>
            <w:shd w:val="clear" w:color="auto" w:fill="auto"/>
            <w:vAlign w:val="bottom"/>
          </w:tcPr>
          <w:p w14:paraId="5DEC5CA7" w14:textId="77777777" w:rsidR="00B1578D" w:rsidRDefault="00B1578D">
            <w:pPr>
              <w:rPr>
                <w:rFonts w:ascii="宋体"/>
                <w:vanish/>
              </w:rPr>
            </w:pPr>
          </w:p>
        </w:tc>
      </w:tr>
      <w:tr w:rsidR="00B1578D" w14:paraId="5DEC5CB2" w14:textId="77777777">
        <w:tc>
          <w:tcPr>
            <w:tcW w:w="0" w:type="auto"/>
            <w:gridSpan w:val="3"/>
            <w:shd w:val="clear" w:color="auto" w:fill="CCEEFF"/>
            <w:tcMar>
              <w:top w:w="40" w:type="dxa"/>
              <w:left w:w="740" w:type="dxa"/>
              <w:bottom w:w="40" w:type="dxa"/>
              <w:right w:w="20" w:type="dxa"/>
            </w:tcMar>
            <w:vAlign w:val="center"/>
          </w:tcPr>
          <w:p w14:paraId="5DEC5CA9" w14:textId="77777777" w:rsidR="00B1578D" w:rsidRDefault="004D2C04">
            <w:pPr>
              <w:textAlignment w:val="center"/>
            </w:pPr>
            <w:r>
              <w:rPr>
                <w:rFonts w:ascii="Times New Roman" w:eastAsia="宋体" w:hAnsi="Times New Roman"/>
                <w:color w:val="000000"/>
                <w:sz w:val="16"/>
                <w:szCs w:val="16"/>
              </w:rPr>
              <w:t>Other operating activities</w:t>
            </w:r>
          </w:p>
        </w:tc>
        <w:tc>
          <w:tcPr>
            <w:tcW w:w="0" w:type="auto"/>
            <w:gridSpan w:val="3"/>
            <w:shd w:val="clear" w:color="auto" w:fill="CCEEFF"/>
            <w:tcMar>
              <w:top w:w="0" w:type="dxa"/>
              <w:left w:w="20" w:type="dxa"/>
              <w:bottom w:w="0" w:type="dxa"/>
              <w:right w:w="20" w:type="dxa"/>
            </w:tcMar>
            <w:vAlign w:val="bottom"/>
          </w:tcPr>
          <w:p w14:paraId="5DEC5CA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AB" w14:textId="77777777" w:rsidR="00B1578D" w:rsidRDefault="004D2C04">
            <w:pPr>
              <w:jc w:val="right"/>
              <w:textAlignment w:val="center"/>
            </w:pPr>
            <w:r>
              <w:rPr>
                <w:rFonts w:ascii="Times New Roman" w:eastAsia="宋体" w:hAnsi="Times New Roman"/>
                <w:color w:val="000000"/>
                <w:sz w:val="16"/>
                <w:szCs w:val="16"/>
              </w:rPr>
              <w:t>(59)</w:t>
            </w:r>
          </w:p>
        </w:tc>
        <w:tc>
          <w:tcPr>
            <w:tcW w:w="0" w:type="auto"/>
            <w:shd w:val="clear" w:color="auto" w:fill="CCEEFF"/>
            <w:tcMar>
              <w:top w:w="40" w:type="dxa"/>
              <w:left w:w="0" w:type="dxa"/>
              <w:bottom w:w="40" w:type="dxa"/>
              <w:right w:w="20" w:type="dxa"/>
            </w:tcMar>
            <w:vAlign w:val="center"/>
          </w:tcPr>
          <w:p w14:paraId="5DEC5CA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CA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AE" w14:textId="77777777" w:rsidR="00B1578D" w:rsidRDefault="004D2C04">
            <w:pPr>
              <w:jc w:val="right"/>
              <w:textAlignment w:val="center"/>
            </w:pPr>
            <w:r>
              <w:rPr>
                <w:rFonts w:ascii="Times New Roman" w:eastAsia="宋体" w:hAnsi="Times New Roman"/>
                <w:color w:val="000000"/>
                <w:sz w:val="16"/>
                <w:szCs w:val="16"/>
              </w:rPr>
              <w:t>270 </w:t>
            </w:r>
          </w:p>
        </w:tc>
        <w:tc>
          <w:tcPr>
            <w:tcW w:w="0" w:type="auto"/>
            <w:shd w:val="clear" w:color="auto" w:fill="CCEEFF"/>
            <w:tcMar>
              <w:top w:w="40" w:type="dxa"/>
              <w:left w:w="0" w:type="dxa"/>
              <w:bottom w:w="40" w:type="dxa"/>
              <w:right w:w="20" w:type="dxa"/>
            </w:tcMar>
            <w:vAlign w:val="center"/>
          </w:tcPr>
          <w:p w14:paraId="5DEC5CAF" w14:textId="77777777" w:rsidR="00B1578D" w:rsidRDefault="00B1578D">
            <w:pPr>
              <w:jc w:val="right"/>
              <w:rPr>
                <w:rFonts w:ascii="宋体"/>
              </w:rPr>
            </w:pPr>
          </w:p>
        </w:tc>
        <w:tc>
          <w:tcPr>
            <w:tcW w:w="0" w:type="auto"/>
            <w:shd w:val="clear" w:color="auto" w:fill="auto"/>
            <w:vAlign w:val="bottom"/>
          </w:tcPr>
          <w:p w14:paraId="5DEC5CB0" w14:textId="77777777" w:rsidR="00B1578D" w:rsidRDefault="00B1578D">
            <w:pPr>
              <w:rPr>
                <w:rFonts w:ascii="宋体"/>
                <w:vanish/>
              </w:rPr>
            </w:pPr>
          </w:p>
        </w:tc>
        <w:tc>
          <w:tcPr>
            <w:tcW w:w="0" w:type="auto"/>
            <w:shd w:val="clear" w:color="auto" w:fill="auto"/>
            <w:vAlign w:val="bottom"/>
          </w:tcPr>
          <w:p w14:paraId="5DEC5CB1" w14:textId="77777777" w:rsidR="00B1578D" w:rsidRDefault="00B1578D">
            <w:pPr>
              <w:rPr>
                <w:rFonts w:ascii="宋体"/>
                <w:vanish/>
              </w:rPr>
            </w:pPr>
          </w:p>
        </w:tc>
      </w:tr>
      <w:tr w:rsidR="00B1578D" w14:paraId="5DEC5CBA" w14:textId="77777777">
        <w:tc>
          <w:tcPr>
            <w:tcW w:w="0" w:type="auto"/>
            <w:gridSpan w:val="3"/>
            <w:shd w:val="clear" w:color="auto" w:fill="FFFFFF"/>
            <w:tcMar>
              <w:top w:w="40" w:type="dxa"/>
              <w:left w:w="740" w:type="dxa"/>
              <w:bottom w:w="40" w:type="dxa"/>
              <w:right w:w="20" w:type="dxa"/>
            </w:tcMar>
            <w:vAlign w:val="center"/>
          </w:tcPr>
          <w:p w14:paraId="5DEC5CB3" w14:textId="77777777" w:rsidR="00B1578D" w:rsidRDefault="004D2C04">
            <w:pPr>
              <w:textAlignment w:val="center"/>
            </w:pPr>
            <w:r>
              <w:rPr>
                <w:rFonts w:ascii="Times New Roman" w:eastAsia="宋体" w:hAnsi="Times New Roman"/>
                <w:color w:val="000000"/>
                <w:sz w:val="16"/>
                <w:szCs w:val="16"/>
              </w:rPr>
              <w:t>Changes in certain assets and liabilities, net of effects of acquisitions and dispositions:</w:t>
            </w:r>
          </w:p>
        </w:tc>
        <w:tc>
          <w:tcPr>
            <w:tcW w:w="0" w:type="auto"/>
            <w:gridSpan w:val="3"/>
            <w:shd w:val="clear" w:color="auto" w:fill="FFFFFF"/>
            <w:tcMar>
              <w:top w:w="0" w:type="dxa"/>
              <w:left w:w="20" w:type="dxa"/>
              <w:bottom w:w="0" w:type="dxa"/>
              <w:right w:w="20" w:type="dxa"/>
            </w:tcMar>
            <w:vAlign w:val="bottom"/>
          </w:tcPr>
          <w:p w14:paraId="5DEC5CB4"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CB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CB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CB7" w14:textId="77777777" w:rsidR="00B1578D" w:rsidRDefault="00B1578D">
            <w:pPr>
              <w:rPr>
                <w:rFonts w:ascii="宋体"/>
              </w:rPr>
            </w:pPr>
          </w:p>
        </w:tc>
        <w:tc>
          <w:tcPr>
            <w:tcW w:w="0" w:type="auto"/>
            <w:shd w:val="clear" w:color="auto" w:fill="auto"/>
            <w:vAlign w:val="bottom"/>
          </w:tcPr>
          <w:p w14:paraId="5DEC5CB8" w14:textId="77777777" w:rsidR="00B1578D" w:rsidRDefault="00B1578D">
            <w:pPr>
              <w:rPr>
                <w:rFonts w:ascii="宋体"/>
                <w:vanish/>
              </w:rPr>
            </w:pPr>
          </w:p>
        </w:tc>
        <w:tc>
          <w:tcPr>
            <w:tcW w:w="0" w:type="auto"/>
            <w:shd w:val="clear" w:color="auto" w:fill="auto"/>
            <w:vAlign w:val="bottom"/>
          </w:tcPr>
          <w:p w14:paraId="5DEC5CB9" w14:textId="77777777" w:rsidR="00B1578D" w:rsidRDefault="00B1578D">
            <w:pPr>
              <w:rPr>
                <w:rFonts w:ascii="宋体"/>
                <w:vanish/>
              </w:rPr>
            </w:pPr>
          </w:p>
        </w:tc>
      </w:tr>
      <w:tr w:rsidR="00B1578D" w14:paraId="5DEC5CC4" w14:textId="77777777">
        <w:tc>
          <w:tcPr>
            <w:tcW w:w="0" w:type="auto"/>
            <w:gridSpan w:val="3"/>
            <w:shd w:val="clear" w:color="auto" w:fill="CCEEFF"/>
            <w:tcMar>
              <w:top w:w="40" w:type="dxa"/>
              <w:left w:w="1235" w:type="dxa"/>
              <w:bottom w:w="40" w:type="dxa"/>
              <w:right w:w="20" w:type="dxa"/>
            </w:tcMar>
            <w:vAlign w:val="center"/>
          </w:tcPr>
          <w:p w14:paraId="5DEC5CBB" w14:textId="77777777" w:rsidR="00B1578D" w:rsidRDefault="004D2C04">
            <w:pPr>
              <w:textAlignment w:val="center"/>
            </w:pPr>
            <w:r>
              <w:rPr>
                <w:rFonts w:ascii="Times New Roman" w:eastAsia="宋体" w:hAnsi="Times New Roman"/>
                <w:color w:val="000000"/>
                <w:sz w:val="16"/>
                <w:szCs w:val="16"/>
              </w:rPr>
              <w:t>Receivables, net</w:t>
            </w:r>
          </w:p>
        </w:tc>
        <w:tc>
          <w:tcPr>
            <w:tcW w:w="0" w:type="auto"/>
            <w:gridSpan w:val="3"/>
            <w:shd w:val="clear" w:color="auto" w:fill="CCEEFF"/>
            <w:tcMar>
              <w:top w:w="0" w:type="dxa"/>
              <w:left w:w="20" w:type="dxa"/>
              <w:bottom w:w="0" w:type="dxa"/>
              <w:right w:w="20" w:type="dxa"/>
            </w:tcMar>
            <w:vAlign w:val="bottom"/>
          </w:tcPr>
          <w:p w14:paraId="5DEC5CB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BD" w14:textId="77777777" w:rsidR="00B1578D" w:rsidRDefault="004D2C04">
            <w:pPr>
              <w:jc w:val="right"/>
              <w:textAlignment w:val="center"/>
            </w:pPr>
            <w:r>
              <w:rPr>
                <w:rFonts w:ascii="Times New Roman" w:eastAsia="宋体" w:hAnsi="Times New Roman"/>
                <w:color w:val="000000"/>
                <w:sz w:val="16"/>
                <w:szCs w:val="16"/>
              </w:rPr>
              <w:t>837 </w:t>
            </w:r>
          </w:p>
        </w:tc>
        <w:tc>
          <w:tcPr>
            <w:tcW w:w="0" w:type="auto"/>
            <w:shd w:val="clear" w:color="auto" w:fill="CCEEFF"/>
            <w:tcMar>
              <w:top w:w="40" w:type="dxa"/>
              <w:left w:w="0" w:type="dxa"/>
              <w:bottom w:w="40" w:type="dxa"/>
              <w:right w:w="20" w:type="dxa"/>
            </w:tcMar>
            <w:vAlign w:val="center"/>
          </w:tcPr>
          <w:p w14:paraId="5DEC5CB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CB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C0" w14:textId="77777777" w:rsidR="00B1578D" w:rsidRDefault="004D2C04">
            <w:pPr>
              <w:jc w:val="right"/>
              <w:textAlignment w:val="center"/>
            </w:pPr>
            <w:r>
              <w:rPr>
                <w:rFonts w:ascii="Times New Roman" w:eastAsia="宋体" w:hAnsi="Times New Roman"/>
                <w:color w:val="000000"/>
                <w:sz w:val="16"/>
                <w:szCs w:val="16"/>
              </w:rPr>
              <w:t>828 </w:t>
            </w:r>
          </w:p>
        </w:tc>
        <w:tc>
          <w:tcPr>
            <w:tcW w:w="0" w:type="auto"/>
            <w:shd w:val="clear" w:color="auto" w:fill="CCEEFF"/>
            <w:tcMar>
              <w:top w:w="40" w:type="dxa"/>
              <w:left w:w="0" w:type="dxa"/>
              <w:bottom w:w="40" w:type="dxa"/>
              <w:right w:w="20" w:type="dxa"/>
            </w:tcMar>
            <w:vAlign w:val="center"/>
          </w:tcPr>
          <w:p w14:paraId="5DEC5CC1" w14:textId="77777777" w:rsidR="00B1578D" w:rsidRDefault="00B1578D">
            <w:pPr>
              <w:jc w:val="right"/>
              <w:rPr>
                <w:rFonts w:ascii="宋体"/>
              </w:rPr>
            </w:pPr>
          </w:p>
        </w:tc>
        <w:tc>
          <w:tcPr>
            <w:tcW w:w="0" w:type="auto"/>
            <w:shd w:val="clear" w:color="auto" w:fill="auto"/>
            <w:vAlign w:val="bottom"/>
          </w:tcPr>
          <w:p w14:paraId="5DEC5CC2" w14:textId="77777777" w:rsidR="00B1578D" w:rsidRDefault="00B1578D">
            <w:pPr>
              <w:rPr>
                <w:rFonts w:ascii="宋体"/>
                <w:vanish/>
              </w:rPr>
            </w:pPr>
          </w:p>
        </w:tc>
        <w:tc>
          <w:tcPr>
            <w:tcW w:w="0" w:type="auto"/>
            <w:shd w:val="clear" w:color="auto" w:fill="auto"/>
            <w:vAlign w:val="bottom"/>
          </w:tcPr>
          <w:p w14:paraId="5DEC5CC3" w14:textId="77777777" w:rsidR="00B1578D" w:rsidRDefault="00B1578D">
            <w:pPr>
              <w:rPr>
                <w:rFonts w:ascii="宋体"/>
                <w:vanish/>
              </w:rPr>
            </w:pPr>
          </w:p>
        </w:tc>
      </w:tr>
      <w:tr w:rsidR="00B1578D" w14:paraId="5DEC5CCE" w14:textId="77777777">
        <w:tc>
          <w:tcPr>
            <w:tcW w:w="0" w:type="auto"/>
            <w:gridSpan w:val="3"/>
            <w:shd w:val="clear" w:color="auto" w:fill="FFFFFF"/>
            <w:tcMar>
              <w:top w:w="40" w:type="dxa"/>
              <w:left w:w="1235" w:type="dxa"/>
              <w:bottom w:w="40" w:type="dxa"/>
              <w:right w:w="20" w:type="dxa"/>
            </w:tcMar>
            <w:vAlign w:val="center"/>
          </w:tcPr>
          <w:p w14:paraId="5DEC5CC5" w14:textId="77777777" w:rsidR="00B1578D" w:rsidRDefault="004D2C04">
            <w:pPr>
              <w:textAlignment w:val="center"/>
            </w:pPr>
            <w:r>
              <w:rPr>
                <w:rFonts w:ascii="Times New Roman" w:eastAsia="宋体" w:hAnsi="Times New Roman"/>
                <w:color w:val="000000"/>
                <w:sz w:val="16"/>
                <w:szCs w:val="16"/>
              </w:rPr>
              <w:t>Inventories</w:t>
            </w:r>
          </w:p>
        </w:tc>
        <w:tc>
          <w:tcPr>
            <w:tcW w:w="0" w:type="auto"/>
            <w:gridSpan w:val="3"/>
            <w:shd w:val="clear" w:color="auto" w:fill="FFFFFF"/>
            <w:tcMar>
              <w:top w:w="0" w:type="dxa"/>
              <w:left w:w="20" w:type="dxa"/>
              <w:bottom w:w="0" w:type="dxa"/>
              <w:right w:w="20" w:type="dxa"/>
            </w:tcMar>
            <w:vAlign w:val="bottom"/>
          </w:tcPr>
          <w:p w14:paraId="5DEC5CC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C7" w14:textId="77777777" w:rsidR="00B1578D" w:rsidRDefault="004D2C04">
            <w:pPr>
              <w:jc w:val="right"/>
              <w:textAlignment w:val="center"/>
            </w:pPr>
            <w:r>
              <w:rPr>
                <w:rFonts w:ascii="Times New Roman" w:eastAsia="宋体" w:hAnsi="Times New Roman"/>
                <w:color w:val="000000"/>
                <w:sz w:val="16"/>
                <w:szCs w:val="16"/>
              </w:rPr>
              <w:t>(4,699)</w:t>
            </w:r>
          </w:p>
        </w:tc>
        <w:tc>
          <w:tcPr>
            <w:tcW w:w="0" w:type="auto"/>
            <w:shd w:val="clear" w:color="auto" w:fill="FFFFFF"/>
            <w:tcMar>
              <w:top w:w="40" w:type="dxa"/>
              <w:left w:w="0" w:type="dxa"/>
              <w:bottom w:w="40" w:type="dxa"/>
              <w:right w:w="20" w:type="dxa"/>
            </w:tcMar>
            <w:vAlign w:val="center"/>
          </w:tcPr>
          <w:p w14:paraId="5DEC5CC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CC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CA" w14:textId="77777777" w:rsidR="00B1578D" w:rsidRDefault="004D2C04">
            <w:pPr>
              <w:jc w:val="right"/>
              <w:textAlignment w:val="center"/>
            </w:pPr>
            <w:r>
              <w:rPr>
                <w:rFonts w:ascii="Times New Roman" w:eastAsia="宋体" w:hAnsi="Times New Roman"/>
                <w:color w:val="000000"/>
                <w:sz w:val="16"/>
                <w:szCs w:val="16"/>
              </w:rPr>
              <w:t>(1,487)</w:t>
            </w:r>
          </w:p>
        </w:tc>
        <w:tc>
          <w:tcPr>
            <w:tcW w:w="0" w:type="auto"/>
            <w:shd w:val="clear" w:color="auto" w:fill="FFFFFF"/>
            <w:tcMar>
              <w:top w:w="40" w:type="dxa"/>
              <w:left w:w="0" w:type="dxa"/>
              <w:bottom w:w="40" w:type="dxa"/>
              <w:right w:w="20" w:type="dxa"/>
            </w:tcMar>
            <w:vAlign w:val="center"/>
          </w:tcPr>
          <w:p w14:paraId="5DEC5CCB" w14:textId="77777777" w:rsidR="00B1578D" w:rsidRDefault="00B1578D">
            <w:pPr>
              <w:jc w:val="right"/>
              <w:rPr>
                <w:rFonts w:ascii="宋体"/>
              </w:rPr>
            </w:pPr>
          </w:p>
        </w:tc>
        <w:tc>
          <w:tcPr>
            <w:tcW w:w="0" w:type="auto"/>
            <w:shd w:val="clear" w:color="auto" w:fill="auto"/>
            <w:vAlign w:val="bottom"/>
          </w:tcPr>
          <w:p w14:paraId="5DEC5CCC" w14:textId="77777777" w:rsidR="00B1578D" w:rsidRDefault="00B1578D">
            <w:pPr>
              <w:rPr>
                <w:rFonts w:ascii="宋体"/>
                <w:vanish/>
              </w:rPr>
            </w:pPr>
          </w:p>
        </w:tc>
        <w:tc>
          <w:tcPr>
            <w:tcW w:w="0" w:type="auto"/>
            <w:shd w:val="clear" w:color="auto" w:fill="auto"/>
            <w:vAlign w:val="bottom"/>
          </w:tcPr>
          <w:p w14:paraId="5DEC5CCD" w14:textId="77777777" w:rsidR="00B1578D" w:rsidRDefault="00B1578D">
            <w:pPr>
              <w:rPr>
                <w:rFonts w:ascii="宋体"/>
                <w:vanish/>
              </w:rPr>
            </w:pPr>
          </w:p>
        </w:tc>
      </w:tr>
      <w:tr w:rsidR="00B1578D" w14:paraId="5DEC5CD8" w14:textId="77777777">
        <w:tc>
          <w:tcPr>
            <w:tcW w:w="0" w:type="auto"/>
            <w:gridSpan w:val="3"/>
            <w:shd w:val="clear" w:color="auto" w:fill="CCEEFF"/>
            <w:tcMar>
              <w:top w:w="40" w:type="dxa"/>
              <w:left w:w="1235" w:type="dxa"/>
              <w:bottom w:w="40" w:type="dxa"/>
              <w:right w:w="20" w:type="dxa"/>
            </w:tcMar>
            <w:vAlign w:val="center"/>
          </w:tcPr>
          <w:p w14:paraId="5DEC5CCF" w14:textId="77777777" w:rsidR="00B1578D" w:rsidRDefault="004D2C04">
            <w:pPr>
              <w:textAlignment w:val="center"/>
            </w:pPr>
            <w:r>
              <w:rPr>
                <w:rFonts w:ascii="Times New Roman" w:eastAsia="宋体" w:hAnsi="Times New Roman"/>
                <w:color w:val="000000"/>
                <w:sz w:val="16"/>
                <w:szCs w:val="16"/>
              </w:rPr>
              <w:t xml:space="preserve">Accounts </w:t>
            </w:r>
            <w:r>
              <w:rPr>
                <w:rFonts w:ascii="Times New Roman" w:eastAsia="宋体" w:hAnsi="Times New Roman"/>
                <w:color w:val="000000"/>
                <w:sz w:val="16"/>
                <w:szCs w:val="16"/>
              </w:rPr>
              <w:t>payable</w:t>
            </w:r>
          </w:p>
        </w:tc>
        <w:tc>
          <w:tcPr>
            <w:tcW w:w="0" w:type="auto"/>
            <w:gridSpan w:val="3"/>
            <w:shd w:val="clear" w:color="auto" w:fill="CCEEFF"/>
            <w:tcMar>
              <w:top w:w="0" w:type="dxa"/>
              <w:left w:w="20" w:type="dxa"/>
              <w:bottom w:w="0" w:type="dxa"/>
              <w:right w:w="20" w:type="dxa"/>
            </w:tcMar>
            <w:vAlign w:val="bottom"/>
          </w:tcPr>
          <w:p w14:paraId="5DEC5CD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D1" w14:textId="77777777" w:rsidR="00B1578D" w:rsidRDefault="004D2C04">
            <w:pPr>
              <w:jc w:val="right"/>
              <w:textAlignment w:val="center"/>
            </w:pPr>
            <w:r>
              <w:rPr>
                <w:rFonts w:ascii="Times New Roman" w:eastAsia="宋体" w:hAnsi="Times New Roman"/>
                <w:color w:val="000000"/>
                <w:sz w:val="16"/>
                <w:szCs w:val="16"/>
              </w:rPr>
              <w:t>(1,640)</w:t>
            </w:r>
          </w:p>
        </w:tc>
        <w:tc>
          <w:tcPr>
            <w:tcW w:w="0" w:type="auto"/>
            <w:shd w:val="clear" w:color="auto" w:fill="CCEEFF"/>
            <w:tcMar>
              <w:top w:w="40" w:type="dxa"/>
              <w:left w:w="0" w:type="dxa"/>
              <w:bottom w:w="40" w:type="dxa"/>
              <w:right w:w="20" w:type="dxa"/>
            </w:tcMar>
            <w:vAlign w:val="center"/>
          </w:tcPr>
          <w:p w14:paraId="5DEC5CD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CD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D4" w14:textId="77777777" w:rsidR="00B1578D" w:rsidRDefault="004D2C04">
            <w:pPr>
              <w:jc w:val="right"/>
              <w:textAlignment w:val="center"/>
            </w:pPr>
            <w:r>
              <w:rPr>
                <w:rFonts w:ascii="Times New Roman" w:eastAsia="宋体" w:hAnsi="Times New Roman"/>
                <w:color w:val="000000"/>
                <w:sz w:val="16"/>
                <w:szCs w:val="16"/>
              </w:rPr>
              <w:t>(1,004)</w:t>
            </w:r>
          </w:p>
        </w:tc>
        <w:tc>
          <w:tcPr>
            <w:tcW w:w="0" w:type="auto"/>
            <w:shd w:val="clear" w:color="auto" w:fill="CCEEFF"/>
            <w:tcMar>
              <w:top w:w="40" w:type="dxa"/>
              <w:left w:w="0" w:type="dxa"/>
              <w:bottom w:w="40" w:type="dxa"/>
              <w:right w:w="20" w:type="dxa"/>
            </w:tcMar>
            <w:vAlign w:val="center"/>
          </w:tcPr>
          <w:p w14:paraId="5DEC5CD5" w14:textId="77777777" w:rsidR="00B1578D" w:rsidRDefault="00B1578D">
            <w:pPr>
              <w:jc w:val="right"/>
              <w:rPr>
                <w:rFonts w:ascii="宋体"/>
              </w:rPr>
            </w:pPr>
          </w:p>
        </w:tc>
        <w:tc>
          <w:tcPr>
            <w:tcW w:w="0" w:type="auto"/>
            <w:shd w:val="clear" w:color="auto" w:fill="auto"/>
            <w:vAlign w:val="bottom"/>
          </w:tcPr>
          <w:p w14:paraId="5DEC5CD6" w14:textId="77777777" w:rsidR="00B1578D" w:rsidRDefault="00B1578D">
            <w:pPr>
              <w:rPr>
                <w:rFonts w:ascii="宋体"/>
                <w:vanish/>
              </w:rPr>
            </w:pPr>
          </w:p>
        </w:tc>
        <w:tc>
          <w:tcPr>
            <w:tcW w:w="0" w:type="auto"/>
            <w:shd w:val="clear" w:color="auto" w:fill="auto"/>
            <w:vAlign w:val="bottom"/>
          </w:tcPr>
          <w:p w14:paraId="5DEC5CD7" w14:textId="77777777" w:rsidR="00B1578D" w:rsidRDefault="00B1578D">
            <w:pPr>
              <w:rPr>
                <w:rFonts w:ascii="宋体"/>
                <w:vanish/>
              </w:rPr>
            </w:pPr>
          </w:p>
        </w:tc>
      </w:tr>
      <w:tr w:rsidR="00B1578D" w14:paraId="5DEC5CE2" w14:textId="77777777">
        <w:tc>
          <w:tcPr>
            <w:tcW w:w="0" w:type="auto"/>
            <w:gridSpan w:val="3"/>
            <w:shd w:val="clear" w:color="auto" w:fill="FFFFFF"/>
            <w:tcMar>
              <w:top w:w="40" w:type="dxa"/>
              <w:left w:w="1235" w:type="dxa"/>
              <w:bottom w:w="40" w:type="dxa"/>
              <w:right w:w="20" w:type="dxa"/>
            </w:tcMar>
            <w:vAlign w:val="center"/>
          </w:tcPr>
          <w:p w14:paraId="5DEC5CD9" w14:textId="77777777" w:rsidR="00B1578D" w:rsidRDefault="004D2C04">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5DEC5CD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DB" w14:textId="77777777" w:rsidR="00B1578D" w:rsidRDefault="004D2C04">
            <w:pPr>
              <w:jc w:val="right"/>
              <w:textAlignment w:val="center"/>
            </w:pPr>
            <w:r>
              <w:rPr>
                <w:rFonts w:ascii="Times New Roman" w:eastAsia="宋体" w:hAnsi="Times New Roman"/>
                <w:color w:val="000000"/>
                <w:sz w:val="16"/>
                <w:szCs w:val="16"/>
              </w:rPr>
              <w:t>(4,949)</w:t>
            </w:r>
          </w:p>
        </w:tc>
        <w:tc>
          <w:tcPr>
            <w:tcW w:w="0" w:type="auto"/>
            <w:shd w:val="clear" w:color="auto" w:fill="FFFFFF"/>
            <w:tcMar>
              <w:top w:w="40" w:type="dxa"/>
              <w:left w:w="0" w:type="dxa"/>
              <w:bottom w:w="40" w:type="dxa"/>
              <w:right w:w="20" w:type="dxa"/>
            </w:tcMar>
            <w:vAlign w:val="center"/>
          </w:tcPr>
          <w:p w14:paraId="5DEC5CD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CD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CDE" w14:textId="77777777" w:rsidR="00B1578D" w:rsidRDefault="004D2C04">
            <w:pPr>
              <w:jc w:val="right"/>
              <w:textAlignment w:val="center"/>
            </w:pPr>
            <w:r>
              <w:rPr>
                <w:rFonts w:ascii="Times New Roman" w:eastAsia="宋体" w:hAnsi="Times New Roman"/>
                <w:color w:val="000000"/>
                <w:sz w:val="16"/>
                <w:szCs w:val="16"/>
              </w:rPr>
              <w:t>(4,004)</w:t>
            </w:r>
          </w:p>
        </w:tc>
        <w:tc>
          <w:tcPr>
            <w:tcW w:w="0" w:type="auto"/>
            <w:shd w:val="clear" w:color="auto" w:fill="FFFFFF"/>
            <w:tcMar>
              <w:top w:w="40" w:type="dxa"/>
              <w:left w:w="0" w:type="dxa"/>
              <w:bottom w:w="40" w:type="dxa"/>
              <w:right w:w="20" w:type="dxa"/>
            </w:tcMar>
            <w:vAlign w:val="center"/>
          </w:tcPr>
          <w:p w14:paraId="5DEC5CDF" w14:textId="77777777" w:rsidR="00B1578D" w:rsidRDefault="00B1578D">
            <w:pPr>
              <w:jc w:val="right"/>
              <w:rPr>
                <w:rFonts w:ascii="宋体"/>
              </w:rPr>
            </w:pPr>
          </w:p>
        </w:tc>
        <w:tc>
          <w:tcPr>
            <w:tcW w:w="0" w:type="auto"/>
            <w:shd w:val="clear" w:color="auto" w:fill="auto"/>
            <w:vAlign w:val="bottom"/>
          </w:tcPr>
          <w:p w14:paraId="5DEC5CE0" w14:textId="77777777" w:rsidR="00B1578D" w:rsidRDefault="00B1578D">
            <w:pPr>
              <w:rPr>
                <w:rFonts w:ascii="宋体"/>
                <w:vanish/>
              </w:rPr>
            </w:pPr>
          </w:p>
        </w:tc>
        <w:tc>
          <w:tcPr>
            <w:tcW w:w="0" w:type="auto"/>
            <w:shd w:val="clear" w:color="auto" w:fill="auto"/>
            <w:vAlign w:val="bottom"/>
          </w:tcPr>
          <w:p w14:paraId="5DEC5CE1" w14:textId="77777777" w:rsidR="00B1578D" w:rsidRDefault="00B1578D">
            <w:pPr>
              <w:rPr>
                <w:rFonts w:ascii="宋体"/>
                <w:vanish/>
              </w:rPr>
            </w:pPr>
          </w:p>
        </w:tc>
      </w:tr>
      <w:tr w:rsidR="00B1578D" w14:paraId="5DEC5CEC" w14:textId="77777777">
        <w:tc>
          <w:tcPr>
            <w:tcW w:w="0" w:type="auto"/>
            <w:gridSpan w:val="3"/>
            <w:shd w:val="clear" w:color="auto" w:fill="CCEEFF"/>
            <w:tcMar>
              <w:top w:w="40" w:type="dxa"/>
              <w:left w:w="1235" w:type="dxa"/>
              <w:bottom w:w="40" w:type="dxa"/>
              <w:right w:w="20" w:type="dxa"/>
            </w:tcMar>
            <w:vAlign w:val="center"/>
          </w:tcPr>
          <w:p w14:paraId="5DEC5CE3" w14:textId="77777777" w:rsidR="00B1578D" w:rsidRDefault="004D2C04">
            <w:pPr>
              <w:textAlignment w:val="center"/>
            </w:pPr>
            <w:r>
              <w:rPr>
                <w:rFonts w:ascii="Times New Roman" w:eastAsia="宋体" w:hAnsi="Times New Roman"/>
                <w:color w:val="000000"/>
                <w:sz w:val="16"/>
                <w:szCs w:val="16"/>
              </w:rPr>
              <w:t>Accrued income taxes</w:t>
            </w:r>
          </w:p>
        </w:tc>
        <w:tc>
          <w:tcPr>
            <w:tcW w:w="0" w:type="auto"/>
            <w:gridSpan w:val="3"/>
            <w:shd w:val="clear" w:color="auto" w:fill="CCEEFF"/>
            <w:tcMar>
              <w:top w:w="0" w:type="dxa"/>
              <w:left w:w="20" w:type="dxa"/>
              <w:bottom w:w="0" w:type="dxa"/>
              <w:right w:w="20" w:type="dxa"/>
            </w:tcMar>
            <w:vAlign w:val="bottom"/>
          </w:tcPr>
          <w:p w14:paraId="5DEC5CE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E5" w14:textId="77777777" w:rsidR="00B1578D" w:rsidRDefault="004D2C04">
            <w:pPr>
              <w:jc w:val="right"/>
              <w:textAlignment w:val="center"/>
            </w:pPr>
            <w:r>
              <w:rPr>
                <w:rFonts w:ascii="Times New Roman" w:eastAsia="宋体" w:hAnsi="Times New Roman"/>
                <w:color w:val="000000"/>
                <w:sz w:val="16"/>
                <w:szCs w:val="16"/>
              </w:rPr>
              <w:t>49 </w:t>
            </w:r>
          </w:p>
        </w:tc>
        <w:tc>
          <w:tcPr>
            <w:tcW w:w="0" w:type="auto"/>
            <w:shd w:val="clear" w:color="auto" w:fill="CCEEFF"/>
            <w:tcMar>
              <w:top w:w="40" w:type="dxa"/>
              <w:left w:w="0" w:type="dxa"/>
              <w:bottom w:w="40" w:type="dxa"/>
              <w:right w:w="20" w:type="dxa"/>
            </w:tcMar>
            <w:vAlign w:val="center"/>
          </w:tcPr>
          <w:p w14:paraId="5DEC5CE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CE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CE8" w14:textId="77777777" w:rsidR="00B1578D" w:rsidRDefault="004D2C04">
            <w:pPr>
              <w:jc w:val="right"/>
              <w:textAlignment w:val="center"/>
            </w:pPr>
            <w:r>
              <w:rPr>
                <w:rFonts w:ascii="Times New Roman" w:eastAsia="宋体" w:hAnsi="Times New Roman"/>
                <w:color w:val="000000"/>
                <w:sz w:val="16"/>
                <w:szCs w:val="16"/>
              </w:rPr>
              <w:t>428 </w:t>
            </w:r>
          </w:p>
        </w:tc>
        <w:tc>
          <w:tcPr>
            <w:tcW w:w="0" w:type="auto"/>
            <w:shd w:val="clear" w:color="auto" w:fill="CCEEFF"/>
            <w:tcMar>
              <w:top w:w="40" w:type="dxa"/>
              <w:left w:w="0" w:type="dxa"/>
              <w:bottom w:w="40" w:type="dxa"/>
              <w:right w:w="20" w:type="dxa"/>
            </w:tcMar>
            <w:vAlign w:val="center"/>
          </w:tcPr>
          <w:p w14:paraId="5DEC5CE9" w14:textId="77777777" w:rsidR="00B1578D" w:rsidRDefault="00B1578D">
            <w:pPr>
              <w:jc w:val="right"/>
              <w:rPr>
                <w:rFonts w:ascii="宋体"/>
              </w:rPr>
            </w:pPr>
          </w:p>
        </w:tc>
        <w:tc>
          <w:tcPr>
            <w:tcW w:w="0" w:type="auto"/>
            <w:shd w:val="clear" w:color="auto" w:fill="auto"/>
            <w:vAlign w:val="bottom"/>
          </w:tcPr>
          <w:p w14:paraId="5DEC5CEA" w14:textId="77777777" w:rsidR="00B1578D" w:rsidRDefault="00B1578D">
            <w:pPr>
              <w:rPr>
                <w:rFonts w:ascii="宋体"/>
                <w:vanish/>
              </w:rPr>
            </w:pPr>
          </w:p>
        </w:tc>
        <w:tc>
          <w:tcPr>
            <w:tcW w:w="0" w:type="auto"/>
            <w:shd w:val="clear" w:color="auto" w:fill="auto"/>
            <w:vAlign w:val="bottom"/>
          </w:tcPr>
          <w:p w14:paraId="5DEC5CEB" w14:textId="77777777" w:rsidR="00B1578D" w:rsidRDefault="00B1578D">
            <w:pPr>
              <w:rPr>
                <w:rFonts w:ascii="宋体"/>
                <w:vanish/>
              </w:rPr>
            </w:pPr>
          </w:p>
        </w:tc>
      </w:tr>
      <w:tr w:rsidR="00B1578D" w14:paraId="5DEC5CF6" w14:textId="77777777">
        <w:tc>
          <w:tcPr>
            <w:tcW w:w="0" w:type="auto"/>
            <w:gridSpan w:val="3"/>
            <w:shd w:val="clear" w:color="auto" w:fill="FFFFFF"/>
            <w:tcMar>
              <w:top w:w="40" w:type="dxa"/>
              <w:left w:w="20" w:type="dxa"/>
              <w:bottom w:w="40" w:type="dxa"/>
              <w:right w:w="20" w:type="dxa"/>
            </w:tcMar>
            <w:vAlign w:val="center"/>
          </w:tcPr>
          <w:p w14:paraId="5DEC5CED" w14:textId="77777777" w:rsidR="00B1578D" w:rsidRDefault="004D2C04">
            <w:pPr>
              <w:textAlignment w:val="center"/>
            </w:pPr>
            <w:r>
              <w:rPr>
                <w:rFonts w:ascii="Times New Roman" w:eastAsia="宋体" w:hAnsi="Times New Roman"/>
                <w:color w:val="000000"/>
                <w:sz w:val="16"/>
                <w:szCs w:val="16"/>
              </w:rPr>
              <w:t>Net cash provided by (used in) operating activities</w:t>
            </w:r>
          </w:p>
        </w:tc>
        <w:tc>
          <w:tcPr>
            <w:tcW w:w="0" w:type="auto"/>
            <w:gridSpan w:val="3"/>
            <w:shd w:val="clear" w:color="auto" w:fill="FFFFFF"/>
            <w:tcMar>
              <w:top w:w="0" w:type="dxa"/>
              <w:left w:w="20" w:type="dxa"/>
              <w:bottom w:w="0" w:type="dxa"/>
              <w:right w:w="20" w:type="dxa"/>
            </w:tcMar>
            <w:vAlign w:val="bottom"/>
          </w:tcPr>
          <w:p w14:paraId="5DEC5CEE"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CEF" w14:textId="77777777" w:rsidR="00B1578D" w:rsidRDefault="004D2C04">
            <w:pPr>
              <w:jc w:val="right"/>
              <w:textAlignment w:val="center"/>
            </w:pPr>
            <w:r>
              <w:rPr>
                <w:rFonts w:ascii="Times New Roman" w:eastAsia="宋体" w:hAnsi="Times New Roman"/>
                <w:color w:val="000000"/>
                <w:sz w:val="16"/>
                <w:szCs w:val="16"/>
              </w:rPr>
              <w:t>(3,758)</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CF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CF1"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CF2" w14:textId="77777777" w:rsidR="00B1578D" w:rsidRDefault="004D2C04">
            <w:pPr>
              <w:jc w:val="right"/>
              <w:textAlignment w:val="center"/>
            </w:pPr>
            <w:r>
              <w:rPr>
                <w:rFonts w:ascii="Times New Roman" w:eastAsia="宋体" w:hAnsi="Times New Roman"/>
                <w:color w:val="000000"/>
                <w:sz w:val="16"/>
                <w:szCs w:val="16"/>
              </w:rPr>
              <w:t>2,858 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CF3" w14:textId="77777777" w:rsidR="00B1578D" w:rsidRDefault="00B1578D">
            <w:pPr>
              <w:jc w:val="right"/>
              <w:rPr>
                <w:rFonts w:ascii="宋体"/>
              </w:rPr>
            </w:pPr>
          </w:p>
        </w:tc>
        <w:tc>
          <w:tcPr>
            <w:tcW w:w="0" w:type="auto"/>
            <w:shd w:val="clear" w:color="auto" w:fill="auto"/>
            <w:vAlign w:val="bottom"/>
          </w:tcPr>
          <w:p w14:paraId="5DEC5CF4" w14:textId="77777777" w:rsidR="00B1578D" w:rsidRDefault="00B1578D">
            <w:pPr>
              <w:rPr>
                <w:rFonts w:ascii="宋体"/>
                <w:vanish/>
              </w:rPr>
            </w:pPr>
          </w:p>
        </w:tc>
        <w:tc>
          <w:tcPr>
            <w:tcW w:w="0" w:type="auto"/>
            <w:shd w:val="clear" w:color="auto" w:fill="auto"/>
            <w:vAlign w:val="bottom"/>
          </w:tcPr>
          <w:p w14:paraId="5DEC5CF5" w14:textId="77777777" w:rsidR="00B1578D" w:rsidRDefault="00B1578D">
            <w:pPr>
              <w:rPr>
                <w:rFonts w:ascii="宋体"/>
                <w:vanish/>
              </w:rPr>
            </w:pPr>
          </w:p>
        </w:tc>
      </w:tr>
      <w:tr w:rsidR="00B1578D" w14:paraId="5DEC5CFE" w14:textId="77777777">
        <w:trPr>
          <w:trHeight w:val="220"/>
        </w:trPr>
        <w:tc>
          <w:tcPr>
            <w:tcW w:w="0" w:type="auto"/>
            <w:gridSpan w:val="3"/>
            <w:shd w:val="clear" w:color="auto" w:fill="CCEEFF"/>
            <w:tcMar>
              <w:top w:w="0" w:type="dxa"/>
              <w:left w:w="20" w:type="dxa"/>
              <w:bottom w:w="0" w:type="dxa"/>
              <w:right w:w="20" w:type="dxa"/>
            </w:tcMar>
            <w:vAlign w:val="bottom"/>
          </w:tcPr>
          <w:p w14:paraId="5DEC5CF7"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CF8"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CF9"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CFA"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CFB" w14:textId="77777777" w:rsidR="00B1578D" w:rsidRDefault="00B1578D">
            <w:pPr>
              <w:rPr>
                <w:rFonts w:ascii="宋体"/>
              </w:rPr>
            </w:pPr>
          </w:p>
        </w:tc>
        <w:tc>
          <w:tcPr>
            <w:tcW w:w="0" w:type="auto"/>
            <w:shd w:val="clear" w:color="auto" w:fill="auto"/>
            <w:vAlign w:val="bottom"/>
          </w:tcPr>
          <w:p w14:paraId="5DEC5CFC" w14:textId="77777777" w:rsidR="00B1578D" w:rsidRDefault="00B1578D">
            <w:pPr>
              <w:rPr>
                <w:rFonts w:ascii="宋体"/>
                <w:vanish/>
              </w:rPr>
            </w:pPr>
          </w:p>
        </w:tc>
        <w:tc>
          <w:tcPr>
            <w:tcW w:w="0" w:type="auto"/>
            <w:shd w:val="clear" w:color="auto" w:fill="auto"/>
            <w:vAlign w:val="bottom"/>
          </w:tcPr>
          <w:p w14:paraId="5DEC5CFD" w14:textId="77777777" w:rsidR="00B1578D" w:rsidRDefault="00B1578D">
            <w:pPr>
              <w:rPr>
                <w:rFonts w:ascii="宋体"/>
                <w:vanish/>
              </w:rPr>
            </w:pPr>
          </w:p>
        </w:tc>
      </w:tr>
      <w:tr w:rsidR="00B1578D" w14:paraId="5DEC5D06" w14:textId="77777777">
        <w:tc>
          <w:tcPr>
            <w:tcW w:w="0" w:type="auto"/>
            <w:gridSpan w:val="3"/>
            <w:shd w:val="clear" w:color="auto" w:fill="FFFFFF"/>
            <w:tcMar>
              <w:top w:w="40" w:type="dxa"/>
              <w:left w:w="20" w:type="dxa"/>
              <w:bottom w:w="40" w:type="dxa"/>
              <w:right w:w="20" w:type="dxa"/>
            </w:tcMar>
            <w:vAlign w:val="center"/>
          </w:tcPr>
          <w:p w14:paraId="5DEC5CFF" w14:textId="77777777" w:rsidR="00B1578D" w:rsidRDefault="004D2C04">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bottom"/>
          </w:tcPr>
          <w:p w14:paraId="5DEC5D00"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01"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02"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03" w14:textId="77777777" w:rsidR="00B1578D" w:rsidRDefault="00B1578D">
            <w:pPr>
              <w:rPr>
                <w:rFonts w:ascii="宋体"/>
              </w:rPr>
            </w:pPr>
          </w:p>
        </w:tc>
        <w:tc>
          <w:tcPr>
            <w:tcW w:w="0" w:type="auto"/>
            <w:shd w:val="clear" w:color="auto" w:fill="auto"/>
            <w:vAlign w:val="bottom"/>
          </w:tcPr>
          <w:p w14:paraId="5DEC5D04" w14:textId="77777777" w:rsidR="00B1578D" w:rsidRDefault="00B1578D">
            <w:pPr>
              <w:rPr>
                <w:rFonts w:ascii="宋体"/>
                <w:vanish/>
              </w:rPr>
            </w:pPr>
          </w:p>
        </w:tc>
        <w:tc>
          <w:tcPr>
            <w:tcW w:w="0" w:type="auto"/>
            <w:shd w:val="clear" w:color="auto" w:fill="auto"/>
            <w:vAlign w:val="bottom"/>
          </w:tcPr>
          <w:p w14:paraId="5DEC5D05" w14:textId="77777777" w:rsidR="00B1578D" w:rsidRDefault="00B1578D">
            <w:pPr>
              <w:rPr>
                <w:rFonts w:ascii="宋体"/>
                <w:vanish/>
              </w:rPr>
            </w:pPr>
          </w:p>
        </w:tc>
      </w:tr>
      <w:tr w:rsidR="00B1578D" w14:paraId="5DEC5D10" w14:textId="77777777">
        <w:tc>
          <w:tcPr>
            <w:tcW w:w="0" w:type="auto"/>
            <w:gridSpan w:val="3"/>
            <w:shd w:val="clear" w:color="auto" w:fill="CCEEFF"/>
            <w:tcMar>
              <w:top w:w="40" w:type="dxa"/>
              <w:left w:w="380" w:type="dxa"/>
              <w:bottom w:w="40" w:type="dxa"/>
              <w:right w:w="20" w:type="dxa"/>
            </w:tcMar>
            <w:vAlign w:val="center"/>
          </w:tcPr>
          <w:p w14:paraId="5DEC5D07" w14:textId="77777777" w:rsidR="00B1578D" w:rsidRDefault="004D2C04">
            <w:pPr>
              <w:textAlignment w:val="center"/>
            </w:pPr>
            <w:r>
              <w:rPr>
                <w:rFonts w:ascii="Times New Roman" w:eastAsia="宋体" w:hAnsi="Times New Roman"/>
                <w:color w:val="000000"/>
                <w:sz w:val="16"/>
                <w:szCs w:val="16"/>
              </w:rPr>
              <w:t xml:space="preserve">Payments for </w:t>
            </w:r>
            <w:r>
              <w:rPr>
                <w:rFonts w:ascii="Times New Roman" w:eastAsia="宋体" w:hAnsi="Times New Roman"/>
                <w:color w:val="000000"/>
                <w:sz w:val="16"/>
                <w:szCs w:val="16"/>
              </w:rPr>
              <w:t>property and equipment</w:t>
            </w:r>
          </w:p>
        </w:tc>
        <w:tc>
          <w:tcPr>
            <w:tcW w:w="0" w:type="auto"/>
            <w:gridSpan w:val="3"/>
            <w:shd w:val="clear" w:color="auto" w:fill="CCEEFF"/>
            <w:tcMar>
              <w:top w:w="0" w:type="dxa"/>
              <w:left w:w="20" w:type="dxa"/>
              <w:bottom w:w="0" w:type="dxa"/>
              <w:right w:w="20" w:type="dxa"/>
            </w:tcMar>
            <w:vAlign w:val="bottom"/>
          </w:tcPr>
          <w:p w14:paraId="5DEC5D0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09" w14:textId="77777777" w:rsidR="00B1578D" w:rsidRDefault="004D2C04">
            <w:pPr>
              <w:jc w:val="right"/>
              <w:textAlignment w:val="center"/>
            </w:pPr>
            <w:r>
              <w:rPr>
                <w:rFonts w:ascii="Times New Roman" w:eastAsia="宋体" w:hAnsi="Times New Roman"/>
                <w:color w:val="000000"/>
                <w:sz w:val="16"/>
                <w:szCs w:val="16"/>
              </w:rPr>
              <w:t>(3,539)</w:t>
            </w:r>
          </w:p>
        </w:tc>
        <w:tc>
          <w:tcPr>
            <w:tcW w:w="0" w:type="auto"/>
            <w:shd w:val="clear" w:color="auto" w:fill="CCEEFF"/>
            <w:tcMar>
              <w:top w:w="40" w:type="dxa"/>
              <w:left w:w="0" w:type="dxa"/>
              <w:bottom w:w="40" w:type="dxa"/>
              <w:right w:w="20" w:type="dxa"/>
            </w:tcMar>
            <w:vAlign w:val="center"/>
          </w:tcPr>
          <w:p w14:paraId="5DEC5D0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0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0C" w14:textId="77777777" w:rsidR="00B1578D" w:rsidRDefault="004D2C04">
            <w:pPr>
              <w:jc w:val="right"/>
              <w:textAlignment w:val="center"/>
            </w:pPr>
            <w:r>
              <w:rPr>
                <w:rFonts w:ascii="Times New Roman" w:eastAsia="宋体" w:hAnsi="Times New Roman"/>
                <w:color w:val="000000"/>
                <w:sz w:val="16"/>
                <w:szCs w:val="16"/>
              </w:rPr>
              <w:t>(2,214)</w:t>
            </w:r>
          </w:p>
        </w:tc>
        <w:tc>
          <w:tcPr>
            <w:tcW w:w="0" w:type="auto"/>
            <w:shd w:val="clear" w:color="auto" w:fill="CCEEFF"/>
            <w:tcMar>
              <w:top w:w="40" w:type="dxa"/>
              <w:left w:w="0" w:type="dxa"/>
              <w:bottom w:w="40" w:type="dxa"/>
              <w:right w:w="20" w:type="dxa"/>
            </w:tcMar>
            <w:vAlign w:val="center"/>
          </w:tcPr>
          <w:p w14:paraId="5DEC5D0D" w14:textId="77777777" w:rsidR="00B1578D" w:rsidRDefault="00B1578D">
            <w:pPr>
              <w:jc w:val="right"/>
              <w:rPr>
                <w:rFonts w:ascii="宋体"/>
              </w:rPr>
            </w:pPr>
          </w:p>
        </w:tc>
        <w:tc>
          <w:tcPr>
            <w:tcW w:w="0" w:type="auto"/>
            <w:shd w:val="clear" w:color="auto" w:fill="auto"/>
            <w:vAlign w:val="bottom"/>
          </w:tcPr>
          <w:p w14:paraId="5DEC5D0E" w14:textId="77777777" w:rsidR="00B1578D" w:rsidRDefault="00B1578D">
            <w:pPr>
              <w:rPr>
                <w:rFonts w:ascii="宋体"/>
                <w:vanish/>
              </w:rPr>
            </w:pPr>
          </w:p>
        </w:tc>
        <w:tc>
          <w:tcPr>
            <w:tcW w:w="0" w:type="auto"/>
            <w:shd w:val="clear" w:color="auto" w:fill="auto"/>
            <w:vAlign w:val="bottom"/>
          </w:tcPr>
          <w:p w14:paraId="5DEC5D0F" w14:textId="77777777" w:rsidR="00B1578D" w:rsidRDefault="00B1578D">
            <w:pPr>
              <w:rPr>
                <w:rFonts w:ascii="宋体"/>
                <w:vanish/>
              </w:rPr>
            </w:pPr>
          </w:p>
        </w:tc>
      </w:tr>
      <w:tr w:rsidR="00B1578D" w14:paraId="5DEC5D1A" w14:textId="77777777">
        <w:tc>
          <w:tcPr>
            <w:tcW w:w="0" w:type="auto"/>
            <w:gridSpan w:val="3"/>
            <w:shd w:val="clear" w:color="auto" w:fill="FFFFFF"/>
            <w:tcMar>
              <w:top w:w="40" w:type="dxa"/>
              <w:left w:w="380" w:type="dxa"/>
              <w:bottom w:w="40" w:type="dxa"/>
              <w:right w:w="20" w:type="dxa"/>
            </w:tcMar>
            <w:vAlign w:val="center"/>
          </w:tcPr>
          <w:p w14:paraId="5DEC5D11" w14:textId="77777777" w:rsidR="00B1578D" w:rsidRDefault="004D2C04">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FFFFFF"/>
            <w:tcMar>
              <w:top w:w="0" w:type="dxa"/>
              <w:left w:w="20" w:type="dxa"/>
              <w:bottom w:w="0" w:type="dxa"/>
              <w:right w:w="20" w:type="dxa"/>
            </w:tcMar>
            <w:vAlign w:val="bottom"/>
          </w:tcPr>
          <w:p w14:paraId="5DEC5D1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13" w14:textId="77777777" w:rsidR="00B1578D" w:rsidRDefault="004D2C04">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5DEC5D1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1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16" w14:textId="77777777" w:rsidR="00B1578D" w:rsidRDefault="004D2C04">
            <w:pPr>
              <w:jc w:val="right"/>
              <w:textAlignment w:val="center"/>
            </w:pPr>
            <w:r>
              <w:rPr>
                <w:rFonts w:ascii="Times New Roman" w:eastAsia="宋体" w:hAnsi="Times New Roman"/>
                <w:color w:val="000000"/>
                <w:sz w:val="16"/>
                <w:szCs w:val="16"/>
              </w:rPr>
              <w:t>72 </w:t>
            </w:r>
          </w:p>
        </w:tc>
        <w:tc>
          <w:tcPr>
            <w:tcW w:w="0" w:type="auto"/>
            <w:shd w:val="clear" w:color="auto" w:fill="FFFFFF"/>
            <w:tcMar>
              <w:top w:w="40" w:type="dxa"/>
              <w:left w:w="0" w:type="dxa"/>
              <w:bottom w:w="40" w:type="dxa"/>
              <w:right w:w="20" w:type="dxa"/>
            </w:tcMar>
            <w:vAlign w:val="center"/>
          </w:tcPr>
          <w:p w14:paraId="5DEC5D17" w14:textId="77777777" w:rsidR="00B1578D" w:rsidRDefault="00B1578D">
            <w:pPr>
              <w:jc w:val="right"/>
              <w:rPr>
                <w:rFonts w:ascii="宋体"/>
              </w:rPr>
            </w:pPr>
          </w:p>
        </w:tc>
        <w:tc>
          <w:tcPr>
            <w:tcW w:w="0" w:type="auto"/>
            <w:shd w:val="clear" w:color="auto" w:fill="auto"/>
            <w:vAlign w:val="bottom"/>
          </w:tcPr>
          <w:p w14:paraId="5DEC5D18" w14:textId="77777777" w:rsidR="00B1578D" w:rsidRDefault="00B1578D">
            <w:pPr>
              <w:rPr>
                <w:rFonts w:ascii="宋体"/>
                <w:vanish/>
              </w:rPr>
            </w:pPr>
          </w:p>
        </w:tc>
        <w:tc>
          <w:tcPr>
            <w:tcW w:w="0" w:type="auto"/>
            <w:shd w:val="clear" w:color="auto" w:fill="auto"/>
            <w:vAlign w:val="bottom"/>
          </w:tcPr>
          <w:p w14:paraId="5DEC5D19" w14:textId="77777777" w:rsidR="00B1578D" w:rsidRDefault="00B1578D">
            <w:pPr>
              <w:rPr>
                <w:rFonts w:ascii="宋体"/>
                <w:vanish/>
              </w:rPr>
            </w:pPr>
          </w:p>
        </w:tc>
      </w:tr>
      <w:tr w:rsidR="00B1578D" w14:paraId="5DEC5D24" w14:textId="77777777">
        <w:tc>
          <w:tcPr>
            <w:tcW w:w="0" w:type="auto"/>
            <w:gridSpan w:val="3"/>
            <w:shd w:val="clear" w:color="auto" w:fill="CCEEFF"/>
            <w:tcMar>
              <w:top w:w="40" w:type="dxa"/>
              <w:left w:w="380" w:type="dxa"/>
              <w:bottom w:w="40" w:type="dxa"/>
              <w:right w:w="20" w:type="dxa"/>
            </w:tcMar>
            <w:vAlign w:val="center"/>
          </w:tcPr>
          <w:p w14:paraId="5DEC5D1B" w14:textId="77777777" w:rsidR="00B1578D" w:rsidRDefault="004D2C04">
            <w:pPr>
              <w:textAlignment w:val="center"/>
            </w:pPr>
            <w:r>
              <w:rPr>
                <w:rFonts w:ascii="Times New Roman" w:eastAsia="宋体" w:hAnsi="Times New Roman"/>
                <w:color w:val="000000"/>
                <w:sz w:val="16"/>
                <w:szCs w:val="16"/>
              </w:rPr>
              <w:t>Proceeds from disposal of certain operations, net of divested cash</w:t>
            </w:r>
          </w:p>
        </w:tc>
        <w:tc>
          <w:tcPr>
            <w:tcW w:w="0" w:type="auto"/>
            <w:gridSpan w:val="3"/>
            <w:shd w:val="clear" w:color="auto" w:fill="CCEEFF"/>
            <w:tcMar>
              <w:top w:w="0" w:type="dxa"/>
              <w:left w:w="20" w:type="dxa"/>
              <w:bottom w:w="0" w:type="dxa"/>
              <w:right w:w="20" w:type="dxa"/>
            </w:tcMar>
            <w:vAlign w:val="bottom"/>
          </w:tcPr>
          <w:p w14:paraId="5DEC5D1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1D"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D1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1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20" w14:textId="77777777" w:rsidR="00B1578D" w:rsidRDefault="004D2C04">
            <w:pPr>
              <w:jc w:val="right"/>
              <w:textAlignment w:val="center"/>
            </w:pPr>
            <w:r>
              <w:rPr>
                <w:rFonts w:ascii="Times New Roman" w:eastAsia="宋体" w:hAnsi="Times New Roman"/>
                <w:color w:val="000000"/>
                <w:sz w:val="16"/>
                <w:szCs w:val="16"/>
              </w:rPr>
              <w:t>7,935 </w:t>
            </w:r>
          </w:p>
        </w:tc>
        <w:tc>
          <w:tcPr>
            <w:tcW w:w="0" w:type="auto"/>
            <w:shd w:val="clear" w:color="auto" w:fill="CCEEFF"/>
            <w:tcMar>
              <w:top w:w="40" w:type="dxa"/>
              <w:left w:w="0" w:type="dxa"/>
              <w:bottom w:w="40" w:type="dxa"/>
              <w:right w:w="20" w:type="dxa"/>
            </w:tcMar>
            <w:vAlign w:val="center"/>
          </w:tcPr>
          <w:p w14:paraId="5DEC5D21" w14:textId="77777777" w:rsidR="00B1578D" w:rsidRDefault="00B1578D">
            <w:pPr>
              <w:jc w:val="right"/>
              <w:rPr>
                <w:rFonts w:ascii="宋体"/>
              </w:rPr>
            </w:pPr>
          </w:p>
        </w:tc>
        <w:tc>
          <w:tcPr>
            <w:tcW w:w="0" w:type="auto"/>
            <w:shd w:val="clear" w:color="auto" w:fill="auto"/>
            <w:vAlign w:val="bottom"/>
          </w:tcPr>
          <w:p w14:paraId="5DEC5D22" w14:textId="77777777" w:rsidR="00B1578D" w:rsidRDefault="00B1578D">
            <w:pPr>
              <w:rPr>
                <w:rFonts w:ascii="宋体"/>
                <w:vanish/>
              </w:rPr>
            </w:pPr>
          </w:p>
        </w:tc>
        <w:tc>
          <w:tcPr>
            <w:tcW w:w="0" w:type="auto"/>
            <w:shd w:val="clear" w:color="auto" w:fill="auto"/>
            <w:vAlign w:val="bottom"/>
          </w:tcPr>
          <w:p w14:paraId="5DEC5D23" w14:textId="77777777" w:rsidR="00B1578D" w:rsidRDefault="00B1578D">
            <w:pPr>
              <w:rPr>
                <w:rFonts w:ascii="宋体"/>
                <w:vanish/>
              </w:rPr>
            </w:pPr>
          </w:p>
        </w:tc>
      </w:tr>
      <w:tr w:rsidR="00B1578D" w14:paraId="5DEC5D2C" w14:textId="77777777">
        <w:trPr>
          <w:hidden/>
        </w:trPr>
        <w:tc>
          <w:tcPr>
            <w:tcW w:w="0" w:type="auto"/>
            <w:gridSpan w:val="3"/>
            <w:shd w:val="clear" w:color="auto" w:fill="auto"/>
            <w:vAlign w:val="bottom"/>
          </w:tcPr>
          <w:p w14:paraId="5DEC5D25" w14:textId="77777777" w:rsidR="00B1578D" w:rsidRDefault="00B1578D">
            <w:pPr>
              <w:rPr>
                <w:rFonts w:ascii="宋体"/>
                <w:vanish/>
              </w:rPr>
            </w:pPr>
          </w:p>
        </w:tc>
        <w:tc>
          <w:tcPr>
            <w:tcW w:w="0" w:type="auto"/>
            <w:gridSpan w:val="3"/>
            <w:shd w:val="clear" w:color="auto" w:fill="auto"/>
            <w:vAlign w:val="bottom"/>
          </w:tcPr>
          <w:p w14:paraId="5DEC5D26" w14:textId="77777777" w:rsidR="00B1578D" w:rsidRDefault="00B1578D">
            <w:pPr>
              <w:rPr>
                <w:rFonts w:ascii="宋体"/>
                <w:vanish/>
              </w:rPr>
            </w:pPr>
          </w:p>
        </w:tc>
        <w:tc>
          <w:tcPr>
            <w:tcW w:w="0" w:type="auto"/>
            <w:gridSpan w:val="3"/>
            <w:shd w:val="clear" w:color="auto" w:fill="auto"/>
            <w:vAlign w:val="bottom"/>
          </w:tcPr>
          <w:p w14:paraId="5DEC5D27" w14:textId="77777777" w:rsidR="00B1578D" w:rsidRDefault="00B1578D">
            <w:pPr>
              <w:rPr>
                <w:rFonts w:ascii="宋体"/>
                <w:vanish/>
              </w:rPr>
            </w:pPr>
          </w:p>
        </w:tc>
        <w:tc>
          <w:tcPr>
            <w:tcW w:w="0" w:type="auto"/>
            <w:gridSpan w:val="3"/>
            <w:shd w:val="clear" w:color="auto" w:fill="auto"/>
            <w:vAlign w:val="bottom"/>
          </w:tcPr>
          <w:p w14:paraId="5DEC5D28" w14:textId="77777777" w:rsidR="00B1578D" w:rsidRDefault="00B1578D">
            <w:pPr>
              <w:rPr>
                <w:rFonts w:ascii="宋体"/>
                <w:vanish/>
              </w:rPr>
            </w:pPr>
          </w:p>
        </w:tc>
        <w:tc>
          <w:tcPr>
            <w:tcW w:w="0" w:type="auto"/>
            <w:gridSpan w:val="3"/>
            <w:shd w:val="clear" w:color="auto" w:fill="auto"/>
            <w:vAlign w:val="bottom"/>
          </w:tcPr>
          <w:p w14:paraId="5DEC5D29" w14:textId="77777777" w:rsidR="00B1578D" w:rsidRDefault="00B1578D">
            <w:pPr>
              <w:rPr>
                <w:rFonts w:ascii="宋体"/>
                <w:vanish/>
              </w:rPr>
            </w:pPr>
          </w:p>
        </w:tc>
        <w:tc>
          <w:tcPr>
            <w:tcW w:w="0" w:type="auto"/>
            <w:shd w:val="clear" w:color="auto" w:fill="auto"/>
            <w:vAlign w:val="bottom"/>
          </w:tcPr>
          <w:p w14:paraId="5DEC5D2A" w14:textId="77777777" w:rsidR="00B1578D" w:rsidRDefault="00B1578D">
            <w:pPr>
              <w:rPr>
                <w:rFonts w:ascii="宋体"/>
                <w:vanish/>
              </w:rPr>
            </w:pPr>
          </w:p>
        </w:tc>
        <w:tc>
          <w:tcPr>
            <w:tcW w:w="0" w:type="auto"/>
            <w:shd w:val="clear" w:color="auto" w:fill="auto"/>
            <w:vAlign w:val="bottom"/>
          </w:tcPr>
          <w:p w14:paraId="5DEC5D2B" w14:textId="77777777" w:rsidR="00B1578D" w:rsidRDefault="00B1578D">
            <w:pPr>
              <w:rPr>
                <w:rFonts w:ascii="宋体"/>
                <w:vanish/>
              </w:rPr>
            </w:pPr>
          </w:p>
        </w:tc>
      </w:tr>
      <w:tr w:rsidR="00B1578D" w14:paraId="5DEC5D36" w14:textId="77777777">
        <w:tc>
          <w:tcPr>
            <w:tcW w:w="0" w:type="auto"/>
            <w:gridSpan w:val="3"/>
            <w:shd w:val="clear" w:color="auto" w:fill="FFFFFF"/>
            <w:tcMar>
              <w:top w:w="40" w:type="dxa"/>
              <w:left w:w="380" w:type="dxa"/>
              <w:bottom w:w="40" w:type="dxa"/>
              <w:right w:w="20" w:type="dxa"/>
            </w:tcMar>
            <w:vAlign w:val="center"/>
          </w:tcPr>
          <w:p w14:paraId="5DEC5D2D" w14:textId="77777777" w:rsidR="00B1578D" w:rsidRDefault="004D2C04">
            <w:pPr>
              <w:textAlignment w:val="center"/>
            </w:pPr>
            <w:r>
              <w:rPr>
                <w:rFonts w:ascii="Times New Roman" w:eastAsia="宋体" w:hAnsi="Times New Roman"/>
                <w:color w:val="000000"/>
                <w:sz w:val="16"/>
                <w:szCs w:val="16"/>
              </w:rPr>
              <w:t xml:space="preserve">Payments for business acquisitions, net of </w:t>
            </w:r>
            <w:r>
              <w:rPr>
                <w:rFonts w:ascii="Times New Roman" w:eastAsia="宋体" w:hAnsi="Times New Roman"/>
                <w:color w:val="000000"/>
                <w:sz w:val="16"/>
                <w:szCs w:val="16"/>
              </w:rPr>
              <w:t>cash acquired</w:t>
            </w:r>
          </w:p>
        </w:tc>
        <w:tc>
          <w:tcPr>
            <w:tcW w:w="0" w:type="auto"/>
            <w:gridSpan w:val="3"/>
            <w:shd w:val="clear" w:color="auto" w:fill="FFFFFF"/>
            <w:tcMar>
              <w:top w:w="0" w:type="dxa"/>
              <w:left w:w="20" w:type="dxa"/>
              <w:bottom w:w="0" w:type="dxa"/>
              <w:right w:w="20" w:type="dxa"/>
            </w:tcMar>
            <w:vAlign w:val="bottom"/>
          </w:tcPr>
          <w:p w14:paraId="5DEC5D2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5D2F" w14:textId="77777777" w:rsidR="00B1578D" w:rsidRDefault="004D2C04">
            <w:pPr>
              <w:jc w:val="right"/>
              <w:textAlignment w:val="bottom"/>
            </w:pPr>
            <w:r>
              <w:rPr>
                <w:rFonts w:ascii="Times New Roman" w:eastAsia="宋体" w:hAnsi="Times New Roman"/>
                <w:color w:val="000000"/>
                <w:sz w:val="16"/>
                <w:szCs w:val="16"/>
              </w:rPr>
              <w:t>(598)</w:t>
            </w:r>
          </w:p>
        </w:tc>
        <w:tc>
          <w:tcPr>
            <w:tcW w:w="0" w:type="auto"/>
            <w:shd w:val="clear" w:color="auto" w:fill="FFFFFF"/>
            <w:tcMar>
              <w:top w:w="40" w:type="dxa"/>
              <w:left w:w="0" w:type="dxa"/>
              <w:bottom w:w="40" w:type="dxa"/>
              <w:right w:w="20" w:type="dxa"/>
            </w:tcMar>
            <w:vAlign w:val="bottom"/>
          </w:tcPr>
          <w:p w14:paraId="5DEC5D3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3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5D32" w14:textId="77777777" w:rsidR="00B1578D" w:rsidRDefault="004D2C04">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5DEC5D33" w14:textId="77777777" w:rsidR="00B1578D" w:rsidRDefault="00B1578D">
            <w:pPr>
              <w:jc w:val="right"/>
              <w:rPr>
                <w:rFonts w:ascii="宋体"/>
              </w:rPr>
            </w:pPr>
          </w:p>
        </w:tc>
        <w:tc>
          <w:tcPr>
            <w:tcW w:w="0" w:type="auto"/>
            <w:shd w:val="clear" w:color="auto" w:fill="auto"/>
            <w:vAlign w:val="bottom"/>
          </w:tcPr>
          <w:p w14:paraId="5DEC5D34" w14:textId="77777777" w:rsidR="00B1578D" w:rsidRDefault="00B1578D">
            <w:pPr>
              <w:rPr>
                <w:rFonts w:ascii="宋体"/>
                <w:vanish/>
              </w:rPr>
            </w:pPr>
          </w:p>
        </w:tc>
        <w:tc>
          <w:tcPr>
            <w:tcW w:w="0" w:type="auto"/>
            <w:shd w:val="clear" w:color="auto" w:fill="auto"/>
            <w:vAlign w:val="bottom"/>
          </w:tcPr>
          <w:p w14:paraId="5DEC5D35" w14:textId="77777777" w:rsidR="00B1578D" w:rsidRDefault="00B1578D">
            <w:pPr>
              <w:rPr>
                <w:rFonts w:ascii="宋体"/>
                <w:vanish/>
              </w:rPr>
            </w:pPr>
          </w:p>
        </w:tc>
      </w:tr>
      <w:tr w:rsidR="00B1578D" w14:paraId="5DEC5D40" w14:textId="77777777">
        <w:tc>
          <w:tcPr>
            <w:tcW w:w="0" w:type="auto"/>
            <w:gridSpan w:val="3"/>
            <w:shd w:val="clear" w:color="auto" w:fill="CCEEFF"/>
            <w:tcMar>
              <w:top w:w="40" w:type="dxa"/>
              <w:left w:w="380" w:type="dxa"/>
              <w:bottom w:w="40" w:type="dxa"/>
              <w:right w:w="20" w:type="dxa"/>
            </w:tcMar>
            <w:vAlign w:val="center"/>
          </w:tcPr>
          <w:p w14:paraId="5DEC5D37" w14:textId="77777777" w:rsidR="00B1578D" w:rsidRDefault="004D2C04">
            <w:pPr>
              <w:textAlignment w:val="center"/>
            </w:pPr>
            <w:r>
              <w:rPr>
                <w:rFonts w:ascii="Times New Roman" w:eastAsia="宋体" w:hAnsi="Times New Roman"/>
                <w:color w:val="000000"/>
                <w:sz w:val="16"/>
                <w:szCs w:val="16"/>
              </w:rPr>
              <w:t>Other investing activities</w:t>
            </w:r>
          </w:p>
        </w:tc>
        <w:tc>
          <w:tcPr>
            <w:tcW w:w="0" w:type="auto"/>
            <w:gridSpan w:val="3"/>
            <w:shd w:val="clear" w:color="auto" w:fill="CCEEFF"/>
            <w:tcMar>
              <w:top w:w="0" w:type="dxa"/>
              <w:left w:w="20" w:type="dxa"/>
              <w:bottom w:w="0" w:type="dxa"/>
              <w:right w:w="20" w:type="dxa"/>
            </w:tcMar>
            <w:vAlign w:val="bottom"/>
          </w:tcPr>
          <w:p w14:paraId="5DEC5D3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39" w14:textId="77777777" w:rsidR="00B1578D" w:rsidRDefault="004D2C04">
            <w:pPr>
              <w:jc w:val="right"/>
              <w:textAlignment w:val="center"/>
            </w:pPr>
            <w:r>
              <w:rPr>
                <w:rFonts w:ascii="Times New Roman" w:eastAsia="宋体" w:hAnsi="Times New Roman"/>
                <w:color w:val="000000"/>
                <w:sz w:val="16"/>
                <w:szCs w:val="16"/>
              </w:rPr>
              <w:t>(456)</w:t>
            </w:r>
          </w:p>
        </w:tc>
        <w:tc>
          <w:tcPr>
            <w:tcW w:w="0" w:type="auto"/>
            <w:shd w:val="clear" w:color="auto" w:fill="CCEEFF"/>
            <w:tcMar>
              <w:top w:w="40" w:type="dxa"/>
              <w:left w:w="0" w:type="dxa"/>
              <w:bottom w:w="40" w:type="dxa"/>
              <w:right w:w="20" w:type="dxa"/>
            </w:tcMar>
            <w:vAlign w:val="center"/>
          </w:tcPr>
          <w:p w14:paraId="5DEC5D3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3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3C" w14:textId="77777777" w:rsidR="00B1578D" w:rsidRDefault="004D2C04">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5DEC5D3D" w14:textId="77777777" w:rsidR="00B1578D" w:rsidRDefault="00B1578D">
            <w:pPr>
              <w:jc w:val="right"/>
              <w:rPr>
                <w:rFonts w:ascii="宋体"/>
              </w:rPr>
            </w:pPr>
          </w:p>
        </w:tc>
        <w:tc>
          <w:tcPr>
            <w:tcW w:w="0" w:type="auto"/>
            <w:shd w:val="clear" w:color="auto" w:fill="auto"/>
            <w:vAlign w:val="bottom"/>
          </w:tcPr>
          <w:p w14:paraId="5DEC5D3E" w14:textId="77777777" w:rsidR="00B1578D" w:rsidRDefault="00B1578D">
            <w:pPr>
              <w:rPr>
                <w:rFonts w:ascii="宋体"/>
                <w:vanish/>
              </w:rPr>
            </w:pPr>
          </w:p>
        </w:tc>
        <w:tc>
          <w:tcPr>
            <w:tcW w:w="0" w:type="auto"/>
            <w:shd w:val="clear" w:color="auto" w:fill="auto"/>
            <w:vAlign w:val="bottom"/>
          </w:tcPr>
          <w:p w14:paraId="5DEC5D3F" w14:textId="77777777" w:rsidR="00B1578D" w:rsidRDefault="00B1578D">
            <w:pPr>
              <w:rPr>
                <w:rFonts w:ascii="宋体"/>
                <w:vanish/>
              </w:rPr>
            </w:pPr>
          </w:p>
        </w:tc>
      </w:tr>
      <w:tr w:rsidR="00B1578D" w14:paraId="5DEC5D4A" w14:textId="77777777">
        <w:tc>
          <w:tcPr>
            <w:tcW w:w="0" w:type="auto"/>
            <w:gridSpan w:val="3"/>
            <w:shd w:val="clear" w:color="auto" w:fill="FFFFFF"/>
            <w:tcMar>
              <w:top w:w="40" w:type="dxa"/>
              <w:left w:w="20" w:type="dxa"/>
              <w:bottom w:w="40" w:type="dxa"/>
              <w:right w:w="20" w:type="dxa"/>
            </w:tcMar>
            <w:vAlign w:val="center"/>
          </w:tcPr>
          <w:p w14:paraId="5DEC5D41" w14:textId="77777777" w:rsidR="00B1578D" w:rsidRDefault="004D2C04">
            <w:pPr>
              <w:textAlignment w:val="center"/>
            </w:pPr>
            <w:r>
              <w:rPr>
                <w:rFonts w:ascii="Times New Roman" w:eastAsia="宋体" w:hAnsi="Times New Roman"/>
                <w:color w:val="000000"/>
                <w:sz w:val="16"/>
                <w:szCs w:val="16"/>
              </w:rPr>
              <w:t>Net cash provided by (used in) investing activities</w:t>
            </w:r>
          </w:p>
        </w:tc>
        <w:tc>
          <w:tcPr>
            <w:tcW w:w="0" w:type="auto"/>
            <w:gridSpan w:val="3"/>
            <w:shd w:val="clear" w:color="auto" w:fill="FFFFFF"/>
            <w:tcMar>
              <w:top w:w="0" w:type="dxa"/>
              <w:left w:w="20" w:type="dxa"/>
              <w:bottom w:w="0" w:type="dxa"/>
              <w:right w:w="20" w:type="dxa"/>
            </w:tcMar>
            <w:vAlign w:val="bottom"/>
          </w:tcPr>
          <w:p w14:paraId="5DEC5D42"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D43" w14:textId="77777777" w:rsidR="00B1578D" w:rsidRDefault="004D2C04">
            <w:pPr>
              <w:jc w:val="right"/>
              <w:textAlignment w:val="center"/>
            </w:pPr>
            <w:r>
              <w:rPr>
                <w:rFonts w:ascii="Times New Roman" w:eastAsia="宋体" w:hAnsi="Times New Roman"/>
                <w:color w:val="000000"/>
                <w:sz w:val="16"/>
                <w:szCs w:val="16"/>
              </w:rPr>
              <w:t>(4,558)</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D4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45"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D46" w14:textId="77777777" w:rsidR="00B1578D" w:rsidRDefault="004D2C04">
            <w:pPr>
              <w:jc w:val="right"/>
              <w:textAlignment w:val="center"/>
            </w:pPr>
            <w:r>
              <w:rPr>
                <w:rFonts w:ascii="Times New Roman" w:eastAsia="宋体" w:hAnsi="Times New Roman"/>
                <w:color w:val="000000"/>
                <w:sz w:val="16"/>
                <w:szCs w:val="16"/>
              </w:rPr>
              <w:t>5,850 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D47" w14:textId="77777777" w:rsidR="00B1578D" w:rsidRDefault="00B1578D">
            <w:pPr>
              <w:jc w:val="right"/>
              <w:rPr>
                <w:rFonts w:ascii="宋体"/>
              </w:rPr>
            </w:pPr>
          </w:p>
        </w:tc>
        <w:tc>
          <w:tcPr>
            <w:tcW w:w="0" w:type="auto"/>
            <w:shd w:val="clear" w:color="auto" w:fill="auto"/>
            <w:vAlign w:val="bottom"/>
          </w:tcPr>
          <w:p w14:paraId="5DEC5D48" w14:textId="77777777" w:rsidR="00B1578D" w:rsidRDefault="00B1578D">
            <w:pPr>
              <w:rPr>
                <w:rFonts w:ascii="宋体"/>
                <w:vanish/>
              </w:rPr>
            </w:pPr>
          </w:p>
        </w:tc>
        <w:tc>
          <w:tcPr>
            <w:tcW w:w="0" w:type="auto"/>
            <w:shd w:val="clear" w:color="auto" w:fill="auto"/>
            <w:vAlign w:val="bottom"/>
          </w:tcPr>
          <w:p w14:paraId="5DEC5D49" w14:textId="77777777" w:rsidR="00B1578D" w:rsidRDefault="00B1578D">
            <w:pPr>
              <w:rPr>
                <w:rFonts w:ascii="宋体"/>
                <w:vanish/>
              </w:rPr>
            </w:pPr>
          </w:p>
        </w:tc>
      </w:tr>
      <w:tr w:rsidR="00B1578D" w14:paraId="5DEC5D52" w14:textId="77777777">
        <w:trPr>
          <w:trHeight w:val="220"/>
        </w:trPr>
        <w:tc>
          <w:tcPr>
            <w:tcW w:w="0" w:type="auto"/>
            <w:gridSpan w:val="3"/>
            <w:shd w:val="clear" w:color="auto" w:fill="CCEEFF"/>
            <w:tcMar>
              <w:top w:w="0" w:type="dxa"/>
              <w:left w:w="20" w:type="dxa"/>
              <w:bottom w:w="0" w:type="dxa"/>
              <w:right w:w="20" w:type="dxa"/>
            </w:tcMar>
            <w:vAlign w:val="bottom"/>
          </w:tcPr>
          <w:p w14:paraId="5DEC5D4B"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D4C"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D4D"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D4E"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D4F" w14:textId="77777777" w:rsidR="00B1578D" w:rsidRDefault="00B1578D">
            <w:pPr>
              <w:rPr>
                <w:rFonts w:ascii="宋体"/>
              </w:rPr>
            </w:pPr>
          </w:p>
        </w:tc>
        <w:tc>
          <w:tcPr>
            <w:tcW w:w="0" w:type="auto"/>
            <w:shd w:val="clear" w:color="auto" w:fill="auto"/>
            <w:vAlign w:val="bottom"/>
          </w:tcPr>
          <w:p w14:paraId="5DEC5D50" w14:textId="77777777" w:rsidR="00B1578D" w:rsidRDefault="00B1578D">
            <w:pPr>
              <w:rPr>
                <w:rFonts w:ascii="宋体"/>
                <w:vanish/>
              </w:rPr>
            </w:pPr>
          </w:p>
        </w:tc>
        <w:tc>
          <w:tcPr>
            <w:tcW w:w="0" w:type="auto"/>
            <w:shd w:val="clear" w:color="auto" w:fill="auto"/>
            <w:vAlign w:val="bottom"/>
          </w:tcPr>
          <w:p w14:paraId="5DEC5D51" w14:textId="77777777" w:rsidR="00B1578D" w:rsidRDefault="00B1578D">
            <w:pPr>
              <w:rPr>
                <w:rFonts w:ascii="宋体"/>
                <w:vanish/>
              </w:rPr>
            </w:pPr>
          </w:p>
        </w:tc>
      </w:tr>
      <w:tr w:rsidR="00B1578D" w14:paraId="5DEC5D5A" w14:textId="77777777">
        <w:tc>
          <w:tcPr>
            <w:tcW w:w="0" w:type="auto"/>
            <w:gridSpan w:val="3"/>
            <w:shd w:val="clear" w:color="auto" w:fill="FFFFFF"/>
            <w:tcMar>
              <w:top w:w="40" w:type="dxa"/>
              <w:left w:w="20" w:type="dxa"/>
              <w:bottom w:w="40" w:type="dxa"/>
              <w:right w:w="20" w:type="dxa"/>
            </w:tcMar>
            <w:vAlign w:val="center"/>
          </w:tcPr>
          <w:p w14:paraId="5DEC5D53" w14:textId="77777777" w:rsidR="00B1578D" w:rsidRDefault="004D2C04">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vAlign w:val="bottom"/>
          </w:tcPr>
          <w:p w14:paraId="5DEC5D54"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5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5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57" w14:textId="77777777" w:rsidR="00B1578D" w:rsidRDefault="00B1578D">
            <w:pPr>
              <w:rPr>
                <w:rFonts w:ascii="宋体"/>
              </w:rPr>
            </w:pPr>
          </w:p>
        </w:tc>
        <w:tc>
          <w:tcPr>
            <w:tcW w:w="0" w:type="auto"/>
            <w:shd w:val="clear" w:color="auto" w:fill="auto"/>
            <w:vAlign w:val="bottom"/>
          </w:tcPr>
          <w:p w14:paraId="5DEC5D58" w14:textId="77777777" w:rsidR="00B1578D" w:rsidRDefault="00B1578D">
            <w:pPr>
              <w:rPr>
                <w:rFonts w:ascii="宋体"/>
                <w:vanish/>
              </w:rPr>
            </w:pPr>
          </w:p>
        </w:tc>
        <w:tc>
          <w:tcPr>
            <w:tcW w:w="0" w:type="auto"/>
            <w:shd w:val="clear" w:color="auto" w:fill="auto"/>
            <w:vAlign w:val="bottom"/>
          </w:tcPr>
          <w:p w14:paraId="5DEC5D59" w14:textId="77777777" w:rsidR="00B1578D" w:rsidRDefault="00B1578D">
            <w:pPr>
              <w:rPr>
                <w:rFonts w:ascii="宋体"/>
                <w:vanish/>
              </w:rPr>
            </w:pPr>
          </w:p>
        </w:tc>
      </w:tr>
      <w:tr w:rsidR="00B1578D" w14:paraId="5DEC5D64" w14:textId="77777777">
        <w:tc>
          <w:tcPr>
            <w:tcW w:w="0" w:type="auto"/>
            <w:gridSpan w:val="3"/>
            <w:shd w:val="clear" w:color="auto" w:fill="CCEEFF"/>
            <w:tcMar>
              <w:top w:w="40" w:type="dxa"/>
              <w:left w:w="380" w:type="dxa"/>
              <w:bottom w:w="40" w:type="dxa"/>
              <w:right w:w="20" w:type="dxa"/>
            </w:tcMar>
            <w:vAlign w:val="center"/>
          </w:tcPr>
          <w:p w14:paraId="5DEC5D5B" w14:textId="77777777" w:rsidR="00B1578D" w:rsidRDefault="004D2C04">
            <w:pPr>
              <w:textAlignment w:val="center"/>
            </w:pPr>
            <w:r>
              <w:rPr>
                <w:rFonts w:ascii="Times New Roman" w:eastAsia="宋体" w:hAnsi="Times New Roman"/>
                <w:color w:val="000000"/>
                <w:sz w:val="16"/>
                <w:szCs w:val="16"/>
              </w:rPr>
              <w:t>Net change in short-term borrowings</w:t>
            </w:r>
          </w:p>
        </w:tc>
        <w:tc>
          <w:tcPr>
            <w:tcW w:w="0" w:type="auto"/>
            <w:gridSpan w:val="3"/>
            <w:shd w:val="clear" w:color="auto" w:fill="CCEEFF"/>
            <w:tcMar>
              <w:top w:w="0" w:type="dxa"/>
              <w:left w:w="20" w:type="dxa"/>
              <w:bottom w:w="0" w:type="dxa"/>
              <w:right w:w="20" w:type="dxa"/>
            </w:tcMar>
            <w:vAlign w:val="bottom"/>
          </w:tcPr>
          <w:p w14:paraId="5DEC5D5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5D" w14:textId="77777777" w:rsidR="00B1578D" w:rsidRDefault="004D2C04">
            <w:pPr>
              <w:jc w:val="right"/>
              <w:textAlignment w:val="center"/>
            </w:pPr>
            <w:r>
              <w:rPr>
                <w:rFonts w:ascii="Times New Roman" w:eastAsia="宋体" w:hAnsi="Times New Roman"/>
                <w:color w:val="000000"/>
                <w:sz w:val="16"/>
                <w:szCs w:val="16"/>
              </w:rPr>
              <w:t>10,995 </w:t>
            </w:r>
          </w:p>
        </w:tc>
        <w:tc>
          <w:tcPr>
            <w:tcW w:w="0" w:type="auto"/>
            <w:shd w:val="clear" w:color="auto" w:fill="CCEEFF"/>
            <w:tcMar>
              <w:top w:w="40" w:type="dxa"/>
              <w:left w:w="0" w:type="dxa"/>
              <w:bottom w:w="40" w:type="dxa"/>
              <w:right w:w="20" w:type="dxa"/>
            </w:tcMar>
            <w:vAlign w:val="center"/>
          </w:tcPr>
          <w:p w14:paraId="5DEC5D5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5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60" w14:textId="77777777" w:rsidR="00B1578D" w:rsidRDefault="004D2C04">
            <w:pPr>
              <w:jc w:val="right"/>
              <w:textAlignment w:val="center"/>
            </w:pPr>
            <w:r>
              <w:rPr>
                <w:rFonts w:ascii="Times New Roman" w:eastAsia="宋体" w:hAnsi="Times New Roman"/>
                <w:color w:val="000000"/>
                <w:sz w:val="16"/>
                <w:szCs w:val="16"/>
              </w:rPr>
              <w:t>138 </w:t>
            </w:r>
          </w:p>
        </w:tc>
        <w:tc>
          <w:tcPr>
            <w:tcW w:w="0" w:type="auto"/>
            <w:shd w:val="clear" w:color="auto" w:fill="CCEEFF"/>
            <w:tcMar>
              <w:top w:w="40" w:type="dxa"/>
              <w:left w:w="0" w:type="dxa"/>
              <w:bottom w:w="40" w:type="dxa"/>
              <w:right w:w="20" w:type="dxa"/>
            </w:tcMar>
            <w:vAlign w:val="center"/>
          </w:tcPr>
          <w:p w14:paraId="5DEC5D61" w14:textId="77777777" w:rsidR="00B1578D" w:rsidRDefault="00B1578D">
            <w:pPr>
              <w:jc w:val="right"/>
              <w:rPr>
                <w:rFonts w:ascii="宋体"/>
              </w:rPr>
            </w:pPr>
          </w:p>
        </w:tc>
        <w:tc>
          <w:tcPr>
            <w:tcW w:w="0" w:type="auto"/>
            <w:shd w:val="clear" w:color="auto" w:fill="auto"/>
            <w:vAlign w:val="bottom"/>
          </w:tcPr>
          <w:p w14:paraId="5DEC5D62" w14:textId="77777777" w:rsidR="00B1578D" w:rsidRDefault="00B1578D">
            <w:pPr>
              <w:rPr>
                <w:rFonts w:ascii="宋体"/>
                <w:vanish/>
              </w:rPr>
            </w:pPr>
          </w:p>
        </w:tc>
        <w:tc>
          <w:tcPr>
            <w:tcW w:w="0" w:type="auto"/>
            <w:shd w:val="clear" w:color="auto" w:fill="auto"/>
            <w:vAlign w:val="bottom"/>
          </w:tcPr>
          <w:p w14:paraId="5DEC5D63" w14:textId="77777777" w:rsidR="00B1578D" w:rsidRDefault="00B1578D">
            <w:pPr>
              <w:rPr>
                <w:rFonts w:ascii="宋体"/>
                <w:vanish/>
              </w:rPr>
            </w:pPr>
          </w:p>
        </w:tc>
      </w:tr>
      <w:tr w:rsidR="00B1578D" w14:paraId="5DEC5D6C" w14:textId="77777777">
        <w:trPr>
          <w:hidden/>
        </w:trPr>
        <w:tc>
          <w:tcPr>
            <w:tcW w:w="0" w:type="auto"/>
            <w:gridSpan w:val="3"/>
            <w:shd w:val="clear" w:color="auto" w:fill="auto"/>
            <w:vAlign w:val="bottom"/>
          </w:tcPr>
          <w:p w14:paraId="5DEC5D65" w14:textId="77777777" w:rsidR="00B1578D" w:rsidRDefault="00B1578D">
            <w:pPr>
              <w:rPr>
                <w:rFonts w:ascii="宋体"/>
                <w:vanish/>
              </w:rPr>
            </w:pPr>
          </w:p>
        </w:tc>
        <w:tc>
          <w:tcPr>
            <w:tcW w:w="0" w:type="auto"/>
            <w:gridSpan w:val="3"/>
            <w:shd w:val="clear" w:color="auto" w:fill="auto"/>
            <w:vAlign w:val="bottom"/>
          </w:tcPr>
          <w:p w14:paraId="5DEC5D66" w14:textId="77777777" w:rsidR="00B1578D" w:rsidRDefault="00B1578D">
            <w:pPr>
              <w:rPr>
                <w:rFonts w:ascii="宋体"/>
                <w:vanish/>
              </w:rPr>
            </w:pPr>
          </w:p>
        </w:tc>
        <w:tc>
          <w:tcPr>
            <w:tcW w:w="0" w:type="auto"/>
            <w:gridSpan w:val="3"/>
            <w:shd w:val="clear" w:color="auto" w:fill="auto"/>
            <w:vAlign w:val="bottom"/>
          </w:tcPr>
          <w:p w14:paraId="5DEC5D67" w14:textId="77777777" w:rsidR="00B1578D" w:rsidRDefault="00B1578D">
            <w:pPr>
              <w:rPr>
                <w:rFonts w:ascii="宋体"/>
                <w:vanish/>
              </w:rPr>
            </w:pPr>
          </w:p>
        </w:tc>
        <w:tc>
          <w:tcPr>
            <w:tcW w:w="0" w:type="auto"/>
            <w:gridSpan w:val="3"/>
            <w:shd w:val="clear" w:color="auto" w:fill="auto"/>
            <w:vAlign w:val="bottom"/>
          </w:tcPr>
          <w:p w14:paraId="5DEC5D68" w14:textId="77777777" w:rsidR="00B1578D" w:rsidRDefault="00B1578D">
            <w:pPr>
              <w:rPr>
                <w:rFonts w:ascii="宋体"/>
                <w:vanish/>
              </w:rPr>
            </w:pPr>
          </w:p>
        </w:tc>
        <w:tc>
          <w:tcPr>
            <w:tcW w:w="0" w:type="auto"/>
            <w:gridSpan w:val="3"/>
            <w:shd w:val="clear" w:color="auto" w:fill="auto"/>
            <w:vAlign w:val="bottom"/>
          </w:tcPr>
          <w:p w14:paraId="5DEC5D69" w14:textId="77777777" w:rsidR="00B1578D" w:rsidRDefault="00B1578D">
            <w:pPr>
              <w:rPr>
                <w:rFonts w:ascii="宋体"/>
                <w:vanish/>
              </w:rPr>
            </w:pPr>
          </w:p>
        </w:tc>
        <w:tc>
          <w:tcPr>
            <w:tcW w:w="0" w:type="auto"/>
            <w:shd w:val="clear" w:color="auto" w:fill="auto"/>
            <w:vAlign w:val="bottom"/>
          </w:tcPr>
          <w:p w14:paraId="5DEC5D6A" w14:textId="77777777" w:rsidR="00B1578D" w:rsidRDefault="00B1578D">
            <w:pPr>
              <w:rPr>
                <w:rFonts w:ascii="宋体"/>
                <w:vanish/>
              </w:rPr>
            </w:pPr>
          </w:p>
        </w:tc>
        <w:tc>
          <w:tcPr>
            <w:tcW w:w="0" w:type="auto"/>
            <w:shd w:val="clear" w:color="auto" w:fill="auto"/>
            <w:vAlign w:val="bottom"/>
          </w:tcPr>
          <w:p w14:paraId="5DEC5D6B" w14:textId="77777777" w:rsidR="00B1578D" w:rsidRDefault="00B1578D">
            <w:pPr>
              <w:rPr>
                <w:rFonts w:ascii="宋体"/>
                <w:vanish/>
              </w:rPr>
            </w:pPr>
          </w:p>
        </w:tc>
      </w:tr>
      <w:tr w:rsidR="00B1578D" w14:paraId="5DEC5D76" w14:textId="77777777">
        <w:tc>
          <w:tcPr>
            <w:tcW w:w="0" w:type="auto"/>
            <w:gridSpan w:val="3"/>
            <w:shd w:val="clear" w:color="auto" w:fill="FFFFFF"/>
            <w:tcMar>
              <w:top w:w="40" w:type="dxa"/>
              <w:left w:w="380" w:type="dxa"/>
              <w:bottom w:w="40" w:type="dxa"/>
              <w:right w:w="20" w:type="dxa"/>
            </w:tcMar>
            <w:vAlign w:val="center"/>
          </w:tcPr>
          <w:p w14:paraId="5DEC5D6D" w14:textId="77777777" w:rsidR="00B1578D" w:rsidRDefault="004D2C04">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5DEC5D6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6F" w14:textId="77777777" w:rsidR="00B1578D" w:rsidRDefault="004D2C04">
            <w:pPr>
              <w:jc w:val="right"/>
              <w:textAlignment w:val="center"/>
            </w:pPr>
            <w:r>
              <w:rPr>
                <w:rFonts w:ascii="Times New Roman" w:eastAsia="宋体" w:hAnsi="Times New Roman"/>
                <w:color w:val="000000"/>
                <w:sz w:val="16"/>
                <w:szCs w:val="16"/>
              </w:rPr>
              <w:t>(926)</w:t>
            </w:r>
          </w:p>
        </w:tc>
        <w:tc>
          <w:tcPr>
            <w:tcW w:w="0" w:type="auto"/>
            <w:shd w:val="clear" w:color="auto" w:fill="FFFFFF"/>
            <w:tcMar>
              <w:top w:w="40" w:type="dxa"/>
              <w:left w:w="0" w:type="dxa"/>
              <w:bottom w:w="40" w:type="dxa"/>
              <w:right w:w="20" w:type="dxa"/>
            </w:tcMar>
            <w:vAlign w:val="center"/>
          </w:tcPr>
          <w:p w14:paraId="5DEC5D7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7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72" w14:textId="77777777" w:rsidR="00B1578D" w:rsidRDefault="004D2C04">
            <w:pPr>
              <w:jc w:val="right"/>
              <w:textAlignment w:val="center"/>
            </w:pPr>
            <w:r>
              <w:rPr>
                <w:rFonts w:ascii="Times New Roman" w:eastAsia="宋体" w:hAnsi="Times New Roman"/>
                <w:color w:val="000000"/>
                <w:sz w:val="16"/>
                <w:szCs w:val="16"/>
              </w:rPr>
              <w:t>(510)</w:t>
            </w:r>
          </w:p>
        </w:tc>
        <w:tc>
          <w:tcPr>
            <w:tcW w:w="0" w:type="auto"/>
            <w:shd w:val="clear" w:color="auto" w:fill="FFFFFF"/>
            <w:tcMar>
              <w:top w:w="40" w:type="dxa"/>
              <w:left w:w="0" w:type="dxa"/>
              <w:bottom w:w="40" w:type="dxa"/>
              <w:right w:w="20" w:type="dxa"/>
            </w:tcMar>
            <w:vAlign w:val="center"/>
          </w:tcPr>
          <w:p w14:paraId="5DEC5D73" w14:textId="77777777" w:rsidR="00B1578D" w:rsidRDefault="00B1578D">
            <w:pPr>
              <w:jc w:val="right"/>
              <w:rPr>
                <w:rFonts w:ascii="宋体"/>
              </w:rPr>
            </w:pPr>
          </w:p>
        </w:tc>
        <w:tc>
          <w:tcPr>
            <w:tcW w:w="0" w:type="auto"/>
            <w:shd w:val="clear" w:color="auto" w:fill="auto"/>
            <w:vAlign w:val="bottom"/>
          </w:tcPr>
          <w:p w14:paraId="5DEC5D74" w14:textId="77777777" w:rsidR="00B1578D" w:rsidRDefault="00B1578D">
            <w:pPr>
              <w:rPr>
                <w:rFonts w:ascii="宋体"/>
                <w:vanish/>
              </w:rPr>
            </w:pPr>
          </w:p>
        </w:tc>
        <w:tc>
          <w:tcPr>
            <w:tcW w:w="0" w:type="auto"/>
            <w:shd w:val="clear" w:color="auto" w:fill="auto"/>
            <w:vAlign w:val="bottom"/>
          </w:tcPr>
          <w:p w14:paraId="5DEC5D75" w14:textId="77777777" w:rsidR="00B1578D" w:rsidRDefault="00B1578D">
            <w:pPr>
              <w:rPr>
                <w:rFonts w:ascii="宋体"/>
                <w:vanish/>
              </w:rPr>
            </w:pPr>
          </w:p>
        </w:tc>
      </w:tr>
      <w:tr w:rsidR="00B1578D" w14:paraId="5DEC5D7E" w14:textId="77777777">
        <w:trPr>
          <w:hidden/>
        </w:trPr>
        <w:tc>
          <w:tcPr>
            <w:tcW w:w="0" w:type="auto"/>
            <w:gridSpan w:val="3"/>
            <w:shd w:val="clear" w:color="auto" w:fill="auto"/>
            <w:vAlign w:val="bottom"/>
          </w:tcPr>
          <w:p w14:paraId="5DEC5D77" w14:textId="77777777" w:rsidR="00B1578D" w:rsidRDefault="00B1578D">
            <w:pPr>
              <w:rPr>
                <w:rFonts w:ascii="宋体"/>
                <w:vanish/>
              </w:rPr>
            </w:pPr>
          </w:p>
        </w:tc>
        <w:tc>
          <w:tcPr>
            <w:tcW w:w="0" w:type="auto"/>
            <w:gridSpan w:val="3"/>
            <w:shd w:val="clear" w:color="auto" w:fill="auto"/>
            <w:vAlign w:val="bottom"/>
          </w:tcPr>
          <w:p w14:paraId="5DEC5D78" w14:textId="77777777" w:rsidR="00B1578D" w:rsidRDefault="00B1578D">
            <w:pPr>
              <w:rPr>
                <w:rFonts w:ascii="宋体"/>
                <w:vanish/>
              </w:rPr>
            </w:pPr>
          </w:p>
        </w:tc>
        <w:tc>
          <w:tcPr>
            <w:tcW w:w="0" w:type="auto"/>
            <w:gridSpan w:val="3"/>
            <w:shd w:val="clear" w:color="auto" w:fill="auto"/>
            <w:vAlign w:val="bottom"/>
          </w:tcPr>
          <w:p w14:paraId="5DEC5D79" w14:textId="77777777" w:rsidR="00B1578D" w:rsidRDefault="00B1578D">
            <w:pPr>
              <w:rPr>
                <w:rFonts w:ascii="宋体"/>
                <w:vanish/>
              </w:rPr>
            </w:pPr>
          </w:p>
        </w:tc>
        <w:tc>
          <w:tcPr>
            <w:tcW w:w="0" w:type="auto"/>
            <w:gridSpan w:val="3"/>
            <w:shd w:val="clear" w:color="auto" w:fill="auto"/>
            <w:vAlign w:val="bottom"/>
          </w:tcPr>
          <w:p w14:paraId="5DEC5D7A" w14:textId="77777777" w:rsidR="00B1578D" w:rsidRDefault="00B1578D">
            <w:pPr>
              <w:rPr>
                <w:rFonts w:ascii="宋体"/>
                <w:vanish/>
              </w:rPr>
            </w:pPr>
          </w:p>
        </w:tc>
        <w:tc>
          <w:tcPr>
            <w:tcW w:w="0" w:type="auto"/>
            <w:gridSpan w:val="3"/>
            <w:shd w:val="clear" w:color="auto" w:fill="auto"/>
            <w:vAlign w:val="bottom"/>
          </w:tcPr>
          <w:p w14:paraId="5DEC5D7B" w14:textId="77777777" w:rsidR="00B1578D" w:rsidRDefault="00B1578D">
            <w:pPr>
              <w:rPr>
                <w:rFonts w:ascii="宋体"/>
                <w:vanish/>
              </w:rPr>
            </w:pPr>
          </w:p>
        </w:tc>
        <w:tc>
          <w:tcPr>
            <w:tcW w:w="0" w:type="auto"/>
            <w:shd w:val="clear" w:color="auto" w:fill="auto"/>
            <w:vAlign w:val="bottom"/>
          </w:tcPr>
          <w:p w14:paraId="5DEC5D7C" w14:textId="77777777" w:rsidR="00B1578D" w:rsidRDefault="00B1578D">
            <w:pPr>
              <w:rPr>
                <w:rFonts w:ascii="宋体"/>
                <w:vanish/>
              </w:rPr>
            </w:pPr>
          </w:p>
        </w:tc>
        <w:tc>
          <w:tcPr>
            <w:tcW w:w="0" w:type="auto"/>
            <w:shd w:val="clear" w:color="auto" w:fill="auto"/>
            <w:vAlign w:val="bottom"/>
          </w:tcPr>
          <w:p w14:paraId="5DEC5D7D" w14:textId="77777777" w:rsidR="00B1578D" w:rsidRDefault="00B1578D">
            <w:pPr>
              <w:rPr>
                <w:rFonts w:ascii="宋体"/>
                <w:vanish/>
              </w:rPr>
            </w:pPr>
          </w:p>
        </w:tc>
      </w:tr>
      <w:tr w:rsidR="00B1578D" w14:paraId="5DEC5D88" w14:textId="77777777">
        <w:tc>
          <w:tcPr>
            <w:tcW w:w="0" w:type="auto"/>
            <w:gridSpan w:val="3"/>
            <w:shd w:val="clear" w:color="auto" w:fill="CCEEFF"/>
            <w:tcMar>
              <w:top w:w="40" w:type="dxa"/>
              <w:left w:w="380" w:type="dxa"/>
              <w:bottom w:w="40" w:type="dxa"/>
              <w:right w:w="20" w:type="dxa"/>
            </w:tcMar>
            <w:vAlign w:val="center"/>
          </w:tcPr>
          <w:p w14:paraId="5DEC5D7F" w14:textId="77777777" w:rsidR="00B1578D" w:rsidRDefault="004D2C04">
            <w:pPr>
              <w:textAlignment w:val="center"/>
            </w:pPr>
            <w:r>
              <w:rPr>
                <w:rFonts w:ascii="Times New Roman" w:eastAsia="宋体" w:hAnsi="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bottom"/>
          </w:tcPr>
          <w:p w14:paraId="5DEC5D8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81" w14:textId="77777777" w:rsidR="00B1578D" w:rsidRDefault="004D2C04">
            <w:pPr>
              <w:jc w:val="right"/>
              <w:textAlignment w:val="center"/>
            </w:pPr>
            <w:r>
              <w:rPr>
                <w:rFonts w:ascii="Times New Roman" w:eastAsia="宋体" w:hAnsi="Times New Roman"/>
                <w:color w:val="000000"/>
                <w:sz w:val="16"/>
                <w:szCs w:val="16"/>
              </w:rPr>
              <w:t>(1,543)</w:t>
            </w:r>
          </w:p>
        </w:tc>
        <w:tc>
          <w:tcPr>
            <w:tcW w:w="0" w:type="auto"/>
            <w:shd w:val="clear" w:color="auto" w:fill="CCEEFF"/>
            <w:tcMar>
              <w:top w:w="40" w:type="dxa"/>
              <w:left w:w="0" w:type="dxa"/>
              <w:bottom w:w="40" w:type="dxa"/>
              <w:right w:w="20" w:type="dxa"/>
            </w:tcMar>
            <w:vAlign w:val="center"/>
          </w:tcPr>
          <w:p w14:paraId="5DEC5D8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8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84" w14:textId="77777777" w:rsidR="00B1578D" w:rsidRDefault="004D2C04">
            <w:pPr>
              <w:jc w:val="right"/>
              <w:textAlignment w:val="center"/>
            </w:pPr>
            <w:r>
              <w:rPr>
                <w:rFonts w:ascii="Times New Roman" w:eastAsia="宋体" w:hAnsi="Times New Roman"/>
                <w:color w:val="000000"/>
                <w:sz w:val="16"/>
                <w:szCs w:val="16"/>
              </w:rPr>
              <w:t>(1,549)</w:t>
            </w:r>
          </w:p>
        </w:tc>
        <w:tc>
          <w:tcPr>
            <w:tcW w:w="0" w:type="auto"/>
            <w:shd w:val="clear" w:color="auto" w:fill="CCEEFF"/>
            <w:tcMar>
              <w:top w:w="40" w:type="dxa"/>
              <w:left w:w="0" w:type="dxa"/>
              <w:bottom w:w="40" w:type="dxa"/>
              <w:right w:w="20" w:type="dxa"/>
            </w:tcMar>
            <w:vAlign w:val="center"/>
          </w:tcPr>
          <w:p w14:paraId="5DEC5D85" w14:textId="77777777" w:rsidR="00B1578D" w:rsidRDefault="00B1578D">
            <w:pPr>
              <w:jc w:val="right"/>
              <w:rPr>
                <w:rFonts w:ascii="宋体"/>
              </w:rPr>
            </w:pPr>
          </w:p>
        </w:tc>
        <w:tc>
          <w:tcPr>
            <w:tcW w:w="0" w:type="auto"/>
            <w:shd w:val="clear" w:color="auto" w:fill="auto"/>
            <w:vAlign w:val="bottom"/>
          </w:tcPr>
          <w:p w14:paraId="5DEC5D86" w14:textId="77777777" w:rsidR="00B1578D" w:rsidRDefault="00B1578D">
            <w:pPr>
              <w:rPr>
                <w:rFonts w:ascii="宋体"/>
                <w:vanish/>
              </w:rPr>
            </w:pPr>
          </w:p>
        </w:tc>
        <w:tc>
          <w:tcPr>
            <w:tcW w:w="0" w:type="auto"/>
            <w:shd w:val="clear" w:color="auto" w:fill="auto"/>
            <w:vAlign w:val="bottom"/>
          </w:tcPr>
          <w:p w14:paraId="5DEC5D87" w14:textId="77777777" w:rsidR="00B1578D" w:rsidRDefault="00B1578D">
            <w:pPr>
              <w:rPr>
                <w:rFonts w:ascii="宋体"/>
                <w:vanish/>
              </w:rPr>
            </w:pPr>
          </w:p>
        </w:tc>
      </w:tr>
      <w:tr w:rsidR="00B1578D" w14:paraId="5DEC5D92" w14:textId="77777777">
        <w:tc>
          <w:tcPr>
            <w:tcW w:w="0" w:type="auto"/>
            <w:gridSpan w:val="3"/>
            <w:shd w:val="clear" w:color="auto" w:fill="FFFFFF"/>
            <w:tcMar>
              <w:top w:w="40" w:type="dxa"/>
              <w:left w:w="380" w:type="dxa"/>
              <w:bottom w:w="40" w:type="dxa"/>
              <w:right w:w="20" w:type="dxa"/>
            </w:tcMar>
            <w:vAlign w:val="center"/>
          </w:tcPr>
          <w:p w14:paraId="5DEC5D89" w14:textId="77777777" w:rsidR="00B1578D" w:rsidRDefault="004D2C04">
            <w:pPr>
              <w:textAlignment w:val="center"/>
            </w:pPr>
            <w:r>
              <w:rPr>
                <w:rFonts w:ascii="Times New Roman" w:eastAsia="宋体" w:hAnsi="Times New Roman"/>
                <w:color w:val="000000"/>
                <w:sz w:val="16"/>
                <w:szCs w:val="16"/>
              </w:rPr>
              <w:t>Purchase of Company stock</w:t>
            </w:r>
          </w:p>
        </w:tc>
        <w:tc>
          <w:tcPr>
            <w:tcW w:w="0" w:type="auto"/>
            <w:gridSpan w:val="3"/>
            <w:shd w:val="clear" w:color="auto" w:fill="FFFFFF"/>
            <w:tcMar>
              <w:top w:w="0" w:type="dxa"/>
              <w:left w:w="20" w:type="dxa"/>
              <w:bottom w:w="0" w:type="dxa"/>
              <w:right w:w="20" w:type="dxa"/>
            </w:tcMar>
            <w:vAlign w:val="bottom"/>
          </w:tcPr>
          <w:p w14:paraId="5DEC5D8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8B" w14:textId="77777777" w:rsidR="00B1578D" w:rsidRDefault="004D2C04">
            <w:pPr>
              <w:jc w:val="right"/>
              <w:textAlignment w:val="center"/>
            </w:pPr>
            <w:r>
              <w:rPr>
                <w:rFonts w:ascii="Times New Roman" w:eastAsia="宋体" w:hAnsi="Times New Roman"/>
                <w:color w:val="000000"/>
                <w:sz w:val="16"/>
                <w:szCs w:val="16"/>
              </w:rPr>
              <w:t>(2,408)</w:t>
            </w:r>
          </w:p>
        </w:tc>
        <w:tc>
          <w:tcPr>
            <w:tcW w:w="0" w:type="auto"/>
            <w:shd w:val="clear" w:color="auto" w:fill="FFFFFF"/>
            <w:tcMar>
              <w:top w:w="40" w:type="dxa"/>
              <w:left w:w="0" w:type="dxa"/>
              <w:bottom w:w="40" w:type="dxa"/>
              <w:right w:w="20" w:type="dxa"/>
            </w:tcMar>
            <w:vAlign w:val="center"/>
          </w:tcPr>
          <w:p w14:paraId="5DEC5D8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8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8E" w14:textId="77777777" w:rsidR="00B1578D" w:rsidRDefault="004D2C04">
            <w:pPr>
              <w:jc w:val="right"/>
              <w:textAlignment w:val="center"/>
            </w:pPr>
            <w:r>
              <w:rPr>
                <w:rFonts w:ascii="Times New Roman" w:eastAsia="宋体" w:hAnsi="Times New Roman"/>
                <w:color w:val="000000"/>
                <w:sz w:val="16"/>
                <w:szCs w:val="16"/>
              </w:rPr>
              <w:t>(2,809)</w:t>
            </w:r>
          </w:p>
        </w:tc>
        <w:tc>
          <w:tcPr>
            <w:tcW w:w="0" w:type="auto"/>
            <w:shd w:val="clear" w:color="auto" w:fill="FFFFFF"/>
            <w:tcMar>
              <w:top w:w="40" w:type="dxa"/>
              <w:left w:w="0" w:type="dxa"/>
              <w:bottom w:w="40" w:type="dxa"/>
              <w:right w:w="20" w:type="dxa"/>
            </w:tcMar>
            <w:vAlign w:val="center"/>
          </w:tcPr>
          <w:p w14:paraId="5DEC5D8F" w14:textId="77777777" w:rsidR="00B1578D" w:rsidRDefault="00B1578D">
            <w:pPr>
              <w:jc w:val="right"/>
              <w:rPr>
                <w:rFonts w:ascii="宋体"/>
              </w:rPr>
            </w:pPr>
          </w:p>
        </w:tc>
        <w:tc>
          <w:tcPr>
            <w:tcW w:w="0" w:type="auto"/>
            <w:shd w:val="clear" w:color="auto" w:fill="auto"/>
            <w:vAlign w:val="bottom"/>
          </w:tcPr>
          <w:p w14:paraId="5DEC5D90" w14:textId="77777777" w:rsidR="00B1578D" w:rsidRDefault="00B1578D">
            <w:pPr>
              <w:rPr>
                <w:rFonts w:ascii="宋体"/>
                <w:vanish/>
              </w:rPr>
            </w:pPr>
          </w:p>
        </w:tc>
        <w:tc>
          <w:tcPr>
            <w:tcW w:w="0" w:type="auto"/>
            <w:shd w:val="clear" w:color="auto" w:fill="auto"/>
            <w:vAlign w:val="bottom"/>
          </w:tcPr>
          <w:p w14:paraId="5DEC5D91" w14:textId="77777777" w:rsidR="00B1578D" w:rsidRDefault="00B1578D">
            <w:pPr>
              <w:rPr>
                <w:rFonts w:ascii="宋体"/>
                <w:vanish/>
              </w:rPr>
            </w:pPr>
          </w:p>
        </w:tc>
      </w:tr>
      <w:tr w:rsidR="00B1578D" w14:paraId="5DEC5D9A" w14:textId="77777777">
        <w:trPr>
          <w:hidden/>
        </w:trPr>
        <w:tc>
          <w:tcPr>
            <w:tcW w:w="0" w:type="auto"/>
            <w:gridSpan w:val="3"/>
            <w:shd w:val="clear" w:color="auto" w:fill="auto"/>
            <w:vAlign w:val="bottom"/>
          </w:tcPr>
          <w:p w14:paraId="5DEC5D93" w14:textId="77777777" w:rsidR="00B1578D" w:rsidRDefault="00B1578D">
            <w:pPr>
              <w:rPr>
                <w:rFonts w:ascii="宋体"/>
                <w:vanish/>
              </w:rPr>
            </w:pPr>
          </w:p>
        </w:tc>
        <w:tc>
          <w:tcPr>
            <w:tcW w:w="0" w:type="auto"/>
            <w:gridSpan w:val="3"/>
            <w:shd w:val="clear" w:color="auto" w:fill="auto"/>
            <w:vAlign w:val="bottom"/>
          </w:tcPr>
          <w:p w14:paraId="5DEC5D94" w14:textId="77777777" w:rsidR="00B1578D" w:rsidRDefault="00B1578D">
            <w:pPr>
              <w:rPr>
                <w:rFonts w:ascii="宋体"/>
                <w:vanish/>
              </w:rPr>
            </w:pPr>
          </w:p>
        </w:tc>
        <w:tc>
          <w:tcPr>
            <w:tcW w:w="0" w:type="auto"/>
            <w:gridSpan w:val="3"/>
            <w:shd w:val="clear" w:color="auto" w:fill="auto"/>
            <w:vAlign w:val="bottom"/>
          </w:tcPr>
          <w:p w14:paraId="5DEC5D95" w14:textId="77777777" w:rsidR="00B1578D" w:rsidRDefault="00B1578D">
            <w:pPr>
              <w:rPr>
                <w:rFonts w:ascii="宋体"/>
                <w:vanish/>
              </w:rPr>
            </w:pPr>
          </w:p>
        </w:tc>
        <w:tc>
          <w:tcPr>
            <w:tcW w:w="0" w:type="auto"/>
            <w:gridSpan w:val="3"/>
            <w:shd w:val="clear" w:color="auto" w:fill="auto"/>
            <w:vAlign w:val="bottom"/>
          </w:tcPr>
          <w:p w14:paraId="5DEC5D96" w14:textId="77777777" w:rsidR="00B1578D" w:rsidRDefault="00B1578D">
            <w:pPr>
              <w:rPr>
                <w:rFonts w:ascii="宋体"/>
                <w:vanish/>
              </w:rPr>
            </w:pPr>
          </w:p>
        </w:tc>
        <w:tc>
          <w:tcPr>
            <w:tcW w:w="0" w:type="auto"/>
            <w:gridSpan w:val="3"/>
            <w:shd w:val="clear" w:color="auto" w:fill="auto"/>
            <w:vAlign w:val="bottom"/>
          </w:tcPr>
          <w:p w14:paraId="5DEC5D97" w14:textId="77777777" w:rsidR="00B1578D" w:rsidRDefault="00B1578D">
            <w:pPr>
              <w:rPr>
                <w:rFonts w:ascii="宋体"/>
                <w:vanish/>
              </w:rPr>
            </w:pPr>
          </w:p>
        </w:tc>
        <w:tc>
          <w:tcPr>
            <w:tcW w:w="0" w:type="auto"/>
            <w:shd w:val="clear" w:color="auto" w:fill="auto"/>
            <w:vAlign w:val="bottom"/>
          </w:tcPr>
          <w:p w14:paraId="5DEC5D98" w14:textId="77777777" w:rsidR="00B1578D" w:rsidRDefault="00B1578D">
            <w:pPr>
              <w:rPr>
                <w:rFonts w:ascii="宋体"/>
                <w:vanish/>
              </w:rPr>
            </w:pPr>
          </w:p>
        </w:tc>
        <w:tc>
          <w:tcPr>
            <w:tcW w:w="0" w:type="auto"/>
            <w:shd w:val="clear" w:color="auto" w:fill="auto"/>
            <w:vAlign w:val="bottom"/>
          </w:tcPr>
          <w:p w14:paraId="5DEC5D99" w14:textId="77777777" w:rsidR="00B1578D" w:rsidRDefault="00B1578D">
            <w:pPr>
              <w:rPr>
                <w:rFonts w:ascii="宋体"/>
                <w:vanish/>
              </w:rPr>
            </w:pPr>
          </w:p>
        </w:tc>
      </w:tr>
      <w:tr w:rsidR="00B1578D" w14:paraId="5DEC5DA2" w14:textId="77777777">
        <w:trPr>
          <w:hidden/>
        </w:trPr>
        <w:tc>
          <w:tcPr>
            <w:tcW w:w="0" w:type="auto"/>
            <w:gridSpan w:val="3"/>
            <w:shd w:val="clear" w:color="auto" w:fill="auto"/>
            <w:vAlign w:val="bottom"/>
          </w:tcPr>
          <w:p w14:paraId="5DEC5D9B" w14:textId="77777777" w:rsidR="00B1578D" w:rsidRDefault="00B1578D">
            <w:pPr>
              <w:rPr>
                <w:rFonts w:ascii="宋体"/>
                <w:vanish/>
              </w:rPr>
            </w:pPr>
          </w:p>
        </w:tc>
        <w:tc>
          <w:tcPr>
            <w:tcW w:w="0" w:type="auto"/>
            <w:gridSpan w:val="3"/>
            <w:shd w:val="clear" w:color="auto" w:fill="auto"/>
            <w:vAlign w:val="bottom"/>
          </w:tcPr>
          <w:p w14:paraId="5DEC5D9C" w14:textId="77777777" w:rsidR="00B1578D" w:rsidRDefault="00B1578D">
            <w:pPr>
              <w:rPr>
                <w:rFonts w:ascii="宋体"/>
                <w:vanish/>
              </w:rPr>
            </w:pPr>
          </w:p>
        </w:tc>
        <w:tc>
          <w:tcPr>
            <w:tcW w:w="0" w:type="auto"/>
            <w:gridSpan w:val="3"/>
            <w:shd w:val="clear" w:color="auto" w:fill="auto"/>
            <w:vAlign w:val="bottom"/>
          </w:tcPr>
          <w:p w14:paraId="5DEC5D9D" w14:textId="77777777" w:rsidR="00B1578D" w:rsidRDefault="00B1578D">
            <w:pPr>
              <w:rPr>
                <w:rFonts w:ascii="宋体"/>
                <w:vanish/>
              </w:rPr>
            </w:pPr>
          </w:p>
        </w:tc>
        <w:tc>
          <w:tcPr>
            <w:tcW w:w="0" w:type="auto"/>
            <w:gridSpan w:val="3"/>
            <w:shd w:val="clear" w:color="auto" w:fill="auto"/>
            <w:vAlign w:val="bottom"/>
          </w:tcPr>
          <w:p w14:paraId="5DEC5D9E" w14:textId="77777777" w:rsidR="00B1578D" w:rsidRDefault="00B1578D">
            <w:pPr>
              <w:rPr>
                <w:rFonts w:ascii="宋体"/>
                <w:vanish/>
              </w:rPr>
            </w:pPr>
          </w:p>
        </w:tc>
        <w:tc>
          <w:tcPr>
            <w:tcW w:w="0" w:type="auto"/>
            <w:gridSpan w:val="3"/>
            <w:shd w:val="clear" w:color="auto" w:fill="auto"/>
            <w:vAlign w:val="bottom"/>
          </w:tcPr>
          <w:p w14:paraId="5DEC5D9F" w14:textId="77777777" w:rsidR="00B1578D" w:rsidRDefault="00B1578D">
            <w:pPr>
              <w:rPr>
                <w:rFonts w:ascii="宋体"/>
                <w:vanish/>
              </w:rPr>
            </w:pPr>
          </w:p>
        </w:tc>
        <w:tc>
          <w:tcPr>
            <w:tcW w:w="0" w:type="auto"/>
            <w:shd w:val="clear" w:color="auto" w:fill="auto"/>
            <w:vAlign w:val="bottom"/>
          </w:tcPr>
          <w:p w14:paraId="5DEC5DA0" w14:textId="77777777" w:rsidR="00B1578D" w:rsidRDefault="00B1578D">
            <w:pPr>
              <w:rPr>
                <w:rFonts w:ascii="宋体"/>
                <w:vanish/>
              </w:rPr>
            </w:pPr>
          </w:p>
        </w:tc>
        <w:tc>
          <w:tcPr>
            <w:tcW w:w="0" w:type="auto"/>
            <w:shd w:val="clear" w:color="auto" w:fill="auto"/>
            <w:vAlign w:val="bottom"/>
          </w:tcPr>
          <w:p w14:paraId="5DEC5DA1" w14:textId="77777777" w:rsidR="00B1578D" w:rsidRDefault="00B1578D">
            <w:pPr>
              <w:rPr>
                <w:rFonts w:ascii="宋体"/>
                <w:vanish/>
              </w:rPr>
            </w:pPr>
          </w:p>
        </w:tc>
      </w:tr>
      <w:tr w:rsidR="00B1578D" w14:paraId="5DEC5DAC" w14:textId="77777777">
        <w:tc>
          <w:tcPr>
            <w:tcW w:w="0" w:type="auto"/>
            <w:gridSpan w:val="3"/>
            <w:shd w:val="clear" w:color="auto" w:fill="CCEEFF"/>
            <w:tcMar>
              <w:top w:w="40" w:type="dxa"/>
              <w:left w:w="380" w:type="dxa"/>
              <w:bottom w:w="40" w:type="dxa"/>
              <w:right w:w="20" w:type="dxa"/>
            </w:tcMar>
            <w:vAlign w:val="center"/>
          </w:tcPr>
          <w:p w14:paraId="5DEC5DA3" w14:textId="77777777" w:rsidR="00B1578D" w:rsidRDefault="004D2C04">
            <w:pPr>
              <w:textAlignment w:val="center"/>
            </w:pPr>
            <w:r>
              <w:rPr>
                <w:rFonts w:ascii="Times New Roman" w:eastAsia="宋体" w:hAnsi="Times New Roman"/>
                <w:color w:val="000000"/>
                <w:sz w:val="16"/>
                <w:szCs w:val="16"/>
              </w:rPr>
              <w:t>Sale of subsidiary stock</w:t>
            </w:r>
          </w:p>
        </w:tc>
        <w:tc>
          <w:tcPr>
            <w:tcW w:w="0" w:type="auto"/>
            <w:gridSpan w:val="3"/>
            <w:shd w:val="clear" w:color="auto" w:fill="CCEEFF"/>
            <w:tcMar>
              <w:top w:w="0" w:type="dxa"/>
              <w:left w:w="20" w:type="dxa"/>
              <w:bottom w:w="0" w:type="dxa"/>
              <w:right w:w="20" w:type="dxa"/>
            </w:tcMar>
            <w:vAlign w:val="bottom"/>
          </w:tcPr>
          <w:p w14:paraId="5DEC5DA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A5" w14:textId="77777777" w:rsidR="00B1578D" w:rsidRDefault="004D2C04">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5DEC5DA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A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A8" w14:textId="77777777" w:rsidR="00B1578D" w:rsidRDefault="004D2C04">
            <w:pPr>
              <w:jc w:val="right"/>
              <w:textAlignment w:val="center"/>
            </w:pPr>
            <w:r>
              <w:rPr>
                <w:rFonts w:ascii="Times New Roman" w:eastAsia="宋体" w:hAnsi="Times New Roman"/>
                <w:color w:val="000000"/>
                <w:sz w:val="16"/>
                <w:szCs w:val="16"/>
              </w:rPr>
              <w:t>75 </w:t>
            </w:r>
          </w:p>
        </w:tc>
        <w:tc>
          <w:tcPr>
            <w:tcW w:w="0" w:type="auto"/>
            <w:shd w:val="clear" w:color="auto" w:fill="CCEEFF"/>
            <w:tcMar>
              <w:top w:w="40" w:type="dxa"/>
              <w:left w:w="0" w:type="dxa"/>
              <w:bottom w:w="40" w:type="dxa"/>
              <w:right w:w="20" w:type="dxa"/>
            </w:tcMar>
            <w:vAlign w:val="center"/>
          </w:tcPr>
          <w:p w14:paraId="5DEC5DA9" w14:textId="77777777" w:rsidR="00B1578D" w:rsidRDefault="00B1578D">
            <w:pPr>
              <w:jc w:val="right"/>
              <w:rPr>
                <w:rFonts w:ascii="宋体"/>
              </w:rPr>
            </w:pPr>
          </w:p>
        </w:tc>
        <w:tc>
          <w:tcPr>
            <w:tcW w:w="0" w:type="auto"/>
            <w:shd w:val="clear" w:color="auto" w:fill="auto"/>
            <w:vAlign w:val="bottom"/>
          </w:tcPr>
          <w:p w14:paraId="5DEC5DAA" w14:textId="77777777" w:rsidR="00B1578D" w:rsidRDefault="00B1578D">
            <w:pPr>
              <w:rPr>
                <w:rFonts w:ascii="宋体"/>
                <w:vanish/>
              </w:rPr>
            </w:pPr>
          </w:p>
        </w:tc>
        <w:tc>
          <w:tcPr>
            <w:tcW w:w="0" w:type="auto"/>
            <w:shd w:val="clear" w:color="auto" w:fill="auto"/>
            <w:vAlign w:val="bottom"/>
          </w:tcPr>
          <w:p w14:paraId="5DEC5DAB" w14:textId="77777777" w:rsidR="00B1578D" w:rsidRDefault="00B1578D">
            <w:pPr>
              <w:rPr>
                <w:rFonts w:ascii="宋体"/>
                <w:vanish/>
              </w:rPr>
            </w:pPr>
          </w:p>
        </w:tc>
      </w:tr>
      <w:tr w:rsidR="00B1578D" w14:paraId="5DEC5DB6" w14:textId="77777777">
        <w:tc>
          <w:tcPr>
            <w:tcW w:w="0" w:type="auto"/>
            <w:gridSpan w:val="3"/>
            <w:shd w:val="clear" w:color="auto" w:fill="FFFFFF"/>
            <w:tcMar>
              <w:top w:w="40" w:type="dxa"/>
              <w:left w:w="380" w:type="dxa"/>
              <w:bottom w:w="40" w:type="dxa"/>
              <w:right w:w="20" w:type="dxa"/>
            </w:tcMar>
            <w:vAlign w:val="center"/>
          </w:tcPr>
          <w:p w14:paraId="5DEC5DAD" w14:textId="77777777" w:rsidR="00B1578D" w:rsidRDefault="004D2C04">
            <w:pPr>
              <w:textAlignment w:val="center"/>
            </w:pPr>
            <w:r>
              <w:rPr>
                <w:rFonts w:ascii="Times New Roman" w:eastAsia="宋体" w:hAnsi="Times New Roman"/>
                <w:color w:val="000000"/>
                <w:sz w:val="16"/>
                <w:szCs w:val="16"/>
              </w:rPr>
              <w:t>Other financing activities</w:t>
            </w:r>
          </w:p>
        </w:tc>
        <w:tc>
          <w:tcPr>
            <w:tcW w:w="0" w:type="auto"/>
            <w:gridSpan w:val="3"/>
            <w:shd w:val="clear" w:color="auto" w:fill="FFFFFF"/>
            <w:tcMar>
              <w:top w:w="0" w:type="dxa"/>
              <w:left w:w="20" w:type="dxa"/>
              <w:bottom w:w="0" w:type="dxa"/>
              <w:right w:w="20" w:type="dxa"/>
            </w:tcMar>
            <w:vAlign w:val="bottom"/>
          </w:tcPr>
          <w:p w14:paraId="5DEC5DA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AF" w14:textId="77777777" w:rsidR="00B1578D" w:rsidRDefault="004D2C04">
            <w:pPr>
              <w:jc w:val="right"/>
              <w:textAlignment w:val="center"/>
            </w:pPr>
            <w:r>
              <w:rPr>
                <w:rFonts w:ascii="Times New Roman" w:eastAsia="宋体" w:hAnsi="Times New Roman"/>
                <w:color w:val="000000"/>
                <w:sz w:val="16"/>
                <w:szCs w:val="16"/>
              </w:rPr>
              <w:t>(838)</w:t>
            </w:r>
          </w:p>
        </w:tc>
        <w:tc>
          <w:tcPr>
            <w:tcW w:w="0" w:type="auto"/>
            <w:shd w:val="clear" w:color="auto" w:fill="FFFFFF"/>
            <w:tcMar>
              <w:top w:w="40" w:type="dxa"/>
              <w:left w:w="0" w:type="dxa"/>
              <w:bottom w:w="40" w:type="dxa"/>
              <w:right w:w="20" w:type="dxa"/>
            </w:tcMar>
            <w:vAlign w:val="center"/>
          </w:tcPr>
          <w:p w14:paraId="5DEC5DB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B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B2" w14:textId="77777777" w:rsidR="00B1578D" w:rsidRDefault="004D2C04">
            <w:pPr>
              <w:jc w:val="right"/>
              <w:textAlignment w:val="center"/>
            </w:pPr>
            <w:r>
              <w:rPr>
                <w:rFonts w:ascii="Times New Roman" w:eastAsia="宋体" w:hAnsi="Times New Roman"/>
                <w:color w:val="000000"/>
                <w:sz w:val="16"/>
                <w:szCs w:val="16"/>
              </w:rPr>
              <w:t>(744)</w:t>
            </w:r>
          </w:p>
        </w:tc>
        <w:tc>
          <w:tcPr>
            <w:tcW w:w="0" w:type="auto"/>
            <w:shd w:val="clear" w:color="auto" w:fill="FFFFFF"/>
            <w:tcMar>
              <w:top w:w="40" w:type="dxa"/>
              <w:left w:w="0" w:type="dxa"/>
              <w:bottom w:w="40" w:type="dxa"/>
              <w:right w:w="20" w:type="dxa"/>
            </w:tcMar>
            <w:vAlign w:val="center"/>
          </w:tcPr>
          <w:p w14:paraId="5DEC5DB3" w14:textId="77777777" w:rsidR="00B1578D" w:rsidRDefault="00B1578D">
            <w:pPr>
              <w:jc w:val="right"/>
              <w:rPr>
                <w:rFonts w:ascii="宋体"/>
              </w:rPr>
            </w:pPr>
          </w:p>
        </w:tc>
        <w:tc>
          <w:tcPr>
            <w:tcW w:w="0" w:type="auto"/>
            <w:shd w:val="clear" w:color="auto" w:fill="auto"/>
            <w:vAlign w:val="bottom"/>
          </w:tcPr>
          <w:p w14:paraId="5DEC5DB4" w14:textId="77777777" w:rsidR="00B1578D" w:rsidRDefault="00B1578D">
            <w:pPr>
              <w:rPr>
                <w:rFonts w:ascii="宋体"/>
                <w:vanish/>
              </w:rPr>
            </w:pPr>
          </w:p>
        </w:tc>
        <w:tc>
          <w:tcPr>
            <w:tcW w:w="0" w:type="auto"/>
            <w:shd w:val="clear" w:color="auto" w:fill="auto"/>
            <w:vAlign w:val="bottom"/>
          </w:tcPr>
          <w:p w14:paraId="5DEC5DB5" w14:textId="77777777" w:rsidR="00B1578D" w:rsidRDefault="00B1578D">
            <w:pPr>
              <w:rPr>
                <w:rFonts w:ascii="宋体"/>
                <w:vanish/>
              </w:rPr>
            </w:pPr>
          </w:p>
        </w:tc>
      </w:tr>
      <w:tr w:rsidR="00B1578D" w14:paraId="5DEC5DC0" w14:textId="77777777">
        <w:tc>
          <w:tcPr>
            <w:tcW w:w="0" w:type="auto"/>
            <w:gridSpan w:val="3"/>
            <w:shd w:val="clear" w:color="auto" w:fill="CCEEFF"/>
            <w:tcMar>
              <w:top w:w="40" w:type="dxa"/>
              <w:left w:w="20" w:type="dxa"/>
              <w:bottom w:w="40" w:type="dxa"/>
              <w:right w:w="20" w:type="dxa"/>
            </w:tcMar>
            <w:vAlign w:val="center"/>
          </w:tcPr>
          <w:p w14:paraId="5DEC5DB7" w14:textId="77777777" w:rsidR="00B1578D" w:rsidRDefault="004D2C04">
            <w:pPr>
              <w:textAlignment w:val="center"/>
            </w:pPr>
            <w:r>
              <w:rPr>
                <w:rFonts w:ascii="Times New Roman" w:eastAsia="宋体" w:hAnsi="Times New Roman"/>
                <w:color w:val="000000"/>
                <w:sz w:val="16"/>
                <w:szCs w:val="16"/>
              </w:rPr>
              <w:t>Net cash provided by (used in) financing activities</w:t>
            </w:r>
          </w:p>
        </w:tc>
        <w:tc>
          <w:tcPr>
            <w:tcW w:w="0" w:type="auto"/>
            <w:gridSpan w:val="3"/>
            <w:shd w:val="clear" w:color="auto" w:fill="CCEEFF"/>
            <w:tcMar>
              <w:top w:w="0" w:type="dxa"/>
              <w:left w:w="20" w:type="dxa"/>
              <w:bottom w:w="0" w:type="dxa"/>
              <w:right w:w="20" w:type="dxa"/>
            </w:tcMar>
            <w:vAlign w:val="bottom"/>
          </w:tcPr>
          <w:p w14:paraId="5DEC5DB8"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DB9" w14:textId="77777777" w:rsidR="00B1578D" w:rsidRDefault="004D2C04">
            <w:pPr>
              <w:jc w:val="right"/>
              <w:textAlignment w:val="center"/>
            </w:pPr>
            <w:r>
              <w:rPr>
                <w:rFonts w:ascii="Times New Roman" w:eastAsia="宋体" w:hAnsi="Times New Roman"/>
                <w:color w:val="000000"/>
                <w:sz w:val="16"/>
                <w:szCs w:val="16"/>
              </w:rPr>
              <w:t>5,315 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DB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BB"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5DBC" w14:textId="77777777" w:rsidR="00B1578D" w:rsidRDefault="004D2C04">
            <w:pPr>
              <w:jc w:val="right"/>
              <w:textAlignment w:val="center"/>
            </w:pPr>
            <w:r>
              <w:rPr>
                <w:rFonts w:ascii="Times New Roman" w:eastAsia="宋体" w:hAnsi="Times New Roman"/>
                <w:color w:val="000000"/>
                <w:sz w:val="16"/>
                <w:szCs w:val="16"/>
              </w:rPr>
              <w:t>(5,399)</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DBD" w14:textId="77777777" w:rsidR="00B1578D" w:rsidRDefault="00B1578D">
            <w:pPr>
              <w:jc w:val="right"/>
              <w:rPr>
                <w:rFonts w:ascii="宋体"/>
              </w:rPr>
            </w:pPr>
          </w:p>
        </w:tc>
        <w:tc>
          <w:tcPr>
            <w:tcW w:w="0" w:type="auto"/>
            <w:shd w:val="clear" w:color="auto" w:fill="auto"/>
            <w:vAlign w:val="bottom"/>
          </w:tcPr>
          <w:p w14:paraId="5DEC5DBE" w14:textId="77777777" w:rsidR="00B1578D" w:rsidRDefault="00B1578D">
            <w:pPr>
              <w:rPr>
                <w:rFonts w:ascii="宋体"/>
                <w:vanish/>
              </w:rPr>
            </w:pPr>
          </w:p>
        </w:tc>
        <w:tc>
          <w:tcPr>
            <w:tcW w:w="0" w:type="auto"/>
            <w:shd w:val="clear" w:color="auto" w:fill="auto"/>
            <w:vAlign w:val="bottom"/>
          </w:tcPr>
          <w:p w14:paraId="5DEC5DBF" w14:textId="77777777" w:rsidR="00B1578D" w:rsidRDefault="00B1578D">
            <w:pPr>
              <w:rPr>
                <w:rFonts w:ascii="宋体"/>
                <w:vanish/>
              </w:rPr>
            </w:pPr>
          </w:p>
        </w:tc>
      </w:tr>
      <w:tr w:rsidR="00B1578D" w14:paraId="5DEC5DC8" w14:textId="77777777">
        <w:trPr>
          <w:trHeight w:val="220"/>
        </w:trPr>
        <w:tc>
          <w:tcPr>
            <w:tcW w:w="0" w:type="auto"/>
            <w:gridSpan w:val="3"/>
            <w:shd w:val="clear" w:color="auto" w:fill="FFFFFF"/>
            <w:tcMar>
              <w:top w:w="0" w:type="dxa"/>
              <w:left w:w="20" w:type="dxa"/>
              <w:bottom w:w="0" w:type="dxa"/>
              <w:right w:w="20" w:type="dxa"/>
            </w:tcMar>
            <w:vAlign w:val="bottom"/>
          </w:tcPr>
          <w:p w14:paraId="5DEC5DC1"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C2"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C3"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C4"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C5" w14:textId="77777777" w:rsidR="00B1578D" w:rsidRDefault="00B1578D">
            <w:pPr>
              <w:rPr>
                <w:rFonts w:ascii="宋体"/>
              </w:rPr>
            </w:pPr>
          </w:p>
        </w:tc>
        <w:tc>
          <w:tcPr>
            <w:tcW w:w="0" w:type="auto"/>
            <w:shd w:val="clear" w:color="auto" w:fill="auto"/>
            <w:vAlign w:val="bottom"/>
          </w:tcPr>
          <w:p w14:paraId="5DEC5DC6" w14:textId="77777777" w:rsidR="00B1578D" w:rsidRDefault="00B1578D">
            <w:pPr>
              <w:rPr>
                <w:rFonts w:ascii="宋体"/>
                <w:vanish/>
              </w:rPr>
            </w:pPr>
          </w:p>
        </w:tc>
        <w:tc>
          <w:tcPr>
            <w:tcW w:w="0" w:type="auto"/>
            <w:shd w:val="clear" w:color="auto" w:fill="auto"/>
            <w:vAlign w:val="bottom"/>
          </w:tcPr>
          <w:p w14:paraId="5DEC5DC7" w14:textId="77777777" w:rsidR="00B1578D" w:rsidRDefault="00B1578D">
            <w:pPr>
              <w:rPr>
                <w:rFonts w:ascii="宋体"/>
                <w:vanish/>
              </w:rPr>
            </w:pPr>
          </w:p>
        </w:tc>
      </w:tr>
      <w:tr w:rsidR="00B1578D" w14:paraId="5DEC5DD2" w14:textId="77777777">
        <w:tc>
          <w:tcPr>
            <w:tcW w:w="0" w:type="auto"/>
            <w:gridSpan w:val="3"/>
            <w:shd w:val="clear" w:color="auto" w:fill="CCEEFF"/>
            <w:tcMar>
              <w:top w:w="40" w:type="dxa"/>
              <w:left w:w="20" w:type="dxa"/>
              <w:bottom w:w="40" w:type="dxa"/>
              <w:right w:w="20" w:type="dxa"/>
            </w:tcMar>
            <w:vAlign w:val="center"/>
          </w:tcPr>
          <w:p w14:paraId="5DEC5DC9" w14:textId="77777777" w:rsidR="00B1578D" w:rsidRDefault="004D2C04">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CCEEFF"/>
            <w:tcMar>
              <w:top w:w="0" w:type="dxa"/>
              <w:left w:w="20" w:type="dxa"/>
              <w:bottom w:w="0" w:type="dxa"/>
              <w:right w:w="20" w:type="dxa"/>
            </w:tcMar>
            <w:vAlign w:val="bottom"/>
          </w:tcPr>
          <w:p w14:paraId="5DEC5DC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CB" w14:textId="77777777" w:rsidR="00B1578D" w:rsidRDefault="004D2C04">
            <w:pPr>
              <w:jc w:val="right"/>
              <w:textAlignment w:val="center"/>
            </w:pPr>
            <w:r>
              <w:rPr>
                <w:rFonts w:ascii="Times New Roman" w:eastAsia="宋体" w:hAnsi="Times New Roman"/>
                <w:color w:val="000000"/>
                <w:sz w:val="16"/>
                <w:szCs w:val="16"/>
              </w:rPr>
              <w:t>49 </w:t>
            </w:r>
          </w:p>
        </w:tc>
        <w:tc>
          <w:tcPr>
            <w:tcW w:w="0" w:type="auto"/>
            <w:shd w:val="clear" w:color="auto" w:fill="CCEEFF"/>
            <w:tcMar>
              <w:top w:w="40" w:type="dxa"/>
              <w:left w:w="0" w:type="dxa"/>
              <w:bottom w:w="40" w:type="dxa"/>
              <w:right w:w="20" w:type="dxa"/>
            </w:tcMar>
            <w:vAlign w:val="center"/>
          </w:tcPr>
          <w:p w14:paraId="5DEC5DC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C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CE" w14:textId="77777777" w:rsidR="00B1578D" w:rsidRDefault="004D2C04">
            <w:pPr>
              <w:jc w:val="right"/>
              <w:textAlignment w:val="center"/>
            </w:pPr>
            <w:r>
              <w:rPr>
                <w:rFonts w:ascii="Times New Roman" w:eastAsia="宋体" w:hAnsi="Times New Roman"/>
                <w:color w:val="000000"/>
                <w:sz w:val="16"/>
                <w:szCs w:val="16"/>
              </w:rPr>
              <w:t>(51)</w:t>
            </w:r>
          </w:p>
        </w:tc>
        <w:tc>
          <w:tcPr>
            <w:tcW w:w="0" w:type="auto"/>
            <w:shd w:val="clear" w:color="auto" w:fill="CCEEFF"/>
            <w:tcMar>
              <w:top w:w="40" w:type="dxa"/>
              <w:left w:w="0" w:type="dxa"/>
              <w:bottom w:w="40" w:type="dxa"/>
              <w:right w:w="20" w:type="dxa"/>
            </w:tcMar>
            <w:vAlign w:val="center"/>
          </w:tcPr>
          <w:p w14:paraId="5DEC5DCF" w14:textId="77777777" w:rsidR="00B1578D" w:rsidRDefault="00B1578D">
            <w:pPr>
              <w:jc w:val="right"/>
              <w:rPr>
                <w:rFonts w:ascii="宋体"/>
              </w:rPr>
            </w:pPr>
          </w:p>
        </w:tc>
        <w:tc>
          <w:tcPr>
            <w:tcW w:w="0" w:type="auto"/>
            <w:shd w:val="clear" w:color="auto" w:fill="auto"/>
            <w:vAlign w:val="bottom"/>
          </w:tcPr>
          <w:p w14:paraId="5DEC5DD0" w14:textId="77777777" w:rsidR="00B1578D" w:rsidRDefault="00B1578D">
            <w:pPr>
              <w:rPr>
                <w:rFonts w:ascii="宋体"/>
                <w:vanish/>
              </w:rPr>
            </w:pPr>
          </w:p>
        </w:tc>
        <w:tc>
          <w:tcPr>
            <w:tcW w:w="0" w:type="auto"/>
            <w:shd w:val="clear" w:color="auto" w:fill="auto"/>
            <w:vAlign w:val="bottom"/>
          </w:tcPr>
          <w:p w14:paraId="5DEC5DD1" w14:textId="77777777" w:rsidR="00B1578D" w:rsidRDefault="00B1578D">
            <w:pPr>
              <w:rPr>
                <w:rFonts w:ascii="宋体"/>
                <w:vanish/>
              </w:rPr>
            </w:pPr>
          </w:p>
        </w:tc>
      </w:tr>
      <w:tr w:rsidR="00B1578D" w14:paraId="5DEC5DDA" w14:textId="77777777">
        <w:trPr>
          <w:trHeight w:val="220"/>
        </w:trPr>
        <w:tc>
          <w:tcPr>
            <w:tcW w:w="0" w:type="auto"/>
            <w:gridSpan w:val="3"/>
            <w:shd w:val="clear" w:color="auto" w:fill="FFFFFF"/>
            <w:tcMar>
              <w:top w:w="0" w:type="dxa"/>
              <w:left w:w="20" w:type="dxa"/>
              <w:bottom w:w="0" w:type="dxa"/>
              <w:right w:w="20" w:type="dxa"/>
            </w:tcMar>
            <w:vAlign w:val="bottom"/>
          </w:tcPr>
          <w:p w14:paraId="5DEC5DD3"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D4" w14:textId="77777777" w:rsidR="00B1578D" w:rsidRDefault="00B1578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DD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DD6" w14:textId="77777777" w:rsidR="00B1578D" w:rsidRDefault="00B1578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DD7" w14:textId="77777777" w:rsidR="00B1578D" w:rsidRDefault="00B1578D">
            <w:pPr>
              <w:rPr>
                <w:rFonts w:ascii="宋体"/>
              </w:rPr>
            </w:pPr>
          </w:p>
        </w:tc>
        <w:tc>
          <w:tcPr>
            <w:tcW w:w="0" w:type="auto"/>
            <w:shd w:val="clear" w:color="auto" w:fill="auto"/>
            <w:vAlign w:val="bottom"/>
          </w:tcPr>
          <w:p w14:paraId="5DEC5DD8" w14:textId="77777777" w:rsidR="00B1578D" w:rsidRDefault="00B1578D">
            <w:pPr>
              <w:rPr>
                <w:rFonts w:ascii="宋体"/>
                <w:vanish/>
              </w:rPr>
            </w:pPr>
          </w:p>
        </w:tc>
        <w:tc>
          <w:tcPr>
            <w:tcW w:w="0" w:type="auto"/>
            <w:shd w:val="clear" w:color="auto" w:fill="auto"/>
            <w:vAlign w:val="bottom"/>
          </w:tcPr>
          <w:p w14:paraId="5DEC5DD9" w14:textId="77777777" w:rsidR="00B1578D" w:rsidRDefault="00B1578D">
            <w:pPr>
              <w:rPr>
                <w:rFonts w:ascii="宋体"/>
                <w:vanish/>
              </w:rPr>
            </w:pPr>
          </w:p>
        </w:tc>
      </w:tr>
      <w:tr w:rsidR="00B1578D" w14:paraId="5DEC5DE4" w14:textId="77777777">
        <w:tc>
          <w:tcPr>
            <w:tcW w:w="0" w:type="auto"/>
            <w:gridSpan w:val="3"/>
            <w:shd w:val="clear" w:color="auto" w:fill="CCEEFF"/>
            <w:tcMar>
              <w:top w:w="40" w:type="dxa"/>
              <w:left w:w="20" w:type="dxa"/>
              <w:bottom w:w="40" w:type="dxa"/>
              <w:right w:w="20" w:type="dxa"/>
            </w:tcMar>
            <w:vAlign w:val="center"/>
          </w:tcPr>
          <w:p w14:paraId="5DEC5DDB" w14:textId="77777777" w:rsidR="00B1578D" w:rsidRDefault="004D2C04">
            <w:pPr>
              <w:textAlignment w:val="center"/>
            </w:pPr>
            <w:r>
              <w:rPr>
                <w:rFonts w:ascii="Times New Roman" w:eastAsia="宋体" w:hAnsi="Times New Roman"/>
                <w:color w:val="000000"/>
                <w:sz w:val="16"/>
                <w:szCs w:val="16"/>
              </w:rPr>
              <w:t>Net increase (decrease) in cash, cash equivalents and restricted cash</w:t>
            </w:r>
          </w:p>
        </w:tc>
        <w:tc>
          <w:tcPr>
            <w:tcW w:w="0" w:type="auto"/>
            <w:gridSpan w:val="3"/>
            <w:shd w:val="clear" w:color="auto" w:fill="CCEEFF"/>
            <w:tcMar>
              <w:top w:w="0" w:type="dxa"/>
              <w:left w:w="20" w:type="dxa"/>
              <w:bottom w:w="0" w:type="dxa"/>
              <w:right w:w="20" w:type="dxa"/>
            </w:tcMar>
            <w:vAlign w:val="bottom"/>
          </w:tcPr>
          <w:p w14:paraId="5DEC5DD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DD" w14:textId="77777777" w:rsidR="00B1578D" w:rsidRDefault="004D2C04">
            <w:pPr>
              <w:jc w:val="right"/>
              <w:textAlignment w:val="center"/>
            </w:pPr>
            <w:r>
              <w:rPr>
                <w:rFonts w:ascii="Times New Roman" w:eastAsia="宋体" w:hAnsi="Times New Roman"/>
                <w:color w:val="000000"/>
                <w:sz w:val="16"/>
                <w:szCs w:val="16"/>
              </w:rPr>
              <w:t>(2,952)</w:t>
            </w:r>
          </w:p>
        </w:tc>
        <w:tc>
          <w:tcPr>
            <w:tcW w:w="0" w:type="auto"/>
            <w:shd w:val="clear" w:color="auto" w:fill="CCEEFF"/>
            <w:tcMar>
              <w:top w:w="40" w:type="dxa"/>
              <w:left w:w="0" w:type="dxa"/>
              <w:bottom w:w="40" w:type="dxa"/>
              <w:right w:w="20" w:type="dxa"/>
            </w:tcMar>
            <w:vAlign w:val="center"/>
          </w:tcPr>
          <w:p w14:paraId="5DEC5DD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D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E0" w14:textId="77777777" w:rsidR="00B1578D" w:rsidRDefault="004D2C04">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5DEC5DE1" w14:textId="77777777" w:rsidR="00B1578D" w:rsidRDefault="00B1578D">
            <w:pPr>
              <w:jc w:val="right"/>
              <w:rPr>
                <w:rFonts w:ascii="宋体"/>
              </w:rPr>
            </w:pPr>
          </w:p>
        </w:tc>
        <w:tc>
          <w:tcPr>
            <w:tcW w:w="0" w:type="auto"/>
            <w:shd w:val="clear" w:color="auto" w:fill="auto"/>
            <w:vAlign w:val="bottom"/>
          </w:tcPr>
          <w:p w14:paraId="5DEC5DE2" w14:textId="77777777" w:rsidR="00B1578D" w:rsidRDefault="00B1578D">
            <w:pPr>
              <w:rPr>
                <w:rFonts w:ascii="宋体"/>
                <w:vanish/>
              </w:rPr>
            </w:pPr>
          </w:p>
        </w:tc>
        <w:tc>
          <w:tcPr>
            <w:tcW w:w="0" w:type="auto"/>
            <w:shd w:val="clear" w:color="auto" w:fill="auto"/>
            <w:vAlign w:val="bottom"/>
          </w:tcPr>
          <w:p w14:paraId="5DEC5DE3" w14:textId="77777777" w:rsidR="00B1578D" w:rsidRDefault="00B1578D">
            <w:pPr>
              <w:rPr>
                <w:rFonts w:ascii="宋体"/>
                <w:vanish/>
              </w:rPr>
            </w:pPr>
          </w:p>
        </w:tc>
      </w:tr>
      <w:tr w:rsidR="00B1578D" w14:paraId="5DEC5DEE" w14:textId="77777777">
        <w:tc>
          <w:tcPr>
            <w:tcW w:w="0" w:type="auto"/>
            <w:gridSpan w:val="3"/>
            <w:shd w:val="clear" w:color="auto" w:fill="FFFFFF"/>
            <w:tcMar>
              <w:top w:w="40" w:type="dxa"/>
              <w:left w:w="20" w:type="dxa"/>
              <w:bottom w:w="40" w:type="dxa"/>
              <w:right w:w="20" w:type="dxa"/>
            </w:tcMar>
            <w:vAlign w:val="center"/>
          </w:tcPr>
          <w:p w14:paraId="5DEC5DE5" w14:textId="77777777" w:rsidR="00B1578D" w:rsidRDefault="004D2C04">
            <w:pPr>
              <w:textAlignment w:val="center"/>
            </w:pPr>
            <w:r>
              <w:rPr>
                <w:rFonts w:ascii="Times New Roman" w:eastAsia="宋体" w:hAnsi="Times New Roman"/>
                <w:color w:val="000000"/>
                <w:sz w:val="16"/>
                <w:szCs w:val="16"/>
              </w:rPr>
              <w:t>Change in cash and cash equivalents reclassified from assets held for sale</w:t>
            </w:r>
          </w:p>
        </w:tc>
        <w:tc>
          <w:tcPr>
            <w:tcW w:w="0" w:type="auto"/>
            <w:gridSpan w:val="3"/>
            <w:shd w:val="clear" w:color="auto" w:fill="FFFFFF"/>
            <w:tcMar>
              <w:top w:w="0" w:type="dxa"/>
              <w:left w:w="20" w:type="dxa"/>
              <w:bottom w:w="0" w:type="dxa"/>
              <w:right w:w="20" w:type="dxa"/>
            </w:tcMar>
            <w:vAlign w:val="bottom"/>
          </w:tcPr>
          <w:p w14:paraId="5DEC5DE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E7"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DE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E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DEA" w14:textId="77777777" w:rsidR="00B1578D" w:rsidRDefault="004D2C04">
            <w:pPr>
              <w:jc w:val="right"/>
              <w:textAlignment w:val="center"/>
            </w:pPr>
            <w:r>
              <w:rPr>
                <w:rFonts w:ascii="Times New Roman" w:eastAsia="宋体" w:hAnsi="Times New Roman"/>
                <w:color w:val="000000"/>
                <w:sz w:val="16"/>
                <w:szCs w:val="16"/>
              </w:rPr>
              <w:t>1,848 </w:t>
            </w:r>
          </w:p>
        </w:tc>
        <w:tc>
          <w:tcPr>
            <w:tcW w:w="0" w:type="auto"/>
            <w:shd w:val="clear" w:color="auto" w:fill="FFFFFF"/>
            <w:tcMar>
              <w:top w:w="40" w:type="dxa"/>
              <w:left w:w="0" w:type="dxa"/>
              <w:bottom w:w="40" w:type="dxa"/>
              <w:right w:w="20" w:type="dxa"/>
            </w:tcMar>
            <w:vAlign w:val="center"/>
          </w:tcPr>
          <w:p w14:paraId="5DEC5DEB" w14:textId="77777777" w:rsidR="00B1578D" w:rsidRDefault="00B1578D">
            <w:pPr>
              <w:jc w:val="right"/>
              <w:rPr>
                <w:rFonts w:ascii="宋体"/>
              </w:rPr>
            </w:pPr>
          </w:p>
        </w:tc>
        <w:tc>
          <w:tcPr>
            <w:tcW w:w="0" w:type="auto"/>
            <w:shd w:val="clear" w:color="auto" w:fill="auto"/>
            <w:vAlign w:val="bottom"/>
          </w:tcPr>
          <w:p w14:paraId="5DEC5DEC" w14:textId="77777777" w:rsidR="00B1578D" w:rsidRDefault="00B1578D">
            <w:pPr>
              <w:rPr>
                <w:rFonts w:ascii="宋体"/>
                <w:vanish/>
              </w:rPr>
            </w:pPr>
          </w:p>
        </w:tc>
        <w:tc>
          <w:tcPr>
            <w:tcW w:w="0" w:type="auto"/>
            <w:shd w:val="clear" w:color="auto" w:fill="auto"/>
            <w:vAlign w:val="bottom"/>
          </w:tcPr>
          <w:p w14:paraId="5DEC5DED" w14:textId="77777777" w:rsidR="00B1578D" w:rsidRDefault="00B1578D">
            <w:pPr>
              <w:rPr>
                <w:rFonts w:ascii="宋体"/>
                <w:vanish/>
              </w:rPr>
            </w:pPr>
          </w:p>
        </w:tc>
      </w:tr>
      <w:tr w:rsidR="00B1578D" w14:paraId="5DEC5DF8" w14:textId="77777777">
        <w:tc>
          <w:tcPr>
            <w:tcW w:w="0" w:type="auto"/>
            <w:gridSpan w:val="3"/>
            <w:shd w:val="clear" w:color="auto" w:fill="CCEEFF"/>
            <w:tcMar>
              <w:top w:w="40" w:type="dxa"/>
              <w:left w:w="20" w:type="dxa"/>
              <w:bottom w:w="40" w:type="dxa"/>
              <w:right w:w="20" w:type="dxa"/>
            </w:tcMar>
            <w:vAlign w:val="center"/>
          </w:tcPr>
          <w:p w14:paraId="5DEC5DEF" w14:textId="77777777" w:rsidR="00B1578D" w:rsidRDefault="004D2C04">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CCEEFF"/>
            <w:tcMar>
              <w:top w:w="0" w:type="dxa"/>
              <w:left w:w="20" w:type="dxa"/>
              <w:bottom w:w="0" w:type="dxa"/>
              <w:right w:w="20" w:type="dxa"/>
            </w:tcMar>
            <w:vAlign w:val="bottom"/>
          </w:tcPr>
          <w:p w14:paraId="5DEC5DF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F1" w14:textId="77777777" w:rsidR="00B1578D" w:rsidRDefault="004D2C04">
            <w:pPr>
              <w:jc w:val="right"/>
              <w:textAlignment w:val="center"/>
            </w:pPr>
            <w:r>
              <w:rPr>
                <w:rFonts w:ascii="Times New Roman" w:eastAsia="宋体" w:hAnsi="Times New Roman"/>
                <w:color w:val="000000"/>
                <w:sz w:val="16"/>
                <w:szCs w:val="16"/>
              </w:rPr>
              <w:t>14,834 </w:t>
            </w:r>
          </w:p>
        </w:tc>
        <w:tc>
          <w:tcPr>
            <w:tcW w:w="0" w:type="auto"/>
            <w:shd w:val="clear" w:color="auto" w:fill="CCEEFF"/>
            <w:tcMar>
              <w:top w:w="40" w:type="dxa"/>
              <w:left w:w="0" w:type="dxa"/>
              <w:bottom w:w="40" w:type="dxa"/>
              <w:right w:w="20" w:type="dxa"/>
            </w:tcMar>
            <w:vAlign w:val="center"/>
          </w:tcPr>
          <w:p w14:paraId="5DEC5DF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DF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DF4" w14:textId="77777777" w:rsidR="00B1578D" w:rsidRDefault="004D2C04">
            <w:pPr>
              <w:jc w:val="right"/>
              <w:textAlignment w:val="center"/>
            </w:pPr>
            <w:r>
              <w:rPr>
                <w:rFonts w:ascii="Times New Roman" w:eastAsia="宋体" w:hAnsi="Times New Roman"/>
                <w:color w:val="000000"/>
                <w:sz w:val="16"/>
                <w:szCs w:val="16"/>
              </w:rPr>
              <w:t>17,788 </w:t>
            </w:r>
          </w:p>
        </w:tc>
        <w:tc>
          <w:tcPr>
            <w:tcW w:w="0" w:type="auto"/>
            <w:shd w:val="clear" w:color="auto" w:fill="CCEEFF"/>
            <w:tcMar>
              <w:top w:w="40" w:type="dxa"/>
              <w:left w:w="0" w:type="dxa"/>
              <w:bottom w:w="40" w:type="dxa"/>
              <w:right w:w="20" w:type="dxa"/>
            </w:tcMar>
            <w:vAlign w:val="center"/>
          </w:tcPr>
          <w:p w14:paraId="5DEC5DF5" w14:textId="77777777" w:rsidR="00B1578D" w:rsidRDefault="00B1578D">
            <w:pPr>
              <w:jc w:val="right"/>
              <w:rPr>
                <w:rFonts w:ascii="宋体"/>
              </w:rPr>
            </w:pPr>
          </w:p>
        </w:tc>
        <w:tc>
          <w:tcPr>
            <w:tcW w:w="0" w:type="auto"/>
            <w:shd w:val="clear" w:color="auto" w:fill="auto"/>
            <w:vAlign w:val="bottom"/>
          </w:tcPr>
          <w:p w14:paraId="5DEC5DF6" w14:textId="77777777" w:rsidR="00B1578D" w:rsidRDefault="00B1578D">
            <w:pPr>
              <w:rPr>
                <w:rFonts w:ascii="宋体"/>
                <w:vanish/>
              </w:rPr>
            </w:pPr>
          </w:p>
        </w:tc>
        <w:tc>
          <w:tcPr>
            <w:tcW w:w="0" w:type="auto"/>
            <w:shd w:val="clear" w:color="auto" w:fill="auto"/>
            <w:vAlign w:val="bottom"/>
          </w:tcPr>
          <w:p w14:paraId="5DEC5DF7" w14:textId="77777777" w:rsidR="00B1578D" w:rsidRDefault="00B1578D">
            <w:pPr>
              <w:rPr>
                <w:rFonts w:ascii="宋体"/>
                <w:vanish/>
              </w:rPr>
            </w:pPr>
          </w:p>
        </w:tc>
      </w:tr>
      <w:tr w:rsidR="00B1578D" w14:paraId="5DEC5E04" w14:textId="77777777">
        <w:tc>
          <w:tcPr>
            <w:tcW w:w="0" w:type="auto"/>
            <w:gridSpan w:val="3"/>
            <w:shd w:val="clear" w:color="auto" w:fill="FFFFFF"/>
            <w:tcMar>
              <w:top w:w="40" w:type="dxa"/>
              <w:left w:w="20" w:type="dxa"/>
              <w:bottom w:w="40" w:type="dxa"/>
              <w:right w:w="20" w:type="dxa"/>
            </w:tcMar>
            <w:vAlign w:val="center"/>
          </w:tcPr>
          <w:p w14:paraId="5DEC5DF9" w14:textId="77777777" w:rsidR="00B1578D" w:rsidRDefault="004D2C04">
            <w:pPr>
              <w:textAlignment w:val="center"/>
            </w:pPr>
            <w:r>
              <w:rPr>
                <w:rFonts w:ascii="Times New Roman" w:eastAsia="宋体" w:hAnsi="Times New Roman"/>
                <w:color w:val="000000"/>
                <w:sz w:val="16"/>
                <w:szCs w:val="16"/>
              </w:rPr>
              <w:t xml:space="preserve">Cash, cash equivalents and restricted cash at end of </w:t>
            </w:r>
            <w:r>
              <w:rPr>
                <w:rFonts w:ascii="Times New Roman" w:eastAsia="宋体" w:hAnsi="Times New Roman"/>
                <w:color w:val="000000"/>
                <w:sz w:val="16"/>
                <w:szCs w:val="16"/>
              </w:rPr>
              <w:t>period</w:t>
            </w:r>
          </w:p>
        </w:tc>
        <w:tc>
          <w:tcPr>
            <w:tcW w:w="0" w:type="auto"/>
            <w:gridSpan w:val="3"/>
            <w:shd w:val="clear" w:color="auto" w:fill="FFFFFF"/>
            <w:tcMar>
              <w:top w:w="0" w:type="dxa"/>
              <w:left w:w="20" w:type="dxa"/>
              <w:bottom w:w="0" w:type="dxa"/>
              <w:right w:w="20" w:type="dxa"/>
            </w:tcMar>
            <w:vAlign w:val="bottom"/>
          </w:tcPr>
          <w:p w14:paraId="5DEC5DFA"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5DF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5DFC" w14:textId="77777777" w:rsidR="00B1578D" w:rsidRDefault="004D2C04">
            <w:pPr>
              <w:jc w:val="right"/>
              <w:textAlignment w:val="center"/>
            </w:pPr>
            <w:r>
              <w:rPr>
                <w:rFonts w:ascii="Times New Roman" w:eastAsia="宋体" w:hAnsi="Times New Roman"/>
                <w:color w:val="000000"/>
                <w:sz w:val="16"/>
                <w:szCs w:val="16"/>
              </w:rPr>
              <w:t>11,882 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5DF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DFE"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5DF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5E00" w14:textId="77777777" w:rsidR="00B1578D" w:rsidRDefault="004D2C04">
            <w:pPr>
              <w:jc w:val="right"/>
              <w:textAlignment w:val="center"/>
            </w:pPr>
            <w:r>
              <w:rPr>
                <w:rFonts w:ascii="Times New Roman" w:eastAsia="宋体" w:hAnsi="Times New Roman"/>
                <w:color w:val="000000"/>
                <w:sz w:val="16"/>
                <w:szCs w:val="16"/>
              </w:rPr>
              <w:t>22,894 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5E01" w14:textId="77777777" w:rsidR="00B1578D" w:rsidRDefault="00B1578D">
            <w:pPr>
              <w:jc w:val="right"/>
              <w:rPr>
                <w:rFonts w:ascii="宋体"/>
              </w:rPr>
            </w:pPr>
          </w:p>
        </w:tc>
        <w:tc>
          <w:tcPr>
            <w:tcW w:w="0" w:type="auto"/>
            <w:shd w:val="clear" w:color="auto" w:fill="auto"/>
            <w:vAlign w:val="bottom"/>
          </w:tcPr>
          <w:p w14:paraId="5DEC5E02" w14:textId="77777777" w:rsidR="00B1578D" w:rsidRDefault="00B1578D">
            <w:pPr>
              <w:rPr>
                <w:rFonts w:ascii="宋体"/>
                <w:vanish/>
              </w:rPr>
            </w:pPr>
          </w:p>
        </w:tc>
        <w:tc>
          <w:tcPr>
            <w:tcW w:w="0" w:type="auto"/>
            <w:shd w:val="clear" w:color="auto" w:fill="auto"/>
            <w:vAlign w:val="bottom"/>
          </w:tcPr>
          <w:p w14:paraId="5DEC5E03" w14:textId="77777777" w:rsidR="00B1578D" w:rsidRDefault="00B1578D">
            <w:pPr>
              <w:rPr>
                <w:rFonts w:ascii="宋体"/>
                <w:vanish/>
              </w:rPr>
            </w:pPr>
          </w:p>
        </w:tc>
      </w:tr>
      <w:tr w:rsidR="00B1578D" w14:paraId="5DEC5E0C" w14:textId="77777777">
        <w:trPr>
          <w:hidden/>
        </w:trPr>
        <w:tc>
          <w:tcPr>
            <w:tcW w:w="0" w:type="auto"/>
            <w:gridSpan w:val="3"/>
            <w:shd w:val="clear" w:color="auto" w:fill="auto"/>
            <w:vAlign w:val="bottom"/>
          </w:tcPr>
          <w:p w14:paraId="5DEC5E05" w14:textId="77777777" w:rsidR="00B1578D" w:rsidRDefault="00B1578D">
            <w:pPr>
              <w:rPr>
                <w:rFonts w:ascii="宋体"/>
                <w:vanish/>
              </w:rPr>
            </w:pPr>
          </w:p>
        </w:tc>
        <w:tc>
          <w:tcPr>
            <w:tcW w:w="0" w:type="auto"/>
            <w:gridSpan w:val="3"/>
            <w:shd w:val="clear" w:color="auto" w:fill="auto"/>
            <w:vAlign w:val="bottom"/>
          </w:tcPr>
          <w:p w14:paraId="5DEC5E06" w14:textId="77777777" w:rsidR="00B1578D" w:rsidRDefault="00B1578D">
            <w:pPr>
              <w:rPr>
                <w:rFonts w:ascii="宋体"/>
                <w:vanish/>
              </w:rPr>
            </w:pPr>
          </w:p>
        </w:tc>
        <w:tc>
          <w:tcPr>
            <w:tcW w:w="0" w:type="auto"/>
            <w:gridSpan w:val="3"/>
            <w:shd w:val="clear" w:color="auto" w:fill="auto"/>
            <w:vAlign w:val="bottom"/>
          </w:tcPr>
          <w:p w14:paraId="5DEC5E07" w14:textId="77777777" w:rsidR="00B1578D" w:rsidRDefault="00B1578D">
            <w:pPr>
              <w:rPr>
                <w:rFonts w:ascii="宋体"/>
                <w:vanish/>
              </w:rPr>
            </w:pPr>
          </w:p>
        </w:tc>
        <w:tc>
          <w:tcPr>
            <w:tcW w:w="0" w:type="auto"/>
            <w:gridSpan w:val="3"/>
            <w:shd w:val="clear" w:color="auto" w:fill="auto"/>
            <w:vAlign w:val="bottom"/>
          </w:tcPr>
          <w:p w14:paraId="5DEC5E08" w14:textId="77777777" w:rsidR="00B1578D" w:rsidRDefault="00B1578D">
            <w:pPr>
              <w:rPr>
                <w:rFonts w:ascii="宋体"/>
                <w:vanish/>
              </w:rPr>
            </w:pPr>
          </w:p>
        </w:tc>
        <w:tc>
          <w:tcPr>
            <w:tcW w:w="0" w:type="auto"/>
            <w:gridSpan w:val="3"/>
            <w:shd w:val="clear" w:color="auto" w:fill="auto"/>
            <w:vAlign w:val="bottom"/>
          </w:tcPr>
          <w:p w14:paraId="5DEC5E09" w14:textId="77777777" w:rsidR="00B1578D" w:rsidRDefault="00B1578D">
            <w:pPr>
              <w:rPr>
                <w:rFonts w:ascii="宋体"/>
                <w:vanish/>
              </w:rPr>
            </w:pPr>
          </w:p>
        </w:tc>
        <w:tc>
          <w:tcPr>
            <w:tcW w:w="0" w:type="auto"/>
            <w:shd w:val="clear" w:color="auto" w:fill="auto"/>
            <w:vAlign w:val="bottom"/>
          </w:tcPr>
          <w:p w14:paraId="5DEC5E0A" w14:textId="77777777" w:rsidR="00B1578D" w:rsidRDefault="00B1578D">
            <w:pPr>
              <w:rPr>
                <w:rFonts w:ascii="宋体"/>
                <w:vanish/>
              </w:rPr>
            </w:pPr>
          </w:p>
        </w:tc>
        <w:tc>
          <w:tcPr>
            <w:tcW w:w="0" w:type="auto"/>
            <w:shd w:val="clear" w:color="auto" w:fill="auto"/>
            <w:vAlign w:val="bottom"/>
          </w:tcPr>
          <w:p w14:paraId="5DEC5E0B" w14:textId="77777777" w:rsidR="00B1578D" w:rsidRDefault="00B1578D">
            <w:pPr>
              <w:rPr>
                <w:rFonts w:ascii="宋体"/>
                <w:vanish/>
              </w:rPr>
            </w:pPr>
          </w:p>
        </w:tc>
      </w:tr>
      <w:tr w:rsidR="00B1578D" w14:paraId="5DEC5E14" w14:textId="77777777">
        <w:trPr>
          <w:hidden/>
        </w:trPr>
        <w:tc>
          <w:tcPr>
            <w:tcW w:w="0" w:type="auto"/>
            <w:gridSpan w:val="3"/>
            <w:shd w:val="clear" w:color="auto" w:fill="auto"/>
            <w:vAlign w:val="bottom"/>
          </w:tcPr>
          <w:p w14:paraId="5DEC5E0D" w14:textId="77777777" w:rsidR="00B1578D" w:rsidRDefault="00B1578D">
            <w:pPr>
              <w:rPr>
                <w:rFonts w:ascii="宋体"/>
                <w:vanish/>
              </w:rPr>
            </w:pPr>
          </w:p>
        </w:tc>
        <w:tc>
          <w:tcPr>
            <w:tcW w:w="0" w:type="auto"/>
            <w:gridSpan w:val="3"/>
            <w:shd w:val="clear" w:color="auto" w:fill="auto"/>
            <w:vAlign w:val="bottom"/>
          </w:tcPr>
          <w:p w14:paraId="5DEC5E0E" w14:textId="77777777" w:rsidR="00B1578D" w:rsidRDefault="00B1578D">
            <w:pPr>
              <w:rPr>
                <w:rFonts w:ascii="宋体"/>
                <w:vanish/>
              </w:rPr>
            </w:pPr>
          </w:p>
        </w:tc>
        <w:tc>
          <w:tcPr>
            <w:tcW w:w="0" w:type="auto"/>
            <w:gridSpan w:val="3"/>
            <w:shd w:val="clear" w:color="auto" w:fill="auto"/>
            <w:vAlign w:val="bottom"/>
          </w:tcPr>
          <w:p w14:paraId="5DEC5E0F" w14:textId="77777777" w:rsidR="00B1578D" w:rsidRDefault="00B1578D">
            <w:pPr>
              <w:rPr>
                <w:rFonts w:ascii="宋体"/>
                <w:vanish/>
              </w:rPr>
            </w:pPr>
          </w:p>
        </w:tc>
        <w:tc>
          <w:tcPr>
            <w:tcW w:w="0" w:type="auto"/>
            <w:gridSpan w:val="3"/>
            <w:shd w:val="clear" w:color="auto" w:fill="auto"/>
            <w:vAlign w:val="bottom"/>
          </w:tcPr>
          <w:p w14:paraId="5DEC5E10" w14:textId="77777777" w:rsidR="00B1578D" w:rsidRDefault="00B1578D">
            <w:pPr>
              <w:rPr>
                <w:rFonts w:ascii="宋体"/>
                <w:vanish/>
              </w:rPr>
            </w:pPr>
          </w:p>
        </w:tc>
        <w:tc>
          <w:tcPr>
            <w:tcW w:w="0" w:type="auto"/>
            <w:gridSpan w:val="3"/>
            <w:shd w:val="clear" w:color="auto" w:fill="auto"/>
            <w:vAlign w:val="bottom"/>
          </w:tcPr>
          <w:p w14:paraId="5DEC5E11" w14:textId="77777777" w:rsidR="00B1578D" w:rsidRDefault="00B1578D">
            <w:pPr>
              <w:rPr>
                <w:rFonts w:ascii="宋体"/>
                <w:vanish/>
              </w:rPr>
            </w:pPr>
          </w:p>
        </w:tc>
        <w:tc>
          <w:tcPr>
            <w:tcW w:w="0" w:type="auto"/>
            <w:shd w:val="clear" w:color="auto" w:fill="auto"/>
            <w:vAlign w:val="bottom"/>
          </w:tcPr>
          <w:p w14:paraId="5DEC5E12" w14:textId="77777777" w:rsidR="00B1578D" w:rsidRDefault="00B1578D">
            <w:pPr>
              <w:rPr>
                <w:rFonts w:ascii="宋体"/>
                <w:vanish/>
              </w:rPr>
            </w:pPr>
          </w:p>
        </w:tc>
        <w:tc>
          <w:tcPr>
            <w:tcW w:w="0" w:type="auto"/>
            <w:shd w:val="clear" w:color="auto" w:fill="auto"/>
            <w:vAlign w:val="bottom"/>
          </w:tcPr>
          <w:p w14:paraId="5DEC5E13" w14:textId="77777777" w:rsidR="00B1578D" w:rsidRDefault="00B1578D">
            <w:pPr>
              <w:rPr>
                <w:rFonts w:ascii="宋体"/>
                <w:vanish/>
              </w:rPr>
            </w:pPr>
          </w:p>
        </w:tc>
      </w:tr>
      <w:tr w:rsidR="00B1578D" w14:paraId="5DEC5E1C" w14:textId="77777777">
        <w:trPr>
          <w:hidden/>
        </w:trPr>
        <w:tc>
          <w:tcPr>
            <w:tcW w:w="0" w:type="auto"/>
            <w:gridSpan w:val="3"/>
            <w:shd w:val="clear" w:color="auto" w:fill="auto"/>
            <w:vAlign w:val="bottom"/>
          </w:tcPr>
          <w:p w14:paraId="5DEC5E15" w14:textId="77777777" w:rsidR="00B1578D" w:rsidRDefault="00B1578D">
            <w:pPr>
              <w:rPr>
                <w:rFonts w:ascii="宋体"/>
                <w:vanish/>
              </w:rPr>
            </w:pPr>
          </w:p>
        </w:tc>
        <w:tc>
          <w:tcPr>
            <w:tcW w:w="0" w:type="auto"/>
            <w:gridSpan w:val="3"/>
            <w:shd w:val="clear" w:color="auto" w:fill="auto"/>
            <w:vAlign w:val="bottom"/>
          </w:tcPr>
          <w:p w14:paraId="5DEC5E16" w14:textId="77777777" w:rsidR="00B1578D" w:rsidRDefault="00B1578D">
            <w:pPr>
              <w:rPr>
                <w:rFonts w:ascii="宋体"/>
                <w:vanish/>
              </w:rPr>
            </w:pPr>
          </w:p>
        </w:tc>
        <w:tc>
          <w:tcPr>
            <w:tcW w:w="0" w:type="auto"/>
            <w:gridSpan w:val="3"/>
            <w:shd w:val="clear" w:color="auto" w:fill="auto"/>
            <w:vAlign w:val="bottom"/>
          </w:tcPr>
          <w:p w14:paraId="5DEC5E17" w14:textId="77777777" w:rsidR="00B1578D" w:rsidRDefault="00B1578D">
            <w:pPr>
              <w:rPr>
                <w:rFonts w:ascii="宋体"/>
                <w:vanish/>
              </w:rPr>
            </w:pPr>
          </w:p>
        </w:tc>
        <w:tc>
          <w:tcPr>
            <w:tcW w:w="0" w:type="auto"/>
            <w:gridSpan w:val="3"/>
            <w:shd w:val="clear" w:color="auto" w:fill="auto"/>
            <w:vAlign w:val="bottom"/>
          </w:tcPr>
          <w:p w14:paraId="5DEC5E18" w14:textId="77777777" w:rsidR="00B1578D" w:rsidRDefault="00B1578D">
            <w:pPr>
              <w:rPr>
                <w:rFonts w:ascii="宋体"/>
                <w:vanish/>
              </w:rPr>
            </w:pPr>
          </w:p>
        </w:tc>
        <w:tc>
          <w:tcPr>
            <w:tcW w:w="0" w:type="auto"/>
            <w:gridSpan w:val="3"/>
            <w:shd w:val="clear" w:color="auto" w:fill="auto"/>
            <w:vAlign w:val="bottom"/>
          </w:tcPr>
          <w:p w14:paraId="5DEC5E19" w14:textId="77777777" w:rsidR="00B1578D" w:rsidRDefault="00B1578D">
            <w:pPr>
              <w:rPr>
                <w:rFonts w:ascii="宋体"/>
                <w:vanish/>
              </w:rPr>
            </w:pPr>
          </w:p>
        </w:tc>
        <w:tc>
          <w:tcPr>
            <w:tcW w:w="0" w:type="auto"/>
            <w:shd w:val="clear" w:color="auto" w:fill="auto"/>
            <w:vAlign w:val="bottom"/>
          </w:tcPr>
          <w:p w14:paraId="5DEC5E1A" w14:textId="77777777" w:rsidR="00B1578D" w:rsidRDefault="00B1578D">
            <w:pPr>
              <w:rPr>
                <w:rFonts w:ascii="宋体"/>
                <w:vanish/>
              </w:rPr>
            </w:pPr>
          </w:p>
        </w:tc>
        <w:tc>
          <w:tcPr>
            <w:tcW w:w="0" w:type="auto"/>
            <w:shd w:val="clear" w:color="auto" w:fill="auto"/>
            <w:vAlign w:val="bottom"/>
          </w:tcPr>
          <w:p w14:paraId="5DEC5E1B" w14:textId="77777777" w:rsidR="00B1578D" w:rsidRDefault="00B1578D">
            <w:pPr>
              <w:rPr>
                <w:rFonts w:ascii="宋体"/>
                <w:vanish/>
              </w:rPr>
            </w:pPr>
          </w:p>
        </w:tc>
      </w:tr>
      <w:tr w:rsidR="00B1578D" w14:paraId="5DEC5E24" w14:textId="77777777">
        <w:trPr>
          <w:hidden/>
        </w:trPr>
        <w:tc>
          <w:tcPr>
            <w:tcW w:w="0" w:type="auto"/>
            <w:gridSpan w:val="3"/>
            <w:shd w:val="clear" w:color="auto" w:fill="auto"/>
            <w:vAlign w:val="bottom"/>
          </w:tcPr>
          <w:p w14:paraId="5DEC5E1D" w14:textId="77777777" w:rsidR="00B1578D" w:rsidRDefault="00B1578D">
            <w:pPr>
              <w:rPr>
                <w:rFonts w:ascii="宋体"/>
                <w:vanish/>
              </w:rPr>
            </w:pPr>
          </w:p>
        </w:tc>
        <w:tc>
          <w:tcPr>
            <w:tcW w:w="0" w:type="auto"/>
            <w:gridSpan w:val="3"/>
            <w:shd w:val="clear" w:color="auto" w:fill="auto"/>
            <w:vAlign w:val="bottom"/>
          </w:tcPr>
          <w:p w14:paraId="5DEC5E1E" w14:textId="77777777" w:rsidR="00B1578D" w:rsidRDefault="00B1578D">
            <w:pPr>
              <w:rPr>
                <w:rFonts w:ascii="宋体"/>
                <w:vanish/>
              </w:rPr>
            </w:pPr>
          </w:p>
        </w:tc>
        <w:tc>
          <w:tcPr>
            <w:tcW w:w="0" w:type="auto"/>
            <w:gridSpan w:val="3"/>
            <w:shd w:val="clear" w:color="auto" w:fill="auto"/>
            <w:vAlign w:val="bottom"/>
          </w:tcPr>
          <w:p w14:paraId="5DEC5E1F" w14:textId="77777777" w:rsidR="00B1578D" w:rsidRDefault="00B1578D">
            <w:pPr>
              <w:rPr>
                <w:rFonts w:ascii="宋体"/>
                <w:vanish/>
              </w:rPr>
            </w:pPr>
          </w:p>
        </w:tc>
        <w:tc>
          <w:tcPr>
            <w:tcW w:w="0" w:type="auto"/>
            <w:gridSpan w:val="3"/>
            <w:shd w:val="clear" w:color="auto" w:fill="auto"/>
            <w:vAlign w:val="bottom"/>
          </w:tcPr>
          <w:p w14:paraId="5DEC5E20" w14:textId="77777777" w:rsidR="00B1578D" w:rsidRDefault="00B1578D">
            <w:pPr>
              <w:rPr>
                <w:rFonts w:ascii="宋体"/>
                <w:vanish/>
              </w:rPr>
            </w:pPr>
          </w:p>
        </w:tc>
        <w:tc>
          <w:tcPr>
            <w:tcW w:w="0" w:type="auto"/>
            <w:gridSpan w:val="3"/>
            <w:shd w:val="clear" w:color="auto" w:fill="auto"/>
            <w:vAlign w:val="bottom"/>
          </w:tcPr>
          <w:p w14:paraId="5DEC5E21" w14:textId="77777777" w:rsidR="00B1578D" w:rsidRDefault="00B1578D">
            <w:pPr>
              <w:rPr>
                <w:rFonts w:ascii="宋体"/>
                <w:vanish/>
              </w:rPr>
            </w:pPr>
          </w:p>
        </w:tc>
        <w:tc>
          <w:tcPr>
            <w:tcW w:w="0" w:type="auto"/>
            <w:shd w:val="clear" w:color="auto" w:fill="auto"/>
            <w:vAlign w:val="bottom"/>
          </w:tcPr>
          <w:p w14:paraId="5DEC5E22" w14:textId="77777777" w:rsidR="00B1578D" w:rsidRDefault="00B1578D">
            <w:pPr>
              <w:rPr>
                <w:rFonts w:ascii="宋体"/>
                <w:vanish/>
              </w:rPr>
            </w:pPr>
          </w:p>
        </w:tc>
        <w:tc>
          <w:tcPr>
            <w:tcW w:w="0" w:type="auto"/>
            <w:shd w:val="clear" w:color="auto" w:fill="auto"/>
            <w:vAlign w:val="bottom"/>
          </w:tcPr>
          <w:p w14:paraId="5DEC5E23" w14:textId="77777777" w:rsidR="00B1578D" w:rsidRDefault="00B1578D">
            <w:pPr>
              <w:rPr>
                <w:rFonts w:ascii="宋体"/>
                <w:vanish/>
              </w:rPr>
            </w:pPr>
          </w:p>
        </w:tc>
      </w:tr>
    </w:tbl>
    <w:p w14:paraId="5DEC5E25" w14:textId="77777777" w:rsidR="00B1578D" w:rsidRDefault="004D2C04">
      <w:pPr>
        <w:spacing w:before="80"/>
      </w:pPr>
      <w:r>
        <w:rPr>
          <w:rFonts w:ascii="Times New Roman" w:eastAsia="宋体" w:hAnsi="Times New Roman"/>
          <w:i/>
          <w:iCs/>
          <w:color w:val="000000"/>
          <w:sz w:val="16"/>
          <w:szCs w:val="16"/>
        </w:rPr>
        <w:t xml:space="preserve">See accompanying notes. </w:t>
      </w:r>
    </w:p>
    <w:p w14:paraId="5DEC5E26" w14:textId="77777777" w:rsidR="00B1578D" w:rsidRDefault="004D2C04">
      <w:pPr>
        <w:jc w:val="center"/>
      </w:pPr>
      <w:r>
        <w:rPr>
          <w:rFonts w:ascii="Times New Roman" w:eastAsia="宋体" w:hAnsi="Times New Roman"/>
          <w:color w:val="000000"/>
          <w:sz w:val="20"/>
          <w:szCs w:val="20"/>
        </w:rPr>
        <w:t>7</w:t>
      </w:r>
    </w:p>
    <w:p w14:paraId="5DEC5E27" w14:textId="77777777" w:rsidR="00B1578D" w:rsidRDefault="004D2C04">
      <w:r>
        <w:pict w14:anchorId="5DEC6F2C">
          <v:rect id="_x0000_i1031" style="width:415.3pt;height:1.5pt" o:hralign="center" o:hrstd="t" o:hr="t" fillcolor="#a0a0a0" stroked="f"/>
        </w:pict>
      </w:r>
    </w:p>
    <w:p w14:paraId="5DEC5E28" w14:textId="77777777" w:rsidR="00B1578D" w:rsidRDefault="004D2C04">
      <w:hyperlink r:id="rId46" w:anchor="ia92fe4e1fa654d85928fb72942eadb02_7" w:history="1">
        <w:r>
          <w:rPr>
            <w:rStyle w:val="a5"/>
            <w:rFonts w:ascii="Times New Roman" w:eastAsia="宋体" w:hAnsi="Times New Roman"/>
            <w:sz w:val="20"/>
            <w:szCs w:val="20"/>
          </w:rPr>
          <w:t>Table of Contents</w:t>
        </w:r>
      </w:hyperlink>
    </w:p>
    <w:p w14:paraId="5DEC5E29" w14:textId="77777777" w:rsidR="00B1578D" w:rsidRDefault="004D2C04">
      <w:pPr>
        <w:jc w:val="center"/>
      </w:pPr>
      <w:r>
        <w:rPr>
          <w:rFonts w:ascii="Times New Roman" w:eastAsia="宋体" w:hAnsi="Times New Roman"/>
          <w:b/>
          <w:bCs/>
          <w:color w:val="000000"/>
          <w:sz w:val="20"/>
          <w:szCs w:val="20"/>
        </w:rPr>
        <w:t>Walmart Inc.</w:t>
      </w:r>
    </w:p>
    <w:p w14:paraId="5DEC5E2A" w14:textId="77777777" w:rsidR="00B1578D" w:rsidRDefault="004D2C04">
      <w:pPr>
        <w:spacing w:before="60"/>
        <w:jc w:val="center"/>
      </w:pPr>
      <w:r>
        <w:rPr>
          <w:rFonts w:ascii="Times New Roman" w:eastAsia="宋体" w:hAnsi="Times New Roman"/>
          <w:b/>
          <w:bCs/>
          <w:color w:val="000000"/>
          <w:sz w:val="20"/>
          <w:szCs w:val="20"/>
        </w:rPr>
        <w:t>Notes to Condensed Consolidated Financial Statements</w:t>
      </w:r>
    </w:p>
    <w:p w14:paraId="5DEC5E2B" w14:textId="77777777" w:rsidR="00B1578D" w:rsidRDefault="004D2C04">
      <w:pPr>
        <w:spacing w:before="180"/>
      </w:pPr>
      <w:r>
        <w:rPr>
          <w:rFonts w:ascii="Times New Roman" w:eastAsia="宋体" w:hAnsi="Times New Roman"/>
          <w:b/>
          <w:bCs/>
          <w:color w:val="000000"/>
          <w:sz w:val="20"/>
          <w:szCs w:val="20"/>
        </w:rPr>
        <w:t>Note 1. Summary of S</w:t>
      </w:r>
      <w:r>
        <w:rPr>
          <w:rFonts w:ascii="Times New Roman" w:eastAsia="宋体" w:hAnsi="Times New Roman"/>
          <w:b/>
          <w:bCs/>
          <w:color w:val="000000"/>
          <w:sz w:val="20"/>
          <w:szCs w:val="20"/>
        </w:rPr>
        <w:t>ignificant Accounting Policies</w:t>
      </w:r>
    </w:p>
    <w:p w14:paraId="5DEC5E2C" w14:textId="77777777" w:rsidR="00B1578D" w:rsidRDefault="004D2C04">
      <w:pPr>
        <w:spacing w:before="180"/>
      </w:pPr>
      <w:r>
        <w:rPr>
          <w:rFonts w:ascii="Times New Roman" w:eastAsia="宋体" w:hAnsi="Times New Roman"/>
          <w:b/>
          <w:bCs/>
          <w:i/>
          <w:iCs/>
          <w:color w:val="000000"/>
          <w:sz w:val="20"/>
          <w:szCs w:val="20"/>
        </w:rPr>
        <w:t>Basis of Presentation</w:t>
      </w:r>
    </w:p>
    <w:p w14:paraId="5DEC5E2D" w14:textId="77777777" w:rsidR="00B1578D" w:rsidRDefault="004D2C04">
      <w:pPr>
        <w:spacing w:before="60"/>
      </w:pPr>
      <w:r>
        <w:rPr>
          <w:rFonts w:ascii="Times New Roman" w:eastAsia="宋体" w:hAnsi="Times New Roman"/>
          <w:color w:val="000000"/>
          <w:sz w:val="20"/>
          <w:szCs w:val="20"/>
        </w:rPr>
        <w:t>The Condensed Consolidated Financial Statements of Walmart Inc. and its subsidiaries ("Walmart" or the "Company") and the accompanying notes included in this Quarterly Report on Form 10-Q are unaudited. In the opinion of management, all adjustments necessa</w:t>
      </w:r>
      <w:r>
        <w:rPr>
          <w:rFonts w:ascii="Times New Roman" w:eastAsia="宋体" w:hAnsi="Times New Roman"/>
          <w:color w:val="000000"/>
          <w:sz w:val="20"/>
          <w:szCs w:val="20"/>
        </w:rPr>
        <w:t xml:space="preserve">ry for the fair presentation of the Condensed Consolidated Financial Statements have been included. Such adjustments are of a normal, recurring nature. Certain previously reported amounts have been reclassified to conform to the current year presentation. </w:t>
      </w:r>
      <w:r>
        <w:rPr>
          <w:rFonts w:ascii="Times New Roman" w:eastAsia="宋体" w:hAnsi="Times New Roman"/>
          <w:color w:val="000000"/>
          <w:sz w:val="20"/>
          <w:szCs w:val="20"/>
        </w:rPr>
        <w:t>The Condensed Consolidated Financial Statements, and the accompanying notes, are prepared in accordance with generally accepted accounting principles in the United States ("GAAP") and do not contain certain information included in the Company's Annual Repo</w:t>
      </w:r>
      <w:r>
        <w:rPr>
          <w:rFonts w:ascii="Times New Roman" w:eastAsia="宋体" w:hAnsi="Times New Roman"/>
          <w:color w:val="000000"/>
          <w:sz w:val="20"/>
          <w:szCs w:val="20"/>
        </w:rPr>
        <w:t xml:space="preserve">rt on Form 10-K for the fiscal year ended January 31, 2022 ("fiscal 2022"). Therefore, the interim Condensed Consolidated Financial Statements should be read in conjunction with that Annual Report on Form 10-K. </w:t>
      </w:r>
    </w:p>
    <w:p w14:paraId="5DEC5E2E" w14:textId="77777777" w:rsidR="00B1578D" w:rsidRDefault="004D2C04">
      <w:pPr>
        <w:spacing w:before="60"/>
      </w:pPr>
      <w:r>
        <w:rPr>
          <w:rFonts w:ascii="Times New Roman" w:eastAsia="宋体" w:hAnsi="Times New Roman"/>
          <w:color w:val="000000"/>
          <w:sz w:val="20"/>
          <w:szCs w:val="20"/>
        </w:rPr>
        <w:t>The Company's Consolidated Financial Stateme</w:t>
      </w:r>
      <w:r>
        <w:rPr>
          <w:rFonts w:ascii="Times New Roman" w:eastAsia="宋体" w:hAnsi="Times New Roman"/>
          <w:color w:val="000000"/>
          <w:sz w:val="20"/>
          <w:szCs w:val="20"/>
        </w:rPr>
        <w:t>nts are based on a fiscal year ending January 31 for the United States ("U.S.") and Canadian operations. The Company consolidates all other operations generally using a one-month lag based on a calendar year. There were no significant intervening events du</w:t>
      </w:r>
      <w:r>
        <w:rPr>
          <w:rFonts w:ascii="Times New Roman" w:eastAsia="宋体" w:hAnsi="Times New Roman"/>
          <w:color w:val="000000"/>
          <w:sz w:val="20"/>
          <w:szCs w:val="20"/>
        </w:rPr>
        <w:t>ring the month of April 2022 related to the consolidated operations using a lag that materially affected the Condensed Consolidated Financial Statements.</w:t>
      </w:r>
    </w:p>
    <w:p w14:paraId="5DEC5E2F" w14:textId="77777777" w:rsidR="00B1578D" w:rsidRDefault="004D2C04">
      <w:pPr>
        <w:spacing w:before="100"/>
      </w:pPr>
      <w:r>
        <w:rPr>
          <w:rFonts w:ascii="Times New Roman" w:eastAsia="宋体" w:hAnsi="Times New Roman"/>
          <w:color w:val="000000"/>
          <w:sz w:val="20"/>
          <w:szCs w:val="20"/>
        </w:rPr>
        <w:t>The Company's business is seasonal to a certain extent due to calendar events and national and religio</w:t>
      </w:r>
      <w:r>
        <w:rPr>
          <w:rFonts w:ascii="Times New Roman" w:eastAsia="宋体" w:hAnsi="Times New Roman"/>
          <w:color w:val="000000"/>
          <w:sz w:val="20"/>
          <w:szCs w:val="20"/>
        </w:rPr>
        <w:t>us holidays, as well as weather patterns. Historically, the Company's highest sales volume has occurred in the fiscal quarter ending January 31.</w:t>
      </w:r>
    </w:p>
    <w:p w14:paraId="5DEC5E30" w14:textId="77777777" w:rsidR="00B1578D" w:rsidRDefault="004D2C04">
      <w:pPr>
        <w:spacing w:before="100"/>
      </w:pPr>
      <w:r>
        <w:rPr>
          <w:rFonts w:ascii="Times New Roman" w:eastAsia="宋体" w:hAnsi="Times New Roman"/>
          <w:b/>
          <w:bCs/>
          <w:i/>
          <w:iCs/>
          <w:color w:val="000000"/>
          <w:sz w:val="20"/>
          <w:szCs w:val="20"/>
        </w:rPr>
        <w:t>Use of Estimates</w:t>
      </w:r>
    </w:p>
    <w:p w14:paraId="5DEC5E31" w14:textId="77777777" w:rsidR="00B1578D" w:rsidRDefault="004D2C04">
      <w:pPr>
        <w:spacing w:before="100"/>
      </w:pPr>
      <w:r>
        <w:rPr>
          <w:rFonts w:ascii="Times New Roman" w:eastAsia="宋体" w:hAnsi="Times New Roman"/>
          <w:color w:val="000000"/>
          <w:sz w:val="20"/>
          <w:szCs w:val="20"/>
        </w:rPr>
        <w:t>The Condensed Consolidated Financial Statements have been prepared in conformity with GAAP. Th</w:t>
      </w:r>
      <w:r>
        <w:rPr>
          <w:rFonts w:ascii="Times New Roman" w:eastAsia="宋体" w:hAnsi="Times New Roman"/>
          <w:color w:val="000000"/>
          <w:sz w:val="20"/>
          <w:szCs w:val="20"/>
        </w:rPr>
        <w:t>ose principles require management to make estimates and assumptions that affect the reported amounts of assets and liabilities. Management's estimates and assumptions also affect the disclosure of contingent assets and liabilities at the date of the financ</w:t>
      </w:r>
      <w:r>
        <w:rPr>
          <w:rFonts w:ascii="Times New Roman" w:eastAsia="宋体" w:hAnsi="Times New Roman"/>
          <w:color w:val="000000"/>
          <w:sz w:val="20"/>
          <w:szCs w:val="20"/>
        </w:rPr>
        <w:t>ial statements and the reported amounts of revenues and expenses during the reporting period. Actual results may differ materially from those estimates.</w:t>
      </w:r>
    </w:p>
    <w:p w14:paraId="5DEC5E32" w14:textId="77777777" w:rsidR="00B1578D" w:rsidRDefault="004D2C04">
      <w:pPr>
        <w:spacing w:before="100"/>
      </w:pPr>
      <w:r>
        <w:rPr>
          <w:rFonts w:ascii="Times New Roman" w:eastAsia="宋体" w:hAnsi="Times New Roman"/>
          <w:b/>
          <w:bCs/>
          <w:i/>
          <w:iCs/>
          <w:color w:val="000000"/>
          <w:sz w:val="20"/>
          <w:szCs w:val="20"/>
        </w:rPr>
        <w:t>Redeemable Noncontrolling Interest</w:t>
      </w:r>
    </w:p>
    <w:p w14:paraId="5DEC5E33" w14:textId="77777777" w:rsidR="00B1578D" w:rsidRDefault="004D2C04">
      <w:pPr>
        <w:spacing w:before="100"/>
      </w:pPr>
      <w:r>
        <w:rPr>
          <w:rFonts w:ascii="Times New Roman" w:eastAsia="宋体" w:hAnsi="Times New Roman"/>
          <w:color w:val="000000"/>
          <w:sz w:val="20"/>
          <w:szCs w:val="20"/>
        </w:rPr>
        <w:t xml:space="preserve">Noncontrolling interests which are redeemable outside the </w:t>
      </w:r>
      <w:r>
        <w:rPr>
          <w:rFonts w:ascii="Times New Roman" w:eastAsia="宋体" w:hAnsi="Times New Roman"/>
          <w:color w:val="000000"/>
          <w:sz w:val="20"/>
          <w:szCs w:val="20"/>
        </w:rPr>
        <w:t>Company's control at fixed or determinable prices and dates are presented as temporary equity on the Condensed Consolidated Balance Sheets. Redeemable noncontrolling interests are recorded at the greater of the redemption value or the carrying value of the</w:t>
      </w:r>
      <w:r>
        <w:rPr>
          <w:rFonts w:ascii="Times New Roman" w:eastAsia="宋体" w:hAnsi="Times New Roman"/>
          <w:color w:val="000000"/>
          <w:sz w:val="20"/>
          <w:szCs w:val="20"/>
        </w:rPr>
        <w:t xml:space="preserve"> noncontrolling interest and adjusted each reporting period for income, loss and any distributions made. As of April 30, 2022, the Company has a redeemable noncontrolling interest related to a recent acquisition in the Walmart U.S. segment as the minority </w:t>
      </w:r>
      <w:r>
        <w:rPr>
          <w:rFonts w:ascii="Times New Roman" w:eastAsia="宋体" w:hAnsi="Times New Roman"/>
          <w:color w:val="000000"/>
          <w:sz w:val="20"/>
          <w:szCs w:val="20"/>
        </w:rPr>
        <w:t>interest owner holds a put option which may require the Company to purchase their interest at fair value beginning in December 2027 and annually thereafter.</w:t>
      </w:r>
    </w:p>
    <w:p w14:paraId="5DEC5E34" w14:textId="77777777" w:rsidR="00B1578D" w:rsidRDefault="004D2C04">
      <w:pPr>
        <w:jc w:val="center"/>
      </w:pPr>
      <w:r>
        <w:rPr>
          <w:rFonts w:ascii="Times New Roman" w:eastAsia="宋体" w:hAnsi="Times New Roman"/>
          <w:color w:val="000000"/>
          <w:sz w:val="20"/>
          <w:szCs w:val="20"/>
        </w:rPr>
        <w:t>8</w:t>
      </w:r>
    </w:p>
    <w:p w14:paraId="5DEC5E35" w14:textId="77777777" w:rsidR="00B1578D" w:rsidRDefault="004D2C04">
      <w:r>
        <w:pict w14:anchorId="5DEC6F2D">
          <v:rect id="_x0000_i1032" style="width:415.3pt;height:1.5pt" o:hralign="center" o:hrstd="t" o:hr="t" fillcolor="#a0a0a0" stroked="f"/>
        </w:pict>
      </w:r>
    </w:p>
    <w:p w14:paraId="5DEC5E36" w14:textId="77777777" w:rsidR="00B1578D" w:rsidRDefault="004D2C04">
      <w:hyperlink r:id="rId47" w:anchor="ia92fe4e1fa654d85928fb72942eadb02_7" w:history="1">
        <w:r>
          <w:rPr>
            <w:rStyle w:val="a5"/>
            <w:rFonts w:ascii="Times New Roman" w:eastAsia="宋体" w:hAnsi="Times New Roman"/>
            <w:sz w:val="20"/>
            <w:szCs w:val="20"/>
          </w:rPr>
          <w:t>Table of Contents</w:t>
        </w:r>
      </w:hyperlink>
    </w:p>
    <w:p w14:paraId="5DEC5E37" w14:textId="77777777" w:rsidR="00B1578D" w:rsidRDefault="004D2C04">
      <w:pPr>
        <w:spacing w:before="240"/>
      </w:pPr>
      <w:r>
        <w:rPr>
          <w:rFonts w:ascii="Times New Roman" w:eastAsia="宋体" w:hAnsi="Times New Roman"/>
          <w:b/>
          <w:bCs/>
          <w:color w:val="000000"/>
          <w:sz w:val="20"/>
          <w:szCs w:val="20"/>
        </w:rPr>
        <w:t>Note 2. Net Income Per Common Share</w:t>
      </w:r>
    </w:p>
    <w:p w14:paraId="5DEC5E38" w14:textId="77777777" w:rsidR="00B1578D" w:rsidRDefault="004D2C04">
      <w:pPr>
        <w:spacing w:before="180"/>
      </w:pPr>
      <w:r>
        <w:rPr>
          <w:rFonts w:ascii="Times New Roman" w:eastAsia="宋体" w:hAnsi="Times New Roman"/>
          <w:color w:val="000000"/>
          <w:sz w:val="20"/>
          <w:szCs w:val="20"/>
        </w:rPr>
        <w:t xml:space="preserve">Basic net income per common share attributable to Walmart is based on the weighted-average common shares outstanding during the relevant period. </w:t>
      </w:r>
      <w:r>
        <w:rPr>
          <w:rFonts w:ascii="Times New Roman" w:eastAsia="宋体" w:hAnsi="Times New Roman"/>
          <w:color w:val="000000"/>
          <w:sz w:val="20"/>
          <w:szCs w:val="20"/>
        </w:rPr>
        <w:t>Diluted net income per common share attributable to Walmart is based on the weighted-average common shares outstanding during the relevant period adjusted for the dilutive effect of share-based awards. The Company did not have significant share-based award</w:t>
      </w:r>
      <w:r>
        <w:rPr>
          <w:rFonts w:ascii="Times New Roman" w:eastAsia="宋体" w:hAnsi="Times New Roman"/>
          <w:color w:val="000000"/>
          <w:sz w:val="20"/>
          <w:szCs w:val="20"/>
        </w:rPr>
        <w:t xml:space="preserve">s outstanding that were anti-dilutive and not included in the calculation of diluted net income per common share attributable to Walmart for the three months ended April 30, 2022 and 2021. </w:t>
      </w:r>
    </w:p>
    <w:p w14:paraId="5DEC5E39" w14:textId="77777777" w:rsidR="00B1578D" w:rsidRDefault="004D2C04">
      <w:pPr>
        <w:spacing w:before="100"/>
      </w:pPr>
      <w:r>
        <w:rPr>
          <w:rFonts w:ascii="Times New Roman" w:eastAsia="宋体" w:hAnsi="Times New Roman"/>
          <w:color w:val="000000"/>
          <w:sz w:val="20"/>
          <w:szCs w:val="20"/>
        </w:rPr>
        <w:t>The following table provides a reconciliation of the numerators an</w:t>
      </w:r>
      <w:r>
        <w:rPr>
          <w:rFonts w:ascii="Times New Roman" w:eastAsia="宋体" w:hAnsi="Times New Roman"/>
          <w:color w:val="000000"/>
          <w:sz w:val="20"/>
          <w:szCs w:val="20"/>
        </w:rPr>
        <w:t xml:space="preserve">d denominators used to determine basic and diluted net income per common share attributable to Walmart: </w:t>
      </w:r>
    </w:p>
    <w:tbl>
      <w:tblPr>
        <w:tblW w:w="5000" w:type="pct"/>
        <w:tblCellMar>
          <w:top w:w="15" w:type="dxa"/>
          <w:left w:w="15" w:type="dxa"/>
          <w:bottom w:w="15" w:type="dxa"/>
          <w:right w:w="15" w:type="dxa"/>
        </w:tblCellMar>
        <w:tblLook w:val="04A0" w:firstRow="1" w:lastRow="0" w:firstColumn="1" w:lastColumn="0" w:noHBand="0" w:noVBand="1"/>
      </w:tblPr>
      <w:tblGrid>
        <w:gridCol w:w="40"/>
        <w:gridCol w:w="5839"/>
        <w:gridCol w:w="39"/>
        <w:gridCol w:w="36"/>
        <w:gridCol w:w="36"/>
        <w:gridCol w:w="36"/>
        <w:gridCol w:w="100"/>
        <w:gridCol w:w="838"/>
        <w:gridCol w:w="36"/>
        <w:gridCol w:w="36"/>
        <w:gridCol w:w="36"/>
        <w:gridCol w:w="36"/>
        <w:gridCol w:w="100"/>
        <w:gridCol w:w="804"/>
        <w:gridCol w:w="36"/>
        <w:gridCol w:w="36"/>
        <w:gridCol w:w="36"/>
        <w:gridCol w:w="36"/>
        <w:gridCol w:w="36"/>
        <w:gridCol w:w="36"/>
        <w:gridCol w:w="36"/>
        <w:gridCol w:w="36"/>
        <w:gridCol w:w="36"/>
      </w:tblGrid>
      <w:tr w:rsidR="00B1578D" w14:paraId="5DEC5E4D" w14:textId="77777777">
        <w:tc>
          <w:tcPr>
            <w:tcW w:w="50" w:type="pct"/>
            <w:shd w:val="clear" w:color="auto" w:fill="auto"/>
            <w:vAlign w:val="bottom"/>
          </w:tcPr>
          <w:p w14:paraId="5DEC5E3A" w14:textId="77777777" w:rsidR="00B1578D" w:rsidRDefault="00B1578D">
            <w:pPr>
              <w:rPr>
                <w:rFonts w:ascii="宋体"/>
              </w:rPr>
            </w:pPr>
          </w:p>
        </w:tc>
        <w:tc>
          <w:tcPr>
            <w:tcW w:w="3651" w:type="pct"/>
            <w:shd w:val="clear" w:color="auto" w:fill="auto"/>
            <w:vAlign w:val="bottom"/>
          </w:tcPr>
          <w:p w14:paraId="5DEC5E3B" w14:textId="77777777" w:rsidR="00B1578D" w:rsidRDefault="00B1578D">
            <w:pPr>
              <w:rPr>
                <w:rFonts w:ascii="宋体"/>
              </w:rPr>
            </w:pPr>
          </w:p>
        </w:tc>
        <w:tc>
          <w:tcPr>
            <w:tcW w:w="5" w:type="pct"/>
            <w:shd w:val="clear" w:color="auto" w:fill="auto"/>
            <w:vAlign w:val="bottom"/>
          </w:tcPr>
          <w:p w14:paraId="5DEC5E3C" w14:textId="77777777" w:rsidR="00B1578D" w:rsidRDefault="00B1578D">
            <w:pPr>
              <w:rPr>
                <w:rFonts w:ascii="宋体"/>
              </w:rPr>
            </w:pPr>
          </w:p>
        </w:tc>
        <w:tc>
          <w:tcPr>
            <w:tcW w:w="5" w:type="pct"/>
            <w:shd w:val="clear" w:color="auto" w:fill="auto"/>
            <w:vAlign w:val="bottom"/>
          </w:tcPr>
          <w:p w14:paraId="5DEC5E3D" w14:textId="77777777" w:rsidR="00B1578D" w:rsidRDefault="00B1578D">
            <w:pPr>
              <w:rPr>
                <w:rFonts w:ascii="宋体"/>
              </w:rPr>
            </w:pPr>
          </w:p>
        </w:tc>
        <w:tc>
          <w:tcPr>
            <w:tcW w:w="41" w:type="pct"/>
            <w:shd w:val="clear" w:color="auto" w:fill="auto"/>
            <w:vAlign w:val="bottom"/>
          </w:tcPr>
          <w:p w14:paraId="5DEC5E3E" w14:textId="77777777" w:rsidR="00B1578D" w:rsidRDefault="00B1578D">
            <w:pPr>
              <w:rPr>
                <w:rFonts w:ascii="宋体"/>
              </w:rPr>
            </w:pPr>
          </w:p>
        </w:tc>
        <w:tc>
          <w:tcPr>
            <w:tcW w:w="5" w:type="pct"/>
            <w:shd w:val="clear" w:color="auto" w:fill="auto"/>
            <w:vAlign w:val="bottom"/>
          </w:tcPr>
          <w:p w14:paraId="5DEC5E3F" w14:textId="77777777" w:rsidR="00B1578D" w:rsidRDefault="00B1578D">
            <w:pPr>
              <w:rPr>
                <w:rFonts w:ascii="宋体"/>
              </w:rPr>
            </w:pPr>
          </w:p>
        </w:tc>
        <w:tc>
          <w:tcPr>
            <w:tcW w:w="50" w:type="pct"/>
            <w:shd w:val="clear" w:color="auto" w:fill="auto"/>
            <w:vAlign w:val="bottom"/>
          </w:tcPr>
          <w:p w14:paraId="5DEC5E40" w14:textId="77777777" w:rsidR="00B1578D" w:rsidRDefault="00B1578D">
            <w:pPr>
              <w:rPr>
                <w:rFonts w:ascii="宋体"/>
              </w:rPr>
            </w:pPr>
          </w:p>
        </w:tc>
        <w:tc>
          <w:tcPr>
            <w:tcW w:w="551" w:type="pct"/>
            <w:shd w:val="clear" w:color="auto" w:fill="auto"/>
            <w:vAlign w:val="bottom"/>
          </w:tcPr>
          <w:p w14:paraId="5DEC5E41" w14:textId="77777777" w:rsidR="00B1578D" w:rsidRDefault="00B1578D">
            <w:pPr>
              <w:rPr>
                <w:rFonts w:ascii="宋体"/>
              </w:rPr>
            </w:pPr>
          </w:p>
        </w:tc>
        <w:tc>
          <w:tcPr>
            <w:tcW w:w="5" w:type="pct"/>
            <w:shd w:val="clear" w:color="auto" w:fill="auto"/>
            <w:vAlign w:val="bottom"/>
          </w:tcPr>
          <w:p w14:paraId="5DEC5E42" w14:textId="77777777" w:rsidR="00B1578D" w:rsidRDefault="00B1578D">
            <w:pPr>
              <w:rPr>
                <w:rFonts w:ascii="宋体"/>
              </w:rPr>
            </w:pPr>
          </w:p>
        </w:tc>
        <w:tc>
          <w:tcPr>
            <w:tcW w:w="5" w:type="pct"/>
            <w:shd w:val="clear" w:color="auto" w:fill="auto"/>
            <w:vAlign w:val="bottom"/>
          </w:tcPr>
          <w:p w14:paraId="5DEC5E43" w14:textId="77777777" w:rsidR="00B1578D" w:rsidRDefault="00B1578D">
            <w:pPr>
              <w:rPr>
                <w:rFonts w:ascii="宋体"/>
              </w:rPr>
            </w:pPr>
          </w:p>
        </w:tc>
        <w:tc>
          <w:tcPr>
            <w:tcW w:w="41" w:type="pct"/>
            <w:shd w:val="clear" w:color="auto" w:fill="auto"/>
            <w:vAlign w:val="bottom"/>
          </w:tcPr>
          <w:p w14:paraId="5DEC5E44" w14:textId="77777777" w:rsidR="00B1578D" w:rsidRDefault="00B1578D">
            <w:pPr>
              <w:rPr>
                <w:rFonts w:ascii="宋体"/>
              </w:rPr>
            </w:pPr>
          </w:p>
        </w:tc>
        <w:tc>
          <w:tcPr>
            <w:tcW w:w="5" w:type="pct"/>
            <w:shd w:val="clear" w:color="auto" w:fill="auto"/>
            <w:vAlign w:val="bottom"/>
          </w:tcPr>
          <w:p w14:paraId="5DEC5E45" w14:textId="77777777" w:rsidR="00B1578D" w:rsidRDefault="00B1578D">
            <w:pPr>
              <w:rPr>
                <w:rFonts w:ascii="宋体"/>
              </w:rPr>
            </w:pPr>
          </w:p>
        </w:tc>
        <w:tc>
          <w:tcPr>
            <w:tcW w:w="50" w:type="pct"/>
            <w:shd w:val="clear" w:color="auto" w:fill="auto"/>
            <w:vAlign w:val="bottom"/>
          </w:tcPr>
          <w:p w14:paraId="5DEC5E46" w14:textId="77777777" w:rsidR="00B1578D" w:rsidRDefault="00B1578D">
            <w:pPr>
              <w:rPr>
                <w:rFonts w:ascii="宋体"/>
              </w:rPr>
            </w:pPr>
          </w:p>
        </w:tc>
        <w:tc>
          <w:tcPr>
            <w:tcW w:w="529" w:type="pct"/>
            <w:shd w:val="clear" w:color="auto" w:fill="auto"/>
            <w:vAlign w:val="bottom"/>
          </w:tcPr>
          <w:p w14:paraId="5DEC5E47" w14:textId="77777777" w:rsidR="00B1578D" w:rsidRDefault="00B1578D">
            <w:pPr>
              <w:rPr>
                <w:rFonts w:ascii="宋体"/>
              </w:rPr>
            </w:pPr>
          </w:p>
        </w:tc>
        <w:tc>
          <w:tcPr>
            <w:tcW w:w="5" w:type="pct"/>
            <w:shd w:val="clear" w:color="auto" w:fill="auto"/>
            <w:vAlign w:val="bottom"/>
          </w:tcPr>
          <w:p w14:paraId="5DEC5E48" w14:textId="77777777" w:rsidR="00B1578D" w:rsidRDefault="00B1578D">
            <w:pPr>
              <w:rPr>
                <w:rFonts w:ascii="宋体"/>
              </w:rPr>
            </w:pPr>
          </w:p>
        </w:tc>
        <w:tc>
          <w:tcPr>
            <w:tcW w:w="0" w:type="auto"/>
            <w:shd w:val="clear" w:color="auto" w:fill="auto"/>
            <w:vAlign w:val="bottom"/>
          </w:tcPr>
          <w:p w14:paraId="5DEC5E49" w14:textId="77777777" w:rsidR="00B1578D" w:rsidRDefault="00B1578D">
            <w:pPr>
              <w:rPr>
                <w:rFonts w:ascii="宋体"/>
                <w:vanish/>
              </w:rPr>
            </w:pPr>
          </w:p>
        </w:tc>
        <w:tc>
          <w:tcPr>
            <w:tcW w:w="0" w:type="auto"/>
            <w:shd w:val="clear" w:color="auto" w:fill="auto"/>
            <w:vAlign w:val="bottom"/>
          </w:tcPr>
          <w:p w14:paraId="5DEC5E4A" w14:textId="77777777" w:rsidR="00B1578D" w:rsidRDefault="00B1578D">
            <w:pPr>
              <w:rPr>
                <w:rFonts w:ascii="宋体"/>
                <w:vanish/>
              </w:rPr>
            </w:pPr>
          </w:p>
        </w:tc>
        <w:tc>
          <w:tcPr>
            <w:tcW w:w="0" w:type="auto"/>
            <w:gridSpan w:val="3"/>
            <w:shd w:val="clear" w:color="auto" w:fill="auto"/>
            <w:vAlign w:val="bottom"/>
          </w:tcPr>
          <w:p w14:paraId="5DEC5E4B" w14:textId="77777777" w:rsidR="00B1578D" w:rsidRDefault="00B1578D">
            <w:pPr>
              <w:rPr>
                <w:rFonts w:ascii="宋体"/>
                <w:vanish/>
              </w:rPr>
            </w:pPr>
          </w:p>
        </w:tc>
        <w:tc>
          <w:tcPr>
            <w:tcW w:w="0" w:type="auto"/>
            <w:gridSpan w:val="3"/>
            <w:shd w:val="clear" w:color="auto" w:fill="auto"/>
            <w:vAlign w:val="bottom"/>
          </w:tcPr>
          <w:p w14:paraId="5DEC5E4C" w14:textId="77777777" w:rsidR="00B1578D" w:rsidRDefault="00B1578D">
            <w:pPr>
              <w:rPr>
                <w:rFonts w:ascii="宋体"/>
                <w:vanish/>
              </w:rPr>
            </w:pPr>
          </w:p>
        </w:tc>
      </w:tr>
      <w:tr w:rsidR="00B1578D" w14:paraId="5DEC5E59" w14:textId="77777777">
        <w:tc>
          <w:tcPr>
            <w:tcW w:w="0" w:type="auto"/>
            <w:gridSpan w:val="3"/>
            <w:shd w:val="clear" w:color="auto" w:fill="auto"/>
            <w:tcMar>
              <w:top w:w="0" w:type="dxa"/>
              <w:left w:w="20" w:type="dxa"/>
              <w:bottom w:w="0" w:type="dxa"/>
              <w:right w:w="20" w:type="dxa"/>
            </w:tcMar>
            <w:vAlign w:val="bottom"/>
          </w:tcPr>
          <w:p w14:paraId="5DEC5E4E"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E4F"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5E50"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5E51" w14:textId="77777777" w:rsidR="00B1578D" w:rsidRDefault="00B1578D">
            <w:pPr>
              <w:rPr>
                <w:rFonts w:ascii="宋体"/>
                <w:vanish/>
              </w:rPr>
            </w:pPr>
          </w:p>
        </w:tc>
        <w:tc>
          <w:tcPr>
            <w:tcW w:w="0" w:type="auto"/>
            <w:shd w:val="clear" w:color="auto" w:fill="auto"/>
            <w:vAlign w:val="bottom"/>
          </w:tcPr>
          <w:p w14:paraId="5DEC5E52" w14:textId="77777777" w:rsidR="00B1578D" w:rsidRDefault="00B1578D">
            <w:pPr>
              <w:rPr>
                <w:rFonts w:ascii="宋体"/>
                <w:vanish/>
              </w:rPr>
            </w:pPr>
          </w:p>
        </w:tc>
        <w:tc>
          <w:tcPr>
            <w:tcW w:w="0" w:type="auto"/>
            <w:shd w:val="clear" w:color="auto" w:fill="auto"/>
            <w:vAlign w:val="bottom"/>
          </w:tcPr>
          <w:p w14:paraId="5DEC5E53" w14:textId="77777777" w:rsidR="00B1578D" w:rsidRDefault="00B1578D">
            <w:pPr>
              <w:rPr>
                <w:rFonts w:ascii="宋体"/>
              </w:rPr>
            </w:pPr>
          </w:p>
        </w:tc>
        <w:tc>
          <w:tcPr>
            <w:tcW w:w="0" w:type="auto"/>
            <w:shd w:val="clear" w:color="auto" w:fill="auto"/>
            <w:vAlign w:val="bottom"/>
          </w:tcPr>
          <w:p w14:paraId="5DEC5E54" w14:textId="77777777" w:rsidR="00B1578D" w:rsidRDefault="00B1578D">
            <w:pPr>
              <w:rPr>
                <w:rFonts w:ascii="宋体"/>
              </w:rPr>
            </w:pPr>
          </w:p>
        </w:tc>
        <w:tc>
          <w:tcPr>
            <w:tcW w:w="0" w:type="auto"/>
            <w:shd w:val="clear" w:color="auto" w:fill="auto"/>
            <w:vAlign w:val="bottom"/>
          </w:tcPr>
          <w:p w14:paraId="5DEC5E55" w14:textId="77777777" w:rsidR="00B1578D" w:rsidRDefault="00B1578D">
            <w:pPr>
              <w:rPr>
                <w:rFonts w:ascii="宋体"/>
              </w:rPr>
            </w:pPr>
          </w:p>
        </w:tc>
        <w:tc>
          <w:tcPr>
            <w:tcW w:w="0" w:type="auto"/>
            <w:shd w:val="clear" w:color="auto" w:fill="auto"/>
            <w:vAlign w:val="bottom"/>
          </w:tcPr>
          <w:p w14:paraId="5DEC5E56" w14:textId="77777777" w:rsidR="00B1578D" w:rsidRDefault="00B1578D">
            <w:pPr>
              <w:rPr>
                <w:rFonts w:ascii="宋体"/>
              </w:rPr>
            </w:pPr>
          </w:p>
        </w:tc>
        <w:tc>
          <w:tcPr>
            <w:tcW w:w="0" w:type="auto"/>
            <w:shd w:val="clear" w:color="auto" w:fill="auto"/>
            <w:vAlign w:val="bottom"/>
          </w:tcPr>
          <w:p w14:paraId="5DEC5E57" w14:textId="77777777" w:rsidR="00B1578D" w:rsidRDefault="00B1578D">
            <w:pPr>
              <w:rPr>
                <w:rFonts w:ascii="宋体"/>
              </w:rPr>
            </w:pPr>
          </w:p>
        </w:tc>
        <w:tc>
          <w:tcPr>
            <w:tcW w:w="0" w:type="auto"/>
            <w:shd w:val="clear" w:color="auto" w:fill="auto"/>
            <w:vAlign w:val="bottom"/>
          </w:tcPr>
          <w:p w14:paraId="5DEC5E58" w14:textId="77777777" w:rsidR="00B1578D" w:rsidRDefault="00B1578D">
            <w:pPr>
              <w:rPr>
                <w:rFonts w:ascii="宋体"/>
              </w:rPr>
            </w:pPr>
          </w:p>
        </w:tc>
      </w:tr>
      <w:tr w:rsidR="00B1578D" w14:paraId="5DEC5E63" w14:textId="77777777">
        <w:tc>
          <w:tcPr>
            <w:tcW w:w="0" w:type="auto"/>
            <w:gridSpan w:val="3"/>
            <w:shd w:val="clear" w:color="auto" w:fill="auto"/>
            <w:tcMar>
              <w:top w:w="40" w:type="dxa"/>
              <w:left w:w="20" w:type="dxa"/>
              <w:bottom w:w="40" w:type="dxa"/>
              <w:right w:w="20" w:type="dxa"/>
            </w:tcMar>
            <w:vAlign w:val="bottom"/>
          </w:tcPr>
          <w:p w14:paraId="5DEC5E5A" w14:textId="77777777" w:rsidR="00B1578D" w:rsidRDefault="004D2C04">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5DEC5E5B"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E5C"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E5D"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5E5E"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5E5F" w14:textId="77777777" w:rsidR="00B1578D" w:rsidRDefault="00B1578D">
            <w:pPr>
              <w:rPr>
                <w:rFonts w:ascii="宋体"/>
                <w:vanish/>
              </w:rPr>
            </w:pPr>
          </w:p>
        </w:tc>
        <w:tc>
          <w:tcPr>
            <w:tcW w:w="0" w:type="auto"/>
            <w:shd w:val="clear" w:color="auto" w:fill="auto"/>
            <w:vAlign w:val="bottom"/>
          </w:tcPr>
          <w:p w14:paraId="5DEC5E60" w14:textId="77777777" w:rsidR="00B1578D" w:rsidRDefault="00B1578D">
            <w:pPr>
              <w:rPr>
                <w:rFonts w:ascii="宋体"/>
                <w:vanish/>
              </w:rPr>
            </w:pPr>
          </w:p>
        </w:tc>
        <w:tc>
          <w:tcPr>
            <w:tcW w:w="0" w:type="auto"/>
            <w:gridSpan w:val="3"/>
            <w:shd w:val="clear" w:color="auto" w:fill="auto"/>
            <w:vAlign w:val="bottom"/>
          </w:tcPr>
          <w:p w14:paraId="5DEC5E61" w14:textId="77777777" w:rsidR="00B1578D" w:rsidRDefault="00B1578D">
            <w:pPr>
              <w:rPr>
                <w:rFonts w:ascii="宋体"/>
                <w:vanish/>
              </w:rPr>
            </w:pPr>
          </w:p>
        </w:tc>
        <w:tc>
          <w:tcPr>
            <w:tcW w:w="0" w:type="auto"/>
            <w:gridSpan w:val="3"/>
            <w:shd w:val="clear" w:color="auto" w:fill="auto"/>
            <w:vAlign w:val="bottom"/>
          </w:tcPr>
          <w:p w14:paraId="5DEC5E62" w14:textId="77777777" w:rsidR="00B1578D" w:rsidRDefault="00B1578D">
            <w:pPr>
              <w:rPr>
                <w:rFonts w:ascii="宋体"/>
                <w:vanish/>
              </w:rPr>
            </w:pPr>
          </w:p>
        </w:tc>
      </w:tr>
      <w:tr w:rsidR="00B1578D" w14:paraId="5DEC5E6D" w14:textId="77777777">
        <w:tc>
          <w:tcPr>
            <w:tcW w:w="0" w:type="auto"/>
            <w:gridSpan w:val="3"/>
            <w:shd w:val="clear" w:color="auto" w:fill="auto"/>
            <w:tcMar>
              <w:top w:w="40" w:type="dxa"/>
              <w:left w:w="20" w:type="dxa"/>
              <w:bottom w:w="40" w:type="dxa"/>
              <w:right w:w="20" w:type="dxa"/>
            </w:tcMar>
            <w:vAlign w:val="center"/>
          </w:tcPr>
          <w:p w14:paraId="5DEC5E64" w14:textId="77777777" w:rsidR="00B1578D" w:rsidRDefault="004D2C04">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vAlign w:val="bottom"/>
          </w:tcPr>
          <w:p w14:paraId="5DEC5E65"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E66"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5E67"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5E68" w14:textId="77777777" w:rsidR="00B1578D" w:rsidRDefault="00B1578D">
            <w:pPr>
              <w:rPr>
                <w:rFonts w:ascii="宋体"/>
              </w:rPr>
            </w:pPr>
          </w:p>
        </w:tc>
        <w:tc>
          <w:tcPr>
            <w:tcW w:w="0" w:type="auto"/>
            <w:shd w:val="clear" w:color="auto" w:fill="auto"/>
            <w:vAlign w:val="bottom"/>
          </w:tcPr>
          <w:p w14:paraId="5DEC5E69" w14:textId="77777777" w:rsidR="00B1578D" w:rsidRDefault="00B1578D">
            <w:pPr>
              <w:rPr>
                <w:rFonts w:ascii="宋体"/>
                <w:vanish/>
              </w:rPr>
            </w:pPr>
          </w:p>
        </w:tc>
        <w:tc>
          <w:tcPr>
            <w:tcW w:w="0" w:type="auto"/>
            <w:shd w:val="clear" w:color="auto" w:fill="auto"/>
            <w:vAlign w:val="bottom"/>
          </w:tcPr>
          <w:p w14:paraId="5DEC5E6A" w14:textId="77777777" w:rsidR="00B1578D" w:rsidRDefault="00B1578D">
            <w:pPr>
              <w:rPr>
                <w:rFonts w:ascii="宋体"/>
                <w:vanish/>
              </w:rPr>
            </w:pPr>
          </w:p>
        </w:tc>
        <w:tc>
          <w:tcPr>
            <w:tcW w:w="0" w:type="auto"/>
            <w:gridSpan w:val="3"/>
            <w:shd w:val="clear" w:color="auto" w:fill="auto"/>
            <w:vAlign w:val="bottom"/>
          </w:tcPr>
          <w:p w14:paraId="5DEC5E6B" w14:textId="77777777" w:rsidR="00B1578D" w:rsidRDefault="00B1578D">
            <w:pPr>
              <w:rPr>
                <w:rFonts w:ascii="宋体"/>
                <w:vanish/>
              </w:rPr>
            </w:pPr>
          </w:p>
        </w:tc>
        <w:tc>
          <w:tcPr>
            <w:tcW w:w="0" w:type="auto"/>
            <w:gridSpan w:val="3"/>
            <w:shd w:val="clear" w:color="auto" w:fill="auto"/>
            <w:vAlign w:val="bottom"/>
          </w:tcPr>
          <w:p w14:paraId="5DEC5E6C" w14:textId="77777777" w:rsidR="00B1578D" w:rsidRDefault="00B1578D">
            <w:pPr>
              <w:rPr>
                <w:rFonts w:ascii="宋体"/>
                <w:vanish/>
              </w:rPr>
            </w:pPr>
          </w:p>
        </w:tc>
      </w:tr>
      <w:tr w:rsidR="00B1578D" w14:paraId="5DEC5E7B" w14:textId="77777777">
        <w:tc>
          <w:tcPr>
            <w:tcW w:w="0" w:type="auto"/>
            <w:gridSpan w:val="3"/>
            <w:shd w:val="clear" w:color="auto" w:fill="CCEEFF"/>
            <w:tcMar>
              <w:top w:w="40" w:type="dxa"/>
              <w:left w:w="380" w:type="dxa"/>
              <w:bottom w:w="40" w:type="dxa"/>
              <w:right w:w="20" w:type="dxa"/>
            </w:tcMar>
            <w:vAlign w:val="center"/>
          </w:tcPr>
          <w:p w14:paraId="5DEC5E6E" w14:textId="77777777" w:rsidR="00B1578D" w:rsidRDefault="004D2C04">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5DEC5E6F"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E70"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E71" w14:textId="77777777" w:rsidR="00B1578D" w:rsidRDefault="004D2C04">
            <w:pPr>
              <w:jc w:val="right"/>
              <w:textAlignment w:val="center"/>
            </w:pPr>
            <w:r>
              <w:rPr>
                <w:rFonts w:ascii="Times New Roman" w:eastAsia="宋体" w:hAnsi="Times New Roman"/>
                <w:color w:val="000000"/>
                <w:sz w:val="16"/>
                <w:szCs w:val="16"/>
              </w:rPr>
              <w:t>2,103 </w:t>
            </w:r>
          </w:p>
        </w:tc>
        <w:tc>
          <w:tcPr>
            <w:tcW w:w="0" w:type="auto"/>
            <w:shd w:val="clear" w:color="auto" w:fill="CCEEFF"/>
            <w:tcMar>
              <w:top w:w="40" w:type="dxa"/>
              <w:left w:w="0" w:type="dxa"/>
              <w:bottom w:w="40" w:type="dxa"/>
              <w:right w:w="20" w:type="dxa"/>
            </w:tcMar>
            <w:vAlign w:val="center"/>
          </w:tcPr>
          <w:p w14:paraId="5DEC5E7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E73"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5E74"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5E75" w14:textId="77777777" w:rsidR="00B1578D" w:rsidRDefault="004D2C04">
            <w:pPr>
              <w:jc w:val="right"/>
              <w:textAlignment w:val="center"/>
            </w:pPr>
            <w:r>
              <w:rPr>
                <w:rFonts w:ascii="Times New Roman" w:eastAsia="宋体" w:hAnsi="Times New Roman"/>
                <w:color w:val="000000"/>
                <w:sz w:val="16"/>
                <w:szCs w:val="16"/>
              </w:rPr>
              <w:t>2,811 </w:t>
            </w:r>
          </w:p>
        </w:tc>
        <w:tc>
          <w:tcPr>
            <w:tcW w:w="0" w:type="auto"/>
            <w:shd w:val="clear" w:color="auto" w:fill="CCEEFF"/>
            <w:tcMar>
              <w:top w:w="40" w:type="dxa"/>
              <w:left w:w="0" w:type="dxa"/>
              <w:bottom w:w="40" w:type="dxa"/>
              <w:right w:w="20" w:type="dxa"/>
            </w:tcMar>
            <w:vAlign w:val="center"/>
          </w:tcPr>
          <w:p w14:paraId="5DEC5E76" w14:textId="77777777" w:rsidR="00B1578D" w:rsidRDefault="00B1578D">
            <w:pPr>
              <w:jc w:val="right"/>
              <w:rPr>
                <w:rFonts w:ascii="宋体"/>
              </w:rPr>
            </w:pPr>
          </w:p>
        </w:tc>
        <w:tc>
          <w:tcPr>
            <w:tcW w:w="0" w:type="auto"/>
            <w:shd w:val="clear" w:color="auto" w:fill="auto"/>
            <w:vAlign w:val="bottom"/>
          </w:tcPr>
          <w:p w14:paraId="5DEC5E77" w14:textId="77777777" w:rsidR="00B1578D" w:rsidRDefault="00B1578D">
            <w:pPr>
              <w:rPr>
                <w:rFonts w:ascii="宋体"/>
                <w:vanish/>
              </w:rPr>
            </w:pPr>
          </w:p>
        </w:tc>
        <w:tc>
          <w:tcPr>
            <w:tcW w:w="0" w:type="auto"/>
            <w:shd w:val="clear" w:color="auto" w:fill="auto"/>
            <w:vAlign w:val="bottom"/>
          </w:tcPr>
          <w:p w14:paraId="5DEC5E78" w14:textId="77777777" w:rsidR="00B1578D" w:rsidRDefault="00B1578D">
            <w:pPr>
              <w:rPr>
                <w:rFonts w:ascii="宋体"/>
                <w:vanish/>
              </w:rPr>
            </w:pPr>
          </w:p>
        </w:tc>
        <w:tc>
          <w:tcPr>
            <w:tcW w:w="0" w:type="auto"/>
            <w:gridSpan w:val="3"/>
            <w:shd w:val="clear" w:color="auto" w:fill="auto"/>
            <w:vAlign w:val="bottom"/>
          </w:tcPr>
          <w:p w14:paraId="5DEC5E79" w14:textId="77777777" w:rsidR="00B1578D" w:rsidRDefault="00B1578D">
            <w:pPr>
              <w:rPr>
                <w:rFonts w:ascii="宋体"/>
                <w:vanish/>
              </w:rPr>
            </w:pPr>
          </w:p>
        </w:tc>
        <w:tc>
          <w:tcPr>
            <w:tcW w:w="0" w:type="auto"/>
            <w:gridSpan w:val="3"/>
            <w:shd w:val="clear" w:color="auto" w:fill="auto"/>
            <w:vAlign w:val="bottom"/>
          </w:tcPr>
          <w:p w14:paraId="5DEC5E7A" w14:textId="77777777" w:rsidR="00B1578D" w:rsidRDefault="00B1578D">
            <w:pPr>
              <w:rPr>
                <w:rFonts w:ascii="宋体"/>
                <w:vanish/>
              </w:rPr>
            </w:pPr>
          </w:p>
        </w:tc>
      </w:tr>
      <w:tr w:rsidR="00B1578D" w14:paraId="5DEC5E87" w14:textId="77777777">
        <w:tc>
          <w:tcPr>
            <w:tcW w:w="0" w:type="auto"/>
            <w:gridSpan w:val="3"/>
            <w:shd w:val="clear" w:color="auto" w:fill="FFFFFF"/>
            <w:tcMar>
              <w:top w:w="40" w:type="dxa"/>
              <w:left w:w="380" w:type="dxa"/>
              <w:bottom w:w="40" w:type="dxa"/>
              <w:right w:w="20" w:type="dxa"/>
            </w:tcMar>
            <w:vAlign w:val="center"/>
          </w:tcPr>
          <w:p w14:paraId="5DEC5E7C" w14:textId="77777777" w:rsidR="00B1578D" w:rsidRDefault="004D2C04">
            <w:pPr>
              <w:textAlignment w:val="center"/>
            </w:pPr>
            <w:r>
              <w:rPr>
                <w:rFonts w:ascii="Times New Roman" w:eastAsia="宋体" w:hAnsi="Times New Roman"/>
                <w:color w:val="000000"/>
                <w:sz w:val="16"/>
                <w:szCs w:val="16"/>
              </w:rPr>
              <w:t>Conso</w:t>
            </w:r>
            <w:r>
              <w:rPr>
                <w:rFonts w:ascii="Times New Roman" w:eastAsia="宋体" w:hAnsi="Times New Roman"/>
                <w:color w:val="000000"/>
                <w:sz w:val="16"/>
                <w:szCs w:val="16"/>
              </w:rPr>
              <w:t>lidated net income attributable to noncontrolling interest</w:t>
            </w:r>
          </w:p>
        </w:tc>
        <w:tc>
          <w:tcPr>
            <w:tcW w:w="0" w:type="auto"/>
            <w:gridSpan w:val="3"/>
            <w:shd w:val="clear" w:color="auto" w:fill="FFFFFF"/>
            <w:tcMar>
              <w:top w:w="0" w:type="dxa"/>
              <w:left w:w="20" w:type="dxa"/>
              <w:bottom w:w="0" w:type="dxa"/>
              <w:right w:w="20" w:type="dxa"/>
            </w:tcMar>
            <w:vAlign w:val="bottom"/>
          </w:tcPr>
          <w:p w14:paraId="5DEC5E7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E7E" w14:textId="77777777" w:rsidR="00B1578D" w:rsidRDefault="004D2C04">
            <w:pPr>
              <w:jc w:val="right"/>
              <w:textAlignment w:val="center"/>
            </w:pPr>
            <w:r>
              <w:rPr>
                <w:rFonts w:ascii="Times New Roman" w:eastAsia="宋体" w:hAnsi="Times New Roman"/>
                <w:color w:val="000000"/>
                <w:sz w:val="16"/>
                <w:szCs w:val="16"/>
              </w:rPr>
              <w:t>(49)</w:t>
            </w:r>
          </w:p>
        </w:tc>
        <w:tc>
          <w:tcPr>
            <w:tcW w:w="0" w:type="auto"/>
            <w:shd w:val="clear" w:color="auto" w:fill="FFFFFF"/>
            <w:tcMar>
              <w:top w:w="40" w:type="dxa"/>
              <w:left w:w="0" w:type="dxa"/>
              <w:bottom w:w="40" w:type="dxa"/>
              <w:right w:w="20" w:type="dxa"/>
            </w:tcMar>
            <w:vAlign w:val="center"/>
          </w:tcPr>
          <w:p w14:paraId="5DEC5E7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E8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E81" w14:textId="77777777" w:rsidR="00B1578D" w:rsidRDefault="004D2C04">
            <w:pPr>
              <w:jc w:val="right"/>
              <w:textAlignment w:val="center"/>
            </w:pPr>
            <w:r>
              <w:rPr>
                <w:rFonts w:ascii="Times New Roman" w:eastAsia="宋体" w:hAnsi="Times New Roman"/>
                <w:color w:val="000000"/>
                <w:sz w:val="16"/>
                <w:szCs w:val="16"/>
              </w:rPr>
              <w:t>(81)</w:t>
            </w:r>
          </w:p>
        </w:tc>
        <w:tc>
          <w:tcPr>
            <w:tcW w:w="0" w:type="auto"/>
            <w:shd w:val="clear" w:color="auto" w:fill="FFFFFF"/>
            <w:tcMar>
              <w:top w:w="40" w:type="dxa"/>
              <w:left w:w="0" w:type="dxa"/>
              <w:bottom w:w="40" w:type="dxa"/>
              <w:right w:w="20" w:type="dxa"/>
            </w:tcMar>
            <w:vAlign w:val="center"/>
          </w:tcPr>
          <w:p w14:paraId="5DEC5E82" w14:textId="77777777" w:rsidR="00B1578D" w:rsidRDefault="00B1578D">
            <w:pPr>
              <w:jc w:val="right"/>
              <w:rPr>
                <w:rFonts w:ascii="宋体"/>
              </w:rPr>
            </w:pPr>
          </w:p>
        </w:tc>
        <w:tc>
          <w:tcPr>
            <w:tcW w:w="0" w:type="auto"/>
            <w:shd w:val="clear" w:color="auto" w:fill="auto"/>
            <w:vAlign w:val="bottom"/>
          </w:tcPr>
          <w:p w14:paraId="5DEC5E83" w14:textId="77777777" w:rsidR="00B1578D" w:rsidRDefault="00B1578D">
            <w:pPr>
              <w:rPr>
                <w:rFonts w:ascii="宋体"/>
                <w:vanish/>
              </w:rPr>
            </w:pPr>
          </w:p>
        </w:tc>
        <w:tc>
          <w:tcPr>
            <w:tcW w:w="0" w:type="auto"/>
            <w:shd w:val="clear" w:color="auto" w:fill="auto"/>
            <w:vAlign w:val="bottom"/>
          </w:tcPr>
          <w:p w14:paraId="5DEC5E84" w14:textId="77777777" w:rsidR="00B1578D" w:rsidRDefault="00B1578D">
            <w:pPr>
              <w:rPr>
                <w:rFonts w:ascii="宋体"/>
                <w:vanish/>
              </w:rPr>
            </w:pPr>
          </w:p>
        </w:tc>
        <w:tc>
          <w:tcPr>
            <w:tcW w:w="0" w:type="auto"/>
            <w:gridSpan w:val="3"/>
            <w:shd w:val="clear" w:color="auto" w:fill="auto"/>
            <w:vAlign w:val="bottom"/>
          </w:tcPr>
          <w:p w14:paraId="5DEC5E85" w14:textId="77777777" w:rsidR="00B1578D" w:rsidRDefault="00B1578D">
            <w:pPr>
              <w:rPr>
                <w:rFonts w:ascii="宋体"/>
                <w:vanish/>
              </w:rPr>
            </w:pPr>
          </w:p>
        </w:tc>
        <w:tc>
          <w:tcPr>
            <w:tcW w:w="0" w:type="auto"/>
            <w:gridSpan w:val="3"/>
            <w:shd w:val="clear" w:color="auto" w:fill="auto"/>
            <w:vAlign w:val="bottom"/>
          </w:tcPr>
          <w:p w14:paraId="5DEC5E86" w14:textId="77777777" w:rsidR="00B1578D" w:rsidRDefault="00B1578D">
            <w:pPr>
              <w:rPr>
                <w:rFonts w:ascii="宋体"/>
                <w:vanish/>
              </w:rPr>
            </w:pPr>
          </w:p>
        </w:tc>
      </w:tr>
      <w:tr w:rsidR="00B1578D" w14:paraId="5DEC5E95" w14:textId="77777777">
        <w:tc>
          <w:tcPr>
            <w:tcW w:w="0" w:type="auto"/>
            <w:gridSpan w:val="3"/>
            <w:shd w:val="clear" w:color="auto" w:fill="CCEEFF"/>
            <w:tcMar>
              <w:top w:w="40" w:type="dxa"/>
              <w:left w:w="380" w:type="dxa"/>
              <w:bottom w:w="40" w:type="dxa"/>
              <w:right w:w="20" w:type="dxa"/>
            </w:tcMar>
            <w:vAlign w:val="center"/>
          </w:tcPr>
          <w:p w14:paraId="5DEC5E88" w14:textId="77777777" w:rsidR="00B1578D" w:rsidRDefault="004D2C04">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vAlign w:val="bottom"/>
          </w:tcPr>
          <w:p w14:paraId="5DEC5E89"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E8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E8B" w14:textId="77777777" w:rsidR="00B1578D" w:rsidRDefault="004D2C04">
            <w:pPr>
              <w:jc w:val="right"/>
              <w:textAlignment w:val="center"/>
            </w:pPr>
            <w:r>
              <w:rPr>
                <w:rFonts w:ascii="Times New Roman" w:eastAsia="宋体" w:hAnsi="Times New Roman"/>
                <w:color w:val="000000"/>
                <w:sz w:val="16"/>
                <w:szCs w:val="16"/>
              </w:rPr>
              <w:t>2,054 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E8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E8D"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E8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E8F" w14:textId="77777777" w:rsidR="00B1578D" w:rsidRDefault="004D2C04">
            <w:pPr>
              <w:jc w:val="right"/>
              <w:textAlignment w:val="center"/>
            </w:pPr>
            <w:r>
              <w:rPr>
                <w:rFonts w:ascii="Times New Roman" w:eastAsia="宋体" w:hAnsi="Times New Roman"/>
                <w:color w:val="000000"/>
                <w:sz w:val="16"/>
                <w:szCs w:val="16"/>
              </w:rPr>
              <w:t>2,730 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E90" w14:textId="77777777" w:rsidR="00B1578D" w:rsidRDefault="00B1578D">
            <w:pPr>
              <w:jc w:val="right"/>
              <w:rPr>
                <w:rFonts w:ascii="宋体"/>
              </w:rPr>
            </w:pPr>
          </w:p>
        </w:tc>
        <w:tc>
          <w:tcPr>
            <w:tcW w:w="0" w:type="auto"/>
            <w:shd w:val="clear" w:color="auto" w:fill="auto"/>
            <w:vAlign w:val="bottom"/>
          </w:tcPr>
          <w:p w14:paraId="5DEC5E91" w14:textId="77777777" w:rsidR="00B1578D" w:rsidRDefault="00B1578D">
            <w:pPr>
              <w:rPr>
                <w:rFonts w:ascii="宋体"/>
                <w:vanish/>
              </w:rPr>
            </w:pPr>
          </w:p>
        </w:tc>
        <w:tc>
          <w:tcPr>
            <w:tcW w:w="0" w:type="auto"/>
            <w:shd w:val="clear" w:color="auto" w:fill="auto"/>
            <w:vAlign w:val="bottom"/>
          </w:tcPr>
          <w:p w14:paraId="5DEC5E92" w14:textId="77777777" w:rsidR="00B1578D" w:rsidRDefault="00B1578D">
            <w:pPr>
              <w:rPr>
                <w:rFonts w:ascii="宋体"/>
                <w:vanish/>
              </w:rPr>
            </w:pPr>
          </w:p>
        </w:tc>
        <w:tc>
          <w:tcPr>
            <w:tcW w:w="0" w:type="auto"/>
            <w:gridSpan w:val="3"/>
            <w:shd w:val="clear" w:color="auto" w:fill="auto"/>
            <w:vAlign w:val="bottom"/>
          </w:tcPr>
          <w:p w14:paraId="5DEC5E93" w14:textId="77777777" w:rsidR="00B1578D" w:rsidRDefault="00B1578D">
            <w:pPr>
              <w:rPr>
                <w:rFonts w:ascii="宋体"/>
                <w:vanish/>
              </w:rPr>
            </w:pPr>
          </w:p>
        </w:tc>
        <w:tc>
          <w:tcPr>
            <w:tcW w:w="0" w:type="auto"/>
            <w:gridSpan w:val="3"/>
            <w:shd w:val="clear" w:color="auto" w:fill="auto"/>
            <w:vAlign w:val="bottom"/>
          </w:tcPr>
          <w:p w14:paraId="5DEC5E94" w14:textId="77777777" w:rsidR="00B1578D" w:rsidRDefault="00B1578D">
            <w:pPr>
              <w:rPr>
                <w:rFonts w:ascii="宋体"/>
                <w:vanish/>
              </w:rPr>
            </w:pPr>
          </w:p>
        </w:tc>
      </w:tr>
      <w:tr w:rsidR="00B1578D" w14:paraId="5DEC5E9F" w14:textId="77777777">
        <w:trPr>
          <w:trHeight w:val="220"/>
        </w:trPr>
        <w:tc>
          <w:tcPr>
            <w:tcW w:w="0" w:type="auto"/>
            <w:gridSpan w:val="3"/>
            <w:shd w:val="clear" w:color="auto" w:fill="FFFFFF"/>
            <w:tcMar>
              <w:top w:w="0" w:type="dxa"/>
              <w:left w:w="20" w:type="dxa"/>
              <w:bottom w:w="0" w:type="dxa"/>
              <w:right w:w="20" w:type="dxa"/>
            </w:tcMar>
            <w:vAlign w:val="bottom"/>
          </w:tcPr>
          <w:p w14:paraId="5DEC5E9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E97" w14:textId="77777777" w:rsidR="00B1578D" w:rsidRDefault="00B157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EC5E98"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E99" w14:textId="77777777" w:rsidR="00B1578D" w:rsidRDefault="00B157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EC5E9A" w14:textId="77777777" w:rsidR="00B1578D" w:rsidRDefault="00B1578D">
            <w:pPr>
              <w:rPr>
                <w:rFonts w:ascii="宋体"/>
              </w:rPr>
            </w:pPr>
          </w:p>
        </w:tc>
        <w:tc>
          <w:tcPr>
            <w:tcW w:w="0" w:type="auto"/>
            <w:shd w:val="clear" w:color="auto" w:fill="auto"/>
            <w:vAlign w:val="bottom"/>
          </w:tcPr>
          <w:p w14:paraId="5DEC5E9B" w14:textId="77777777" w:rsidR="00B1578D" w:rsidRDefault="00B1578D">
            <w:pPr>
              <w:rPr>
                <w:rFonts w:ascii="宋体"/>
                <w:vanish/>
              </w:rPr>
            </w:pPr>
          </w:p>
        </w:tc>
        <w:tc>
          <w:tcPr>
            <w:tcW w:w="0" w:type="auto"/>
            <w:shd w:val="clear" w:color="auto" w:fill="auto"/>
            <w:vAlign w:val="bottom"/>
          </w:tcPr>
          <w:p w14:paraId="5DEC5E9C" w14:textId="77777777" w:rsidR="00B1578D" w:rsidRDefault="00B1578D">
            <w:pPr>
              <w:rPr>
                <w:rFonts w:ascii="宋体"/>
                <w:vanish/>
              </w:rPr>
            </w:pPr>
          </w:p>
        </w:tc>
        <w:tc>
          <w:tcPr>
            <w:tcW w:w="0" w:type="auto"/>
            <w:gridSpan w:val="3"/>
            <w:shd w:val="clear" w:color="auto" w:fill="auto"/>
            <w:vAlign w:val="bottom"/>
          </w:tcPr>
          <w:p w14:paraId="5DEC5E9D" w14:textId="77777777" w:rsidR="00B1578D" w:rsidRDefault="00B1578D">
            <w:pPr>
              <w:rPr>
                <w:rFonts w:ascii="宋体"/>
                <w:vanish/>
              </w:rPr>
            </w:pPr>
          </w:p>
        </w:tc>
        <w:tc>
          <w:tcPr>
            <w:tcW w:w="0" w:type="auto"/>
            <w:gridSpan w:val="3"/>
            <w:shd w:val="clear" w:color="auto" w:fill="auto"/>
            <w:vAlign w:val="bottom"/>
          </w:tcPr>
          <w:p w14:paraId="5DEC5E9E" w14:textId="77777777" w:rsidR="00B1578D" w:rsidRDefault="00B1578D">
            <w:pPr>
              <w:rPr>
                <w:rFonts w:ascii="宋体"/>
                <w:vanish/>
              </w:rPr>
            </w:pPr>
          </w:p>
        </w:tc>
      </w:tr>
      <w:tr w:rsidR="00B1578D" w14:paraId="5DEC5EA9" w14:textId="77777777">
        <w:tc>
          <w:tcPr>
            <w:tcW w:w="0" w:type="auto"/>
            <w:gridSpan w:val="3"/>
            <w:shd w:val="clear" w:color="auto" w:fill="CCEEFF"/>
            <w:tcMar>
              <w:top w:w="40" w:type="dxa"/>
              <w:left w:w="20" w:type="dxa"/>
              <w:bottom w:w="40" w:type="dxa"/>
              <w:right w:w="20" w:type="dxa"/>
            </w:tcMar>
            <w:vAlign w:val="center"/>
          </w:tcPr>
          <w:p w14:paraId="5DEC5EA0" w14:textId="77777777" w:rsidR="00B1578D" w:rsidRDefault="004D2C04">
            <w:pPr>
              <w:textAlignment w:val="center"/>
            </w:pPr>
            <w:r>
              <w:rPr>
                <w:rFonts w:ascii="Times New Roman" w:eastAsia="宋体" w:hAnsi="Times New Roman"/>
                <w:b/>
                <w:bCs/>
                <w:color w:val="000000"/>
                <w:sz w:val="16"/>
                <w:szCs w:val="16"/>
              </w:rPr>
              <w:t>Denominator</w:t>
            </w:r>
          </w:p>
        </w:tc>
        <w:tc>
          <w:tcPr>
            <w:tcW w:w="0" w:type="auto"/>
            <w:gridSpan w:val="3"/>
            <w:shd w:val="clear" w:color="auto" w:fill="CCEEFF"/>
            <w:tcMar>
              <w:top w:w="0" w:type="dxa"/>
              <w:left w:w="20" w:type="dxa"/>
              <w:bottom w:w="0" w:type="dxa"/>
              <w:right w:w="20" w:type="dxa"/>
            </w:tcMar>
            <w:vAlign w:val="bottom"/>
          </w:tcPr>
          <w:p w14:paraId="5DEC5EA1"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EA2"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EA3"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EA4" w14:textId="77777777" w:rsidR="00B1578D" w:rsidRDefault="00B1578D">
            <w:pPr>
              <w:rPr>
                <w:rFonts w:ascii="宋体"/>
              </w:rPr>
            </w:pPr>
          </w:p>
        </w:tc>
        <w:tc>
          <w:tcPr>
            <w:tcW w:w="0" w:type="auto"/>
            <w:shd w:val="clear" w:color="auto" w:fill="auto"/>
            <w:vAlign w:val="bottom"/>
          </w:tcPr>
          <w:p w14:paraId="5DEC5EA5" w14:textId="77777777" w:rsidR="00B1578D" w:rsidRDefault="00B1578D">
            <w:pPr>
              <w:rPr>
                <w:rFonts w:ascii="宋体"/>
                <w:vanish/>
              </w:rPr>
            </w:pPr>
          </w:p>
        </w:tc>
        <w:tc>
          <w:tcPr>
            <w:tcW w:w="0" w:type="auto"/>
            <w:shd w:val="clear" w:color="auto" w:fill="auto"/>
            <w:vAlign w:val="bottom"/>
          </w:tcPr>
          <w:p w14:paraId="5DEC5EA6" w14:textId="77777777" w:rsidR="00B1578D" w:rsidRDefault="00B1578D">
            <w:pPr>
              <w:rPr>
                <w:rFonts w:ascii="宋体"/>
                <w:vanish/>
              </w:rPr>
            </w:pPr>
          </w:p>
        </w:tc>
        <w:tc>
          <w:tcPr>
            <w:tcW w:w="0" w:type="auto"/>
            <w:gridSpan w:val="3"/>
            <w:shd w:val="clear" w:color="auto" w:fill="auto"/>
            <w:vAlign w:val="bottom"/>
          </w:tcPr>
          <w:p w14:paraId="5DEC5EA7" w14:textId="77777777" w:rsidR="00B1578D" w:rsidRDefault="00B1578D">
            <w:pPr>
              <w:rPr>
                <w:rFonts w:ascii="宋体"/>
                <w:vanish/>
              </w:rPr>
            </w:pPr>
          </w:p>
        </w:tc>
        <w:tc>
          <w:tcPr>
            <w:tcW w:w="0" w:type="auto"/>
            <w:gridSpan w:val="3"/>
            <w:shd w:val="clear" w:color="auto" w:fill="auto"/>
            <w:vAlign w:val="bottom"/>
          </w:tcPr>
          <w:p w14:paraId="5DEC5EA8" w14:textId="77777777" w:rsidR="00B1578D" w:rsidRDefault="00B1578D">
            <w:pPr>
              <w:rPr>
                <w:rFonts w:ascii="宋体"/>
                <w:vanish/>
              </w:rPr>
            </w:pPr>
          </w:p>
        </w:tc>
      </w:tr>
      <w:tr w:rsidR="00B1578D" w14:paraId="5DEC5EB5" w14:textId="77777777">
        <w:tc>
          <w:tcPr>
            <w:tcW w:w="0" w:type="auto"/>
            <w:gridSpan w:val="3"/>
            <w:shd w:val="clear" w:color="auto" w:fill="FFFFFF"/>
            <w:tcMar>
              <w:top w:w="40" w:type="dxa"/>
              <w:left w:w="380" w:type="dxa"/>
              <w:bottom w:w="40" w:type="dxa"/>
              <w:right w:w="20" w:type="dxa"/>
            </w:tcMar>
            <w:vAlign w:val="center"/>
          </w:tcPr>
          <w:p w14:paraId="5DEC5EAA" w14:textId="77777777" w:rsidR="00B1578D" w:rsidRDefault="004D2C04">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FFFFFF"/>
            <w:tcMar>
              <w:top w:w="0" w:type="dxa"/>
              <w:left w:w="20" w:type="dxa"/>
              <w:bottom w:w="0" w:type="dxa"/>
              <w:right w:w="20" w:type="dxa"/>
            </w:tcMar>
            <w:vAlign w:val="bottom"/>
          </w:tcPr>
          <w:p w14:paraId="5DEC5EA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EAC" w14:textId="77777777" w:rsidR="00B1578D" w:rsidRDefault="004D2C04">
            <w:pPr>
              <w:jc w:val="right"/>
              <w:textAlignment w:val="center"/>
            </w:pPr>
            <w:r>
              <w:rPr>
                <w:rFonts w:ascii="Times New Roman" w:eastAsia="宋体" w:hAnsi="Times New Roman"/>
                <w:color w:val="000000"/>
                <w:sz w:val="16"/>
                <w:szCs w:val="16"/>
              </w:rPr>
              <w:t>2,754 </w:t>
            </w:r>
          </w:p>
        </w:tc>
        <w:tc>
          <w:tcPr>
            <w:tcW w:w="0" w:type="auto"/>
            <w:shd w:val="clear" w:color="auto" w:fill="FFFFFF"/>
            <w:tcMar>
              <w:top w:w="40" w:type="dxa"/>
              <w:left w:w="0" w:type="dxa"/>
              <w:bottom w:w="40" w:type="dxa"/>
              <w:right w:w="20" w:type="dxa"/>
            </w:tcMar>
            <w:vAlign w:val="center"/>
          </w:tcPr>
          <w:p w14:paraId="5DEC5EA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EA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EAF" w14:textId="77777777" w:rsidR="00B1578D" w:rsidRDefault="004D2C04">
            <w:pPr>
              <w:jc w:val="right"/>
              <w:textAlignment w:val="center"/>
            </w:pPr>
            <w:r>
              <w:rPr>
                <w:rFonts w:ascii="Times New Roman" w:eastAsia="宋体" w:hAnsi="Times New Roman"/>
                <w:color w:val="000000"/>
                <w:sz w:val="16"/>
                <w:szCs w:val="16"/>
              </w:rPr>
              <w:t>2,815 </w:t>
            </w:r>
          </w:p>
        </w:tc>
        <w:tc>
          <w:tcPr>
            <w:tcW w:w="0" w:type="auto"/>
            <w:shd w:val="clear" w:color="auto" w:fill="FFFFFF"/>
            <w:tcMar>
              <w:top w:w="40" w:type="dxa"/>
              <w:left w:w="0" w:type="dxa"/>
              <w:bottom w:w="40" w:type="dxa"/>
              <w:right w:w="20" w:type="dxa"/>
            </w:tcMar>
            <w:vAlign w:val="center"/>
          </w:tcPr>
          <w:p w14:paraId="5DEC5EB0" w14:textId="77777777" w:rsidR="00B1578D" w:rsidRDefault="00B1578D">
            <w:pPr>
              <w:jc w:val="right"/>
              <w:rPr>
                <w:rFonts w:ascii="宋体"/>
              </w:rPr>
            </w:pPr>
          </w:p>
        </w:tc>
        <w:tc>
          <w:tcPr>
            <w:tcW w:w="0" w:type="auto"/>
            <w:shd w:val="clear" w:color="auto" w:fill="auto"/>
            <w:vAlign w:val="bottom"/>
          </w:tcPr>
          <w:p w14:paraId="5DEC5EB1" w14:textId="77777777" w:rsidR="00B1578D" w:rsidRDefault="00B1578D">
            <w:pPr>
              <w:rPr>
                <w:rFonts w:ascii="宋体"/>
                <w:vanish/>
              </w:rPr>
            </w:pPr>
          </w:p>
        </w:tc>
        <w:tc>
          <w:tcPr>
            <w:tcW w:w="0" w:type="auto"/>
            <w:shd w:val="clear" w:color="auto" w:fill="auto"/>
            <w:vAlign w:val="bottom"/>
          </w:tcPr>
          <w:p w14:paraId="5DEC5EB2" w14:textId="77777777" w:rsidR="00B1578D" w:rsidRDefault="00B1578D">
            <w:pPr>
              <w:rPr>
                <w:rFonts w:ascii="宋体"/>
                <w:vanish/>
              </w:rPr>
            </w:pPr>
          </w:p>
        </w:tc>
        <w:tc>
          <w:tcPr>
            <w:tcW w:w="0" w:type="auto"/>
            <w:gridSpan w:val="3"/>
            <w:shd w:val="clear" w:color="auto" w:fill="auto"/>
            <w:vAlign w:val="bottom"/>
          </w:tcPr>
          <w:p w14:paraId="5DEC5EB3" w14:textId="77777777" w:rsidR="00B1578D" w:rsidRDefault="00B1578D">
            <w:pPr>
              <w:rPr>
                <w:rFonts w:ascii="宋体"/>
                <w:vanish/>
              </w:rPr>
            </w:pPr>
          </w:p>
        </w:tc>
        <w:tc>
          <w:tcPr>
            <w:tcW w:w="0" w:type="auto"/>
            <w:gridSpan w:val="3"/>
            <w:shd w:val="clear" w:color="auto" w:fill="auto"/>
            <w:vAlign w:val="bottom"/>
          </w:tcPr>
          <w:p w14:paraId="5DEC5EB4" w14:textId="77777777" w:rsidR="00B1578D" w:rsidRDefault="00B1578D">
            <w:pPr>
              <w:rPr>
                <w:rFonts w:ascii="宋体"/>
                <w:vanish/>
              </w:rPr>
            </w:pPr>
          </w:p>
        </w:tc>
      </w:tr>
      <w:tr w:rsidR="00B1578D" w14:paraId="5DEC5EC1" w14:textId="77777777">
        <w:tc>
          <w:tcPr>
            <w:tcW w:w="0" w:type="auto"/>
            <w:gridSpan w:val="3"/>
            <w:shd w:val="clear" w:color="auto" w:fill="CCEEFF"/>
            <w:tcMar>
              <w:top w:w="40" w:type="dxa"/>
              <w:left w:w="380" w:type="dxa"/>
              <w:bottom w:w="40" w:type="dxa"/>
              <w:right w:w="20" w:type="dxa"/>
            </w:tcMar>
            <w:vAlign w:val="center"/>
          </w:tcPr>
          <w:p w14:paraId="5DEC5EB6" w14:textId="77777777" w:rsidR="00B1578D" w:rsidRDefault="004D2C04">
            <w:pPr>
              <w:textAlignment w:val="center"/>
            </w:pPr>
            <w:r>
              <w:rPr>
                <w:rFonts w:ascii="Times New Roman" w:eastAsia="宋体" w:hAnsi="Times New Roman"/>
                <w:color w:val="000000"/>
                <w:sz w:val="16"/>
                <w:szCs w:val="16"/>
              </w:rPr>
              <w:t>Dilutive impact of share-based awards</w:t>
            </w:r>
          </w:p>
        </w:tc>
        <w:tc>
          <w:tcPr>
            <w:tcW w:w="0" w:type="auto"/>
            <w:gridSpan w:val="3"/>
            <w:shd w:val="clear" w:color="auto" w:fill="CCEEFF"/>
            <w:tcMar>
              <w:top w:w="0" w:type="dxa"/>
              <w:left w:w="20" w:type="dxa"/>
              <w:bottom w:w="0" w:type="dxa"/>
              <w:right w:w="20" w:type="dxa"/>
            </w:tcMar>
            <w:vAlign w:val="bottom"/>
          </w:tcPr>
          <w:p w14:paraId="5DEC5EB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EB8" w14:textId="77777777" w:rsidR="00B1578D" w:rsidRDefault="004D2C04">
            <w:pPr>
              <w:jc w:val="right"/>
              <w:textAlignment w:val="center"/>
            </w:pPr>
            <w:r>
              <w:rPr>
                <w:rFonts w:ascii="Times New Roman" w:eastAsia="宋体" w:hAnsi="Times New Roman"/>
                <w:color w:val="000000"/>
                <w:sz w:val="16"/>
                <w:szCs w:val="16"/>
              </w:rPr>
              <w:t>11 </w:t>
            </w:r>
          </w:p>
        </w:tc>
        <w:tc>
          <w:tcPr>
            <w:tcW w:w="0" w:type="auto"/>
            <w:shd w:val="clear" w:color="auto" w:fill="CCEEFF"/>
            <w:tcMar>
              <w:top w:w="40" w:type="dxa"/>
              <w:left w:w="0" w:type="dxa"/>
              <w:bottom w:w="40" w:type="dxa"/>
              <w:right w:w="20" w:type="dxa"/>
            </w:tcMar>
            <w:vAlign w:val="center"/>
          </w:tcPr>
          <w:p w14:paraId="5DEC5EB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EB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EBB" w14:textId="77777777" w:rsidR="00B1578D" w:rsidRDefault="004D2C04">
            <w:pPr>
              <w:jc w:val="right"/>
              <w:textAlignment w:val="center"/>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center"/>
          </w:tcPr>
          <w:p w14:paraId="5DEC5EBC" w14:textId="77777777" w:rsidR="00B1578D" w:rsidRDefault="00B1578D">
            <w:pPr>
              <w:jc w:val="right"/>
              <w:rPr>
                <w:rFonts w:ascii="宋体"/>
              </w:rPr>
            </w:pPr>
          </w:p>
        </w:tc>
        <w:tc>
          <w:tcPr>
            <w:tcW w:w="0" w:type="auto"/>
            <w:shd w:val="clear" w:color="auto" w:fill="auto"/>
            <w:vAlign w:val="bottom"/>
          </w:tcPr>
          <w:p w14:paraId="5DEC5EBD" w14:textId="77777777" w:rsidR="00B1578D" w:rsidRDefault="00B1578D">
            <w:pPr>
              <w:rPr>
                <w:rFonts w:ascii="宋体"/>
                <w:vanish/>
              </w:rPr>
            </w:pPr>
          </w:p>
        </w:tc>
        <w:tc>
          <w:tcPr>
            <w:tcW w:w="0" w:type="auto"/>
            <w:shd w:val="clear" w:color="auto" w:fill="auto"/>
            <w:vAlign w:val="bottom"/>
          </w:tcPr>
          <w:p w14:paraId="5DEC5EBE" w14:textId="77777777" w:rsidR="00B1578D" w:rsidRDefault="00B1578D">
            <w:pPr>
              <w:rPr>
                <w:rFonts w:ascii="宋体"/>
                <w:vanish/>
              </w:rPr>
            </w:pPr>
          </w:p>
        </w:tc>
        <w:tc>
          <w:tcPr>
            <w:tcW w:w="0" w:type="auto"/>
            <w:gridSpan w:val="3"/>
            <w:shd w:val="clear" w:color="auto" w:fill="auto"/>
            <w:vAlign w:val="bottom"/>
          </w:tcPr>
          <w:p w14:paraId="5DEC5EBF" w14:textId="77777777" w:rsidR="00B1578D" w:rsidRDefault="00B1578D">
            <w:pPr>
              <w:rPr>
                <w:rFonts w:ascii="宋体"/>
                <w:vanish/>
              </w:rPr>
            </w:pPr>
          </w:p>
        </w:tc>
        <w:tc>
          <w:tcPr>
            <w:tcW w:w="0" w:type="auto"/>
            <w:gridSpan w:val="3"/>
            <w:shd w:val="clear" w:color="auto" w:fill="auto"/>
            <w:vAlign w:val="bottom"/>
          </w:tcPr>
          <w:p w14:paraId="5DEC5EC0" w14:textId="77777777" w:rsidR="00B1578D" w:rsidRDefault="00B1578D">
            <w:pPr>
              <w:rPr>
                <w:rFonts w:ascii="宋体"/>
                <w:vanish/>
              </w:rPr>
            </w:pPr>
          </w:p>
        </w:tc>
      </w:tr>
      <w:tr w:rsidR="00B1578D" w14:paraId="5DEC5ECD" w14:textId="77777777">
        <w:tc>
          <w:tcPr>
            <w:tcW w:w="0" w:type="auto"/>
            <w:gridSpan w:val="3"/>
            <w:shd w:val="clear" w:color="auto" w:fill="FFFFFF"/>
            <w:tcMar>
              <w:top w:w="40" w:type="dxa"/>
              <w:left w:w="380" w:type="dxa"/>
              <w:bottom w:w="40" w:type="dxa"/>
              <w:right w:w="20" w:type="dxa"/>
            </w:tcMar>
            <w:vAlign w:val="center"/>
          </w:tcPr>
          <w:p w14:paraId="5DEC5EC2" w14:textId="77777777" w:rsidR="00B1578D" w:rsidRDefault="004D2C04">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FFFFFF"/>
            <w:tcMar>
              <w:top w:w="0" w:type="dxa"/>
              <w:left w:w="20" w:type="dxa"/>
              <w:bottom w:w="0" w:type="dxa"/>
              <w:right w:w="20" w:type="dxa"/>
            </w:tcMar>
            <w:vAlign w:val="bottom"/>
          </w:tcPr>
          <w:p w14:paraId="5DEC5EC3"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EC4" w14:textId="77777777" w:rsidR="00B1578D" w:rsidRDefault="004D2C04">
            <w:pPr>
              <w:jc w:val="right"/>
              <w:textAlignment w:val="center"/>
            </w:pPr>
            <w:r>
              <w:rPr>
                <w:rFonts w:ascii="Times New Roman" w:eastAsia="宋体" w:hAnsi="Times New Roman"/>
                <w:color w:val="000000"/>
                <w:sz w:val="16"/>
                <w:szCs w:val="16"/>
              </w:rPr>
              <w:t>2,765 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EC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EC6"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5EC7" w14:textId="77777777" w:rsidR="00B1578D" w:rsidRDefault="004D2C04">
            <w:pPr>
              <w:jc w:val="right"/>
              <w:textAlignment w:val="center"/>
            </w:pPr>
            <w:r>
              <w:rPr>
                <w:rFonts w:ascii="Times New Roman" w:eastAsia="宋体" w:hAnsi="Times New Roman"/>
                <w:color w:val="000000"/>
                <w:sz w:val="16"/>
                <w:szCs w:val="16"/>
              </w:rPr>
              <w:t>2,829 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EC8" w14:textId="77777777" w:rsidR="00B1578D" w:rsidRDefault="00B1578D">
            <w:pPr>
              <w:jc w:val="right"/>
              <w:rPr>
                <w:rFonts w:ascii="宋体"/>
              </w:rPr>
            </w:pPr>
          </w:p>
        </w:tc>
        <w:tc>
          <w:tcPr>
            <w:tcW w:w="0" w:type="auto"/>
            <w:shd w:val="clear" w:color="auto" w:fill="auto"/>
            <w:vAlign w:val="bottom"/>
          </w:tcPr>
          <w:p w14:paraId="5DEC5EC9" w14:textId="77777777" w:rsidR="00B1578D" w:rsidRDefault="00B1578D">
            <w:pPr>
              <w:rPr>
                <w:rFonts w:ascii="宋体"/>
                <w:vanish/>
              </w:rPr>
            </w:pPr>
          </w:p>
        </w:tc>
        <w:tc>
          <w:tcPr>
            <w:tcW w:w="0" w:type="auto"/>
            <w:shd w:val="clear" w:color="auto" w:fill="auto"/>
            <w:vAlign w:val="bottom"/>
          </w:tcPr>
          <w:p w14:paraId="5DEC5ECA" w14:textId="77777777" w:rsidR="00B1578D" w:rsidRDefault="00B1578D">
            <w:pPr>
              <w:rPr>
                <w:rFonts w:ascii="宋体"/>
                <w:vanish/>
              </w:rPr>
            </w:pPr>
          </w:p>
        </w:tc>
        <w:tc>
          <w:tcPr>
            <w:tcW w:w="0" w:type="auto"/>
            <w:gridSpan w:val="3"/>
            <w:shd w:val="clear" w:color="auto" w:fill="auto"/>
            <w:vAlign w:val="bottom"/>
          </w:tcPr>
          <w:p w14:paraId="5DEC5ECB" w14:textId="77777777" w:rsidR="00B1578D" w:rsidRDefault="00B1578D">
            <w:pPr>
              <w:rPr>
                <w:rFonts w:ascii="宋体"/>
                <w:vanish/>
              </w:rPr>
            </w:pPr>
          </w:p>
        </w:tc>
        <w:tc>
          <w:tcPr>
            <w:tcW w:w="0" w:type="auto"/>
            <w:gridSpan w:val="3"/>
            <w:shd w:val="clear" w:color="auto" w:fill="auto"/>
            <w:vAlign w:val="bottom"/>
          </w:tcPr>
          <w:p w14:paraId="5DEC5ECC" w14:textId="77777777" w:rsidR="00B1578D" w:rsidRDefault="00B1578D">
            <w:pPr>
              <w:rPr>
                <w:rFonts w:ascii="宋体"/>
                <w:vanish/>
              </w:rPr>
            </w:pPr>
          </w:p>
        </w:tc>
      </w:tr>
      <w:tr w:rsidR="00B1578D" w14:paraId="5DEC5ED7" w14:textId="77777777">
        <w:trPr>
          <w:trHeight w:val="220"/>
        </w:trPr>
        <w:tc>
          <w:tcPr>
            <w:tcW w:w="0" w:type="auto"/>
            <w:gridSpan w:val="3"/>
            <w:shd w:val="clear" w:color="auto" w:fill="CCEEFF"/>
            <w:tcMar>
              <w:top w:w="0" w:type="dxa"/>
              <w:left w:w="20" w:type="dxa"/>
              <w:bottom w:w="0" w:type="dxa"/>
              <w:right w:w="20" w:type="dxa"/>
            </w:tcMar>
            <w:vAlign w:val="bottom"/>
          </w:tcPr>
          <w:p w14:paraId="5DEC5ECE"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ECF"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5ED0"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5ED1"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5ED2" w14:textId="77777777" w:rsidR="00B1578D" w:rsidRDefault="00B1578D">
            <w:pPr>
              <w:rPr>
                <w:rFonts w:ascii="宋体"/>
              </w:rPr>
            </w:pPr>
          </w:p>
        </w:tc>
        <w:tc>
          <w:tcPr>
            <w:tcW w:w="0" w:type="auto"/>
            <w:shd w:val="clear" w:color="auto" w:fill="auto"/>
            <w:vAlign w:val="bottom"/>
          </w:tcPr>
          <w:p w14:paraId="5DEC5ED3" w14:textId="77777777" w:rsidR="00B1578D" w:rsidRDefault="00B1578D">
            <w:pPr>
              <w:rPr>
                <w:rFonts w:ascii="宋体"/>
                <w:vanish/>
              </w:rPr>
            </w:pPr>
          </w:p>
        </w:tc>
        <w:tc>
          <w:tcPr>
            <w:tcW w:w="0" w:type="auto"/>
            <w:shd w:val="clear" w:color="auto" w:fill="auto"/>
            <w:vAlign w:val="bottom"/>
          </w:tcPr>
          <w:p w14:paraId="5DEC5ED4" w14:textId="77777777" w:rsidR="00B1578D" w:rsidRDefault="00B1578D">
            <w:pPr>
              <w:rPr>
                <w:rFonts w:ascii="宋体"/>
                <w:vanish/>
              </w:rPr>
            </w:pPr>
          </w:p>
        </w:tc>
        <w:tc>
          <w:tcPr>
            <w:tcW w:w="0" w:type="auto"/>
            <w:gridSpan w:val="3"/>
            <w:shd w:val="clear" w:color="auto" w:fill="auto"/>
            <w:vAlign w:val="bottom"/>
          </w:tcPr>
          <w:p w14:paraId="5DEC5ED5" w14:textId="77777777" w:rsidR="00B1578D" w:rsidRDefault="00B1578D">
            <w:pPr>
              <w:rPr>
                <w:rFonts w:ascii="宋体"/>
                <w:vanish/>
              </w:rPr>
            </w:pPr>
          </w:p>
        </w:tc>
        <w:tc>
          <w:tcPr>
            <w:tcW w:w="0" w:type="auto"/>
            <w:gridSpan w:val="3"/>
            <w:shd w:val="clear" w:color="auto" w:fill="auto"/>
            <w:vAlign w:val="bottom"/>
          </w:tcPr>
          <w:p w14:paraId="5DEC5ED6" w14:textId="77777777" w:rsidR="00B1578D" w:rsidRDefault="00B1578D">
            <w:pPr>
              <w:rPr>
                <w:rFonts w:ascii="宋体"/>
                <w:vanish/>
              </w:rPr>
            </w:pPr>
          </w:p>
        </w:tc>
      </w:tr>
      <w:tr w:rsidR="00B1578D" w14:paraId="5DEC5EE1" w14:textId="77777777">
        <w:tc>
          <w:tcPr>
            <w:tcW w:w="0" w:type="auto"/>
            <w:gridSpan w:val="3"/>
            <w:shd w:val="clear" w:color="auto" w:fill="FFFFFF"/>
            <w:tcMar>
              <w:top w:w="40" w:type="dxa"/>
              <w:left w:w="20" w:type="dxa"/>
              <w:bottom w:w="40" w:type="dxa"/>
              <w:right w:w="20" w:type="dxa"/>
            </w:tcMar>
            <w:vAlign w:val="center"/>
          </w:tcPr>
          <w:p w14:paraId="5DEC5ED8" w14:textId="77777777" w:rsidR="00B1578D" w:rsidRDefault="004D2C04">
            <w:pPr>
              <w:textAlignment w:val="center"/>
            </w:pPr>
            <w:r>
              <w:rPr>
                <w:rFonts w:ascii="Times New Roman" w:eastAsia="宋体" w:hAnsi="Times New Roman"/>
                <w:b/>
                <w:bCs/>
                <w:color w:val="000000"/>
                <w:sz w:val="16"/>
                <w:szCs w:val="16"/>
              </w:rPr>
              <w:t>Net income per common share attributable to Walmart</w:t>
            </w:r>
          </w:p>
        </w:tc>
        <w:tc>
          <w:tcPr>
            <w:tcW w:w="0" w:type="auto"/>
            <w:gridSpan w:val="3"/>
            <w:shd w:val="clear" w:color="auto" w:fill="FFFFFF"/>
            <w:tcMar>
              <w:top w:w="0" w:type="dxa"/>
              <w:left w:w="20" w:type="dxa"/>
              <w:bottom w:w="0" w:type="dxa"/>
              <w:right w:w="20" w:type="dxa"/>
            </w:tcMar>
            <w:vAlign w:val="bottom"/>
          </w:tcPr>
          <w:p w14:paraId="5DEC5ED9"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ED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EDB"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5EDC" w14:textId="77777777" w:rsidR="00B1578D" w:rsidRDefault="00B1578D">
            <w:pPr>
              <w:rPr>
                <w:rFonts w:ascii="宋体"/>
              </w:rPr>
            </w:pPr>
          </w:p>
        </w:tc>
        <w:tc>
          <w:tcPr>
            <w:tcW w:w="0" w:type="auto"/>
            <w:shd w:val="clear" w:color="auto" w:fill="auto"/>
            <w:vAlign w:val="bottom"/>
          </w:tcPr>
          <w:p w14:paraId="5DEC5EDD" w14:textId="77777777" w:rsidR="00B1578D" w:rsidRDefault="00B1578D">
            <w:pPr>
              <w:rPr>
                <w:rFonts w:ascii="宋体"/>
                <w:vanish/>
              </w:rPr>
            </w:pPr>
          </w:p>
        </w:tc>
        <w:tc>
          <w:tcPr>
            <w:tcW w:w="0" w:type="auto"/>
            <w:shd w:val="clear" w:color="auto" w:fill="auto"/>
            <w:vAlign w:val="bottom"/>
          </w:tcPr>
          <w:p w14:paraId="5DEC5EDE" w14:textId="77777777" w:rsidR="00B1578D" w:rsidRDefault="00B1578D">
            <w:pPr>
              <w:rPr>
                <w:rFonts w:ascii="宋体"/>
                <w:vanish/>
              </w:rPr>
            </w:pPr>
          </w:p>
        </w:tc>
        <w:tc>
          <w:tcPr>
            <w:tcW w:w="0" w:type="auto"/>
            <w:gridSpan w:val="3"/>
            <w:shd w:val="clear" w:color="auto" w:fill="auto"/>
            <w:vAlign w:val="bottom"/>
          </w:tcPr>
          <w:p w14:paraId="5DEC5EDF" w14:textId="77777777" w:rsidR="00B1578D" w:rsidRDefault="00B1578D">
            <w:pPr>
              <w:rPr>
                <w:rFonts w:ascii="宋体"/>
                <w:vanish/>
              </w:rPr>
            </w:pPr>
          </w:p>
        </w:tc>
        <w:tc>
          <w:tcPr>
            <w:tcW w:w="0" w:type="auto"/>
            <w:gridSpan w:val="3"/>
            <w:shd w:val="clear" w:color="auto" w:fill="auto"/>
            <w:vAlign w:val="bottom"/>
          </w:tcPr>
          <w:p w14:paraId="5DEC5EE0" w14:textId="77777777" w:rsidR="00B1578D" w:rsidRDefault="00B1578D">
            <w:pPr>
              <w:rPr>
                <w:rFonts w:ascii="宋体"/>
                <w:vanish/>
              </w:rPr>
            </w:pPr>
          </w:p>
        </w:tc>
      </w:tr>
      <w:tr w:rsidR="00B1578D" w14:paraId="5DEC5EEF" w14:textId="77777777">
        <w:tc>
          <w:tcPr>
            <w:tcW w:w="0" w:type="auto"/>
            <w:gridSpan w:val="3"/>
            <w:shd w:val="clear" w:color="auto" w:fill="CCEEFF"/>
            <w:tcMar>
              <w:top w:w="40" w:type="dxa"/>
              <w:left w:w="380" w:type="dxa"/>
              <w:bottom w:w="40" w:type="dxa"/>
              <w:right w:w="20" w:type="dxa"/>
            </w:tcMar>
            <w:vAlign w:val="center"/>
          </w:tcPr>
          <w:p w14:paraId="5DEC5EE2" w14:textId="77777777" w:rsidR="00B1578D" w:rsidRDefault="004D2C04">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5DEC5EE3" w14:textId="77777777" w:rsidR="00B1578D" w:rsidRDefault="00B1578D">
            <w:pPr>
              <w:rPr>
                <w:rFonts w:ascii="宋体"/>
              </w:rPr>
            </w:pPr>
          </w:p>
        </w:tc>
        <w:tc>
          <w:tcPr>
            <w:tcW w:w="0" w:type="auto"/>
            <w:shd w:val="clear" w:color="auto" w:fill="CCEEFF"/>
            <w:tcMar>
              <w:top w:w="40" w:type="dxa"/>
              <w:left w:w="20" w:type="dxa"/>
              <w:bottom w:w="40" w:type="dxa"/>
              <w:right w:w="0" w:type="dxa"/>
            </w:tcMar>
            <w:vAlign w:val="bottom"/>
          </w:tcPr>
          <w:p w14:paraId="5DEC5EE4" w14:textId="77777777" w:rsidR="00B1578D" w:rsidRDefault="004D2C04">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5DEC5EE5" w14:textId="77777777" w:rsidR="00B1578D" w:rsidRDefault="004D2C04">
            <w:pPr>
              <w:jc w:val="right"/>
              <w:textAlignment w:val="bottom"/>
            </w:pPr>
            <w:r>
              <w:rPr>
                <w:rFonts w:ascii="Times New Roman" w:eastAsia="宋体" w:hAnsi="Times New Roman"/>
                <w:color w:val="000000"/>
                <w:sz w:val="16"/>
                <w:szCs w:val="16"/>
              </w:rPr>
              <w:t>0.75 </w:t>
            </w:r>
          </w:p>
        </w:tc>
        <w:tc>
          <w:tcPr>
            <w:tcW w:w="0" w:type="auto"/>
            <w:shd w:val="clear" w:color="auto" w:fill="CCEEFF"/>
            <w:tcMar>
              <w:top w:w="40" w:type="dxa"/>
              <w:left w:w="0" w:type="dxa"/>
              <w:bottom w:w="40" w:type="dxa"/>
              <w:right w:w="20" w:type="dxa"/>
            </w:tcMar>
            <w:vAlign w:val="bottom"/>
          </w:tcPr>
          <w:p w14:paraId="5DEC5EE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EE7" w14:textId="77777777" w:rsidR="00B1578D" w:rsidRDefault="00B1578D">
            <w:pPr>
              <w:rPr>
                <w:rFonts w:ascii="宋体"/>
              </w:rPr>
            </w:pPr>
          </w:p>
        </w:tc>
        <w:tc>
          <w:tcPr>
            <w:tcW w:w="0" w:type="auto"/>
            <w:shd w:val="clear" w:color="auto" w:fill="CCEEFF"/>
            <w:tcMar>
              <w:top w:w="40" w:type="dxa"/>
              <w:left w:w="20" w:type="dxa"/>
              <w:bottom w:w="40" w:type="dxa"/>
              <w:right w:w="0" w:type="dxa"/>
            </w:tcMar>
            <w:vAlign w:val="bottom"/>
          </w:tcPr>
          <w:p w14:paraId="5DEC5EE8" w14:textId="77777777" w:rsidR="00B1578D" w:rsidRDefault="004D2C04">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5DEC5EE9" w14:textId="77777777" w:rsidR="00B1578D" w:rsidRDefault="004D2C04">
            <w:pPr>
              <w:jc w:val="right"/>
              <w:textAlignment w:val="bottom"/>
            </w:pPr>
            <w:r>
              <w:rPr>
                <w:rFonts w:ascii="Times New Roman" w:eastAsia="宋体" w:hAnsi="Times New Roman"/>
                <w:color w:val="000000"/>
                <w:sz w:val="16"/>
                <w:szCs w:val="16"/>
              </w:rPr>
              <w:t>0.97 </w:t>
            </w:r>
          </w:p>
        </w:tc>
        <w:tc>
          <w:tcPr>
            <w:tcW w:w="0" w:type="auto"/>
            <w:shd w:val="clear" w:color="auto" w:fill="CCEEFF"/>
            <w:tcMar>
              <w:top w:w="40" w:type="dxa"/>
              <w:left w:w="0" w:type="dxa"/>
              <w:bottom w:w="40" w:type="dxa"/>
              <w:right w:w="20" w:type="dxa"/>
            </w:tcMar>
            <w:vAlign w:val="bottom"/>
          </w:tcPr>
          <w:p w14:paraId="5DEC5EEA" w14:textId="77777777" w:rsidR="00B1578D" w:rsidRDefault="00B1578D">
            <w:pPr>
              <w:jc w:val="right"/>
              <w:rPr>
                <w:rFonts w:ascii="宋体"/>
              </w:rPr>
            </w:pPr>
          </w:p>
        </w:tc>
        <w:tc>
          <w:tcPr>
            <w:tcW w:w="0" w:type="auto"/>
            <w:shd w:val="clear" w:color="auto" w:fill="auto"/>
            <w:vAlign w:val="bottom"/>
          </w:tcPr>
          <w:p w14:paraId="5DEC5EEB" w14:textId="77777777" w:rsidR="00B1578D" w:rsidRDefault="00B1578D">
            <w:pPr>
              <w:rPr>
                <w:rFonts w:ascii="宋体"/>
                <w:vanish/>
              </w:rPr>
            </w:pPr>
          </w:p>
        </w:tc>
        <w:tc>
          <w:tcPr>
            <w:tcW w:w="0" w:type="auto"/>
            <w:shd w:val="clear" w:color="auto" w:fill="auto"/>
            <w:vAlign w:val="bottom"/>
          </w:tcPr>
          <w:p w14:paraId="5DEC5EEC" w14:textId="77777777" w:rsidR="00B1578D" w:rsidRDefault="00B1578D">
            <w:pPr>
              <w:rPr>
                <w:rFonts w:ascii="宋体"/>
                <w:vanish/>
              </w:rPr>
            </w:pPr>
          </w:p>
        </w:tc>
        <w:tc>
          <w:tcPr>
            <w:tcW w:w="0" w:type="auto"/>
            <w:gridSpan w:val="3"/>
            <w:shd w:val="clear" w:color="auto" w:fill="auto"/>
            <w:vAlign w:val="bottom"/>
          </w:tcPr>
          <w:p w14:paraId="5DEC5EED" w14:textId="77777777" w:rsidR="00B1578D" w:rsidRDefault="00B1578D">
            <w:pPr>
              <w:rPr>
                <w:rFonts w:ascii="宋体"/>
                <w:vanish/>
              </w:rPr>
            </w:pPr>
          </w:p>
        </w:tc>
        <w:tc>
          <w:tcPr>
            <w:tcW w:w="0" w:type="auto"/>
            <w:gridSpan w:val="3"/>
            <w:shd w:val="clear" w:color="auto" w:fill="auto"/>
            <w:vAlign w:val="bottom"/>
          </w:tcPr>
          <w:p w14:paraId="5DEC5EEE" w14:textId="77777777" w:rsidR="00B1578D" w:rsidRDefault="00B1578D">
            <w:pPr>
              <w:rPr>
                <w:rFonts w:ascii="宋体"/>
                <w:vanish/>
              </w:rPr>
            </w:pPr>
          </w:p>
        </w:tc>
      </w:tr>
      <w:tr w:rsidR="00B1578D" w14:paraId="5DEC5EFB" w14:textId="77777777">
        <w:tc>
          <w:tcPr>
            <w:tcW w:w="0" w:type="auto"/>
            <w:gridSpan w:val="3"/>
            <w:shd w:val="clear" w:color="auto" w:fill="FFFFFF"/>
            <w:tcMar>
              <w:top w:w="40" w:type="dxa"/>
              <w:left w:w="380" w:type="dxa"/>
              <w:bottom w:w="40" w:type="dxa"/>
              <w:right w:w="20" w:type="dxa"/>
            </w:tcMar>
            <w:vAlign w:val="center"/>
          </w:tcPr>
          <w:p w14:paraId="5DEC5EF0" w14:textId="77777777" w:rsidR="00B1578D" w:rsidRDefault="004D2C04">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5DEC5EF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5EF2" w14:textId="77777777" w:rsidR="00B1578D" w:rsidRDefault="004D2C04">
            <w:pPr>
              <w:jc w:val="right"/>
              <w:textAlignment w:val="bottom"/>
            </w:pPr>
            <w:r>
              <w:rPr>
                <w:rFonts w:ascii="Times New Roman" w:eastAsia="宋体" w:hAnsi="Times New Roman"/>
                <w:color w:val="000000"/>
                <w:sz w:val="16"/>
                <w:szCs w:val="16"/>
              </w:rPr>
              <w:t>0.74 </w:t>
            </w:r>
          </w:p>
        </w:tc>
        <w:tc>
          <w:tcPr>
            <w:tcW w:w="0" w:type="auto"/>
            <w:shd w:val="clear" w:color="auto" w:fill="FFFFFF"/>
            <w:tcMar>
              <w:top w:w="40" w:type="dxa"/>
              <w:left w:w="0" w:type="dxa"/>
              <w:bottom w:w="40" w:type="dxa"/>
              <w:right w:w="20" w:type="dxa"/>
            </w:tcMar>
            <w:vAlign w:val="bottom"/>
          </w:tcPr>
          <w:p w14:paraId="5DEC5EF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EF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5EF5" w14:textId="77777777" w:rsidR="00B1578D" w:rsidRDefault="004D2C04">
            <w:pPr>
              <w:jc w:val="right"/>
              <w:textAlignment w:val="bottom"/>
            </w:pPr>
            <w:r>
              <w:rPr>
                <w:rFonts w:ascii="Times New Roman" w:eastAsia="宋体" w:hAnsi="Times New Roman"/>
                <w:color w:val="000000"/>
                <w:sz w:val="16"/>
                <w:szCs w:val="16"/>
              </w:rPr>
              <w:t>0.97 </w:t>
            </w:r>
          </w:p>
        </w:tc>
        <w:tc>
          <w:tcPr>
            <w:tcW w:w="0" w:type="auto"/>
            <w:shd w:val="clear" w:color="auto" w:fill="FFFFFF"/>
            <w:tcMar>
              <w:top w:w="40" w:type="dxa"/>
              <w:left w:w="0" w:type="dxa"/>
              <w:bottom w:w="40" w:type="dxa"/>
              <w:right w:w="20" w:type="dxa"/>
            </w:tcMar>
            <w:vAlign w:val="bottom"/>
          </w:tcPr>
          <w:p w14:paraId="5DEC5EF6" w14:textId="77777777" w:rsidR="00B1578D" w:rsidRDefault="00B1578D">
            <w:pPr>
              <w:jc w:val="right"/>
              <w:rPr>
                <w:rFonts w:ascii="宋体"/>
              </w:rPr>
            </w:pPr>
          </w:p>
        </w:tc>
        <w:tc>
          <w:tcPr>
            <w:tcW w:w="0" w:type="auto"/>
            <w:shd w:val="clear" w:color="auto" w:fill="auto"/>
            <w:vAlign w:val="bottom"/>
          </w:tcPr>
          <w:p w14:paraId="5DEC5EF7" w14:textId="77777777" w:rsidR="00B1578D" w:rsidRDefault="00B1578D">
            <w:pPr>
              <w:rPr>
                <w:rFonts w:ascii="宋体"/>
                <w:vanish/>
              </w:rPr>
            </w:pPr>
          </w:p>
        </w:tc>
        <w:tc>
          <w:tcPr>
            <w:tcW w:w="0" w:type="auto"/>
            <w:shd w:val="clear" w:color="auto" w:fill="auto"/>
            <w:vAlign w:val="bottom"/>
          </w:tcPr>
          <w:p w14:paraId="5DEC5EF8" w14:textId="77777777" w:rsidR="00B1578D" w:rsidRDefault="00B1578D">
            <w:pPr>
              <w:rPr>
                <w:rFonts w:ascii="宋体"/>
                <w:vanish/>
              </w:rPr>
            </w:pPr>
          </w:p>
        </w:tc>
        <w:tc>
          <w:tcPr>
            <w:tcW w:w="0" w:type="auto"/>
            <w:gridSpan w:val="3"/>
            <w:shd w:val="clear" w:color="auto" w:fill="auto"/>
            <w:vAlign w:val="bottom"/>
          </w:tcPr>
          <w:p w14:paraId="5DEC5EF9" w14:textId="77777777" w:rsidR="00B1578D" w:rsidRDefault="00B1578D">
            <w:pPr>
              <w:rPr>
                <w:rFonts w:ascii="宋体"/>
                <w:vanish/>
              </w:rPr>
            </w:pPr>
          </w:p>
        </w:tc>
        <w:tc>
          <w:tcPr>
            <w:tcW w:w="0" w:type="auto"/>
            <w:gridSpan w:val="3"/>
            <w:shd w:val="clear" w:color="auto" w:fill="auto"/>
            <w:vAlign w:val="bottom"/>
          </w:tcPr>
          <w:p w14:paraId="5DEC5EFA" w14:textId="77777777" w:rsidR="00B1578D" w:rsidRDefault="00B1578D">
            <w:pPr>
              <w:rPr>
                <w:rFonts w:ascii="宋体"/>
                <w:vanish/>
              </w:rPr>
            </w:pPr>
          </w:p>
        </w:tc>
      </w:tr>
    </w:tbl>
    <w:p w14:paraId="5DEC5EFC" w14:textId="77777777" w:rsidR="00B1578D" w:rsidRDefault="004D2C04">
      <w:pPr>
        <w:spacing w:before="240"/>
      </w:pPr>
      <w:r>
        <w:rPr>
          <w:rFonts w:ascii="Times New Roman" w:eastAsia="宋体" w:hAnsi="Times New Roman"/>
          <w:b/>
          <w:bCs/>
          <w:color w:val="000000"/>
          <w:sz w:val="20"/>
          <w:szCs w:val="20"/>
        </w:rPr>
        <w:t>Note 3. Accumulated Other Comprehensive Loss</w:t>
      </w:r>
    </w:p>
    <w:p w14:paraId="5DEC5EFD" w14:textId="77777777" w:rsidR="00B1578D" w:rsidRDefault="004D2C04">
      <w:pPr>
        <w:spacing w:before="180"/>
      </w:pPr>
      <w:r>
        <w:rPr>
          <w:rFonts w:ascii="Times New Roman" w:eastAsia="宋体" w:hAnsi="Times New Roman"/>
          <w:color w:val="000000"/>
          <w:sz w:val="20"/>
          <w:szCs w:val="20"/>
        </w:rPr>
        <w:t xml:space="preserve">Amounts reclassified from accumulated other comprehensive loss for derivative </w:t>
      </w:r>
      <w:r>
        <w:rPr>
          <w:rFonts w:ascii="Times New Roman" w:eastAsia="宋体" w:hAnsi="Times New Roman"/>
          <w:color w:val="000000"/>
          <w:sz w:val="20"/>
          <w:szCs w:val="20"/>
        </w:rPr>
        <w:t xml:space="preserve">instruments are generally recorded in interest, net, in the Company's Condensed Consolidated Statements of Income. Amounts for the minimum pension liability, as well as the cumulative translation and any related net investment hedge impacts resulting from </w:t>
      </w:r>
      <w:r>
        <w:rPr>
          <w:rFonts w:ascii="Times New Roman" w:eastAsia="宋体" w:hAnsi="Times New Roman"/>
          <w:color w:val="000000"/>
          <w:sz w:val="20"/>
          <w:szCs w:val="20"/>
        </w:rPr>
        <w:t>a disposition of a business, are recorded in other gains and losses in the Company's Condensed Consolidated Statements of Income. The following tables provide the changes in the composition of total accumulated other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3621"/>
        <w:gridCol w:w="37"/>
        <w:gridCol w:w="36"/>
        <w:gridCol w:w="36"/>
        <w:gridCol w:w="36"/>
        <w:gridCol w:w="101"/>
        <w:gridCol w:w="802"/>
        <w:gridCol w:w="36"/>
        <w:gridCol w:w="36"/>
        <w:gridCol w:w="36"/>
        <w:gridCol w:w="36"/>
        <w:gridCol w:w="101"/>
        <w:gridCol w:w="803"/>
        <w:gridCol w:w="36"/>
        <w:gridCol w:w="36"/>
        <w:gridCol w:w="36"/>
        <w:gridCol w:w="36"/>
        <w:gridCol w:w="101"/>
        <w:gridCol w:w="608"/>
        <w:gridCol w:w="36"/>
        <w:gridCol w:w="36"/>
        <w:gridCol w:w="36"/>
        <w:gridCol w:w="36"/>
        <w:gridCol w:w="101"/>
        <w:gridCol w:w="644"/>
        <w:gridCol w:w="36"/>
        <w:gridCol w:w="36"/>
        <w:gridCol w:w="36"/>
        <w:gridCol w:w="36"/>
        <w:gridCol w:w="100"/>
        <w:gridCol w:w="559"/>
        <w:gridCol w:w="36"/>
      </w:tblGrid>
      <w:tr w:rsidR="00B1578D" w14:paraId="5DEC5F1F" w14:textId="77777777">
        <w:tc>
          <w:tcPr>
            <w:tcW w:w="50" w:type="pct"/>
            <w:shd w:val="clear" w:color="auto" w:fill="auto"/>
            <w:vAlign w:val="bottom"/>
          </w:tcPr>
          <w:p w14:paraId="5DEC5EFE" w14:textId="77777777" w:rsidR="00B1578D" w:rsidRDefault="00B1578D">
            <w:pPr>
              <w:rPr>
                <w:rFonts w:ascii="宋体"/>
              </w:rPr>
            </w:pPr>
          </w:p>
        </w:tc>
        <w:tc>
          <w:tcPr>
            <w:tcW w:w="2196" w:type="pct"/>
            <w:shd w:val="clear" w:color="auto" w:fill="auto"/>
            <w:vAlign w:val="bottom"/>
          </w:tcPr>
          <w:p w14:paraId="5DEC5EFF" w14:textId="77777777" w:rsidR="00B1578D" w:rsidRDefault="00B1578D">
            <w:pPr>
              <w:rPr>
                <w:rFonts w:ascii="宋体"/>
              </w:rPr>
            </w:pPr>
          </w:p>
        </w:tc>
        <w:tc>
          <w:tcPr>
            <w:tcW w:w="5" w:type="pct"/>
            <w:shd w:val="clear" w:color="auto" w:fill="auto"/>
            <w:vAlign w:val="bottom"/>
          </w:tcPr>
          <w:p w14:paraId="5DEC5F00" w14:textId="77777777" w:rsidR="00B1578D" w:rsidRDefault="00B1578D">
            <w:pPr>
              <w:rPr>
                <w:rFonts w:ascii="宋体"/>
              </w:rPr>
            </w:pPr>
          </w:p>
        </w:tc>
        <w:tc>
          <w:tcPr>
            <w:tcW w:w="5" w:type="pct"/>
            <w:shd w:val="clear" w:color="auto" w:fill="auto"/>
            <w:vAlign w:val="bottom"/>
          </w:tcPr>
          <w:p w14:paraId="5DEC5F01" w14:textId="77777777" w:rsidR="00B1578D" w:rsidRDefault="00B1578D">
            <w:pPr>
              <w:rPr>
                <w:rFonts w:ascii="宋体"/>
              </w:rPr>
            </w:pPr>
          </w:p>
        </w:tc>
        <w:tc>
          <w:tcPr>
            <w:tcW w:w="26" w:type="pct"/>
            <w:shd w:val="clear" w:color="auto" w:fill="auto"/>
            <w:vAlign w:val="bottom"/>
          </w:tcPr>
          <w:p w14:paraId="5DEC5F02" w14:textId="77777777" w:rsidR="00B1578D" w:rsidRDefault="00B1578D">
            <w:pPr>
              <w:rPr>
                <w:rFonts w:ascii="宋体"/>
              </w:rPr>
            </w:pPr>
          </w:p>
        </w:tc>
        <w:tc>
          <w:tcPr>
            <w:tcW w:w="5" w:type="pct"/>
            <w:shd w:val="clear" w:color="auto" w:fill="auto"/>
            <w:vAlign w:val="bottom"/>
          </w:tcPr>
          <w:p w14:paraId="5DEC5F03" w14:textId="77777777" w:rsidR="00B1578D" w:rsidRDefault="00B1578D">
            <w:pPr>
              <w:rPr>
                <w:rFonts w:ascii="宋体"/>
              </w:rPr>
            </w:pPr>
          </w:p>
        </w:tc>
        <w:tc>
          <w:tcPr>
            <w:tcW w:w="50" w:type="pct"/>
            <w:shd w:val="clear" w:color="auto" w:fill="auto"/>
            <w:vAlign w:val="bottom"/>
          </w:tcPr>
          <w:p w14:paraId="5DEC5F04" w14:textId="77777777" w:rsidR="00B1578D" w:rsidRDefault="00B1578D">
            <w:pPr>
              <w:rPr>
                <w:rFonts w:ascii="宋体"/>
              </w:rPr>
            </w:pPr>
          </w:p>
        </w:tc>
        <w:tc>
          <w:tcPr>
            <w:tcW w:w="529" w:type="pct"/>
            <w:shd w:val="clear" w:color="auto" w:fill="auto"/>
            <w:vAlign w:val="bottom"/>
          </w:tcPr>
          <w:p w14:paraId="5DEC5F05" w14:textId="77777777" w:rsidR="00B1578D" w:rsidRDefault="00B1578D">
            <w:pPr>
              <w:rPr>
                <w:rFonts w:ascii="宋体"/>
              </w:rPr>
            </w:pPr>
          </w:p>
        </w:tc>
        <w:tc>
          <w:tcPr>
            <w:tcW w:w="5" w:type="pct"/>
            <w:shd w:val="clear" w:color="auto" w:fill="auto"/>
            <w:vAlign w:val="bottom"/>
          </w:tcPr>
          <w:p w14:paraId="5DEC5F06" w14:textId="77777777" w:rsidR="00B1578D" w:rsidRDefault="00B1578D">
            <w:pPr>
              <w:rPr>
                <w:rFonts w:ascii="宋体"/>
              </w:rPr>
            </w:pPr>
          </w:p>
        </w:tc>
        <w:tc>
          <w:tcPr>
            <w:tcW w:w="5" w:type="pct"/>
            <w:shd w:val="clear" w:color="auto" w:fill="auto"/>
            <w:vAlign w:val="bottom"/>
          </w:tcPr>
          <w:p w14:paraId="5DEC5F07" w14:textId="77777777" w:rsidR="00B1578D" w:rsidRDefault="00B1578D">
            <w:pPr>
              <w:rPr>
                <w:rFonts w:ascii="宋体"/>
              </w:rPr>
            </w:pPr>
          </w:p>
        </w:tc>
        <w:tc>
          <w:tcPr>
            <w:tcW w:w="26" w:type="pct"/>
            <w:shd w:val="clear" w:color="auto" w:fill="auto"/>
            <w:vAlign w:val="bottom"/>
          </w:tcPr>
          <w:p w14:paraId="5DEC5F08" w14:textId="77777777" w:rsidR="00B1578D" w:rsidRDefault="00B1578D">
            <w:pPr>
              <w:rPr>
                <w:rFonts w:ascii="宋体"/>
              </w:rPr>
            </w:pPr>
          </w:p>
        </w:tc>
        <w:tc>
          <w:tcPr>
            <w:tcW w:w="5" w:type="pct"/>
            <w:shd w:val="clear" w:color="auto" w:fill="auto"/>
            <w:vAlign w:val="bottom"/>
          </w:tcPr>
          <w:p w14:paraId="5DEC5F09" w14:textId="77777777" w:rsidR="00B1578D" w:rsidRDefault="00B1578D">
            <w:pPr>
              <w:rPr>
                <w:rFonts w:ascii="宋体"/>
              </w:rPr>
            </w:pPr>
          </w:p>
        </w:tc>
        <w:tc>
          <w:tcPr>
            <w:tcW w:w="50" w:type="pct"/>
            <w:shd w:val="clear" w:color="auto" w:fill="auto"/>
            <w:vAlign w:val="bottom"/>
          </w:tcPr>
          <w:p w14:paraId="5DEC5F0A" w14:textId="77777777" w:rsidR="00B1578D" w:rsidRDefault="00B1578D">
            <w:pPr>
              <w:rPr>
                <w:rFonts w:ascii="宋体"/>
              </w:rPr>
            </w:pPr>
          </w:p>
        </w:tc>
        <w:tc>
          <w:tcPr>
            <w:tcW w:w="529" w:type="pct"/>
            <w:shd w:val="clear" w:color="auto" w:fill="auto"/>
            <w:vAlign w:val="bottom"/>
          </w:tcPr>
          <w:p w14:paraId="5DEC5F0B" w14:textId="77777777" w:rsidR="00B1578D" w:rsidRDefault="00B1578D">
            <w:pPr>
              <w:rPr>
                <w:rFonts w:ascii="宋体"/>
              </w:rPr>
            </w:pPr>
          </w:p>
        </w:tc>
        <w:tc>
          <w:tcPr>
            <w:tcW w:w="5" w:type="pct"/>
            <w:shd w:val="clear" w:color="auto" w:fill="auto"/>
            <w:vAlign w:val="bottom"/>
          </w:tcPr>
          <w:p w14:paraId="5DEC5F0C" w14:textId="77777777" w:rsidR="00B1578D" w:rsidRDefault="00B1578D">
            <w:pPr>
              <w:rPr>
                <w:rFonts w:ascii="宋体"/>
              </w:rPr>
            </w:pPr>
          </w:p>
        </w:tc>
        <w:tc>
          <w:tcPr>
            <w:tcW w:w="5" w:type="pct"/>
            <w:shd w:val="clear" w:color="auto" w:fill="auto"/>
            <w:vAlign w:val="bottom"/>
          </w:tcPr>
          <w:p w14:paraId="5DEC5F0D" w14:textId="77777777" w:rsidR="00B1578D" w:rsidRDefault="00B1578D">
            <w:pPr>
              <w:rPr>
                <w:rFonts w:ascii="宋体"/>
              </w:rPr>
            </w:pPr>
          </w:p>
        </w:tc>
        <w:tc>
          <w:tcPr>
            <w:tcW w:w="26" w:type="pct"/>
            <w:shd w:val="clear" w:color="auto" w:fill="auto"/>
            <w:vAlign w:val="bottom"/>
          </w:tcPr>
          <w:p w14:paraId="5DEC5F0E" w14:textId="77777777" w:rsidR="00B1578D" w:rsidRDefault="00B1578D">
            <w:pPr>
              <w:rPr>
                <w:rFonts w:ascii="宋体"/>
              </w:rPr>
            </w:pPr>
          </w:p>
        </w:tc>
        <w:tc>
          <w:tcPr>
            <w:tcW w:w="5" w:type="pct"/>
            <w:shd w:val="clear" w:color="auto" w:fill="auto"/>
            <w:vAlign w:val="bottom"/>
          </w:tcPr>
          <w:p w14:paraId="5DEC5F0F" w14:textId="77777777" w:rsidR="00B1578D" w:rsidRDefault="00B1578D">
            <w:pPr>
              <w:rPr>
                <w:rFonts w:ascii="宋体"/>
              </w:rPr>
            </w:pPr>
          </w:p>
        </w:tc>
        <w:tc>
          <w:tcPr>
            <w:tcW w:w="50" w:type="pct"/>
            <w:shd w:val="clear" w:color="auto" w:fill="auto"/>
            <w:vAlign w:val="bottom"/>
          </w:tcPr>
          <w:p w14:paraId="5DEC5F10" w14:textId="77777777" w:rsidR="00B1578D" w:rsidRDefault="00B1578D">
            <w:pPr>
              <w:rPr>
                <w:rFonts w:ascii="宋体"/>
              </w:rPr>
            </w:pPr>
          </w:p>
        </w:tc>
        <w:tc>
          <w:tcPr>
            <w:tcW w:w="412" w:type="pct"/>
            <w:shd w:val="clear" w:color="auto" w:fill="auto"/>
            <w:vAlign w:val="bottom"/>
          </w:tcPr>
          <w:p w14:paraId="5DEC5F11" w14:textId="77777777" w:rsidR="00B1578D" w:rsidRDefault="00B1578D">
            <w:pPr>
              <w:rPr>
                <w:rFonts w:ascii="宋体"/>
              </w:rPr>
            </w:pPr>
          </w:p>
        </w:tc>
        <w:tc>
          <w:tcPr>
            <w:tcW w:w="5" w:type="pct"/>
            <w:shd w:val="clear" w:color="auto" w:fill="auto"/>
            <w:vAlign w:val="bottom"/>
          </w:tcPr>
          <w:p w14:paraId="5DEC5F12" w14:textId="77777777" w:rsidR="00B1578D" w:rsidRDefault="00B1578D">
            <w:pPr>
              <w:rPr>
                <w:rFonts w:ascii="宋体"/>
              </w:rPr>
            </w:pPr>
          </w:p>
        </w:tc>
        <w:tc>
          <w:tcPr>
            <w:tcW w:w="5" w:type="pct"/>
            <w:shd w:val="clear" w:color="auto" w:fill="auto"/>
            <w:vAlign w:val="bottom"/>
          </w:tcPr>
          <w:p w14:paraId="5DEC5F13" w14:textId="77777777" w:rsidR="00B1578D" w:rsidRDefault="00B1578D">
            <w:pPr>
              <w:rPr>
                <w:rFonts w:ascii="宋体"/>
              </w:rPr>
            </w:pPr>
          </w:p>
        </w:tc>
        <w:tc>
          <w:tcPr>
            <w:tcW w:w="26" w:type="pct"/>
            <w:shd w:val="clear" w:color="auto" w:fill="auto"/>
            <w:vAlign w:val="bottom"/>
          </w:tcPr>
          <w:p w14:paraId="5DEC5F14" w14:textId="77777777" w:rsidR="00B1578D" w:rsidRDefault="00B1578D">
            <w:pPr>
              <w:rPr>
                <w:rFonts w:ascii="宋体"/>
              </w:rPr>
            </w:pPr>
          </w:p>
        </w:tc>
        <w:tc>
          <w:tcPr>
            <w:tcW w:w="5" w:type="pct"/>
            <w:shd w:val="clear" w:color="auto" w:fill="auto"/>
            <w:vAlign w:val="bottom"/>
          </w:tcPr>
          <w:p w14:paraId="5DEC5F15" w14:textId="77777777" w:rsidR="00B1578D" w:rsidRDefault="00B1578D">
            <w:pPr>
              <w:rPr>
                <w:rFonts w:ascii="宋体"/>
              </w:rPr>
            </w:pPr>
          </w:p>
        </w:tc>
        <w:tc>
          <w:tcPr>
            <w:tcW w:w="50" w:type="pct"/>
            <w:shd w:val="clear" w:color="auto" w:fill="auto"/>
            <w:vAlign w:val="bottom"/>
          </w:tcPr>
          <w:p w14:paraId="5DEC5F16" w14:textId="77777777" w:rsidR="00B1578D" w:rsidRDefault="00B1578D">
            <w:pPr>
              <w:rPr>
                <w:rFonts w:ascii="宋体"/>
              </w:rPr>
            </w:pPr>
          </w:p>
        </w:tc>
        <w:tc>
          <w:tcPr>
            <w:tcW w:w="434" w:type="pct"/>
            <w:shd w:val="clear" w:color="auto" w:fill="auto"/>
            <w:vAlign w:val="bottom"/>
          </w:tcPr>
          <w:p w14:paraId="5DEC5F17" w14:textId="77777777" w:rsidR="00B1578D" w:rsidRDefault="00B1578D">
            <w:pPr>
              <w:rPr>
                <w:rFonts w:ascii="宋体"/>
              </w:rPr>
            </w:pPr>
          </w:p>
        </w:tc>
        <w:tc>
          <w:tcPr>
            <w:tcW w:w="5" w:type="pct"/>
            <w:shd w:val="clear" w:color="auto" w:fill="auto"/>
            <w:vAlign w:val="bottom"/>
          </w:tcPr>
          <w:p w14:paraId="5DEC5F18" w14:textId="77777777" w:rsidR="00B1578D" w:rsidRDefault="00B1578D">
            <w:pPr>
              <w:rPr>
                <w:rFonts w:ascii="宋体"/>
              </w:rPr>
            </w:pPr>
          </w:p>
        </w:tc>
        <w:tc>
          <w:tcPr>
            <w:tcW w:w="5" w:type="pct"/>
            <w:shd w:val="clear" w:color="auto" w:fill="auto"/>
            <w:vAlign w:val="bottom"/>
          </w:tcPr>
          <w:p w14:paraId="5DEC5F19" w14:textId="77777777" w:rsidR="00B1578D" w:rsidRDefault="00B1578D">
            <w:pPr>
              <w:rPr>
                <w:rFonts w:ascii="宋体"/>
              </w:rPr>
            </w:pPr>
          </w:p>
        </w:tc>
        <w:tc>
          <w:tcPr>
            <w:tcW w:w="26" w:type="pct"/>
            <w:shd w:val="clear" w:color="auto" w:fill="auto"/>
            <w:vAlign w:val="bottom"/>
          </w:tcPr>
          <w:p w14:paraId="5DEC5F1A" w14:textId="77777777" w:rsidR="00B1578D" w:rsidRDefault="00B1578D">
            <w:pPr>
              <w:rPr>
                <w:rFonts w:ascii="宋体"/>
              </w:rPr>
            </w:pPr>
          </w:p>
        </w:tc>
        <w:tc>
          <w:tcPr>
            <w:tcW w:w="5" w:type="pct"/>
            <w:shd w:val="clear" w:color="auto" w:fill="auto"/>
            <w:vAlign w:val="bottom"/>
          </w:tcPr>
          <w:p w14:paraId="5DEC5F1B" w14:textId="77777777" w:rsidR="00B1578D" w:rsidRDefault="00B1578D">
            <w:pPr>
              <w:rPr>
                <w:rFonts w:ascii="宋体"/>
              </w:rPr>
            </w:pPr>
          </w:p>
        </w:tc>
        <w:tc>
          <w:tcPr>
            <w:tcW w:w="50" w:type="pct"/>
            <w:shd w:val="clear" w:color="auto" w:fill="auto"/>
            <w:vAlign w:val="bottom"/>
          </w:tcPr>
          <w:p w14:paraId="5DEC5F1C" w14:textId="77777777" w:rsidR="00B1578D" w:rsidRDefault="00B1578D">
            <w:pPr>
              <w:rPr>
                <w:rFonts w:ascii="宋体"/>
              </w:rPr>
            </w:pPr>
          </w:p>
        </w:tc>
        <w:tc>
          <w:tcPr>
            <w:tcW w:w="383" w:type="pct"/>
            <w:shd w:val="clear" w:color="auto" w:fill="auto"/>
            <w:vAlign w:val="bottom"/>
          </w:tcPr>
          <w:p w14:paraId="5DEC5F1D" w14:textId="77777777" w:rsidR="00B1578D" w:rsidRDefault="00B1578D">
            <w:pPr>
              <w:rPr>
                <w:rFonts w:ascii="宋体"/>
              </w:rPr>
            </w:pPr>
          </w:p>
        </w:tc>
        <w:tc>
          <w:tcPr>
            <w:tcW w:w="5" w:type="pct"/>
            <w:shd w:val="clear" w:color="auto" w:fill="auto"/>
            <w:vAlign w:val="bottom"/>
          </w:tcPr>
          <w:p w14:paraId="5DEC5F1E" w14:textId="77777777" w:rsidR="00B1578D" w:rsidRDefault="00B1578D">
            <w:pPr>
              <w:rPr>
                <w:rFonts w:ascii="宋体"/>
              </w:rPr>
            </w:pPr>
          </w:p>
        </w:tc>
      </w:tr>
      <w:tr w:rsidR="00B1578D" w14:paraId="5DEC5F2B" w14:textId="77777777">
        <w:tc>
          <w:tcPr>
            <w:tcW w:w="0" w:type="auto"/>
            <w:gridSpan w:val="3"/>
            <w:shd w:val="clear" w:color="auto" w:fill="auto"/>
            <w:tcMar>
              <w:top w:w="40" w:type="dxa"/>
              <w:left w:w="20" w:type="dxa"/>
              <w:bottom w:w="40" w:type="dxa"/>
              <w:right w:w="20" w:type="dxa"/>
            </w:tcMar>
            <w:vAlign w:val="bottom"/>
          </w:tcPr>
          <w:p w14:paraId="5DEC5F20" w14:textId="77777777" w:rsidR="00B1578D" w:rsidRDefault="004D2C04">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5DEC5F21"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F22" w14:textId="77777777" w:rsidR="00B1578D" w:rsidRDefault="004D2C04">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5DEC5F23"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F24" w14:textId="77777777" w:rsidR="00B1578D" w:rsidRDefault="004D2C04">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5DEC5F25"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F26" w14:textId="77777777" w:rsidR="00B1578D" w:rsidRDefault="004D2C04">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5DEC5F27"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F28" w14:textId="77777777" w:rsidR="00B1578D" w:rsidRDefault="004D2C04">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5DEC5F29"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F2A" w14:textId="77777777" w:rsidR="00B1578D" w:rsidRDefault="004D2C04">
            <w:pPr>
              <w:jc w:val="center"/>
              <w:textAlignment w:val="bottom"/>
            </w:pPr>
            <w:r>
              <w:rPr>
                <w:rFonts w:ascii="Times New Roman" w:eastAsia="宋体" w:hAnsi="Times New Roman"/>
                <w:b/>
                <w:bCs/>
                <w:color w:val="000000"/>
                <w:sz w:val="16"/>
                <w:szCs w:val="16"/>
              </w:rPr>
              <w:t>Total</w:t>
            </w:r>
          </w:p>
        </w:tc>
      </w:tr>
      <w:tr w:rsidR="00B1578D" w14:paraId="5DEC5F41" w14:textId="77777777">
        <w:tc>
          <w:tcPr>
            <w:tcW w:w="0" w:type="auto"/>
            <w:gridSpan w:val="3"/>
            <w:shd w:val="clear" w:color="auto" w:fill="CCEEFF"/>
            <w:tcMar>
              <w:top w:w="40" w:type="dxa"/>
              <w:left w:w="20" w:type="dxa"/>
              <w:bottom w:w="40" w:type="dxa"/>
              <w:right w:w="20" w:type="dxa"/>
            </w:tcMar>
            <w:vAlign w:val="center"/>
          </w:tcPr>
          <w:p w14:paraId="5DEC5F2C" w14:textId="77777777" w:rsidR="00B1578D" w:rsidRDefault="004D2C04">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5DEC5F2D"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F2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F2F" w14:textId="77777777" w:rsidR="00B1578D" w:rsidRDefault="004D2C04">
            <w:pPr>
              <w:jc w:val="right"/>
              <w:textAlignment w:val="center"/>
            </w:pPr>
            <w:r>
              <w:rPr>
                <w:rFonts w:ascii="Times New Roman" w:eastAsia="宋体" w:hAnsi="Times New Roman"/>
                <w:color w:val="000000"/>
                <w:sz w:val="16"/>
                <w:szCs w:val="16"/>
              </w:rPr>
              <w:t>(8,100)</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F3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31"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F32"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F33" w14:textId="77777777" w:rsidR="00B1578D" w:rsidRDefault="004D2C04">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F3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35"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F36"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F37" w14:textId="77777777" w:rsidR="00B1578D" w:rsidRDefault="004D2C04">
            <w:pPr>
              <w:jc w:val="right"/>
              <w:textAlignment w:val="center"/>
            </w:pPr>
            <w:r>
              <w:rPr>
                <w:rFonts w:ascii="Times New Roman" w:eastAsia="宋体" w:hAnsi="Times New Roman"/>
                <w:color w:val="000000"/>
                <w:sz w:val="16"/>
                <w:szCs w:val="16"/>
              </w:rPr>
              <w:t>(748)</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F3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39"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F3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F3B" w14:textId="77777777" w:rsidR="00B1578D" w:rsidRDefault="004D2C04">
            <w:pPr>
              <w:jc w:val="right"/>
              <w:textAlignment w:val="center"/>
            </w:pPr>
            <w:r>
              <w:rPr>
                <w:rFonts w:ascii="Times New Roman" w:eastAsia="宋体" w:hAnsi="Times New Roman"/>
                <w:color w:val="000000"/>
                <w:sz w:val="16"/>
                <w:szCs w:val="16"/>
              </w:rPr>
              <w:t>(12)</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F3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3D"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5F3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5F3F" w14:textId="77777777" w:rsidR="00B1578D" w:rsidRDefault="004D2C04">
            <w:pPr>
              <w:jc w:val="right"/>
              <w:textAlignment w:val="center"/>
            </w:pPr>
            <w:r>
              <w:rPr>
                <w:rFonts w:ascii="Times New Roman" w:eastAsia="宋体" w:hAnsi="Times New Roman"/>
                <w:color w:val="000000"/>
                <w:sz w:val="16"/>
                <w:szCs w:val="16"/>
              </w:rPr>
              <w:t>(8,766)</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5F40" w14:textId="77777777" w:rsidR="00B1578D" w:rsidRDefault="00B1578D">
            <w:pPr>
              <w:jc w:val="right"/>
              <w:rPr>
                <w:rFonts w:ascii="宋体"/>
              </w:rPr>
            </w:pPr>
          </w:p>
        </w:tc>
      </w:tr>
      <w:tr w:rsidR="00B1578D" w14:paraId="5DEC5F4D" w14:textId="77777777">
        <w:trPr>
          <w:hidden/>
        </w:trPr>
        <w:tc>
          <w:tcPr>
            <w:tcW w:w="0" w:type="auto"/>
            <w:gridSpan w:val="3"/>
            <w:shd w:val="clear" w:color="auto" w:fill="auto"/>
            <w:vAlign w:val="bottom"/>
          </w:tcPr>
          <w:p w14:paraId="5DEC5F42" w14:textId="77777777" w:rsidR="00B1578D" w:rsidRDefault="00B1578D">
            <w:pPr>
              <w:rPr>
                <w:rFonts w:ascii="宋体"/>
                <w:vanish/>
              </w:rPr>
            </w:pPr>
          </w:p>
        </w:tc>
        <w:tc>
          <w:tcPr>
            <w:tcW w:w="0" w:type="auto"/>
            <w:gridSpan w:val="3"/>
            <w:shd w:val="clear" w:color="auto" w:fill="auto"/>
            <w:vAlign w:val="bottom"/>
          </w:tcPr>
          <w:p w14:paraId="5DEC5F43" w14:textId="77777777" w:rsidR="00B1578D" w:rsidRDefault="00B1578D">
            <w:pPr>
              <w:rPr>
                <w:rFonts w:ascii="宋体"/>
                <w:vanish/>
              </w:rPr>
            </w:pPr>
          </w:p>
        </w:tc>
        <w:tc>
          <w:tcPr>
            <w:tcW w:w="0" w:type="auto"/>
            <w:gridSpan w:val="3"/>
            <w:shd w:val="clear" w:color="auto" w:fill="auto"/>
            <w:vAlign w:val="bottom"/>
          </w:tcPr>
          <w:p w14:paraId="5DEC5F44" w14:textId="77777777" w:rsidR="00B1578D" w:rsidRDefault="00B1578D">
            <w:pPr>
              <w:rPr>
                <w:rFonts w:ascii="宋体"/>
                <w:vanish/>
              </w:rPr>
            </w:pPr>
          </w:p>
        </w:tc>
        <w:tc>
          <w:tcPr>
            <w:tcW w:w="0" w:type="auto"/>
            <w:gridSpan w:val="3"/>
            <w:shd w:val="clear" w:color="auto" w:fill="auto"/>
            <w:vAlign w:val="bottom"/>
          </w:tcPr>
          <w:p w14:paraId="5DEC5F45" w14:textId="77777777" w:rsidR="00B1578D" w:rsidRDefault="00B1578D">
            <w:pPr>
              <w:rPr>
                <w:rFonts w:ascii="宋体"/>
                <w:vanish/>
              </w:rPr>
            </w:pPr>
          </w:p>
        </w:tc>
        <w:tc>
          <w:tcPr>
            <w:tcW w:w="0" w:type="auto"/>
            <w:gridSpan w:val="3"/>
            <w:shd w:val="clear" w:color="auto" w:fill="auto"/>
            <w:vAlign w:val="bottom"/>
          </w:tcPr>
          <w:p w14:paraId="5DEC5F46" w14:textId="77777777" w:rsidR="00B1578D" w:rsidRDefault="00B1578D">
            <w:pPr>
              <w:rPr>
                <w:rFonts w:ascii="宋体"/>
                <w:vanish/>
              </w:rPr>
            </w:pPr>
          </w:p>
        </w:tc>
        <w:tc>
          <w:tcPr>
            <w:tcW w:w="0" w:type="auto"/>
            <w:gridSpan w:val="3"/>
            <w:shd w:val="clear" w:color="auto" w:fill="auto"/>
            <w:vAlign w:val="bottom"/>
          </w:tcPr>
          <w:p w14:paraId="5DEC5F47" w14:textId="77777777" w:rsidR="00B1578D" w:rsidRDefault="00B1578D">
            <w:pPr>
              <w:rPr>
                <w:rFonts w:ascii="宋体"/>
                <w:vanish/>
              </w:rPr>
            </w:pPr>
          </w:p>
        </w:tc>
        <w:tc>
          <w:tcPr>
            <w:tcW w:w="0" w:type="auto"/>
            <w:gridSpan w:val="3"/>
            <w:shd w:val="clear" w:color="auto" w:fill="auto"/>
            <w:vAlign w:val="bottom"/>
          </w:tcPr>
          <w:p w14:paraId="5DEC5F48" w14:textId="77777777" w:rsidR="00B1578D" w:rsidRDefault="00B1578D">
            <w:pPr>
              <w:rPr>
                <w:rFonts w:ascii="宋体"/>
                <w:vanish/>
              </w:rPr>
            </w:pPr>
          </w:p>
        </w:tc>
        <w:tc>
          <w:tcPr>
            <w:tcW w:w="0" w:type="auto"/>
            <w:gridSpan w:val="3"/>
            <w:shd w:val="clear" w:color="auto" w:fill="auto"/>
            <w:vAlign w:val="bottom"/>
          </w:tcPr>
          <w:p w14:paraId="5DEC5F49" w14:textId="77777777" w:rsidR="00B1578D" w:rsidRDefault="00B1578D">
            <w:pPr>
              <w:rPr>
                <w:rFonts w:ascii="宋体"/>
                <w:vanish/>
              </w:rPr>
            </w:pPr>
          </w:p>
        </w:tc>
        <w:tc>
          <w:tcPr>
            <w:tcW w:w="0" w:type="auto"/>
            <w:gridSpan w:val="3"/>
            <w:shd w:val="clear" w:color="auto" w:fill="auto"/>
            <w:vAlign w:val="bottom"/>
          </w:tcPr>
          <w:p w14:paraId="5DEC5F4A" w14:textId="77777777" w:rsidR="00B1578D" w:rsidRDefault="00B1578D">
            <w:pPr>
              <w:rPr>
                <w:rFonts w:ascii="宋体"/>
                <w:vanish/>
              </w:rPr>
            </w:pPr>
          </w:p>
        </w:tc>
        <w:tc>
          <w:tcPr>
            <w:tcW w:w="0" w:type="auto"/>
            <w:gridSpan w:val="3"/>
            <w:shd w:val="clear" w:color="auto" w:fill="auto"/>
            <w:vAlign w:val="bottom"/>
          </w:tcPr>
          <w:p w14:paraId="5DEC5F4B" w14:textId="77777777" w:rsidR="00B1578D" w:rsidRDefault="00B1578D">
            <w:pPr>
              <w:rPr>
                <w:rFonts w:ascii="宋体"/>
                <w:vanish/>
              </w:rPr>
            </w:pPr>
          </w:p>
        </w:tc>
        <w:tc>
          <w:tcPr>
            <w:tcW w:w="0" w:type="auto"/>
            <w:gridSpan w:val="3"/>
            <w:shd w:val="clear" w:color="auto" w:fill="auto"/>
            <w:vAlign w:val="bottom"/>
          </w:tcPr>
          <w:p w14:paraId="5DEC5F4C" w14:textId="77777777" w:rsidR="00B1578D" w:rsidRDefault="00B1578D">
            <w:pPr>
              <w:rPr>
                <w:rFonts w:ascii="宋体"/>
                <w:vanish/>
              </w:rPr>
            </w:pPr>
          </w:p>
        </w:tc>
      </w:tr>
      <w:tr w:rsidR="00B1578D" w14:paraId="5DEC5F5E" w14:textId="77777777">
        <w:tc>
          <w:tcPr>
            <w:tcW w:w="0" w:type="auto"/>
            <w:gridSpan w:val="3"/>
            <w:shd w:val="clear" w:color="auto" w:fill="FFFFFF"/>
            <w:tcMar>
              <w:top w:w="40" w:type="dxa"/>
              <w:left w:w="20" w:type="dxa"/>
              <w:bottom w:w="40" w:type="dxa"/>
              <w:right w:w="20" w:type="dxa"/>
            </w:tcMar>
            <w:vAlign w:val="center"/>
          </w:tcPr>
          <w:p w14:paraId="5DEC5F4E" w14:textId="77777777" w:rsidR="00B1578D" w:rsidRDefault="004D2C04">
            <w:pPr>
              <w:textAlignment w:val="center"/>
            </w:pPr>
            <w:r>
              <w:rPr>
                <w:rFonts w:ascii="Times New Roman" w:eastAsia="宋体" w:hAnsi="Times New Roman"/>
                <w:color w:val="000000"/>
                <w:sz w:val="16"/>
                <w:szCs w:val="16"/>
              </w:rPr>
              <w:t>Other comprehensive income before reclassifications, net</w:t>
            </w:r>
          </w:p>
        </w:tc>
        <w:tc>
          <w:tcPr>
            <w:tcW w:w="0" w:type="auto"/>
            <w:gridSpan w:val="3"/>
            <w:shd w:val="clear" w:color="auto" w:fill="FFFFFF"/>
            <w:tcMar>
              <w:top w:w="0" w:type="dxa"/>
              <w:left w:w="20" w:type="dxa"/>
              <w:bottom w:w="0" w:type="dxa"/>
              <w:right w:w="20" w:type="dxa"/>
            </w:tcMar>
            <w:vAlign w:val="bottom"/>
          </w:tcPr>
          <w:p w14:paraId="5DEC5F4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F50" w14:textId="77777777" w:rsidR="00B1578D" w:rsidRDefault="004D2C04">
            <w:pPr>
              <w:jc w:val="right"/>
              <w:textAlignment w:val="center"/>
            </w:pPr>
            <w:r>
              <w:rPr>
                <w:rFonts w:ascii="Times New Roman" w:eastAsia="宋体" w:hAnsi="Times New Roman"/>
                <w:color w:val="000000"/>
                <w:sz w:val="16"/>
                <w:szCs w:val="16"/>
              </w:rPr>
              <w:t>225 </w:t>
            </w:r>
          </w:p>
        </w:tc>
        <w:tc>
          <w:tcPr>
            <w:tcW w:w="0" w:type="auto"/>
            <w:shd w:val="clear" w:color="auto" w:fill="FFFFFF"/>
            <w:tcMar>
              <w:top w:w="40" w:type="dxa"/>
              <w:left w:w="0" w:type="dxa"/>
              <w:bottom w:w="40" w:type="dxa"/>
              <w:right w:w="20" w:type="dxa"/>
            </w:tcMar>
            <w:vAlign w:val="center"/>
          </w:tcPr>
          <w:p w14:paraId="5DEC5F5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F5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F53"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F5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F5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F56" w14:textId="77777777" w:rsidR="00B1578D" w:rsidRDefault="004D2C04">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5DEC5F5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F5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F59"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5F5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5F5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5F5C" w14:textId="77777777" w:rsidR="00B1578D" w:rsidRDefault="004D2C04">
            <w:pPr>
              <w:jc w:val="right"/>
              <w:textAlignment w:val="center"/>
            </w:pPr>
            <w:r>
              <w:rPr>
                <w:rFonts w:ascii="Times New Roman" w:eastAsia="宋体" w:hAnsi="Times New Roman"/>
                <w:color w:val="000000"/>
                <w:sz w:val="16"/>
                <w:szCs w:val="16"/>
              </w:rPr>
              <w:t>251 </w:t>
            </w:r>
          </w:p>
        </w:tc>
        <w:tc>
          <w:tcPr>
            <w:tcW w:w="0" w:type="auto"/>
            <w:shd w:val="clear" w:color="auto" w:fill="FFFFFF"/>
            <w:tcMar>
              <w:top w:w="40" w:type="dxa"/>
              <w:left w:w="0" w:type="dxa"/>
              <w:bottom w:w="40" w:type="dxa"/>
              <w:right w:w="20" w:type="dxa"/>
            </w:tcMar>
            <w:vAlign w:val="center"/>
          </w:tcPr>
          <w:p w14:paraId="5DEC5F5D" w14:textId="77777777" w:rsidR="00B1578D" w:rsidRDefault="00B1578D">
            <w:pPr>
              <w:jc w:val="right"/>
              <w:rPr>
                <w:rFonts w:ascii="宋体"/>
              </w:rPr>
            </w:pPr>
          </w:p>
        </w:tc>
      </w:tr>
      <w:tr w:rsidR="00B1578D" w14:paraId="5DEC5F6A" w14:textId="77777777">
        <w:trPr>
          <w:hidden/>
        </w:trPr>
        <w:tc>
          <w:tcPr>
            <w:tcW w:w="0" w:type="auto"/>
            <w:gridSpan w:val="3"/>
            <w:shd w:val="clear" w:color="auto" w:fill="auto"/>
            <w:vAlign w:val="bottom"/>
          </w:tcPr>
          <w:p w14:paraId="5DEC5F5F" w14:textId="77777777" w:rsidR="00B1578D" w:rsidRDefault="00B1578D">
            <w:pPr>
              <w:rPr>
                <w:rFonts w:ascii="宋体"/>
                <w:vanish/>
              </w:rPr>
            </w:pPr>
          </w:p>
        </w:tc>
        <w:tc>
          <w:tcPr>
            <w:tcW w:w="0" w:type="auto"/>
            <w:gridSpan w:val="3"/>
            <w:shd w:val="clear" w:color="auto" w:fill="auto"/>
            <w:vAlign w:val="bottom"/>
          </w:tcPr>
          <w:p w14:paraId="5DEC5F60" w14:textId="77777777" w:rsidR="00B1578D" w:rsidRDefault="00B1578D">
            <w:pPr>
              <w:rPr>
                <w:rFonts w:ascii="宋体"/>
                <w:vanish/>
              </w:rPr>
            </w:pPr>
          </w:p>
        </w:tc>
        <w:tc>
          <w:tcPr>
            <w:tcW w:w="0" w:type="auto"/>
            <w:gridSpan w:val="3"/>
            <w:shd w:val="clear" w:color="auto" w:fill="auto"/>
            <w:vAlign w:val="bottom"/>
          </w:tcPr>
          <w:p w14:paraId="5DEC5F61" w14:textId="77777777" w:rsidR="00B1578D" w:rsidRDefault="00B1578D">
            <w:pPr>
              <w:rPr>
                <w:rFonts w:ascii="宋体"/>
                <w:vanish/>
              </w:rPr>
            </w:pPr>
          </w:p>
        </w:tc>
        <w:tc>
          <w:tcPr>
            <w:tcW w:w="0" w:type="auto"/>
            <w:gridSpan w:val="3"/>
            <w:shd w:val="clear" w:color="auto" w:fill="auto"/>
            <w:vAlign w:val="bottom"/>
          </w:tcPr>
          <w:p w14:paraId="5DEC5F62" w14:textId="77777777" w:rsidR="00B1578D" w:rsidRDefault="00B1578D">
            <w:pPr>
              <w:rPr>
                <w:rFonts w:ascii="宋体"/>
                <w:vanish/>
              </w:rPr>
            </w:pPr>
          </w:p>
        </w:tc>
        <w:tc>
          <w:tcPr>
            <w:tcW w:w="0" w:type="auto"/>
            <w:gridSpan w:val="3"/>
            <w:shd w:val="clear" w:color="auto" w:fill="auto"/>
            <w:vAlign w:val="bottom"/>
          </w:tcPr>
          <w:p w14:paraId="5DEC5F63" w14:textId="77777777" w:rsidR="00B1578D" w:rsidRDefault="00B1578D">
            <w:pPr>
              <w:rPr>
                <w:rFonts w:ascii="宋体"/>
                <w:vanish/>
              </w:rPr>
            </w:pPr>
          </w:p>
        </w:tc>
        <w:tc>
          <w:tcPr>
            <w:tcW w:w="0" w:type="auto"/>
            <w:gridSpan w:val="3"/>
            <w:shd w:val="clear" w:color="auto" w:fill="auto"/>
            <w:vAlign w:val="bottom"/>
          </w:tcPr>
          <w:p w14:paraId="5DEC5F64" w14:textId="77777777" w:rsidR="00B1578D" w:rsidRDefault="00B1578D">
            <w:pPr>
              <w:rPr>
                <w:rFonts w:ascii="宋体"/>
                <w:vanish/>
              </w:rPr>
            </w:pPr>
          </w:p>
        </w:tc>
        <w:tc>
          <w:tcPr>
            <w:tcW w:w="0" w:type="auto"/>
            <w:gridSpan w:val="3"/>
            <w:shd w:val="clear" w:color="auto" w:fill="auto"/>
            <w:vAlign w:val="bottom"/>
          </w:tcPr>
          <w:p w14:paraId="5DEC5F65" w14:textId="77777777" w:rsidR="00B1578D" w:rsidRDefault="00B1578D">
            <w:pPr>
              <w:rPr>
                <w:rFonts w:ascii="宋体"/>
                <w:vanish/>
              </w:rPr>
            </w:pPr>
          </w:p>
        </w:tc>
        <w:tc>
          <w:tcPr>
            <w:tcW w:w="0" w:type="auto"/>
            <w:gridSpan w:val="3"/>
            <w:shd w:val="clear" w:color="auto" w:fill="auto"/>
            <w:vAlign w:val="bottom"/>
          </w:tcPr>
          <w:p w14:paraId="5DEC5F66" w14:textId="77777777" w:rsidR="00B1578D" w:rsidRDefault="00B1578D">
            <w:pPr>
              <w:rPr>
                <w:rFonts w:ascii="宋体"/>
                <w:vanish/>
              </w:rPr>
            </w:pPr>
          </w:p>
        </w:tc>
        <w:tc>
          <w:tcPr>
            <w:tcW w:w="0" w:type="auto"/>
            <w:gridSpan w:val="3"/>
            <w:shd w:val="clear" w:color="auto" w:fill="auto"/>
            <w:vAlign w:val="bottom"/>
          </w:tcPr>
          <w:p w14:paraId="5DEC5F67" w14:textId="77777777" w:rsidR="00B1578D" w:rsidRDefault="00B1578D">
            <w:pPr>
              <w:rPr>
                <w:rFonts w:ascii="宋体"/>
                <w:vanish/>
              </w:rPr>
            </w:pPr>
          </w:p>
        </w:tc>
        <w:tc>
          <w:tcPr>
            <w:tcW w:w="0" w:type="auto"/>
            <w:gridSpan w:val="3"/>
            <w:shd w:val="clear" w:color="auto" w:fill="auto"/>
            <w:vAlign w:val="bottom"/>
          </w:tcPr>
          <w:p w14:paraId="5DEC5F68" w14:textId="77777777" w:rsidR="00B1578D" w:rsidRDefault="00B1578D">
            <w:pPr>
              <w:rPr>
                <w:rFonts w:ascii="宋体"/>
                <w:vanish/>
              </w:rPr>
            </w:pPr>
          </w:p>
        </w:tc>
        <w:tc>
          <w:tcPr>
            <w:tcW w:w="0" w:type="auto"/>
            <w:gridSpan w:val="3"/>
            <w:shd w:val="clear" w:color="auto" w:fill="auto"/>
            <w:vAlign w:val="bottom"/>
          </w:tcPr>
          <w:p w14:paraId="5DEC5F69" w14:textId="77777777" w:rsidR="00B1578D" w:rsidRDefault="00B1578D">
            <w:pPr>
              <w:rPr>
                <w:rFonts w:ascii="宋体"/>
                <w:vanish/>
              </w:rPr>
            </w:pPr>
          </w:p>
        </w:tc>
      </w:tr>
      <w:tr w:rsidR="00B1578D" w14:paraId="5DEC5F7B" w14:textId="77777777">
        <w:tc>
          <w:tcPr>
            <w:tcW w:w="0" w:type="auto"/>
            <w:gridSpan w:val="3"/>
            <w:shd w:val="clear" w:color="auto" w:fill="CCEEFF"/>
            <w:tcMar>
              <w:top w:w="40" w:type="dxa"/>
              <w:left w:w="20" w:type="dxa"/>
              <w:bottom w:w="40" w:type="dxa"/>
              <w:right w:w="20" w:type="dxa"/>
            </w:tcMar>
            <w:vAlign w:val="center"/>
          </w:tcPr>
          <w:p w14:paraId="5DEC5F6B" w14:textId="77777777" w:rsidR="00B1578D" w:rsidRDefault="004D2C04">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5DEC5F6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F6D"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F6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6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F70"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5F7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7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F73" w14:textId="77777777" w:rsidR="00B1578D" w:rsidRDefault="004D2C04">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5DEC5F7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7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F76" w14:textId="77777777" w:rsidR="00B1578D" w:rsidRDefault="004D2C04">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5DEC5F7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5F7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5F79" w14:textId="77777777" w:rsidR="00B1578D" w:rsidRDefault="004D2C04">
            <w:pPr>
              <w:jc w:val="right"/>
              <w:textAlignment w:val="center"/>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center"/>
          </w:tcPr>
          <w:p w14:paraId="5DEC5F7A" w14:textId="77777777" w:rsidR="00B1578D" w:rsidRDefault="00B1578D">
            <w:pPr>
              <w:jc w:val="right"/>
              <w:rPr>
                <w:rFonts w:ascii="宋体"/>
              </w:rPr>
            </w:pPr>
          </w:p>
        </w:tc>
      </w:tr>
      <w:tr w:rsidR="00B1578D" w14:paraId="5DEC5F91" w14:textId="77777777">
        <w:tc>
          <w:tcPr>
            <w:tcW w:w="0" w:type="auto"/>
            <w:gridSpan w:val="3"/>
            <w:shd w:val="clear" w:color="auto" w:fill="FFFFFF"/>
            <w:tcMar>
              <w:top w:w="40" w:type="dxa"/>
              <w:left w:w="20" w:type="dxa"/>
              <w:bottom w:w="40" w:type="dxa"/>
              <w:right w:w="20" w:type="dxa"/>
            </w:tcMar>
            <w:vAlign w:val="center"/>
          </w:tcPr>
          <w:p w14:paraId="5DEC5F7C" w14:textId="77777777" w:rsidR="00B1578D" w:rsidRDefault="004D2C04">
            <w:pPr>
              <w:textAlignment w:val="center"/>
            </w:pPr>
            <w:r>
              <w:rPr>
                <w:rFonts w:ascii="Times New Roman" w:eastAsia="宋体" w:hAnsi="Times New Roman"/>
                <w:b/>
                <w:bCs/>
                <w:color w:val="000000"/>
                <w:sz w:val="16"/>
                <w:szCs w:val="16"/>
              </w:rPr>
              <w:t>Balances as of April 30, 2022</w:t>
            </w:r>
          </w:p>
        </w:tc>
        <w:tc>
          <w:tcPr>
            <w:tcW w:w="0" w:type="auto"/>
            <w:gridSpan w:val="3"/>
            <w:shd w:val="clear" w:color="auto" w:fill="FFFFFF"/>
            <w:tcMar>
              <w:top w:w="0" w:type="dxa"/>
              <w:left w:w="20" w:type="dxa"/>
              <w:bottom w:w="0" w:type="dxa"/>
              <w:right w:w="20" w:type="dxa"/>
            </w:tcMar>
            <w:vAlign w:val="bottom"/>
          </w:tcPr>
          <w:p w14:paraId="5DEC5F7D"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F7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F7F" w14:textId="77777777" w:rsidR="00B1578D" w:rsidRDefault="004D2C04">
            <w:pPr>
              <w:jc w:val="right"/>
              <w:textAlignment w:val="center"/>
            </w:pPr>
            <w:r>
              <w:rPr>
                <w:rFonts w:ascii="Times New Roman" w:eastAsia="宋体" w:hAnsi="Times New Roman"/>
                <w:color w:val="000000"/>
                <w:sz w:val="16"/>
                <w:szCs w:val="16"/>
              </w:rPr>
              <w:t>(7,875)</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F80" w14:textId="77777777" w:rsidR="00B1578D" w:rsidRDefault="00B1578D">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F81"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F82"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F83" w14:textId="77777777" w:rsidR="00B1578D" w:rsidRDefault="004D2C04">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F84" w14:textId="77777777" w:rsidR="00B1578D" w:rsidRDefault="00B1578D">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F85"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F86"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F87" w14:textId="77777777" w:rsidR="00B1578D" w:rsidRDefault="004D2C04">
            <w:pPr>
              <w:jc w:val="right"/>
              <w:textAlignment w:val="center"/>
            </w:pPr>
            <w:r>
              <w:rPr>
                <w:rFonts w:ascii="Times New Roman" w:eastAsia="宋体" w:hAnsi="Times New Roman"/>
                <w:color w:val="000000"/>
                <w:sz w:val="16"/>
                <w:szCs w:val="16"/>
              </w:rPr>
              <w:t>(706)</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F88" w14:textId="77777777" w:rsidR="00B1578D" w:rsidRDefault="00B1578D">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F89"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F8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F8B" w14:textId="77777777" w:rsidR="00B1578D" w:rsidRDefault="004D2C04">
            <w:pPr>
              <w:jc w:val="right"/>
              <w:textAlignment w:val="center"/>
            </w:pPr>
            <w:r>
              <w:rPr>
                <w:rFonts w:ascii="Times New Roman" w:eastAsia="宋体" w:hAnsi="Times New Roman"/>
                <w:color w:val="000000"/>
                <w:sz w:val="16"/>
                <w:szCs w:val="16"/>
              </w:rPr>
              <w:t>(11)</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F8C" w14:textId="77777777" w:rsidR="00B1578D" w:rsidRDefault="00B1578D">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5F8D"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5F8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5F8F" w14:textId="77777777" w:rsidR="00B1578D" w:rsidRDefault="004D2C04">
            <w:pPr>
              <w:jc w:val="right"/>
              <w:textAlignment w:val="center"/>
            </w:pPr>
            <w:r>
              <w:rPr>
                <w:rFonts w:ascii="Times New Roman" w:eastAsia="宋体" w:hAnsi="Times New Roman"/>
                <w:color w:val="000000"/>
                <w:sz w:val="16"/>
                <w:szCs w:val="16"/>
              </w:rPr>
              <w:t>(8,498)</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5F90" w14:textId="77777777" w:rsidR="00B1578D" w:rsidRDefault="00B1578D">
            <w:pPr>
              <w:jc w:val="right"/>
              <w:rPr>
                <w:rFonts w:ascii="宋体"/>
              </w:rPr>
            </w:pPr>
          </w:p>
        </w:tc>
      </w:tr>
      <w:tr w:rsidR="00B1578D" w14:paraId="5DEC5F9D" w14:textId="77777777">
        <w:trPr>
          <w:hidden/>
        </w:trPr>
        <w:tc>
          <w:tcPr>
            <w:tcW w:w="0" w:type="auto"/>
            <w:gridSpan w:val="3"/>
            <w:shd w:val="clear" w:color="auto" w:fill="auto"/>
            <w:vAlign w:val="bottom"/>
          </w:tcPr>
          <w:p w14:paraId="5DEC5F92" w14:textId="77777777" w:rsidR="00B1578D" w:rsidRDefault="00B1578D">
            <w:pPr>
              <w:rPr>
                <w:rFonts w:ascii="宋体"/>
                <w:vanish/>
              </w:rPr>
            </w:pPr>
          </w:p>
        </w:tc>
        <w:tc>
          <w:tcPr>
            <w:tcW w:w="0" w:type="auto"/>
            <w:gridSpan w:val="3"/>
            <w:shd w:val="clear" w:color="auto" w:fill="auto"/>
            <w:vAlign w:val="bottom"/>
          </w:tcPr>
          <w:p w14:paraId="5DEC5F93" w14:textId="77777777" w:rsidR="00B1578D" w:rsidRDefault="00B1578D">
            <w:pPr>
              <w:rPr>
                <w:rFonts w:ascii="宋体"/>
                <w:vanish/>
              </w:rPr>
            </w:pPr>
          </w:p>
        </w:tc>
        <w:tc>
          <w:tcPr>
            <w:tcW w:w="0" w:type="auto"/>
            <w:gridSpan w:val="3"/>
            <w:shd w:val="clear" w:color="auto" w:fill="auto"/>
            <w:vAlign w:val="bottom"/>
          </w:tcPr>
          <w:p w14:paraId="5DEC5F94" w14:textId="77777777" w:rsidR="00B1578D" w:rsidRDefault="00B1578D">
            <w:pPr>
              <w:rPr>
                <w:rFonts w:ascii="宋体"/>
                <w:vanish/>
              </w:rPr>
            </w:pPr>
          </w:p>
        </w:tc>
        <w:tc>
          <w:tcPr>
            <w:tcW w:w="0" w:type="auto"/>
            <w:gridSpan w:val="3"/>
            <w:shd w:val="clear" w:color="auto" w:fill="auto"/>
            <w:vAlign w:val="bottom"/>
          </w:tcPr>
          <w:p w14:paraId="5DEC5F95" w14:textId="77777777" w:rsidR="00B1578D" w:rsidRDefault="00B1578D">
            <w:pPr>
              <w:rPr>
                <w:rFonts w:ascii="宋体"/>
                <w:vanish/>
              </w:rPr>
            </w:pPr>
          </w:p>
        </w:tc>
        <w:tc>
          <w:tcPr>
            <w:tcW w:w="0" w:type="auto"/>
            <w:gridSpan w:val="3"/>
            <w:shd w:val="clear" w:color="auto" w:fill="auto"/>
            <w:vAlign w:val="bottom"/>
          </w:tcPr>
          <w:p w14:paraId="5DEC5F96" w14:textId="77777777" w:rsidR="00B1578D" w:rsidRDefault="00B1578D">
            <w:pPr>
              <w:rPr>
                <w:rFonts w:ascii="宋体"/>
                <w:vanish/>
              </w:rPr>
            </w:pPr>
          </w:p>
        </w:tc>
        <w:tc>
          <w:tcPr>
            <w:tcW w:w="0" w:type="auto"/>
            <w:gridSpan w:val="3"/>
            <w:shd w:val="clear" w:color="auto" w:fill="auto"/>
            <w:vAlign w:val="bottom"/>
          </w:tcPr>
          <w:p w14:paraId="5DEC5F97" w14:textId="77777777" w:rsidR="00B1578D" w:rsidRDefault="00B1578D">
            <w:pPr>
              <w:rPr>
                <w:rFonts w:ascii="宋体"/>
                <w:vanish/>
              </w:rPr>
            </w:pPr>
          </w:p>
        </w:tc>
        <w:tc>
          <w:tcPr>
            <w:tcW w:w="0" w:type="auto"/>
            <w:gridSpan w:val="3"/>
            <w:shd w:val="clear" w:color="auto" w:fill="auto"/>
            <w:vAlign w:val="bottom"/>
          </w:tcPr>
          <w:p w14:paraId="5DEC5F98" w14:textId="77777777" w:rsidR="00B1578D" w:rsidRDefault="00B1578D">
            <w:pPr>
              <w:rPr>
                <w:rFonts w:ascii="宋体"/>
                <w:vanish/>
              </w:rPr>
            </w:pPr>
          </w:p>
        </w:tc>
        <w:tc>
          <w:tcPr>
            <w:tcW w:w="0" w:type="auto"/>
            <w:gridSpan w:val="3"/>
            <w:shd w:val="clear" w:color="auto" w:fill="auto"/>
            <w:vAlign w:val="bottom"/>
          </w:tcPr>
          <w:p w14:paraId="5DEC5F99" w14:textId="77777777" w:rsidR="00B1578D" w:rsidRDefault="00B1578D">
            <w:pPr>
              <w:rPr>
                <w:rFonts w:ascii="宋体"/>
                <w:vanish/>
              </w:rPr>
            </w:pPr>
          </w:p>
        </w:tc>
        <w:tc>
          <w:tcPr>
            <w:tcW w:w="0" w:type="auto"/>
            <w:gridSpan w:val="3"/>
            <w:shd w:val="clear" w:color="auto" w:fill="auto"/>
            <w:vAlign w:val="bottom"/>
          </w:tcPr>
          <w:p w14:paraId="5DEC5F9A" w14:textId="77777777" w:rsidR="00B1578D" w:rsidRDefault="00B1578D">
            <w:pPr>
              <w:rPr>
                <w:rFonts w:ascii="宋体"/>
                <w:vanish/>
              </w:rPr>
            </w:pPr>
          </w:p>
        </w:tc>
        <w:tc>
          <w:tcPr>
            <w:tcW w:w="0" w:type="auto"/>
            <w:gridSpan w:val="3"/>
            <w:shd w:val="clear" w:color="auto" w:fill="auto"/>
            <w:vAlign w:val="bottom"/>
          </w:tcPr>
          <w:p w14:paraId="5DEC5F9B" w14:textId="77777777" w:rsidR="00B1578D" w:rsidRDefault="00B1578D">
            <w:pPr>
              <w:rPr>
                <w:rFonts w:ascii="宋体"/>
                <w:vanish/>
              </w:rPr>
            </w:pPr>
          </w:p>
        </w:tc>
        <w:tc>
          <w:tcPr>
            <w:tcW w:w="0" w:type="auto"/>
            <w:gridSpan w:val="3"/>
            <w:shd w:val="clear" w:color="auto" w:fill="auto"/>
            <w:vAlign w:val="bottom"/>
          </w:tcPr>
          <w:p w14:paraId="5DEC5F9C" w14:textId="77777777" w:rsidR="00B1578D" w:rsidRDefault="00B1578D">
            <w:pPr>
              <w:rPr>
                <w:rFonts w:ascii="宋体"/>
                <w:vanish/>
              </w:rPr>
            </w:pPr>
          </w:p>
        </w:tc>
      </w:tr>
      <w:tr w:rsidR="00B1578D" w14:paraId="5DEC5FA9" w14:textId="77777777">
        <w:trPr>
          <w:hidden/>
        </w:trPr>
        <w:tc>
          <w:tcPr>
            <w:tcW w:w="0" w:type="auto"/>
            <w:gridSpan w:val="3"/>
            <w:shd w:val="clear" w:color="auto" w:fill="auto"/>
            <w:vAlign w:val="bottom"/>
          </w:tcPr>
          <w:p w14:paraId="5DEC5F9E" w14:textId="77777777" w:rsidR="00B1578D" w:rsidRDefault="00B1578D">
            <w:pPr>
              <w:rPr>
                <w:rFonts w:ascii="宋体"/>
                <w:vanish/>
              </w:rPr>
            </w:pPr>
          </w:p>
        </w:tc>
        <w:tc>
          <w:tcPr>
            <w:tcW w:w="0" w:type="auto"/>
            <w:gridSpan w:val="3"/>
            <w:shd w:val="clear" w:color="auto" w:fill="auto"/>
            <w:vAlign w:val="bottom"/>
          </w:tcPr>
          <w:p w14:paraId="5DEC5F9F" w14:textId="77777777" w:rsidR="00B1578D" w:rsidRDefault="00B1578D">
            <w:pPr>
              <w:rPr>
                <w:rFonts w:ascii="宋体"/>
                <w:vanish/>
              </w:rPr>
            </w:pPr>
          </w:p>
        </w:tc>
        <w:tc>
          <w:tcPr>
            <w:tcW w:w="0" w:type="auto"/>
            <w:gridSpan w:val="3"/>
            <w:shd w:val="clear" w:color="auto" w:fill="auto"/>
            <w:vAlign w:val="bottom"/>
          </w:tcPr>
          <w:p w14:paraId="5DEC5FA0" w14:textId="77777777" w:rsidR="00B1578D" w:rsidRDefault="00B1578D">
            <w:pPr>
              <w:rPr>
                <w:rFonts w:ascii="宋体"/>
                <w:vanish/>
              </w:rPr>
            </w:pPr>
          </w:p>
        </w:tc>
        <w:tc>
          <w:tcPr>
            <w:tcW w:w="0" w:type="auto"/>
            <w:gridSpan w:val="3"/>
            <w:shd w:val="clear" w:color="auto" w:fill="auto"/>
            <w:vAlign w:val="bottom"/>
          </w:tcPr>
          <w:p w14:paraId="5DEC5FA1" w14:textId="77777777" w:rsidR="00B1578D" w:rsidRDefault="00B1578D">
            <w:pPr>
              <w:rPr>
                <w:rFonts w:ascii="宋体"/>
                <w:vanish/>
              </w:rPr>
            </w:pPr>
          </w:p>
        </w:tc>
        <w:tc>
          <w:tcPr>
            <w:tcW w:w="0" w:type="auto"/>
            <w:gridSpan w:val="3"/>
            <w:shd w:val="clear" w:color="auto" w:fill="auto"/>
            <w:vAlign w:val="bottom"/>
          </w:tcPr>
          <w:p w14:paraId="5DEC5FA2" w14:textId="77777777" w:rsidR="00B1578D" w:rsidRDefault="00B1578D">
            <w:pPr>
              <w:rPr>
                <w:rFonts w:ascii="宋体"/>
                <w:vanish/>
              </w:rPr>
            </w:pPr>
          </w:p>
        </w:tc>
        <w:tc>
          <w:tcPr>
            <w:tcW w:w="0" w:type="auto"/>
            <w:gridSpan w:val="3"/>
            <w:shd w:val="clear" w:color="auto" w:fill="auto"/>
            <w:vAlign w:val="bottom"/>
          </w:tcPr>
          <w:p w14:paraId="5DEC5FA3" w14:textId="77777777" w:rsidR="00B1578D" w:rsidRDefault="00B1578D">
            <w:pPr>
              <w:rPr>
                <w:rFonts w:ascii="宋体"/>
                <w:vanish/>
              </w:rPr>
            </w:pPr>
          </w:p>
        </w:tc>
        <w:tc>
          <w:tcPr>
            <w:tcW w:w="0" w:type="auto"/>
            <w:gridSpan w:val="3"/>
            <w:shd w:val="clear" w:color="auto" w:fill="auto"/>
            <w:vAlign w:val="bottom"/>
          </w:tcPr>
          <w:p w14:paraId="5DEC5FA4" w14:textId="77777777" w:rsidR="00B1578D" w:rsidRDefault="00B1578D">
            <w:pPr>
              <w:rPr>
                <w:rFonts w:ascii="宋体"/>
                <w:vanish/>
              </w:rPr>
            </w:pPr>
          </w:p>
        </w:tc>
        <w:tc>
          <w:tcPr>
            <w:tcW w:w="0" w:type="auto"/>
            <w:gridSpan w:val="3"/>
            <w:shd w:val="clear" w:color="auto" w:fill="auto"/>
            <w:vAlign w:val="bottom"/>
          </w:tcPr>
          <w:p w14:paraId="5DEC5FA5" w14:textId="77777777" w:rsidR="00B1578D" w:rsidRDefault="00B1578D">
            <w:pPr>
              <w:rPr>
                <w:rFonts w:ascii="宋体"/>
                <w:vanish/>
              </w:rPr>
            </w:pPr>
          </w:p>
        </w:tc>
        <w:tc>
          <w:tcPr>
            <w:tcW w:w="0" w:type="auto"/>
            <w:gridSpan w:val="3"/>
            <w:shd w:val="clear" w:color="auto" w:fill="auto"/>
            <w:vAlign w:val="bottom"/>
          </w:tcPr>
          <w:p w14:paraId="5DEC5FA6" w14:textId="77777777" w:rsidR="00B1578D" w:rsidRDefault="00B1578D">
            <w:pPr>
              <w:rPr>
                <w:rFonts w:ascii="宋体"/>
                <w:vanish/>
              </w:rPr>
            </w:pPr>
          </w:p>
        </w:tc>
        <w:tc>
          <w:tcPr>
            <w:tcW w:w="0" w:type="auto"/>
            <w:gridSpan w:val="3"/>
            <w:shd w:val="clear" w:color="auto" w:fill="auto"/>
            <w:vAlign w:val="bottom"/>
          </w:tcPr>
          <w:p w14:paraId="5DEC5FA7" w14:textId="77777777" w:rsidR="00B1578D" w:rsidRDefault="00B1578D">
            <w:pPr>
              <w:rPr>
                <w:rFonts w:ascii="宋体"/>
                <w:vanish/>
              </w:rPr>
            </w:pPr>
          </w:p>
        </w:tc>
        <w:tc>
          <w:tcPr>
            <w:tcW w:w="0" w:type="auto"/>
            <w:gridSpan w:val="3"/>
            <w:shd w:val="clear" w:color="auto" w:fill="auto"/>
            <w:vAlign w:val="bottom"/>
          </w:tcPr>
          <w:p w14:paraId="5DEC5FA8" w14:textId="77777777" w:rsidR="00B1578D" w:rsidRDefault="00B1578D">
            <w:pPr>
              <w:rPr>
                <w:rFonts w:ascii="宋体"/>
                <w:vanish/>
              </w:rPr>
            </w:pPr>
          </w:p>
        </w:tc>
      </w:tr>
      <w:tr w:rsidR="00B1578D" w14:paraId="5DEC5FB5" w14:textId="77777777">
        <w:trPr>
          <w:hidden/>
        </w:trPr>
        <w:tc>
          <w:tcPr>
            <w:tcW w:w="0" w:type="auto"/>
            <w:gridSpan w:val="3"/>
            <w:shd w:val="clear" w:color="auto" w:fill="auto"/>
            <w:vAlign w:val="bottom"/>
          </w:tcPr>
          <w:p w14:paraId="5DEC5FAA" w14:textId="77777777" w:rsidR="00B1578D" w:rsidRDefault="00B1578D">
            <w:pPr>
              <w:rPr>
                <w:rFonts w:ascii="宋体"/>
                <w:vanish/>
              </w:rPr>
            </w:pPr>
          </w:p>
        </w:tc>
        <w:tc>
          <w:tcPr>
            <w:tcW w:w="0" w:type="auto"/>
            <w:gridSpan w:val="3"/>
            <w:shd w:val="clear" w:color="auto" w:fill="auto"/>
            <w:vAlign w:val="bottom"/>
          </w:tcPr>
          <w:p w14:paraId="5DEC5FAB" w14:textId="77777777" w:rsidR="00B1578D" w:rsidRDefault="00B1578D">
            <w:pPr>
              <w:rPr>
                <w:rFonts w:ascii="宋体"/>
                <w:vanish/>
              </w:rPr>
            </w:pPr>
          </w:p>
        </w:tc>
        <w:tc>
          <w:tcPr>
            <w:tcW w:w="0" w:type="auto"/>
            <w:gridSpan w:val="3"/>
            <w:shd w:val="clear" w:color="auto" w:fill="auto"/>
            <w:vAlign w:val="bottom"/>
          </w:tcPr>
          <w:p w14:paraId="5DEC5FAC" w14:textId="77777777" w:rsidR="00B1578D" w:rsidRDefault="00B1578D">
            <w:pPr>
              <w:rPr>
                <w:rFonts w:ascii="宋体"/>
                <w:vanish/>
              </w:rPr>
            </w:pPr>
          </w:p>
        </w:tc>
        <w:tc>
          <w:tcPr>
            <w:tcW w:w="0" w:type="auto"/>
            <w:gridSpan w:val="3"/>
            <w:shd w:val="clear" w:color="auto" w:fill="auto"/>
            <w:vAlign w:val="bottom"/>
          </w:tcPr>
          <w:p w14:paraId="5DEC5FAD" w14:textId="77777777" w:rsidR="00B1578D" w:rsidRDefault="00B1578D">
            <w:pPr>
              <w:rPr>
                <w:rFonts w:ascii="宋体"/>
                <w:vanish/>
              </w:rPr>
            </w:pPr>
          </w:p>
        </w:tc>
        <w:tc>
          <w:tcPr>
            <w:tcW w:w="0" w:type="auto"/>
            <w:gridSpan w:val="3"/>
            <w:shd w:val="clear" w:color="auto" w:fill="auto"/>
            <w:vAlign w:val="bottom"/>
          </w:tcPr>
          <w:p w14:paraId="5DEC5FAE" w14:textId="77777777" w:rsidR="00B1578D" w:rsidRDefault="00B1578D">
            <w:pPr>
              <w:rPr>
                <w:rFonts w:ascii="宋体"/>
                <w:vanish/>
              </w:rPr>
            </w:pPr>
          </w:p>
        </w:tc>
        <w:tc>
          <w:tcPr>
            <w:tcW w:w="0" w:type="auto"/>
            <w:gridSpan w:val="3"/>
            <w:shd w:val="clear" w:color="auto" w:fill="auto"/>
            <w:vAlign w:val="bottom"/>
          </w:tcPr>
          <w:p w14:paraId="5DEC5FAF" w14:textId="77777777" w:rsidR="00B1578D" w:rsidRDefault="00B1578D">
            <w:pPr>
              <w:rPr>
                <w:rFonts w:ascii="宋体"/>
                <w:vanish/>
              </w:rPr>
            </w:pPr>
          </w:p>
        </w:tc>
        <w:tc>
          <w:tcPr>
            <w:tcW w:w="0" w:type="auto"/>
            <w:gridSpan w:val="3"/>
            <w:shd w:val="clear" w:color="auto" w:fill="auto"/>
            <w:vAlign w:val="bottom"/>
          </w:tcPr>
          <w:p w14:paraId="5DEC5FB0" w14:textId="77777777" w:rsidR="00B1578D" w:rsidRDefault="00B1578D">
            <w:pPr>
              <w:rPr>
                <w:rFonts w:ascii="宋体"/>
                <w:vanish/>
              </w:rPr>
            </w:pPr>
          </w:p>
        </w:tc>
        <w:tc>
          <w:tcPr>
            <w:tcW w:w="0" w:type="auto"/>
            <w:gridSpan w:val="3"/>
            <w:shd w:val="clear" w:color="auto" w:fill="auto"/>
            <w:vAlign w:val="bottom"/>
          </w:tcPr>
          <w:p w14:paraId="5DEC5FB1" w14:textId="77777777" w:rsidR="00B1578D" w:rsidRDefault="00B1578D">
            <w:pPr>
              <w:rPr>
                <w:rFonts w:ascii="宋体"/>
                <w:vanish/>
              </w:rPr>
            </w:pPr>
          </w:p>
        </w:tc>
        <w:tc>
          <w:tcPr>
            <w:tcW w:w="0" w:type="auto"/>
            <w:gridSpan w:val="3"/>
            <w:shd w:val="clear" w:color="auto" w:fill="auto"/>
            <w:vAlign w:val="bottom"/>
          </w:tcPr>
          <w:p w14:paraId="5DEC5FB2" w14:textId="77777777" w:rsidR="00B1578D" w:rsidRDefault="00B1578D">
            <w:pPr>
              <w:rPr>
                <w:rFonts w:ascii="宋体"/>
                <w:vanish/>
              </w:rPr>
            </w:pPr>
          </w:p>
        </w:tc>
        <w:tc>
          <w:tcPr>
            <w:tcW w:w="0" w:type="auto"/>
            <w:gridSpan w:val="3"/>
            <w:shd w:val="clear" w:color="auto" w:fill="auto"/>
            <w:vAlign w:val="bottom"/>
          </w:tcPr>
          <w:p w14:paraId="5DEC5FB3" w14:textId="77777777" w:rsidR="00B1578D" w:rsidRDefault="00B1578D">
            <w:pPr>
              <w:rPr>
                <w:rFonts w:ascii="宋体"/>
                <w:vanish/>
              </w:rPr>
            </w:pPr>
          </w:p>
        </w:tc>
        <w:tc>
          <w:tcPr>
            <w:tcW w:w="0" w:type="auto"/>
            <w:gridSpan w:val="3"/>
            <w:shd w:val="clear" w:color="auto" w:fill="auto"/>
            <w:vAlign w:val="bottom"/>
          </w:tcPr>
          <w:p w14:paraId="5DEC5FB4" w14:textId="77777777" w:rsidR="00B1578D" w:rsidRDefault="00B1578D">
            <w:pPr>
              <w:rPr>
                <w:rFonts w:ascii="宋体"/>
                <w:vanish/>
              </w:rPr>
            </w:pPr>
          </w:p>
        </w:tc>
      </w:tr>
      <w:tr w:rsidR="00B1578D" w14:paraId="5DEC5FC1" w14:textId="77777777">
        <w:trPr>
          <w:hidden/>
        </w:trPr>
        <w:tc>
          <w:tcPr>
            <w:tcW w:w="0" w:type="auto"/>
            <w:gridSpan w:val="3"/>
            <w:shd w:val="clear" w:color="auto" w:fill="auto"/>
            <w:vAlign w:val="bottom"/>
          </w:tcPr>
          <w:p w14:paraId="5DEC5FB6" w14:textId="77777777" w:rsidR="00B1578D" w:rsidRDefault="00B1578D">
            <w:pPr>
              <w:rPr>
                <w:rFonts w:ascii="宋体"/>
                <w:vanish/>
              </w:rPr>
            </w:pPr>
          </w:p>
        </w:tc>
        <w:tc>
          <w:tcPr>
            <w:tcW w:w="0" w:type="auto"/>
            <w:gridSpan w:val="3"/>
            <w:shd w:val="clear" w:color="auto" w:fill="auto"/>
            <w:vAlign w:val="bottom"/>
          </w:tcPr>
          <w:p w14:paraId="5DEC5FB7" w14:textId="77777777" w:rsidR="00B1578D" w:rsidRDefault="00B1578D">
            <w:pPr>
              <w:rPr>
                <w:rFonts w:ascii="宋体"/>
                <w:vanish/>
              </w:rPr>
            </w:pPr>
          </w:p>
        </w:tc>
        <w:tc>
          <w:tcPr>
            <w:tcW w:w="0" w:type="auto"/>
            <w:gridSpan w:val="3"/>
            <w:shd w:val="clear" w:color="auto" w:fill="auto"/>
            <w:vAlign w:val="bottom"/>
          </w:tcPr>
          <w:p w14:paraId="5DEC5FB8" w14:textId="77777777" w:rsidR="00B1578D" w:rsidRDefault="00B1578D">
            <w:pPr>
              <w:rPr>
                <w:rFonts w:ascii="宋体"/>
                <w:vanish/>
              </w:rPr>
            </w:pPr>
          </w:p>
        </w:tc>
        <w:tc>
          <w:tcPr>
            <w:tcW w:w="0" w:type="auto"/>
            <w:gridSpan w:val="3"/>
            <w:shd w:val="clear" w:color="auto" w:fill="auto"/>
            <w:vAlign w:val="bottom"/>
          </w:tcPr>
          <w:p w14:paraId="5DEC5FB9" w14:textId="77777777" w:rsidR="00B1578D" w:rsidRDefault="00B1578D">
            <w:pPr>
              <w:rPr>
                <w:rFonts w:ascii="宋体"/>
                <w:vanish/>
              </w:rPr>
            </w:pPr>
          </w:p>
        </w:tc>
        <w:tc>
          <w:tcPr>
            <w:tcW w:w="0" w:type="auto"/>
            <w:gridSpan w:val="3"/>
            <w:shd w:val="clear" w:color="auto" w:fill="auto"/>
            <w:vAlign w:val="bottom"/>
          </w:tcPr>
          <w:p w14:paraId="5DEC5FBA" w14:textId="77777777" w:rsidR="00B1578D" w:rsidRDefault="00B1578D">
            <w:pPr>
              <w:rPr>
                <w:rFonts w:ascii="宋体"/>
                <w:vanish/>
              </w:rPr>
            </w:pPr>
          </w:p>
        </w:tc>
        <w:tc>
          <w:tcPr>
            <w:tcW w:w="0" w:type="auto"/>
            <w:gridSpan w:val="3"/>
            <w:shd w:val="clear" w:color="auto" w:fill="auto"/>
            <w:vAlign w:val="bottom"/>
          </w:tcPr>
          <w:p w14:paraId="5DEC5FBB" w14:textId="77777777" w:rsidR="00B1578D" w:rsidRDefault="00B1578D">
            <w:pPr>
              <w:rPr>
                <w:rFonts w:ascii="宋体"/>
                <w:vanish/>
              </w:rPr>
            </w:pPr>
          </w:p>
        </w:tc>
        <w:tc>
          <w:tcPr>
            <w:tcW w:w="0" w:type="auto"/>
            <w:gridSpan w:val="3"/>
            <w:shd w:val="clear" w:color="auto" w:fill="auto"/>
            <w:vAlign w:val="bottom"/>
          </w:tcPr>
          <w:p w14:paraId="5DEC5FBC" w14:textId="77777777" w:rsidR="00B1578D" w:rsidRDefault="00B1578D">
            <w:pPr>
              <w:rPr>
                <w:rFonts w:ascii="宋体"/>
                <w:vanish/>
              </w:rPr>
            </w:pPr>
          </w:p>
        </w:tc>
        <w:tc>
          <w:tcPr>
            <w:tcW w:w="0" w:type="auto"/>
            <w:gridSpan w:val="3"/>
            <w:shd w:val="clear" w:color="auto" w:fill="auto"/>
            <w:vAlign w:val="bottom"/>
          </w:tcPr>
          <w:p w14:paraId="5DEC5FBD" w14:textId="77777777" w:rsidR="00B1578D" w:rsidRDefault="00B1578D">
            <w:pPr>
              <w:rPr>
                <w:rFonts w:ascii="宋体"/>
                <w:vanish/>
              </w:rPr>
            </w:pPr>
          </w:p>
        </w:tc>
        <w:tc>
          <w:tcPr>
            <w:tcW w:w="0" w:type="auto"/>
            <w:gridSpan w:val="3"/>
            <w:shd w:val="clear" w:color="auto" w:fill="auto"/>
            <w:vAlign w:val="bottom"/>
          </w:tcPr>
          <w:p w14:paraId="5DEC5FBE" w14:textId="77777777" w:rsidR="00B1578D" w:rsidRDefault="00B1578D">
            <w:pPr>
              <w:rPr>
                <w:rFonts w:ascii="宋体"/>
                <w:vanish/>
              </w:rPr>
            </w:pPr>
          </w:p>
        </w:tc>
        <w:tc>
          <w:tcPr>
            <w:tcW w:w="0" w:type="auto"/>
            <w:gridSpan w:val="3"/>
            <w:shd w:val="clear" w:color="auto" w:fill="auto"/>
            <w:vAlign w:val="bottom"/>
          </w:tcPr>
          <w:p w14:paraId="5DEC5FBF" w14:textId="77777777" w:rsidR="00B1578D" w:rsidRDefault="00B1578D">
            <w:pPr>
              <w:rPr>
                <w:rFonts w:ascii="宋体"/>
                <w:vanish/>
              </w:rPr>
            </w:pPr>
          </w:p>
        </w:tc>
        <w:tc>
          <w:tcPr>
            <w:tcW w:w="0" w:type="auto"/>
            <w:gridSpan w:val="3"/>
            <w:shd w:val="clear" w:color="auto" w:fill="auto"/>
            <w:vAlign w:val="bottom"/>
          </w:tcPr>
          <w:p w14:paraId="5DEC5FC0" w14:textId="77777777" w:rsidR="00B1578D" w:rsidRDefault="00B1578D">
            <w:pPr>
              <w:rPr>
                <w:rFonts w:ascii="宋体"/>
                <w:vanish/>
              </w:rPr>
            </w:pPr>
          </w:p>
        </w:tc>
      </w:tr>
      <w:tr w:rsidR="00B1578D" w14:paraId="5DEC5FCD" w14:textId="77777777">
        <w:trPr>
          <w:hidden/>
        </w:trPr>
        <w:tc>
          <w:tcPr>
            <w:tcW w:w="0" w:type="auto"/>
            <w:gridSpan w:val="3"/>
            <w:shd w:val="clear" w:color="auto" w:fill="auto"/>
            <w:vAlign w:val="bottom"/>
          </w:tcPr>
          <w:p w14:paraId="5DEC5FC2" w14:textId="77777777" w:rsidR="00B1578D" w:rsidRDefault="00B1578D">
            <w:pPr>
              <w:rPr>
                <w:rFonts w:ascii="宋体"/>
                <w:vanish/>
              </w:rPr>
            </w:pPr>
          </w:p>
        </w:tc>
        <w:tc>
          <w:tcPr>
            <w:tcW w:w="0" w:type="auto"/>
            <w:gridSpan w:val="3"/>
            <w:shd w:val="clear" w:color="auto" w:fill="auto"/>
            <w:vAlign w:val="bottom"/>
          </w:tcPr>
          <w:p w14:paraId="5DEC5FC3" w14:textId="77777777" w:rsidR="00B1578D" w:rsidRDefault="00B1578D">
            <w:pPr>
              <w:rPr>
                <w:rFonts w:ascii="宋体"/>
                <w:vanish/>
              </w:rPr>
            </w:pPr>
          </w:p>
        </w:tc>
        <w:tc>
          <w:tcPr>
            <w:tcW w:w="0" w:type="auto"/>
            <w:gridSpan w:val="3"/>
            <w:shd w:val="clear" w:color="auto" w:fill="auto"/>
            <w:vAlign w:val="bottom"/>
          </w:tcPr>
          <w:p w14:paraId="5DEC5FC4" w14:textId="77777777" w:rsidR="00B1578D" w:rsidRDefault="00B1578D">
            <w:pPr>
              <w:rPr>
                <w:rFonts w:ascii="宋体"/>
                <w:vanish/>
              </w:rPr>
            </w:pPr>
          </w:p>
        </w:tc>
        <w:tc>
          <w:tcPr>
            <w:tcW w:w="0" w:type="auto"/>
            <w:gridSpan w:val="3"/>
            <w:shd w:val="clear" w:color="auto" w:fill="auto"/>
            <w:vAlign w:val="bottom"/>
          </w:tcPr>
          <w:p w14:paraId="5DEC5FC5" w14:textId="77777777" w:rsidR="00B1578D" w:rsidRDefault="00B1578D">
            <w:pPr>
              <w:rPr>
                <w:rFonts w:ascii="宋体"/>
                <w:vanish/>
              </w:rPr>
            </w:pPr>
          </w:p>
        </w:tc>
        <w:tc>
          <w:tcPr>
            <w:tcW w:w="0" w:type="auto"/>
            <w:gridSpan w:val="3"/>
            <w:shd w:val="clear" w:color="auto" w:fill="auto"/>
            <w:vAlign w:val="bottom"/>
          </w:tcPr>
          <w:p w14:paraId="5DEC5FC6" w14:textId="77777777" w:rsidR="00B1578D" w:rsidRDefault="00B1578D">
            <w:pPr>
              <w:rPr>
                <w:rFonts w:ascii="宋体"/>
                <w:vanish/>
              </w:rPr>
            </w:pPr>
          </w:p>
        </w:tc>
        <w:tc>
          <w:tcPr>
            <w:tcW w:w="0" w:type="auto"/>
            <w:gridSpan w:val="3"/>
            <w:shd w:val="clear" w:color="auto" w:fill="auto"/>
            <w:vAlign w:val="bottom"/>
          </w:tcPr>
          <w:p w14:paraId="5DEC5FC7" w14:textId="77777777" w:rsidR="00B1578D" w:rsidRDefault="00B1578D">
            <w:pPr>
              <w:rPr>
                <w:rFonts w:ascii="宋体"/>
                <w:vanish/>
              </w:rPr>
            </w:pPr>
          </w:p>
        </w:tc>
        <w:tc>
          <w:tcPr>
            <w:tcW w:w="0" w:type="auto"/>
            <w:gridSpan w:val="3"/>
            <w:shd w:val="clear" w:color="auto" w:fill="auto"/>
            <w:vAlign w:val="bottom"/>
          </w:tcPr>
          <w:p w14:paraId="5DEC5FC8" w14:textId="77777777" w:rsidR="00B1578D" w:rsidRDefault="00B1578D">
            <w:pPr>
              <w:rPr>
                <w:rFonts w:ascii="宋体"/>
                <w:vanish/>
              </w:rPr>
            </w:pPr>
          </w:p>
        </w:tc>
        <w:tc>
          <w:tcPr>
            <w:tcW w:w="0" w:type="auto"/>
            <w:gridSpan w:val="3"/>
            <w:shd w:val="clear" w:color="auto" w:fill="auto"/>
            <w:vAlign w:val="bottom"/>
          </w:tcPr>
          <w:p w14:paraId="5DEC5FC9" w14:textId="77777777" w:rsidR="00B1578D" w:rsidRDefault="00B1578D">
            <w:pPr>
              <w:rPr>
                <w:rFonts w:ascii="宋体"/>
                <w:vanish/>
              </w:rPr>
            </w:pPr>
          </w:p>
        </w:tc>
        <w:tc>
          <w:tcPr>
            <w:tcW w:w="0" w:type="auto"/>
            <w:gridSpan w:val="3"/>
            <w:shd w:val="clear" w:color="auto" w:fill="auto"/>
            <w:vAlign w:val="bottom"/>
          </w:tcPr>
          <w:p w14:paraId="5DEC5FCA" w14:textId="77777777" w:rsidR="00B1578D" w:rsidRDefault="00B1578D">
            <w:pPr>
              <w:rPr>
                <w:rFonts w:ascii="宋体"/>
                <w:vanish/>
              </w:rPr>
            </w:pPr>
          </w:p>
        </w:tc>
        <w:tc>
          <w:tcPr>
            <w:tcW w:w="0" w:type="auto"/>
            <w:gridSpan w:val="3"/>
            <w:shd w:val="clear" w:color="auto" w:fill="auto"/>
            <w:vAlign w:val="bottom"/>
          </w:tcPr>
          <w:p w14:paraId="5DEC5FCB" w14:textId="77777777" w:rsidR="00B1578D" w:rsidRDefault="00B1578D">
            <w:pPr>
              <w:rPr>
                <w:rFonts w:ascii="宋体"/>
                <w:vanish/>
              </w:rPr>
            </w:pPr>
          </w:p>
        </w:tc>
        <w:tc>
          <w:tcPr>
            <w:tcW w:w="0" w:type="auto"/>
            <w:gridSpan w:val="3"/>
            <w:shd w:val="clear" w:color="auto" w:fill="auto"/>
            <w:vAlign w:val="bottom"/>
          </w:tcPr>
          <w:p w14:paraId="5DEC5FCC" w14:textId="77777777" w:rsidR="00B1578D" w:rsidRDefault="00B1578D">
            <w:pPr>
              <w:rPr>
                <w:rFonts w:ascii="宋体"/>
                <w:vanish/>
              </w:rPr>
            </w:pPr>
          </w:p>
        </w:tc>
      </w:tr>
      <w:tr w:rsidR="00B1578D" w14:paraId="5DEC5FD9" w14:textId="77777777">
        <w:trPr>
          <w:hidden/>
        </w:trPr>
        <w:tc>
          <w:tcPr>
            <w:tcW w:w="0" w:type="auto"/>
            <w:gridSpan w:val="3"/>
            <w:shd w:val="clear" w:color="auto" w:fill="auto"/>
            <w:vAlign w:val="bottom"/>
          </w:tcPr>
          <w:p w14:paraId="5DEC5FCE" w14:textId="77777777" w:rsidR="00B1578D" w:rsidRDefault="00B1578D">
            <w:pPr>
              <w:rPr>
                <w:rFonts w:ascii="宋体"/>
                <w:vanish/>
              </w:rPr>
            </w:pPr>
          </w:p>
        </w:tc>
        <w:tc>
          <w:tcPr>
            <w:tcW w:w="0" w:type="auto"/>
            <w:gridSpan w:val="3"/>
            <w:shd w:val="clear" w:color="auto" w:fill="auto"/>
            <w:vAlign w:val="bottom"/>
          </w:tcPr>
          <w:p w14:paraId="5DEC5FCF" w14:textId="77777777" w:rsidR="00B1578D" w:rsidRDefault="00B1578D">
            <w:pPr>
              <w:rPr>
                <w:rFonts w:ascii="宋体"/>
                <w:vanish/>
              </w:rPr>
            </w:pPr>
          </w:p>
        </w:tc>
        <w:tc>
          <w:tcPr>
            <w:tcW w:w="0" w:type="auto"/>
            <w:gridSpan w:val="3"/>
            <w:shd w:val="clear" w:color="auto" w:fill="auto"/>
            <w:vAlign w:val="bottom"/>
          </w:tcPr>
          <w:p w14:paraId="5DEC5FD0" w14:textId="77777777" w:rsidR="00B1578D" w:rsidRDefault="00B1578D">
            <w:pPr>
              <w:rPr>
                <w:rFonts w:ascii="宋体"/>
                <w:vanish/>
              </w:rPr>
            </w:pPr>
          </w:p>
        </w:tc>
        <w:tc>
          <w:tcPr>
            <w:tcW w:w="0" w:type="auto"/>
            <w:gridSpan w:val="3"/>
            <w:shd w:val="clear" w:color="auto" w:fill="auto"/>
            <w:vAlign w:val="bottom"/>
          </w:tcPr>
          <w:p w14:paraId="5DEC5FD1" w14:textId="77777777" w:rsidR="00B1578D" w:rsidRDefault="00B1578D">
            <w:pPr>
              <w:rPr>
                <w:rFonts w:ascii="宋体"/>
                <w:vanish/>
              </w:rPr>
            </w:pPr>
          </w:p>
        </w:tc>
        <w:tc>
          <w:tcPr>
            <w:tcW w:w="0" w:type="auto"/>
            <w:gridSpan w:val="3"/>
            <w:shd w:val="clear" w:color="auto" w:fill="auto"/>
            <w:vAlign w:val="bottom"/>
          </w:tcPr>
          <w:p w14:paraId="5DEC5FD2" w14:textId="77777777" w:rsidR="00B1578D" w:rsidRDefault="00B1578D">
            <w:pPr>
              <w:rPr>
                <w:rFonts w:ascii="宋体"/>
                <w:vanish/>
              </w:rPr>
            </w:pPr>
          </w:p>
        </w:tc>
        <w:tc>
          <w:tcPr>
            <w:tcW w:w="0" w:type="auto"/>
            <w:gridSpan w:val="3"/>
            <w:shd w:val="clear" w:color="auto" w:fill="auto"/>
            <w:vAlign w:val="bottom"/>
          </w:tcPr>
          <w:p w14:paraId="5DEC5FD3" w14:textId="77777777" w:rsidR="00B1578D" w:rsidRDefault="00B1578D">
            <w:pPr>
              <w:rPr>
                <w:rFonts w:ascii="宋体"/>
                <w:vanish/>
              </w:rPr>
            </w:pPr>
          </w:p>
        </w:tc>
        <w:tc>
          <w:tcPr>
            <w:tcW w:w="0" w:type="auto"/>
            <w:gridSpan w:val="3"/>
            <w:shd w:val="clear" w:color="auto" w:fill="auto"/>
            <w:vAlign w:val="bottom"/>
          </w:tcPr>
          <w:p w14:paraId="5DEC5FD4" w14:textId="77777777" w:rsidR="00B1578D" w:rsidRDefault="00B1578D">
            <w:pPr>
              <w:rPr>
                <w:rFonts w:ascii="宋体"/>
                <w:vanish/>
              </w:rPr>
            </w:pPr>
          </w:p>
        </w:tc>
        <w:tc>
          <w:tcPr>
            <w:tcW w:w="0" w:type="auto"/>
            <w:gridSpan w:val="3"/>
            <w:shd w:val="clear" w:color="auto" w:fill="auto"/>
            <w:vAlign w:val="bottom"/>
          </w:tcPr>
          <w:p w14:paraId="5DEC5FD5" w14:textId="77777777" w:rsidR="00B1578D" w:rsidRDefault="00B1578D">
            <w:pPr>
              <w:rPr>
                <w:rFonts w:ascii="宋体"/>
                <w:vanish/>
              </w:rPr>
            </w:pPr>
          </w:p>
        </w:tc>
        <w:tc>
          <w:tcPr>
            <w:tcW w:w="0" w:type="auto"/>
            <w:gridSpan w:val="3"/>
            <w:shd w:val="clear" w:color="auto" w:fill="auto"/>
            <w:vAlign w:val="bottom"/>
          </w:tcPr>
          <w:p w14:paraId="5DEC5FD6" w14:textId="77777777" w:rsidR="00B1578D" w:rsidRDefault="00B1578D">
            <w:pPr>
              <w:rPr>
                <w:rFonts w:ascii="宋体"/>
                <w:vanish/>
              </w:rPr>
            </w:pPr>
          </w:p>
        </w:tc>
        <w:tc>
          <w:tcPr>
            <w:tcW w:w="0" w:type="auto"/>
            <w:gridSpan w:val="3"/>
            <w:shd w:val="clear" w:color="auto" w:fill="auto"/>
            <w:vAlign w:val="bottom"/>
          </w:tcPr>
          <w:p w14:paraId="5DEC5FD7" w14:textId="77777777" w:rsidR="00B1578D" w:rsidRDefault="00B1578D">
            <w:pPr>
              <w:rPr>
                <w:rFonts w:ascii="宋体"/>
                <w:vanish/>
              </w:rPr>
            </w:pPr>
          </w:p>
        </w:tc>
        <w:tc>
          <w:tcPr>
            <w:tcW w:w="0" w:type="auto"/>
            <w:gridSpan w:val="3"/>
            <w:shd w:val="clear" w:color="auto" w:fill="auto"/>
            <w:vAlign w:val="bottom"/>
          </w:tcPr>
          <w:p w14:paraId="5DEC5FD8" w14:textId="77777777" w:rsidR="00B1578D" w:rsidRDefault="00B1578D">
            <w:pPr>
              <w:rPr>
                <w:rFonts w:ascii="宋体"/>
                <w:vanish/>
              </w:rPr>
            </w:pPr>
          </w:p>
        </w:tc>
      </w:tr>
    </w:tbl>
    <w:p w14:paraId="5DEC5FDA" w14:textId="77777777" w:rsidR="00B1578D" w:rsidRDefault="00B1578D">
      <w:pPr>
        <w:rPr>
          <w:vanish/>
        </w:rPr>
      </w:pP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38"/>
        <w:gridCol w:w="3621"/>
        <w:gridCol w:w="37"/>
        <w:gridCol w:w="36"/>
        <w:gridCol w:w="36"/>
        <w:gridCol w:w="36"/>
        <w:gridCol w:w="101"/>
        <w:gridCol w:w="802"/>
        <w:gridCol w:w="36"/>
        <w:gridCol w:w="36"/>
        <w:gridCol w:w="36"/>
        <w:gridCol w:w="36"/>
        <w:gridCol w:w="101"/>
        <w:gridCol w:w="803"/>
        <w:gridCol w:w="36"/>
        <w:gridCol w:w="36"/>
        <w:gridCol w:w="36"/>
        <w:gridCol w:w="36"/>
        <w:gridCol w:w="101"/>
        <w:gridCol w:w="608"/>
        <w:gridCol w:w="36"/>
        <w:gridCol w:w="36"/>
        <w:gridCol w:w="36"/>
        <w:gridCol w:w="36"/>
        <w:gridCol w:w="101"/>
        <w:gridCol w:w="644"/>
        <w:gridCol w:w="36"/>
        <w:gridCol w:w="36"/>
        <w:gridCol w:w="36"/>
        <w:gridCol w:w="36"/>
        <w:gridCol w:w="100"/>
        <w:gridCol w:w="559"/>
        <w:gridCol w:w="36"/>
      </w:tblGrid>
      <w:tr w:rsidR="00B1578D" w14:paraId="5DEC5FFC" w14:textId="77777777">
        <w:tc>
          <w:tcPr>
            <w:tcW w:w="50" w:type="pct"/>
            <w:shd w:val="clear" w:color="auto" w:fill="auto"/>
            <w:vAlign w:val="bottom"/>
          </w:tcPr>
          <w:p w14:paraId="5DEC5FDB" w14:textId="77777777" w:rsidR="00B1578D" w:rsidRDefault="00B1578D">
            <w:pPr>
              <w:rPr>
                <w:rFonts w:ascii="宋体"/>
              </w:rPr>
            </w:pPr>
          </w:p>
        </w:tc>
        <w:tc>
          <w:tcPr>
            <w:tcW w:w="2196" w:type="pct"/>
            <w:shd w:val="clear" w:color="auto" w:fill="auto"/>
            <w:vAlign w:val="bottom"/>
          </w:tcPr>
          <w:p w14:paraId="5DEC5FDC" w14:textId="77777777" w:rsidR="00B1578D" w:rsidRDefault="00B1578D">
            <w:pPr>
              <w:rPr>
                <w:rFonts w:ascii="宋体"/>
              </w:rPr>
            </w:pPr>
          </w:p>
        </w:tc>
        <w:tc>
          <w:tcPr>
            <w:tcW w:w="5" w:type="pct"/>
            <w:shd w:val="clear" w:color="auto" w:fill="auto"/>
            <w:vAlign w:val="bottom"/>
          </w:tcPr>
          <w:p w14:paraId="5DEC5FDD" w14:textId="77777777" w:rsidR="00B1578D" w:rsidRDefault="00B1578D">
            <w:pPr>
              <w:rPr>
                <w:rFonts w:ascii="宋体"/>
              </w:rPr>
            </w:pPr>
          </w:p>
        </w:tc>
        <w:tc>
          <w:tcPr>
            <w:tcW w:w="5" w:type="pct"/>
            <w:shd w:val="clear" w:color="auto" w:fill="auto"/>
            <w:vAlign w:val="bottom"/>
          </w:tcPr>
          <w:p w14:paraId="5DEC5FDE" w14:textId="77777777" w:rsidR="00B1578D" w:rsidRDefault="00B1578D">
            <w:pPr>
              <w:rPr>
                <w:rFonts w:ascii="宋体"/>
              </w:rPr>
            </w:pPr>
          </w:p>
        </w:tc>
        <w:tc>
          <w:tcPr>
            <w:tcW w:w="26" w:type="pct"/>
            <w:shd w:val="clear" w:color="auto" w:fill="auto"/>
            <w:vAlign w:val="bottom"/>
          </w:tcPr>
          <w:p w14:paraId="5DEC5FDF" w14:textId="77777777" w:rsidR="00B1578D" w:rsidRDefault="00B1578D">
            <w:pPr>
              <w:rPr>
                <w:rFonts w:ascii="宋体"/>
              </w:rPr>
            </w:pPr>
          </w:p>
        </w:tc>
        <w:tc>
          <w:tcPr>
            <w:tcW w:w="5" w:type="pct"/>
            <w:shd w:val="clear" w:color="auto" w:fill="auto"/>
            <w:vAlign w:val="bottom"/>
          </w:tcPr>
          <w:p w14:paraId="5DEC5FE0" w14:textId="77777777" w:rsidR="00B1578D" w:rsidRDefault="00B1578D">
            <w:pPr>
              <w:rPr>
                <w:rFonts w:ascii="宋体"/>
              </w:rPr>
            </w:pPr>
          </w:p>
        </w:tc>
        <w:tc>
          <w:tcPr>
            <w:tcW w:w="50" w:type="pct"/>
            <w:shd w:val="clear" w:color="auto" w:fill="auto"/>
            <w:vAlign w:val="bottom"/>
          </w:tcPr>
          <w:p w14:paraId="5DEC5FE1" w14:textId="77777777" w:rsidR="00B1578D" w:rsidRDefault="00B1578D">
            <w:pPr>
              <w:rPr>
                <w:rFonts w:ascii="宋体"/>
              </w:rPr>
            </w:pPr>
          </w:p>
        </w:tc>
        <w:tc>
          <w:tcPr>
            <w:tcW w:w="529" w:type="pct"/>
            <w:shd w:val="clear" w:color="auto" w:fill="auto"/>
            <w:vAlign w:val="bottom"/>
          </w:tcPr>
          <w:p w14:paraId="5DEC5FE2" w14:textId="77777777" w:rsidR="00B1578D" w:rsidRDefault="00B1578D">
            <w:pPr>
              <w:rPr>
                <w:rFonts w:ascii="宋体"/>
              </w:rPr>
            </w:pPr>
          </w:p>
        </w:tc>
        <w:tc>
          <w:tcPr>
            <w:tcW w:w="5" w:type="pct"/>
            <w:shd w:val="clear" w:color="auto" w:fill="auto"/>
            <w:vAlign w:val="bottom"/>
          </w:tcPr>
          <w:p w14:paraId="5DEC5FE3" w14:textId="77777777" w:rsidR="00B1578D" w:rsidRDefault="00B1578D">
            <w:pPr>
              <w:rPr>
                <w:rFonts w:ascii="宋体"/>
              </w:rPr>
            </w:pPr>
          </w:p>
        </w:tc>
        <w:tc>
          <w:tcPr>
            <w:tcW w:w="5" w:type="pct"/>
            <w:shd w:val="clear" w:color="auto" w:fill="auto"/>
            <w:vAlign w:val="bottom"/>
          </w:tcPr>
          <w:p w14:paraId="5DEC5FE4" w14:textId="77777777" w:rsidR="00B1578D" w:rsidRDefault="00B1578D">
            <w:pPr>
              <w:rPr>
                <w:rFonts w:ascii="宋体"/>
              </w:rPr>
            </w:pPr>
          </w:p>
        </w:tc>
        <w:tc>
          <w:tcPr>
            <w:tcW w:w="26" w:type="pct"/>
            <w:shd w:val="clear" w:color="auto" w:fill="auto"/>
            <w:vAlign w:val="bottom"/>
          </w:tcPr>
          <w:p w14:paraId="5DEC5FE5" w14:textId="77777777" w:rsidR="00B1578D" w:rsidRDefault="00B1578D">
            <w:pPr>
              <w:rPr>
                <w:rFonts w:ascii="宋体"/>
              </w:rPr>
            </w:pPr>
          </w:p>
        </w:tc>
        <w:tc>
          <w:tcPr>
            <w:tcW w:w="5" w:type="pct"/>
            <w:shd w:val="clear" w:color="auto" w:fill="auto"/>
            <w:vAlign w:val="bottom"/>
          </w:tcPr>
          <w:p w14:paraId="5DEC5FE6" w14:textId="77777777" w:rsidR="00B1578D" w:rsidRDefault="00B1578D">
            <w:pPr>
              <w:rPr>
                <w:rFonts w:ascii="宋体"/>
              </w:rPr>
            </w:pPr>
          </w:p>
        </w:tc>
        <w:tc>
          <w:tcPr>
            <w:tcW w:w="50" w:type="pct"/>
            <w:shd w:val="clear" w:color="auto" w:fill="auto"/>
            <w:vAlign w:val="bottom"/>
          </w:tcPr>
          <w:p w14:paraId="5DEC5FE7" w14:textId="77777777" w:rsidR="00B1578D" w:rsidRDefault="00B1578D">
            <w:pPr>
              <w:rPr>
                <w:rFonts w:ascii="宋体"/>
              </w:rPr>
            </w:pPr>
          </w:p>
        </w:tc>
        <w:tc>
          <w:tcPr>
            <w:tcW w:w="529" w:type="pct"/>
            <w:shd w:val="clear" w:color="auto" w:fill="auto"/>
            <w:vAlign w:val="bottom"/>
          </w:tcPr>
          <w:p w14:paraId="5DEC5FE8" w14:textId="77777777" w:rsidR="00B1578D" w:rsidRDefault="00B1578D">
            <w:pPr>
              <w:rPr>
                <w:rFonts w:ascii="宋体"/>
              </w:rPr>
            </w:pPr>
          </w:p>
        </w:tc>
        <w:tc>
          <w:tcPr>
            <w:tcW w:w="5" w:type="pct"/>
            <w:shd w:val="clear" w:color="auto" w:fill="auto"/>
            <w:vAlign w:val="bottom"/>
          </w:tcPr>
          <w:p w14:paraId="5DEC5FE9" w14:textId="77777777" w:rsidR="00B1578D" w:rsidRDefault="00B1578D">
            <w:pPr>
              <w:rPr>
                <w:rFonts w:ascii="宋体"/>
              </w:rPr>
            </w:pPr>
          </w:p>
        </w:tc>
        <w:tc>
          <w:tcPr>
            <w:tcW w:w="5" w:type="pct"/>
            <w:shd w:val="clear" w:color="auto" w:fill="auto"/>
            <w:vAlign w:val="bottom"/>
          </w:tcPr>
          <w:p w14:paraId="5DEC5FEA" w14:textId="77777777" w:rsidR="00B1578D" w:rsidRDefault="00B1578D">
            <w:pPr>
              <w:rPr>
                <w:rFonts w:ascii="宋体"/>
              </w:rPr>
            </w:pPr>
          </w:p>
        </w:tc>
        <w:tc>
          <w:tcPr>
            <w:tcW w:w="26" w:type="pct"/>
            <w:shd w:val="clear" w:color="auto" w:fill="auto"/>
            <w:vAlign w:val="bottom"/>
          </w:tcPr>
          <w:p w14:paraId="5DEC5FEB" w14:textId="77777777" w:rsidR="00B1578D" w:rsidRDefault="00B1578D">
            <w:pPr>
              <w:rPr>
                <w:rFonts w:ascii="宋体"/>
              </w:rPr>
            </w:pPr>
          </w:p>
        </w:tc>
        <w:tc>
          <w:tcPr>
            <w:tcW w:w="5" w:type="pct"/>
            <w:shd w:val="clear" w:color="auto" w:fill="auto"/>
            <w:vAlign w:val="bottom"/>
          </w:tcPr>
          <w:p w14:paraId="5DEC5FEC" w14:textId="77777777" w:rsidR="00B1578D" w:rsidRDefault="00B1578D">
            <w:pPr>
              <w:rPr>
                <w:rFonts w:ascii="宋体"/>
              </w:rPr>
            </w:pPr>
          </w:p>
        </w:tc>
        <w:tc>
          <w:tcPr>
            <w:tcW w:w="50" w:type="pct"/>
            <w:shd w:val="clear" w:color="auto" w:fill="auto"/>
            <w:vAlign w:val="bottom"/>
          </w:tcPr>
          <w:p w14:paraId="5DEC5FED" w14:textId="77777777" w:rsidR="00B1578D" w:rsidRDefault="00B1578D">
            <w:pPr>
              <w:rPr>
                <w:rFonts w:ascii="宋体"/>
              </w:rPr>
            </w:pPr>
          </w:p>
        </w:tc>
        <w:tc>
          <w:tcPr>
            <w:tcW w:w="412" w:type="pct"/>
            <w:shd w:val="clear" w:color="auto" w:fill="auto"/>
            <w:vAlign w:val="bottom"/>
          </w:tcPr>
          <w:p w14:paraId="5DEC5FEE" w14:textId="77777777" w:rsidR="00B1578D" w:rsidRDefault="00B1578D">
            <w:pPr>
              <w:rPr>
                <w:rFonts w:ascii="宋体"/>
              </w:rPr>
            </w:pPr>
          </w:p>
        </w:tc>
        <w:tc>
          <w:tcPr>
            <w:tcW w:w="5" w:type="pct"/>
            <w:shd w:val="clear" w:color="auto" w:fill="auto"/>
            <w:vAlign w:val="bottom"/>
          </w:tcPr>
          <w:p w14:paraId="5DEC5FEF" w14:textId="77777777" w:rsidR="00B1578D" w:rsidRDefault="00B1578D">
            <w:pPr>
              <w:rPr>
                <w:rFonts w:ascii="宋体"/>
              </w:rPr>
            </w:pPr>
          </w:p>
        </w:tc>
        <w:tc>
          <w:tcPr>
            <w:tcW w:w="5" w:type="pct"/>
            <w:shd w:val="clear" w:color="auto" w:fill="auto"/>
            <w:vAlign w:val="bottom"/>
          </w:tcPr>
          <w:p w14:paraId="5DEC5FF0" w14:textId="77777777" w:rsidR="00B1578D" w:rsidRDefault="00B1578D">
            <w:pPr>
              <w:rPr>
                <w:rFonts w:ascii="宋体"/>
              </w:rPr>
            </w:pPr>
          </w:p>
        </w:tc>
        <w:tc>
          <w:tcPr>
            <w:tcW w:w="26" w:type="pct"/>
            <w:shd w:val="clear" w:color="auto" w:fill="auto"/>
            <w:vAlign w:val="bottom"/>
          </w:tcPr>
          <w:p w14:paraId="5DEC5FF1" w14:textId="77777777" w:rsidR="00B1578D" w:rsidRDefault="00B1578D">
            <w:pPr>
              <w:rPr>
                <w:rFonts w:ascii="宋体"/>
              </w:rPr>
            </w:pPr>
          </w:p>
        </w:tc>
        <w:tc>
          <w:tcPr>
            <w:tcW w:w="5" w:type="pct"/>
            <w:shd w:val="clear" w:color="auto" w:fill="auto"/>
            <w:vAlign w:val="bottom"/>
          </w:tcPr>
          <w:p w14:paraId="5DEC5FF2" w14:textId="77777777" w:rsidR="00B1578D" w:rsidRDefault="00B1578D">
            <w:pPr>
              <w:rPr>
                <w:rFonts w:ascii="宋体"/>
              </w:rPr>
            </w:pPr>
          </w:p>
        </w:tc>
        <w:tc>
          <w:tcPr>
            <w:tcW w:w="50" w:type="pct"/>
            <w:shd w:val="clear" w:color="auto" w:fill="auto"/>
            <w:vAlign w:val="bottom"/>
          </w:tcPr>
          <w:p w14:paraId="5DEC5FF3" w14:textId="77777777" w:rsidR="00B1578D" w:rsidRDefault="00B1578D">
            <w:pPr>
              <w:rPr>
                <w:rFonts w:ascii="宋体"/>
              </w:rPr>
            </w:pPr>
          </w:p>
        </w:tc>
        <w:tc>
          <w:tcPr>
            <w:tcW w:w="434" w:type="pct"/>
            <w:shd w:val="clear" w:color="auto" w:fill="auto"/>
            <w:vAlign w:val="bottom"/>
          </w:tcPr>
          <w:p w14:paraId="5DEC5FF4" w14:textId="77777777" w:rsidR="00B1578D" w:rsidRDefault="00B1578D">
            <w:pPr>
              <w:rPr>
                <w:rFonts w:ascii="宋体"/>
              </w:rPr>
            </w:pPr>
          </w:p>
        </w:tc>
        <w:tc>
          <w:tcPr>
            <w:tcW w:w="5" w:type="pct"/>
            <w:shd w:val="clear" w:color="auto" w:fill="auto"/>
            <w:vAlign w:val="bottom"/>
          </w:tcPr>
          <w:p w14:paraId="5DEC5FF5" w14:textId="77777777" w:rsidR="00B1578D" w:rsidRDefault="00B1578D">
            <w:pPr>
              <w:rPr>
                <w:rFonts w:ascii="宋体"/>
              </w:rPr>
            </w:pPr>
          </w:p>
        </w:tc>
        <w:tc>
          <w:tcPr>
            <w:tcW w:w="5" w:type="pct"/>
            <w:shd w:val="clear" w:color="auto" w:fill="auto"/>
            <w:vAlign w:val="bottom"/>
          </w:tcPr>
          <w:p w14:paraId="5DEC5FF6" w14:textId="77777777" w:rsidR="00B1578D" w:rsidRDefault="00B1578D">
            <w:pPr>
              <w:rPr>
                <w:rFonts w:ascii="宋体"/>
              </w:rPr>
            </w:pPr>
          </w:p>
        </w:tc>
        <w:tc>
          <w:tcPr>
            <w:tcW w:w="26" w:type="pct"/>
            <w:shd w:val="clear" w:color="auto" w:fill="auto"/>
            <w:vAlign w:val="bottom"/>
          </w:tcPr>
          <w:p w14:paraId="5DEC5FF7" w14:textId="77777777" w:rsidR="00B1578D" w:rsidRDefault="00B1578D">
            <w:pPr>
              <w:rPr>
                <w:rFonts w:ascii="宋体"/>
              </w:rPr>
            </w:pPr>
          </w:p>
        </w:tc>
        <w:tc>
          <w:tcPr>
            <w:tcW w:w="5" w:type="pct"/>
            <w:shd w:val="clear" w:color="auto" w:fill="auto"/>
            <w:vAlign w:val="bottom"/>
          </w:tcPr>
          <w:p w14:paraId="5DEC5FF8" w14:textId="77777777" w:rsidR="00B1578D" w:rsidRDefault="00B1578D">
            <w:pPr>
              <w:rPr>
                <w:rFonts w:ascii="宋体"/>
              </w:rPr>
            </w:pPr>
          </w:p>
        </w:tc>
        <w:tc>
          <w:tcPr>
            <w:tcW w:w="50" w:type="pct"/>
            <w:shd w:val="clear" w:color="auto" w:fill="auto"/>
            <w:vAlign w:val="bottom"/>
          </w:tcPr>
          <w:p w14:paraId="5DEC5FF9" w14:textId="77777777" w:rsidR="00B1578D" w:rsidRDefault="00B1578D">
            <w:pPr>
              <w:rPr>
                <w:rFonts w:ascii="宋体"/>
              </w:rPr>
            </w:pPr>
          </w:p>
        </w:tc>
        <w:tc>
          <w:tcPr>
            <w:tcW w:w="383" w:type="pct"/>
            <w:shd w:val="clear" w:color="auto" w:fill="auto"/>
            <w:vAlign w:val="bottom"/>
          </w:tcPr>
          <w:p w14:paraId="5DEC5FFA" w14:textId="77777777" w:rsidR="00B1578D" w:rsidRDefault="00B1578D">
            <w:pPr>
              <w:rPr>
                <w:rFonts w:ascii="宋体"/>
              </w:rPr>
            </w:pPr>
          </w:p>
        </w:tc>
        <w:tc>
          <w:tcPr>
            <w:tcW w:w="5" w:type="pct"/>
            <w:shd w:val="clear" w:color="auto" w:fill="auto"/>
            <w:vAlign w:val="bottom"/>
          </w:tcPr>
          <w:p w14:paraId="5DEC5FFB" w14:textId="77777777" w:rsidR="00B1578D" w:rsidRDefault="00B1578D">
            <w:pPr>
              <w:rPr>
                <w:rFonts w:ascii="宋体"/>
              </w:rPr>
            </w:pPr>
          </w:p>
        </w:tc>
      </w:tr>
      <w:tr w:rsidR="00B1578D" w14:paraId="5DEC6008" w14:textId="77777777">
        <w:tc>
          <w:tcPr>
            <w:tcW w:w="0" w:type="auto"/>
            <w:gridSpan w:val="3"/>
            <w:shd w:val="clear" w:color="auto" w:fill="auto"/>
            <w:tcMar>
              <w:top w:w="40" w:type="dxa"/>
              <w:left w:w="20" w:type="dxa"/>
              <w:bottom w:w="40" w:type="dxa"/>
              <w:right w:w="20" w:type="dxa"/>
            </w:tcMar>
            <w:vAlign w:val="bottom"/>
          </w:tcPr>
          <w:p w14:paraId="5DEC5FFD" w14:textId="77777777" w:rsidR="00B1578D" w:rsidRDefault="004D2C04">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5DEC5FF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5FFF" w14:textId="77777777" w:rsidR="00B1578D" w:rsidRDefault="004D2C04">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5DEC600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001" w14:textId="77777777" w:rsidR="00B1578D" w:rsidRDefault="004D2C04">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5DEC600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003" w14:textId="77777777" w:rsidR="00B1578D" w:rsidRDefault="004D2C04">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5DEC600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005" w14:textId="77777777" w:rsidR="00B1578D" w:rsidRDefault="004D2C04">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5DEC600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007" w14:textId="77777777" w:rsidR="00B1578D" w:rsidRDefault="004D2C04">
            <w:pPr>
              <w:jc w:val="center"/>
              <w:textAlignment w:val="bottom"/>
            </w:pPr>
            <w:r>
              <w:rPr>
                <w:rFonts w:ascii="Times New Roman" w:eastAsia="宋体" w:hAnsi="Times New Roman"/>
                <w:b/>
                <w:bCs/>
                <w:color w:val="000000"/>
                <w:sz w:val="16"/>
                <w:szCs w:val="16"/>
              </w:rPr>
              <w:t>Total</w:t>
            </w:r>
          </w:p>
        </w:tc>
      </w:tr>
      <w:tr w:rsidR="00B1578D" w14:paraId="5DEC601E" w14:textId="77777777">
        <w:tc>
          <w:tcPr>
            <w:tcW w:w="0" w:type="auto"/>
            <w:gridSpan w:val="3"/>
            <w:shd w:val="clear" w:color="auto" w:fill="CCEEFF"/>
            <w:tcMar>
              <w:top w:w="40" w:type="dxa"/>
              <w:left w:w="20" w:type="dxa"/>
              <w:bottom w:w="40" w:type="dxa"/>
              <w:right w:w="20" w:type="dxa"/>
            </w:tcMar>
            <w:vAlign w:val="bottom"/>
          </w:tcPr>
          <w:p w14:paraId="5DEC6009" w14:textId="77777777" w:rsidR="00B1578D" w:rsidRDefault="004D2C04">
            <w:pPr>
              <w:textAlignment w:val="bottom"/>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5DEC600A"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00B"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00C" w14:textId="77777777" w:rsidR="00B1578D" w:rsidRDefault="004D2C04">
            <w:pPr>
              <w:jc w:val="right"/>
              <w:textAlignment w:val="bottom"/>
            </w:pPr>
            <w:r>
              <w:rPr>
                <w:rFonts w:ascii="Times New Roman" w:eastAsia="宋体" w:hAnsi="Times New Roman"/>
                <w:color w:val="000000"/>
                <w:sz w:val="16"/>
                <w:szCs w:val="16"/>
              </w:rPr>
              <w:t>(10,772)</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00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0E"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00F"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010" w14:textId="77777777" w:rsidR="00B1578D" w:rsidRDefault="004D2C04">
            <w:pPr>
              <w:jc w:val="right"/>
              <w:textAlignment w:val="bottom"/>
            </w:pPr>
            <w:r>
              <w:rPr>
                <w:rFonts w:ascii="Times New Roman" w:eastAsia="宋体" w:hAnsi="Times New Roman"/>
                <w:color w:val="000000"/>
                <w:sz w:val="16"/>
                <w:szCs w:val="16"/>
              </w:rPr>
              <w:t>1,296 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01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12"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013"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014" w14:textId="77777777" w:rsidR="00B1578D" w:rsidRDefault="004D2C04">
            <w:pPr>
              <w:jc w:val="right"/>
              <w:textAlignment w:val="bottom"/>
            </w:pPr>
            <w:r>
              <w:rPr>
                <w:rFonts w:ascii="Times New Roman" w:eastAsia="宋体" w:hAnsi="Times New Roman"/>
                <w:color w:val="000000"/>
                <w:sz w:val="16"/>
                <w:szCs w:val="16"/>
              </w:rPr>
              <w:t>(304)</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01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16"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017"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018" w14:textId="77777777" w:rsidR="00B1578D" w:rsidRDefault="004D2C04">
            <w:pPr>
              <w:jc w:val="right"/>
              <w:textAlignment w:val="bottom"/>
            </w:pPr>
            <w:r>
              <w:rPr>
                <w:rFonts w:ascii="Times New Roman" w:eastAsia="宋体" w:hAnsi="Times New Roman"/>
                <w:color w:val="000000"/>
                <w:sz w:val="16"/>
                <w:szCs w:val="16"/>
              </w:rPr>
              <w:t>(1,986)</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01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1A"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01B"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01C" w14:textId="77777777" w:rsidR="00B1578D" w:rsidRDefault="004D2C04">
            <w:pPr>
              <w:jc w:val="right"/>
              <w:textAlignment w:val="bottom"/>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01D" w14:textId="77777777" w:rsidR="00B1578D" w:rsidRDefault="00B1578D">
            <w:pPr>
              <w:jc w:val="right"/>
              <w:rPr>
                <w:rFonts w:ascii="宋体"/>
              </w:rPr>
            </w:pPr>
          </w:p>
        </w:tc>
      </w:tr>
      <w:tr w:rsidR="00B1578D" w14:paraId="5DEC602F" w14:textId="77777777">
        <w:tc>
          <w:tcPr>
            <w:tcW w:w="0" w:type="auto"/>
            <w:gridSpan w:val="3"/>
            <w:shd w:val="clear" w:color="auto" w:fill="FFFFFF"/>
            <w:tcMar>
              <w:top w:w="40" w:type="dxa"/>
              <w:left w:w="20" w:type="dxa"/>
              <w:bottom w:w="40" w:type="dxa"/>
              <w:right w:w="20" w:type="dxa"/>
            </w:tcMar>
            <w:vAlign w:val="bottom"/>
          </w:tcPr>
          <w:p w14:paraId="5DEC601F" w14:textId="77777777" w:rsidR="00B1578D" w:rsidRDefault="004D2C04">
            <w:pPr>
              <w:textAlignment w:val="bottom"/>
            </w:pPr>
            <w:r>
              <w:rPr>
                <w:rFonts w:ascii="Times New Roman" w:eastAsia="宋体" w:hAnsi="Times New Roman"/>
                <w:color w:val="000000"/>
                <w:sz w:val="16"/>
                <w:szCs w:val="16"/>
              </w:rPr>
              <w:t xml:space="preserve">Other comprehensive loss </w:t>
            </w:r>
            <w:r>
              <w:rPr>
                <w:rFonts w:ascii="Times New Roman" w:eastAsia="宋体" w:hAnsi="Times New Roman"/>
                <w:color w:val="000000"/>
                <w:sz w:val="16"/>
                <w:szCs w:val="16"/>
              </w:rPr>
              <w:t>before reclassifications, net</w:t>
            </w:r>
          </w:p>
        </w:tc>
        <w:tc>
          <w:tcPr>
            <w:tcW w:w="0" w:type="auto"/>
            <w:gridSpan w:val="3"/>
            <w:shd w:val="clear" w:color="auto" w:fill="FFFFFF"/>
            <w:tcMar>
              <w:top w:w="0" w:type="dxa"/>
              <w:left w:w="20" w:type="dxa"/>
              <w:bottom w:w="0" w:type="dxa"/>
              <w:right w:w="20" w:type="dxa"/>
            </w:tcMar>
            <w:vAlign w:val="bottom"/>
          </w:tcPr>
          <w:p w14:paraId="5DEC602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21" w14:textId="77777777" w:rsidR="00B1578D" w:rsidRDefault="004D2C04">
            <w:pPr>
              <w:jc w:val="right"/>
              <w:textAlignment w:val="bottom"/>
            </w:pPr>
            <w:r>
              <w:rPr>
                <w:rFonts w:ascii="Times New Roman" w:eastAsia="宋体" w:hAnsi="Times New Roman"/>
                <w:color w:val="000000"/>
                <w:sz w:val="16"/>
                <w:szCs w:val="16"/>
              </w:rPr>
              <w:t>(225)</w:t>
            </w:r>
          </w:p>
        </w:tc>
        <w:tc>
          <w:tcPr>
            <w:tcW w:w="0" w:type="auto"/>
            <w:shd w:val="clear" w:color="auto" w:fill="FFFFFF"/>
            <w:tcMar>
              <w:top w:w="40" w:type="dxa"/>
              <w:left w:w="0" w:type="dxa"/>
              <w:bottom w:w="40" w:type="dxa"/>
              <w:right w:w="20" w:type="dxa"/>
            </w:tcMar>
            <w:vAlign w:val="bottom"/>
          </w:tcPr>
          <w:p w14:paraId="5DEC602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2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24" w14:textId="77777777" w:rsidR="00B1578D" w:rsidRDefault="004D2C04">
            <w:pPr>
              <w:jc w:val="right"/>
              <w:textAlignment w:val="bottom"/>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bottom"/>
          </w:tcPr>
          <w:p w14:paraId="5DEC602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2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27" w14:textId="77777777" w:rsidR="00B1578D" w:rsidRDefault="004D2C04">
            <w:pPr>
              <w:jc w:val="right"/>
              <w:textAlignment w:val="bottom"/>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bottom"/>
          </w:tcPr>
          <w:p w14:paraId="5DEC6028"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2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2A" w14:textId="77777777" w:rsidR="00B1578D" w:rsidRDefault="004D2C04">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5DEC602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2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2D" w14:textId="77777777" w:rsidR="00B1578D" w:rsidRDefault="004D2C04">
            <w:pPr>
              <w:jc w:val="right"/>
              <w:textAlignment w:val="bottom"/>
            </w:pPr>
            <w:r>
              <w:rPr>
                <w:rFonts w:ascii="Times New Roman" w:eastAsia="宋体" w:hAnsi="Times New Roman"/>
                <w:color w:val="000000"/>
                <w:sz w:val="16"/>
                <w:szCs w:val="16"/>
              </w:rPr>
              <w:t>(259)</w:t>
            </w:r>
          </w:p>
        </w:tc>
        <w:tc>
          <w:tcPr>
            <w:tcW w:w="0" w:type="auto"/>
            <w:shd w:val="clear" w:color="auto" w:fill="FFFFFF"/>
            <w:tcMar>
              <w:top w:w="40" w:type="dxa"/>
              <w:left w:w="0" w:type="dxa"/>
              <w:bottom w:w="40" w:type="dxa"/>
              <w:right w:w="20" w:type="dxa"/>
            </w:tcMar>
            <w:vAlign w:val="bottom"/>
          </w:tcPr>
          <w:p w14:paraId="5DEC602E" w14:textId="77777777" w:rsidR="00B1578D" w:rsidRDefault="00B1578D">
            <w:pPr>
              <w:jc w:val="right"/>
              <w:rPr>
                <w:rFonts w:ascii="宋体"/>
              </w:rPr>
            </w:pPr>
          </w:p>
        </w:tc>
      </w:tr>
      <w:tr w:rsidR="00B1578D" w14:paraId="5DEC6040" w14:textId="77777777">
        <w:tc>
          <w:tcPr>
            <w:tcW w:w="0" w:type="auto"/>
            <w:gridSpan w:val="3"/>
            <w:shd w:val="clear" w:color="auto" w:fill="CCEEFF"/>
            <w:tcMar>
              <w:top w:w="40" w:type="dxa"/>
              <w:left w:w="20" w:type="dxa"/>
              <w:bottom w:w="40" w:type="dxa"/>
              <w:right w:w="20" w:type="dxa"/>
            </w:tcMar>
            <w:vAlign w:val="center"/>
          </w:tcPr>
          <w:p w14:paraId="5DEC6030" w14:textId="77777777" w:rsidR="00B1578D" w:rsidRDefault="004D2C04">
            <w:pPr>
              <w:textAlignment w:val="center"/>
            </w:pPr>
            <w:r>
              <w:rPr>
                <w:rFonts w:ascii="Times New Roman" w:eastAsia="宋体" w:hAnsi="Times New Roman"/>
                <w:color w:val="000000"/>
                <w:sz w:val="16"/>
                <w:szCs w:val="16"/>
              </w:rPr>
              <w:t>Reclassifications related to business dispositions, net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5DEC603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032" w14:textId="77777777" w:rsidR="00B1578D" w:rsidRDefault="004D2C04">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5DEC603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3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035" w14:textId="77777777" w:rsidR="00B1578D" w:rsidRDefault="004D2C04">
            <w:pPr>
              <w:jc w:val="right"/>
              <w:textAlignment w:val="center"/>
            </w:pPr>
            <w:r>
              <w:rPr>
                <w:rFonts w:ascii="Times New Roman" w:eastAsia="宋体" w:hAnsi="Times New Roman"/>
                <w:color w:val="000000"/>
                <w:sz w:val="16"/>
                <w:szCs w:val="16"/>
              </w:rPr>
              <w:t>(1,195)</w:t>
            </w:r>
          </w:p>
        </w:tc>
        <w:tc>
          <w:tcPr>
            <w:tcW w:w="0" w:type="auto"/>
            <w:shd w:val="clear" w:color="auto" w:fill="CCEEFF"/>
            <w:tcMar>
              <w:top w:w="40" w:type="dxa"/>
              <w:left w:w="0" w:type="dxa"/>
              <w:bottom w:w="40" w:type="dxa"/>
              <w:right w:w="20" w:type="dxa"/>
            </w:tcMar>
            <w:vAlign w:val="center"/>
          </w:tcPr>
          <w:p w14:paraId="5DEC603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3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038" w14:textId="77777777" w:rsidR="00B1578D" w:rsidRDefault="004D2C04">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5DEC603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3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03B" w14:textId="77777777" w:rsidR="00B1578D" w:rsidRDefault="004D2C04">
            <w:pPr>
              <w:jc w:val="right"/>
              <w:textAlignment w:val="center"/>
            </w:pPr>
            <w:r>
              <w:rPr>
                <w:rFonts w:ascii="Times New Roman" w:eastAsia="宋体" w:hAnsi="Times New Roman"/>
                <w:color w:val="000000"/>
                <w:sz w:val="16"/>
                <w:szCs w:val="16"/>
              </w:rPr>
              <w:t>1,966 </w:t>
            </w:r>
          </w:p>
        </w:tc>
        <w:tc>
          <w:tcPr>
            <w:tcW w:w="0" w:type="auto"/>
            <w:shd w:val="clear" w:color="auto" w:fill="CCEEFF"/>
            <w:tcMar>
              <w:top w:w="40" w:type="dxa"/>
              <w:left w:w="0" w:type="dxa"/>
              <w:bottom w:w="40" w:type="dxa"/>
              <w:right w:w="20" w:type="dxa"/>
            </w:tcMar>
            <w:vAlign w:val="center"/>
          </w:tcPr>
          <w:p w14:paraId="5DEC603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3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03E" w14:textId="77777777" w:rsidR="00B1578D" w:rsidRDefault="004D2C04">
            <w:pPr>
              <w:jc w:val="right"/>
              <w:textAlignment w:val="center"/>
            </w:pPr>
            <w:r>
              <w:rPr>
                <w:rFonts w:ascii="Times New Roman" w:eastAsia="宋体" w:hAnsi="Times New Roman"/>
                <w:color w:val="000000"/>
                <w:sz w:val="16"/>
                <w:szCs w:val="16"/>
              </w:rPr>
              <w:t>4,059 </w:t>
            </w:r>
          </w:p>
        </w:tc>
        <w:tc>
          <w:tcPr>
            <w:tcW w:w="0" w:type="auto"/>
            <w:shd w:val="clear" w:color="auto" w:fill="CCEEFF"/>
            <w:tcMar>
              <w:top w:w="40" w:type="dxa"/>
              <w:left w:w="0" w:type="dxa"/>
              <w:bottom w:w="40" w:type="dxa"/>
              <w:right w:w="20" w:type="dxa"/>
            </w:tcMar>
            <w:vAlign w:val="center"/>
          </w:tcPr>
          <w:p w14:paraId="5DEC603F" w14:textId="77777777" w:rsidR="00B1578D" w:rsidRDefault="00B1578D">
            <w:pPr>
              <w:jc w:val="right"/>
              <w:rPr>
                <w:rFonts w:ascii="宋体"/>
              </w:rPr>
            </w:pPr>
          </w:p>
        </w:tc>
      </w:tr>
      <w:tr w:rsidR="00B1578D" w14:paraId="5DEC6051" w14:textId="77777777">
        <w:tc>
          <w:tcPr>
            <w:tcW w:w="0" w:type="auto"/>
            <w:gridSpan w:val="3"/>
            <w:shd w:val="clear" w:color="auto" w:fill="FFFFFF"/>
            <w:tcMar>
              <w:top w:w="40" w:type="dxa"/>
              <w:left w:w="20" w:type="dxa"/>
              <w:bottom w:w="40" w:type="dxa"/>
              <w:right w:w="20" w:type="dxa"/>
            </w:tcMar>
            <w:vAlign w:val="bottom"/>
          </w:tcPr>
          <w:p w14:paraId="5DEC6041" w14:textId="77777777" w:rsidR="00B1578D" w:rsidRDefault="004D2C04">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5DEC604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43" w14:textId="77777777" w:rsidR="00B1578D" w:rsidRDefault="004D2C04">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5DEC604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45"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46" w14:textId="77777777" w:rsidR="00B1578D" w:rsidRDefault="004D2C04">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5DEC604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4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49" w14:textId="77777777" w:rsidR="00B1578D" w:rsidRDefault="004D2C04">
            <w:pPr>
              <w:jc w:val="right"/>
              <w:textAlignment w:val="bottom"/>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bottom"/>
          </w:tcPr>
          <w:p w14:paraId="5DEC604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4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4C" w14:textId="77777777" w:rsidR="00B1578D" w:rsidRDefault="004D2C04">
            <w:pPr>
              <w:jc w:val="right"/>
              <w:textAlignment w:val="bottom"/>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bottom"/>
          </w:tcPr>
          <w:p w14:paraId="5DEC604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4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04F" w14:textId="77777777" w:rsidR="00B1578D" w:rsidRDefault="004D2C04">
            <w:pPr>
              <w:jc w:val="right"/>
              <w:textAlignment w:val="bottom"/>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bottom"/>
          </w:tcPr>
          <w:p w14:paraId="5DEC6050" w14:textId="77777777" w:rsidR="00B1578D" w:rsidRDefault="00B1578D">
            <w:pPr>
              <w:jc w:val="right"/>
              <w:rPr>
                <w:rFonts w:ascii="宋体"/>
              </w:rPr>
            </w:pPr>
          </w:p>
        </w:tc>
      </w:tr>
      <w:tr w:rsidR="00B1578D" w14:paraId="5DEC6067" w14:textId="77777777">
        <w:tc>
          <w:tcPr>
            <w:tcW w:w="0" w:type="auto"/>
            <w:gridSpan w:val="3"/>
            <w:shd w:val="clear" w:color="auto" w:fill="CCEEFF"/>
            <w:tcMar>
              <w:top w:w="40" w:type="dxa"/>
              <w:left w:w="20" w:type="dxa"/>
              <w:bottom w:w="40" w:type="dxa"/>
              <w:right w:w="20" w:type="dxa"/>
            </w:tcMar>
            <w:vAlign w:val="bottom"/>
          </w:tcPr>
          <w:p w14:paraId="5DEC6052" w14:textId="77777777" w:rsidR="00B1578D" w:rsidRDefault="004D2C04">
            <w:pPr>
              <w:textAlignment w:val="bottom"/>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vAlign w:val="bottom"/>
          </w:tcPr>
          <w:p w14:paraId="5DEC6053"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54"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55" w14:textId="77777777" w:rsidR="00B1578D" w:rsidRDefault="004D2C04">
            <w:pPr>
              <w:jc w:val="right"/>
              <w:textAlignment w:val="center"/>
            </w:pPr>
            <w:r>
              <w:rPr>
                <w:rFonts w:ascii="Times New Roman" w:eastAsia="宋体" w:hAnsi="Times New Roman"/>
                <w:color w:val="000000"/>
                <w:sz w:val="16"/>
                <w:szCs w:val="16"/>
              </w:rPr>
              <w:t>(7,739)</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56" w14:textId="77777777" w:rsidR="00B1578D" w:rsidRDefault="00B1578D">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6057"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58"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59" w14:textId="77777777" w:rsidR="00B1578D" w:rsidRDefault="004D2C04">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5A" w14:textId="77777777" w:rsidR="00B1578D" w:rsidRDefault="00B1578D">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605B"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5C"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5D" w14:textId="77777777" w:rsidR="00B1578D" w:rsidRDefault="004D2C04">
            <w:pPr>
              <w:jc w:val="right"/>
              <w:textAlignment w:val="center"/>
            </w:pPr>
            <w:r>
              <w:rPr>
                <w:rFonts w:ascii="Times New Roman" w:eastAsia="宋体" w:hAnsi="Times New Roman"/>
                <w:color w:val="000000"/>
                <w:sz w:val="16"/>
                <w:szCs w:val="16"/>
              </w:rPr>
              <w:t>(284)</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5E" w14:textId="77777777" w:rsidR="00B1578D" w:rsidRDefault="00B1578D">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605F"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60"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61" w14:textId="77777777" w:rsidR="00B1578D" w:rsidRDefault="004D2C04">
            <w:pPr>
              <w:jc w:val="right"/>
              <w:textAlignment w:val="center"/>
            </w:pPr>
            <w:r>
              <w:rPr>
                <w:rFonts w:ascii="Times New Roman" w:eastAsia="宋体" w:hAnsi="Times New Roman"/>
                <w:color w:val="000000"/>
                <w:sz w:val="16"/>
                <w:szCs w:val="16"/>
              </w:rPr>
              <w:t>(17)</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62" w14:textId="77777777" w:rsidR="00B1578D" w:rsidRDefault="00B1578D">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6063"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64"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65" w14:textId="77777777" w:rsidR="00B1578D" w:rsidRDefault="004D2C04">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66" w14:textId="77777777" w:rsidR="00B1578D" w:rsidRDefault="00B1578D">
            <w:pPr>
              <w:jc w:val="right"/>
              <w:rPr>
                <w:rFonts w:ascii="宋体"/>
              </w:rPr>
            </w:pPr>
          </w:p>
        </w:tc>
      </w:tr>
      <w:tr w:rsidR="00B1578D" w14:paraId="5DEC6073" w14:textId="77777777">
        <w:trPr>
          <w:hidden/>
        </w:trPr>
        <w:tc>
          <w:tcPr>
            <w:tcW w:w="0" w:type="auto"/>
            <w:gridSpan w:val="3"/>
            <w:shd w:val="clear" w:color="auto" w:fill="auto"/>
            <w:vAlign w:val="bottom"/>
          </w:tcPr>
          <w:p w14:paraId="5DEC6068" w14:textId="77777777" w:rsidR="00B1578D" w:rsidRDefault="00B1578D">
            <w:pPr>
              <w:rPr>
                <w:rFonts w:ascii="宋体"/>
                <w:vanish/>
              </w:rPr>
            </w:pPr>
          </w:p>
        </w:tc>
        <w:tc>
          <w:tcPr>
            <w:tcW w:w="0" w:type="auto"/>
            <w:gridSpan w:val="3"/>
            <w:shd w:val="clear" w:color="auto" w:fill="auto"/>
            <w:vAlign w:val="bottom"/>
          </w:tcPr>
          <w:p w14:paraId="5DEC6069" w14:textId="77777777" w:rsidR="00B1578D" w:rsidRDefault="00B1578D">
            <w:pPr>
              <w:rPr>
                <w:rFonts w:ascii="宋体"/>
                <w:vanish/>
              </w:rPr>
            </w:pPr>
          </w:p>
        </w:tc>
        <w:tc>
          <w:tcPr>
            <w:tcW w:w="0" w:type="auto"/>
            <w:gridSpan w:val="3"/>
            <w:shd w:val="clear" w:color="auto" w:fill="auto"/>
            <w:vAlign w:val="bottom"/>
          </w:tcPr>
          <w:p w14:paraId="5DEC606A" w14:textId="77777777" w:rsidR="00B1578D" w:rsidRDefault="00B1578D">
            <w:pPr>
              <w:rPr>
                <w:rFonts w:ascii="宋体"/>
                <w:vanish/>
              </w:rPr>
            </w:pPr>
          </w:p>
        </w:tc>
        <w:tc>
          <w:tcPr>
            <w:tcW w:w="0" w:type="auto"/>
            <w:gridSpan w:val="3"/>
            <w:shd w:val="clear" w:color="auto" w:fill="auto"/>
            <w:vAlign w:val="bottom"/>
          </w:tcPr>
          <w:p w14:paraId="5DEC606B" w14:textId="77777777" w:rsidR="00B1578D" w:rsidRDefault="00B1578D">
            <w:pPr>
              <w:rPr>
                <w:rFonts w:ascii="宋体"/>
                <w:vanish/>
              </w:rPr>
            </w:pPr>
          </w:p>
        </w:tc>
        <w:tc>
          <w:tcPr>
            <w:tcW w:w="0" w:type="auto"/>
            <w:gridSpan w:val="3"/>
            <w:shd w:val="clear" w:color="auto" w:fill="auto"/>
            <w:vAlign w:val="bottom"/>
          </w:tcPr>
          <w:p w14:paraId="5DEC606C" w14:textId="77777777" w:rsidR="00B1578D" w:rsidRDefault="00B1578D">
            <w:pPr>
              <w:rPr>
                <w:rFonts w:ascii="宋体"/>
                <w:vanish/>
              </w:rPr>
            </w:pPr>
          </w:p>
        </w:tc>
        <w:tc>
          <w:tcPr>
            <w:tcW w:w="0" w:type="auto"/>
            <w:gridSpan w:val="3"/>
            <w:shd w:val="clear" w:color="auto" w:fill="auto"/>
            <w:vAlign w:val="bottom"/>
          </w:tcPr>
          <w:p w14:paraId="5DEC606D" w14:textId="77777777" w:rsidR="00B1578D" w:rsidRDefault="00B1578D">
            <w:pPr>
              <w:rPr>
                <w:rFonts w:ascii="宋体"/>
                <w:vanish/>
              </w:rPr>
            </w:pPr>
          </w:p>
        </w:tc>
        <w:tc>
          <w:tcPr>
            <w:tcW w:w="0" w:type="auto"/>
            <w:gridSpan w:val="3"/>
            <w:shd w:val="clear" w:color="auto" w:fill="auto"/>
            <w:vAlign w:val="bottom"/>
          </w:tcPr>
          <w:p w14:paraId="5DEC606E" w14:textId="77777777" w:rsidR="00B1578D" w:rsidRDefault="00B1578D">
            <w:pPr>
              <w:rPr>
                <w:rFonts w:ascii="宋体"/>
                <w:vanish/>
              </w:rPr>
            </w:pPr>
          </w:p>
        </w:tc>
        <w:tc>
          <w:tcPr>
            <w:tcW w:w="0" w:type="auto"/>
            <w:gridSpan w:val="3"/>
            <w:shd w:val="clear" w:color="auto" w:fill="auto"/>
            <w:vAlign w:val="bottom"/>
          </w:tcPr>
          <w:p w14:paraId="5DEC606F" w14:textId="77777777" w:rsidR="00B1578D" w:rsidRDefault="00B1578D">
            <w:pPr>
              <w:rPr>
                <w:rFonts w:ascii="宋体"/>
                <w:vanish/>
              </w:rPr>
            </w:pPr>
          </w:p>
        </w:tc>
        <w:tc>
          <w:tcPr>
            <w:tcW w:w="0" w:type="auto"/>
            <w:gridSpan w:val="3"/>
            <w:shd w:val="clear" w:color="auto" w:fill="auto"/>
            <w:vAlign w:val="bottom"/>
          </w:tcPr>
          <w:p w14:paraId="5DEC6070" w14:textId="77777777" w:rsidR="00B1578D" w:rsidRDefault="00B1578D">
            <w:pPr>
              <w:rPr>
                <w:rFonts w:ascii="宋体"/>
                <w:vanish/>
              </w:rPr>
            </w:pPr>
          </w:p>
        </w:tc>
        <w:tc>
          <w:tcPr>
            <w:tcW w:w="0" w:type="auto"/>
            <w:gridSpan w:val="3"/>
            <w:shd w:val="clear" w:color="auto" w:fill="auto"/>
            <w:vAlign w:val="bottom"/>
          </w:tcPr>
          <w:p w14:paraId="5DEC6071" w14:textId="77777777" w:rsidR="00B1578D" w:rsidRDefault="00B1578D">
            <w:pPr>
              <w:rPr>
                <w:rFonts w:ascii="宋体"/>
                <w:vanish/>
              </w:rPr>
            </w:pPr>
          </w:p>
        </w:tc>
        <w:tc>
          <w:tcPr>
            <w:tcW w:w="0" w:type="auto"/>
            <w:gridSpan w:val="3"/>
            <w:shd w:val="clear" w:color="auto" w:fill="auto"/>
            <w:vAlign w:val="bottom"/>
          </w:tcPr>
          <w:p w14:paraId="5DEC6072" w14:textId="77777777" w:rsidR="00B1578D" w:rsidRDefault="00B1578D">
            <w:pPr>
              <w:rPr>
                <w:rFonts w:ascii="宋体"/>
                <w:vanish/>
              </w:rPr>
            </w:pPr>
          </w:p>
        </w:tc>
      </w:tr>
      <w:tr w:rsidR="00B1578D" w14:paraId="5DEC607F" w14:textId="77777777">
        <w:trPr>
          <w:hidden/>
        </w:trPr>
        <w:tc>
          <w:tcPr>
            <w:tcW w:w="0" w:type="auto"/>
            <w:gridSpan w:val="3"/>
            <w:shd w:val="clear" w:color="auto" w:fill="auto"/>
            <w:vAlign w:val="bottom"/>
          </w:tcPr>
          <w:p w14:paraId="5DEC6074" w14:textId="77777777" w:rsidR="00B1578D" w:rsidRDefault="00B1578D">
            <w:pPr>
              <w:rPr>
                <w:rFonts w:ascii="宋体"/>
                <w:vanish/>
              </w:rPr>
            </w:pPr>
          </w:p>
        </w:tc>
        <w:tc>
          <w:tcPr>
            <w:tcW w:w="0" w:type="auto"/>
            <w:gridSpan w:val="3"/>
            <w:shd w:val="clear" w:color="auto" w:fill="auto"/>
            <w:vAlign w:val="bottom"/>
          </w:tcPr>
          <w:p w14:paraId="5DEC6075" w14:textId="77777777" w:rsidR="00B1578D" w:rsidRDefault="00B1578D">
            <w:pPr>
              <w:rPr>
                <w:rFonts w:ascii="宋体"/>
                <w:vanish/>
              </w:rPr>
            </w:pPr>
          </w:p>
        </w:tc>
        <w:tc>
          <w:tcPr>
            <w:tcW w:w="0" w:type="auto"/>
            <w:gridSpan w:val="3"/>
            <w:shd w:val="clear" w:color="auto" w:fill="auto"/>
            <w:vAlign w:val="bottom"/>
          </w:tcPr>
          <w:p w14:paraId="5DEC6076" w14:textId="77777777" w:rsidR="00B1578D" w:rsidRDefault="00B1578D">
            <w:pPr>
              <w:rPr>
                <w:rFonts w:ascii="宋体"/>
                <w:vanish/>
              </w:rPr>
            </w:pPr>
          </w:p>
        </w:tc>
        <w:tc>
          <w:tcPr>
            <w:tcW w:w="0" w:type="auto"/>
            <w:gridSpan w:val="3"/>
            <w:shd w:val="clear" w:color="auto" w:fill="auto"/>
            <w:vAlign w:val="bottom"/>
          </w:tcPr>
          <w:p w14:paraId="5DEC6077" w14:textId="77777777" w:rsidR="00B1578D" w:rsidRDefault="00B1578D">
            <w:pPr>
              <w:rPr>
                <w:rFonts w:ascii="宋体"/>
                <w:vanish/>
              </w:rPr>
            </w:pPr>
          </w:p>
        </w:tc>
        <w:tc>
          <w:tcPr>
            <w:tcW w:w="0" w:type="auto"/>
            <w:gridSpan w:val="3"/>
            <w:shd w:val="clear" w:color="auto" w:fill="auto"/>
            <w:vAlign w:val="bottom"/>
          </w:tcPr>
          <w:p w14:paraId="5DEC6078" w14:textId="77777777" w:rsidR="00B1578D" w:rsidRDefault="00B1578D">
            <w:pPr>
              <w:rPr>
                <w:rFonts w:ascii="宋体"/>
                <w:vanish/>
              </w:rPr>
            </w:pPr>
          </w:p>
        </w:tc>
        <w:tc>
          <w:tcPr>
            <w:tcW w:w="0" w:type="auto"/>
            <w:gridSpan w:val="3"/>
            <w:shd w:val="clear" w:color="auto" w:fill="auto"/>
            <w:vAlign w:val="bottom"/>
          </w:tcPr>
          <w:p w14:paraId="5DEC6079" w14:textId="77777777" w:rsidR="00B1578D" w:rsidRDefault="00B1578D">
            <w:pPr>
              <w:rPr>
                <w:rFonts w:ascii="宋体"/>
                <w:vanish/>
              </w:rPr>
            </w:pPr>
          </w:p>
        </w:tc>
        <w:tc>
          <w:tcPr>
            <w:tcW w:w="0" w:type="auto"/>
            <w:gridSpan w:val="3"/>
            <w:shd w:val="clear" w:color="auto" w:fill="auto"/>
            <w:vAlign w:val="bottom"/>
          </w:tcPr>
          <w:p w14:paraId="5DEC607A" w14:textId="77777777" w:rsidR="00B1578D" w:rsidRDefault="00B1578D">
            <w:pPr>
              <w:rPr>
                <w:rFonts w:ascii="宋体"/>
                <w:vanish/>
              </w:rPr>
            </w:pPr>
          </w:p>
        </w:tc>
        <w:tc>
          <w:tcPr>
            <w:tcW w:w="0" w:type="auto"/>
            <w:gridSpan w:val="3"/>
            <w:shd w:val="clear" w:color="auto" w:fill="auto"/>
            <w:vAlign w:val="bottom"/>
          </w:tcPr>
          <w:p w14:paraId="5DEC607B" w14:textId="77777777" w:rsidR="00B1578D" w:rsidRDefault="00B1578D">
            <w:pPr>
              <w:rPr>
                <w:rFonts w:ascii="宋体"/>
                <w:vanish/>
              </w:rPr>
            </w:pPr>
          </w:p>
        </w:tc>
        <w:tc>
          <w:tcPr>
            <w:tcW w:w="0" w:type="auto"/>
            <w:gridSpan w:val="3"/>
            <w:shd w:val="clear" w:color="auto" w:fill="auto"/>
            <w:vAlign w:val="bottom"/>
          </w:tcPr>
          <w:p w14:paraId="5DEC607C" w14:textId="77777777" w:rsidR="00B1578D" w:rsidRDefault="00B1578D">
            <w:pPr>
              <w:rPr>
                <w:rFonts w:ascii="宋体"/>
                <w:vanish/>
              </w:rPr>
            </w:pPr>
          </w:p>
        </w:tc>
        <w:tc>
          <w:tcPr>
            <w:tcW w:w="0" w:type="auto"/>
            <w:gridSpan w:val="3"/>
            <w:shd w:val="clear" w:color="auto" w:fill="auto"/>
            <w:vAlign w:val="bottom"/>
          </w:tcPr>
          <w:p w14:paraId="5DEC607D" w14:textId="77777777" w:rsidR="00B1578D" w:rsidRDefault="00B1578D">
            <w:pPr>
              <w:rPr>
                <w:rFonts w:ascii="宋体"/>
                <w:vanish/>
              </w:rPr>
            </w:pPr>
          </w:p>
        </w:tc>
        <w:tc>
          <w:tcPr>
            <w:tcW w:w="0" w:type="auto"/>
            <w:gridSpan w:val="3"/>
            <w:shd w:val="clear" w:color="auto" w:fill="auto"/>
            <w:vAlign w:val="bottom"/>
          </w:tcPr>
          <w:p w14:paraId="5DEC607E" w14:textId="77777777" w:rsidR="00B1578D" w:rsidRDefault="00B1578D">
            <w:pPr>
              <w:rPr>
                <w:rFonts w:ascii="宋体"/>
                <w:vanish/>
              </w:rPr>
            </w:pPr>
          </w:p>
        </w:tc>
      </w:tr>
      <w:tr w:rsidR="00B1578D" w14:paraId="5DEC608B" w14:textId="77777777">
        <w:trPr>
          <w:hidden/>
        </w:trPr>
        <w:tc>
          <w:tcPr>
            <w:tcW w:w="0" w:type="auto"/>
            <w:gridSpan w:val="3"/>
            <w:shd w:val="clear" w:color="auto" w:fill="auto"/>
            <w:vAlign w:val="bottom"/>
          </w:tcPr>
          <w:p w14:paraId="5DEC6080" w14:textId="77777777" w:rsidR="00B1578D" w:rsidRDefault="00B1578D">
            <w:pPr>
              <w:rPr>
                <w:rFonts w:ascii="宋体"/>
                <w:vanish/>
              </w:rPr>
            </w:pPr>
          </w:p>
        </w:tc>
        <w:tc>
          <w:tcPr>
            <w:tcW w:w="0" w:type="auto"/>
            <w:gridSpan w:val="3"/>
            <w:shd w:val="clear" w:color="auto" w:fill="auto"/>
            <w:vAlign w:val="bottom"/>
          </w:tcPr>
          <w:p w14:paraId="5DEC6081" w14:textId="77777777" w:rsidR="00B1578D" w:rsidRDefault="00B1578D">
            <w:pPr>
              <w:rPr>
                <w:rFonts w:ascii="宋体"/>
                <w:vanish/>
              </w:rPr>
            </w:pPr>
          </w:p>
        </w:tc>
        <w:tc>
          <w:tcPr>
            <w:tcW w:w="0" w:type="auto"/>
            <w:gridSpan w:val="3"/>
            <w:shd w:val="clear" w:color="auto" w:fill="auto"/>
            <w:vAlign w:val="bottom"/>
          </w:tcPr>
          <w:p w14:paraId="5DEC6082" w14:textId="77777777" w:rsidR="00B1578D" w:rsidRDefault="00B1578D">
            <w:pPr>
              <w:rPr>
                <w:rFonts w:ascii="宋体"/>
                <w:vanish/>
              </w:rPr>
            </w:pPr>
          </w:p>
        </w:tc>
        <w:tc>
          <w:tcPr>
            <w:tcW w:w="0" w:type="auto"/>
            <w:gridSpan w:val="3"/>
            <w:shd w:val="clear" w:color="auto" w:fill="auto"/>
            <w:vAlign w:val="bottom"/>
          </w:tcPr>
          <w:p w14:paraId="5DEC6083" w14:textId="77777777" w:rsidR="00B1578D" w:rsidRDefault="00B1578D">
            <w:pPr>
              <w:rPr>
                <w:rFonts w:ascii="宋体"/>
                <w:vanish/>
              </w:rPr>
            </w:pPr>
          </w:p>
        </w:tc>
        <w:tc>
          <w:tcPr>
            <w:tcW w:w="0" w:type="auto"/>
            <w:gridSpan w:val="3"/>
            <w:shd w:val="clear" w:color="auto" w:fill="auto"/>
            <w:vAlign w:val="bottom"/>
          </w:tcPr>
          <w:p w14:paraId="5DEC6084" w14:textId="77777777" w:rsidR="00B1578D" w:rsidRDefault="00B1578D">
            <w:pPr>
              <w:rPr>
                <w:rFonts w:ascii="宋体"/>
                <w:vanish/>
              </w:rPr>
            </w:pPr>
          </w:p>
        </w:tc>
        <w:tc>
          <w:tcPr>
            <w:tcW w:w="0" w:type="auto"/>
            <w:gridSpan w:val="3"/>
            <w:shd w:val="clear" w:color="auto" w:fill="auto"/>
            <w:vAlign w:val="bottom"/>
          </w:tcPr>
          <w:p w14:paraId="5DEC6085" w14:textId="77777777" w:rsidR="00B1578D" w:rsidRDefault="00B1578D">
            <w:pPr>
              <w:rPr>
                <w:rFonts w:ascii="宋体"/>
                <w:vanish/>
              </w:rPr>
            </w:pPr>
          </w:p>
        </w:tc>
        <w:tc>
          <w:tcPr>
            <w:tcW w:w="0" w:type="auto"/>
            <w:gridSpan w:val="3"/>
            <w:shd w:val="clear" w:color="auto" w:fill="auto"/>
            <w:vAlign w:val="bottom"/>
          </w:tcPr>
          <w:p w14:paraId="5DEC6086" w14:textId="77777777" w:rsidR="00B1578D" w:rsidRDefault="00B1578D">
            <w:pPr>
              <w:rPr>
                <w:rFonts w:ascii="宋体"/>
                <w:vanish/>
              </w:rPr>
            </w:pPr>
          </w:p>
        </w:tc>
        <w:tc>
          <w:tcPr>
            <w:tcW w:w="0" w:type="auto"/>
            <w:gridSpan w:val="3"/>
            <w:shd w:val="clear" w:color="auto" w:fill="auto"/>
            <w:vAlign w:val="bottom"/>
          </w:tcPr>
          <w:p w14:paraId="5DEC6087" w14:textId="77777777" w:rsidR="00B1578D" w:rsidRDefault="00B1578D">
            <w:pPr>
              <w:rPr>
                <w:rFonts w:ascii="宋体"/>
                <w:vanish/>
              </w:rPr>
            </w:pPr>
          </w:p>
        </w:tc>
        <w:tc>
          <w:tcPr>
            <w:tcW w:w="0" w:type="auto"/>
            <w:gridSpan w:val="3"/>
            <w:shd w:val="clear" w:color="auto" w:fill="auto"/>
            <w:vAlign w:val="bottom"/>
          </w:tcPr>
          <w:p w14:paraId="5DEC6088" w14:textId="77777777" w:rsidR="00B1578D" w:rsidRDefault="00B1578D">
            <w:pPr>
              <w:rPr>
                <w:rFonts w:ascii="宋体"/>
                <w:vanish/>
              </w:rPr>
            </w:pPr>
          </w:p>
        </w:tc>
        <w:tc>
          <w:tcPr>
            <w:tcW w:w="0" w:type="auto"/>
            <w:gridSpan w:val="3"/>
            <w:shd w:val="clear" w:color="auto" w:fill="auto"/>
            <w:vAlign w:val="bottom"/>
          </w:tcPr>
          <w:p w14:paraId="5DEC6089" w14:textId="77777777" w:rsidR="00B1578D" w:rsidRDefault="00B1578D">
            <w:pPr>
              <w:rPr>
                <w:rFonts w:ascii="宋体"/>
                <w:vanish/>
              </w:rPr>
            </w:pPr>
          </w:p>
        </w:tc>
        <w:tc>
          <w:tcPr>
            <w:tcW w:w="0" w:type="auto"/>
            <w:gridSpan w:val="3"/>
            <w:shd w:val="clear" w:color="auto" w:fill="auto"/>
            <w:vAlign w:val="bottom"/>
          </w:tcPr>
          <w:p w14:paraId="5DEC608A" w14:textId="77777777" w:rsidR="00B1578D" w:rsidRDefault="00B1578D">
            <w:pPr>
              <w:rPr>
                <w:rFonts w:ascii="宋体"/>
                <w:vanish/>
              </w:rPr>
            </w:pPr>
          </w:p>
        </w:tc>
      </w:tr>
      <w:tr w:rsidR="00B1578D" w14:paraId="5DEC6097" w14:textId="77777777">
        <w:trPr>
          <w:hidden/>
        </w:trPr>
        <w:tc>
          <w:tcPr>
            <w:tcW w:w="0" w:type="auto"/>
            <w:gridSpan w:val="3"/>
            <w:shd w:val="clear" w:color="auto" w:fill="auto"/>
            <w:vAlign w:val="bottom"/>
          </w:tcPr>
          <w:p w14:paraId="5DEC608C" w14:textId="77777777" w:rsidR="00B1578D" w:rsidRDefault="00B1578D">
            <w:pPr>
              <w:rPr>
                <w:rFonts w:ascii="宋体"/>
                <w:vanish/>
              </w:rPr>
            </w:pPr>
          </w:p>
        </w:tc>
        <w:tc>
          <w:tcPr>
            <w:tcW w:w="0" w:type="auto"/>
            <w:gridSpan w:val="3"/>
            <w:shd w:val="clear" w:color="auto" w:fill="auto"/>
            <w:vAlign w:val="bottom"/>
          </w:tcPr>
          <w:p w14:paraId="5DEC608D" w14:textId="77777777" w:rsidR="00B1578D" w:rsidRDefault="00B1578D">
            <w:pPr>
              <w:rPr>
                <w:rFonts w:ascii="宋体"/>
                <w:vanish/>
              </w:rPr>
            </w:pPr>
          </w:p>
        </w:tc>
        <w:tc>
          <w:tcPr>
            <w:tcW w:w="0" w:type="auto"/>
            <w:gridSpan w:val="3"/>
            <w:shd w:val="clear" w:color="auto" w:fill="auto"/>
            <w:vAlign w:val="bottom"/>
          </w:tcPr>
          <w:p w14:paraId="5DEC608E" w14:textId="77777777" w:rsidR="00B1578D" w:rsidRDefault="00B1578D">
            <w:pPr>
              <w:rPr>
                <w:rFonts w:ascii="宋体"/>
                <w:vanish/>
              </w:rPr>
            </w:pPr>
          </w:p>
        </w:tc>
        <w:tc>
          <w:tcPr>
            <w:tcW w:w="0" w:type="auto"/>
            <w:gridSpan w:val="3"/>
            <w:shd w:val="clear" w:color="auto" w:fill="auto"/>
            <w:vAlign w:val="bottom"/>
          </w:tcPr>
          <w:p w14:paraId="5DEC608F" w14:textId="77777777" w:rsidR="00B1578D" w:rsidRDefault="00B1578D">
            <w:pPr>
              <w:rPr>
                <w:rFonts w:ascii="宋体"/>
                <w:vanish/>
              </w:rPr>
            </w:pPr>
          </w:p>
        </w:tc>
        <w:tc>
          <w:tcPr>
            <w:tcW w:w="0" w:type="auto"/>
            <w:gridSpan w:val="3"/>
            <w:shd w:val="clear" w:color="auto" w:fill="auto"/>
            <w:vAlign w:val="bottom"/>
          </w:tcPr>
          <w:p w14:paraId="5DEC6090" w14:textId="77777777" w:rsidR="00B1578D" w:rsidRDefault="00B1578D">
            <w:pPr>
              <w:rPr>
                <w:rFonts w:ascii="宋体"/>
                <w:vanish/>
              </w:rPr>
            </w:pPr>
          </w:p>
        </w:tc>
        <w:tc>
          <w:tcPr>
            <w:tcW w:w="0" w:type="auto"/>
            <w:gridSpan w:val="3"/>
            <w:shd w:val="clear" w:color="auto" w:fill="auto"/>
            <w:vAlign w:val="bottom"/>
          </w:tcPr>
          <w:p w14:paraId="5DEC6091" w14:textId="77777777" w:rsidR="00B1578D" w:rsidRDefault="00B1578D">
            <w:pPr>
              <w:rPr>
                <w:rFonts w:ascii="宋体"/>
                <w:vanish/>
              </w:rPr>
            </w:pPr>
          </w:p>
        </w:tc>
        <w:tc>
          <w:tcPr>
            <w:tcW w:w="0" w:type="auto"/>
            <w:gridSpan w:val="3"/>
            <w:shd w:val="clear" w:color="auto" w:fill="auto"/>
            <w:vAlign w:val="bottom"/>
          </w:tcPr>
          <w:p w14:paraId="5DEC6092" w14:textId="77777777" w:rsidR="00B1578D" w:rsidRDefault="00B1578D">
            <w:pPr>
              <w:rPr>
                <w:rFonts w:ascii="宋体"/>
                <w:vanish/>
              </w:rPr>
            </w:pPr>
          </w:p>
        </w:tc>
        <w:tc>
          <w:tcPr>
            <w:tcW w:w="0" w:type="auto"/>
            <w:gridSpan w:val="3"/>
            <w:shd w:val="clear" w:color="auto" w:fill="auto"/>
            <w:vAlign w:val="bottom"/>
          </w:tcPr>
          <w:p w14:paraId="5DEC6093" w14:textId="77777777" w:rsidR="00B1578D" w:rsidRDefault="00B1578D">
            <w:pPr>
              <w:rPr>
                <w:rFonts w:ascii="宋体"/>
                <w:vanish/>
              </w:rPr>
            </w:pPr>
          </w:p>
        </w:tc>
        <w:tc>
          <w:tcPr>
            <w:tcW w:w="0" w:type="auto"/>
            <w:gridSpan w:val="3"/>
            <w:shd w:val="clear" w:color="auto" w:fill="auto"/>
            <w:vAlign w:val="bottom"/>
          </w:tcPr>
          <w:p w14:paraId="5DEC6094" w14:textId="77777777" w:rsidR="00B1578D" w:rsidRDefault="00B1578D">
            <w:pPr>
              <w:rPr>
                <w:rFonts w:ascii="宋体"/>
                <w:vanish/>
              </w:rPr>
            </w:pPr>
          </w:p>
        </w:tc>
        <w:tc>
          <w:tcPr>
            <w:tcW w:w="0" w:type="auto"/>
            <w:gridSpan w:val="3"/>
            <w:shd w:val="clear" w:color="auto" w:fill="auto"/>
            <w:vAlign w:val="bottom"/>
          </w:tcPr>
          <w:p w14:paraId="5DEC6095" w14:textId="77777777" w:rsidR="00B1578D" w:rsidRDefault="00B1578D">
            <w:pPr>
              <w:rPr>
                <w:rFonts w:ascii="宋体"/>
                <w:vanish/>
              </w:rPr>
            </w:pPr>
          </w:p>
        </w:tc>
        <w:tc>
          <w:tcPr>
            <w:tcW w:w="0" w:type="auto"/>
            <w:gridSpan w:val="3"/>
            <w:shd w:val="clear" w:color="auto" w:fill="auto"/>
            <w:vAlign w:val="bottom"/>
          </w:tcPr>
          <w:p w14:paraId="5DEC6096" w14:textId="77777777" w:rsidR="00B1578D" w:rsidRDefault="00B1578D">
            <w:pPr>
              <w:rPr>
                <w:rFonts w:ascii="宋体"/>
                <w:vanish/>
              </w:rPr>
            </w:pPr>
          </w:p>
        </w:tc>
      </w:tr>
      <w:tr w:rsidR="00B1578D" w14:paraId="5DEC60A3" w14:textId="77777777">
        <w:trPr>
          <w:hidden/>
        </w:trPr>
        <w:tc>
          <w:tcPr>
            <w:tcW w:w="0" w:type="auto"/>
            <w:gridSpan w:val="3"/>
            <w:shd w:val="clear" w:color="auto" w:fill="auto"/>
            <w:vAlign w:val="bottom"/>
          </w:tcPr>
          <w:p w14:paraId="5DEC6098" w14:textId="77777777" w:rsidR="00B1578D" w:rsidRDefault="00B1578D">
            <w:pPr>
              <w:rPr>
                <w:rFonts w:ascii="宋体"/>
                <w:vanish/>
              </w:rPr>
            </w:pPr>
          </w:p>
        </w:tc>
        <w:tc>
          <w:tcPr>
            <w:tcW w:w="0" w:type="auto"/>
            <w:gridSpan w:val="3"/>
            <w:shd w:val="clear" w:color="auto" w:fill="auto"/>
            <w:vAlign w:val="bottom"/>
          </w:tcPr>
          <w:p w14:paraId="5DEC6099" w14:textId="77777777" w:rsidR="00B1578D" w:rsidRDefault="00B1578D">
            <w:pPr>
              <w:rPr>
                <w:rFonts w:ascii="宋体"/>
                <w:vanish/>
              </w:rPr>
            </w:pPr>
          </w:p>
        </w:tc>
        <w:tc>
          <w:tcPr>
            <w:tcW w:w="0" w:type="auto"/>
            <w:gridSpan w:val="3"/>
            <w:shd w:val="clear" w:color="auto" w:fill="auto"/>
            <w:vAlign w:val="bottom"/>
          </w:tcPr>
          <w:p w14:paraId="5DEC609A" w14:textId="77777777" w:rsidR="00B1578D" w:rsidRDefault="00B1578D">
            <w:pPr>
              <w:rPr>
                <w:rFonts w:ascii="宋体"/>
                <w:vanish/>
              </w:rPr>
            </w:pPr>
          </w:p>
        </w:tc>
        <w:tc>
          <w:tcPr>
            <w:tcW w:w="0" w:type="auto"/>
            <w:gridSpan w:val="3"/>
            <w:shd w:val="clear" w:color="auto" w:fill="auto"/>
            <w:vAlign w:val="bottom"/>
          </w:tcPr>
          <w:p w14:paraId="5DEC609B" w14:textId="77777777" w:rsidR="00B1578D" w:rsidRDefault="00B1578D">
            <w:pPr>
              <w:rPr>
                <w:rFonts w:ascii="宋体"/>
                <w:vanish/>
              </w:rPr>
            </w:pPr>
          </w:p>
        </w:tc>
        <w:tc>
          <w:tcPr>
            <w:tcW w:w="0" w:type="auto"/>
            <w:gridSpan w:val="3"/>
            <w:shd w:val="clear" w:color="auto" w:fill="auto"/>
            <w:vAlign w:val="bottom"/>
          </w:tcPr>
          <w:p w14:paraId="5DEC609C" w14:textId="77777777" w:rsidR="00B1578D" w:rsidRDefault="00B1578D">
            <w:pPr>
              <w:rPr>
                <w:rFonts w:ascii="宋体"/>
                <w:vanish/>
              </w:rPr>
            </w:pPr>
          </w:p>
        </w:tc>
        <w:tc>
          <w:tcPr>
            <w:tcW w:w="0" w:type="auto"/>
            <w:gridSpan w:val="3"/>
            <w:shd w:val="clear" w:color="auto" w:fill="auto"/>
            <w:vAlign w:val="bottom"/>
          </w:tcPr>
          <w:p w14:paraId="5DEC609D" w14:textId="77777777" w:rsidR="00B1578D" w:rsidRDefault="00B1578D">
            <w:pPr>
              <w:rPr>
                <w:rFonts w:ascii="宋体"/>
                <w:vanish/>
              </w:rPr>
            </w:pPr>
          </w:p>
        </w:tc>
        <w:tc>
          <w:tcPr>
            <w:tcW w:w="0" w:type="auto"/>
            <w:gridSpan w:val="3"/>
            <w:shd w:val="clear" w:color="auto" w:fill="auto"/>
            <w:vAlign w:val="bottom"/>
          </w:tcPr>
          <w:p w14:paraId="5DEC609E" w14:textId="77777777" w:rsidR="00B1578D" w:rsidRDefault="00B1578D">
            <w:pPr>
              <w:rPr>
                <w:rFonts w:ascii="宋体"/>
                <w:vanish/>
              </w:rPr>
            </w:pPr>
          </w:p>
        </w:tc>
        <w:tc>
          <w:tcPr>
            <w:tcW w:w="0" w:type="auto"/>
            <w:gridSpan w:val="3"/>
            <w:shd w:val="clear" w:color="auto" w:fill="auto"/>
            <w:vAlign w:val="bottom"/>
          </w:tcPr>
          <w:p w14:paraId="5DEC609F" w14:textId="77777777" w:rsidR="00B1578D" w:rsidRDefault="00B1578D">
            <w:pPr>
              <w:rPr>
                <w:rFonts w:ascii="宋体"/>
                <w:vanish/>
              </w:rPr>
            </w:pPr>
          </w:p>
        </w:tc>
        <w:tc>
          <w:tcPr>
            <w:tcW w:w="0" w:type="auto"/>
            <w:gridSpan w:val="3"/>
            <w:shd w:val="clear" w:color="auto" w:fill="auto"/>
            <w:vAlign w:val="bottom"/>
          </w:tcPr>
          <w:p w14:paraId="5DEC60A0" w14:textId="77777777" w:rsidR="00B1578D" w:rsidRDefault="00B1578D">
            <w:pPr>
              <w:rPr>
                <w:rFonts w:ascii="宋体"/>
                <w:vanish/>
              </w:rPr>
            </w:pPr>
          </w:p>
        </w:tc>
        <w:tc>
          <w:tcPr>
            <w:tcW w:w="0" w:type="auto"/>
            <w:gridSpan w:val="3"/>
            <w:shd w:val="clear" w:color="auto" w:fill="auto"/>
            <w:vAlign w:val="bottom"/>
          </w:tcPr>
          <w:p w14:paraId="5DEC60A1" w14:textId="77777777" w:rsidR="00B1578D" w:rsidRDefault="00B1578D">
            <w:pPr>
              <w:rPr>
                <w:rFonts w:ascii="宋体"/>
                <w:vanish/>
              </w:rPr>
            </w:pPr>
          </w:p>
        </w:tc>
        <w:tc>
          <w:tcPr>
            <w:tcW w:w="0" w:type="auto"/>
            <w:gridSpan w:val="3"/>
            <w:shd w:val="clear" w:color="auto" w:fill="auto"/>
            <w:vAlign w:val="bottom"/>
          </w:tcPr>
          <w:p w14:paraId="5DEC60A2" w14:textId="77777777" w:rsidR="00B1578D" w:rsidRDefault="00B1578D">
            <w:pPr>
              <w:rPr>
                <w:rFonts w:ascii="宋体"/>
                <w:vanish/>
              </w:rPr>
            </w:pPr>
          </w:p>
        </w:tc>
      </w:tr>
      <w:tr w:rsidR="00B1578D" w14:paraId="5DEC60AF" w14:textId="77777777">
        <w:trPr>
          <w:hidden/>
        </w:trPr>
        <w:tc>
          <w:tcPr>
            <w:tcW w:w="0" w:type="auto"/>
            <w:gridSpan w:val="3"/>
            <w:shd w:val="clear" w:color="auto" w:fill="auto"/>
            <w:vAlign w:val="bottom"/>
          </w:tcPr>
          <w:p w14:paraId="5DEC60A4" w14:textId="77777777" w:rsidR="00B1578D" w:rsidRDefault="00B1578D">
            <w:pPr>
              <w:rPr>
                <w:rFonts w:ascii="宋体"/>
                <w:vanish/>
              </w:rPr>
            </w:pPr>
          </w:p>
        </w:tc>
        <w:tc>
          <w:tcPr>
            <w:tcW w:w="0" w:type="auto"/>
            <w:gridSpan w:val="3"/>
            <w:shd w:val="clear" w:color="auto" w:fill="auto"/>
            <w:vAlign w:val="bottom"/>
          </w:tcPr>
          <w:p w14:paraId="5DEC60A5" w14:textId="77777777" w:rsidR="00B1578D" w:rsidRDefault="00B1578D">
            <w:pPr>
              <w:rPr>
                <w:rFonts w:ascii="宋体"/>
                <w:vanish/>
              </w:rPr>
            </w:pPr>
          </w:p>
        </w:tc>
        <w:tc>
          <w:tcPr>
            <w:tcW w:w="0" w:type="auto"/>
            <w:gridSpan w:val="3"/>
            <w:shd w:val="clear" w:color="auto" w:fill="auto"/>
            <w:vAlign w:val="bottom"/>
          </w:tcPr>
          <w:p w14:paraId="5DEC60A6" w14:textId="77777777" w:rsidR="00B1578D" w:rsidRDefault="00B1578D">
            <w:pPr>
              <w:rPr>
                <w:rFonts w:ascii="宋体"/>
                <w:vanish/>
              </w:rPr>
            </w:pPr>
          </w:p>
        </w:tc>
        <w:tc>
          <w:tcPr>
            <w:tcW w:w="0" w:type="auto"/>
            <w:gridSpan w:val="3"/>
            <w:shd w:val="clear" w:color="auto" w:fill="auto"/>
            <w:vAlign w:val="bottom"/>
          </w:tcPr>
          <w:p w14:paraId="5DEC60A7" w14:textId="77777777" w:rsidR="00B1578D" w:rsidRDefault="00B1578D">
            <w:pPr>
              <w:rPr>
                <w:rFonts w:ascii="宋体"/>
                <w:vanish/>
              </w:rPr>
            </w:pPr>
          </w:p>
        </w:tc>
        <w:tc>
          <w:tcPr>
            <w:tcW w:w="0" w:type="auto"/>
            <w:gridSpan w:val="3"/>
            <w:shd w:val="clear" w:color="auto" w:fill="auto"/>
            <w:vAlign w:val="bottom"/>
          </w:tcPr>
          <w:p w14:paraId="5DEC60A8" w14:textId="77777777" w:rsidR="00B1578D" w:rsidRDefault="00B1578D">
            <w:pPr>
              <w:rPr>
                <w:rFonts w:ascii="宋体"/>
                <w:vanish/>
              </w:rPr>
            </w:pPr>
          </w:p>
        </w:tc>
        <w:tc>
          <w:tcPr>
            <w:tcW w:w="0" w:type="auto"/>
            <w:gridSpan w:val="3"/>
            <w:shd w:val="clear" w:color="auto" w:fill="auto"/>
            <w:vAlign w:val="bottom"/>
          </w:tcPr>
          <w:p w14:paraId="5DEC60A9" w14:textId="77777777" w:rsidR="00B1578D" w:rsidRDefault="00B1578D">
            <w:pPr>
              <w:rPr>
                <w:rFonts w:ascii="宋体"/>
                <w:vanish/>
              </w:rPr>
            </w:pPr>
          </w:p>
        </w:tc>
        <w:tc>
          <w:tcPr>
            <w:tcW w:w="0" w:type="auto"/>
            <w:gridSpan w:val="3"/>
            <w:shd w:val="clear" w:color="auto" w:fill="auto"/>
            <w:vAlign w:val="bottom"/>
          </w:tcPr>
          <w:p w14:paraId="5DEC60AA" w14:textId="77777777" w:rsidR="00B1578D" w:rsidRDefault="00B1578D">
            <w:pPr>
              <w:rPr>
                <w:rFonts w:ascii="宋体"/>
                <w:vanish/>
              </w:rPr>
            </w:pPr>
          </w:p>
        </w:tc>
        <w:tc>
          <w:tcPr>
            <w:tcW w:w="0" w:type="auto"/>
            <w:gridSpan w:val="3"/>
            <w:shd w:val="clear" w:color="auto" w:fill="auto"/>
            <w:vAlign w:val="bottom"/>
          </w:tcPr>
          <w:p w14:paraId="5DEC60AB" w14:textId="77777777" w:rsidR="00B1578D" w:rsidRDefault="00B1578D">
            <w:pPr>
              <w:rPr>
                <w:rFonts w:ascii="宋体"/>
                <w:vanish/>
              </w:rPr>
            </w:pPr>
          </w:p>
        </w:tc>
        <w:tc>
          <w:tcPr>
            <w:tcW w:w="0" w:type="auto"/>
            <w:gridSpan w:val="3"/>
            <w:shd w:val="clear" w:color="auto" w:fill="auto"/>
            <w:vAlign w:val="bottom"/>
          </w:tcPr>
          <w:p w14:paraId="5DEC60AC" w14:textId="77777777" w:rsidR="00B1578D" w:rsidRDefault="00B1578D">
            <w:pPr>
              <w:rPr>
                <w:rFonts w:ascii="宋体"/>
                <w:vanish/>
              </w:rPr>
            </w:pPr>
          </w:p>
        </w:tc>
        <w:tc>
          <w:tcPr>
            <w:tcW w:w="0" w:type="auto"/>
            <w:gridSpan w:val="3"/>
            <w:shd w:val="clear" w:color="auto" w:fill="auto"/>
            <w:vAlign w:val="bottom"/>
          </w:tcPr>
          <w:p w14:paraId="5DEC60AD" w14:textId="77777777" w:rsidR="00B1578D" w:rsidRDefault="00B1578D">
            <w:pPr>
              <w:rPr>
                <w:rFonts w:ascii="宋体"/>
                <w:vanish/>
              </w:rPr>
            </w:pPr>
          </w:p>
        </w:tc>
        <w:tc>
          <w:tcPr>
            <w:tcW w:w="0" w:type="auto"/>
            <w:gridSpan w:val="3"/>
            <w:shd w:val="clear" w:color="auto" w:fill="auto"/>
            <w:vAlign w:val="bottom"/>
          </w:tcPr>
          <w:p w14:paraId="5DEC60AE" w14:textId="77777777" w:rsidR="00B1578D" w:rsidRDefault="00B1578D">
            <w:pPr>
              <w:rPr>
                <w:rFonts w:ascii="宋体"/>
                <w:vanish/>
              </w:rPr>
            </w:pPr>
          </w:p>
        </w:tc>
      </w:tr>
      <w:tr w:rsidR="00B1578D" w14:paraId="5DEC60BB" w14:textId="77777777">
        <w:trPr>
          <w:hidden/>
        </w:trPr>
        <w:tc>
          <w:tcPr>
            <w:tcW w:w="0" w:type="auto"/>
            <w:gridSpan w:val="3"/>
            <w:shd w:val="clear" w:color="auto" w:fill="auto"/>
            <w:vAlign w:val="bottom"/>
          </w:tcPr>
          <w:p w14:paraId="5DEC60B0" w14:textId="77777777" w:rsidR="00B1578D" w:rsidRDefault="00B1578D">
            <w:pPr>
              <w:rPr>
                <w:rFonts w:ascii="宋体"/>
                <w:vanish/>
              </w:rPr>
            </w:pPr>
          </w:p>
        </w:tc>
        <w:tc>
          <w:tcPr>
            <w:tcW w:w="0" w:type="auto"/>
            <w:gridSpan w:val="3"/>
            <w:shd w:val="clear" w:color="auto" w:fill="auto"/>
            <w:vAlign w:val="bottom"/>
          </w:tcPr>
          <w:p w14:paraId="5DEC60B1" w14:textId="77777777" w:rsidR="00B1578D" w:rsidRDefault="00B1578D">
            <w:pPr>
              <w:rPr>
                <w:rFonts w:ascii="宋体"/>
                <w:vanish/>
              </w:rPr>
            </w:pPr>
          </w:p>
        </w:tc>
        <w:tc>
          <w:tcPr>
            <w:tcW w:w="0" w:type="auto"/>
            <w:gridSpan w:val="3"/>
            <w:shd w:val="clear" w:color="auto" w:fill="auto"/>
            <w:vAlign w:val="bottom"/>
          </w:tcPr>
          <w:p w14:paraId="5DEC60B2" w14:textId="77777777" w:rsidR="00B1578D" w:rsidRDefault="00B1578D">
            <w:pPr>
              <w:rPr>
                <w:rFonts w:ascii="宋体"/>
                <w:vanish/>
              </w:rPr>
            </w:pPr>
          </w:p>
        </w:tc>
        <w:tc>
          <w:tcPr>
            <w:tcW w:w="0" w:type="auto"/>
            <w:gridSpan w:val="3"/>
            <w:shd w:val="clear" w:color="auto" w:fill="auto"/>
            <w:vAlign w:val="bottom"/>
          </w:tcPr>
          <w:p w14:paraId="5DEC60B3" w14:textId="77777777" w:rsidR="00B1578D" w:rsidRDefault="00B1578D">
            <w:pPr>
              <w:rPr>
                <w:rFonts w:ascii="宋体"/>
                <w:vanish/>
              </w:rPr>
            </w:pPr>
          </w:p>
        </w:tc>
        <w:tc>
          <w:tcPr>
            <w:tcW w:w="0" w:type="auto"/>
            <w:gridSpan w:val="3"/>
            <w:shd w:val="clear" w:color="auto" w:fill="auto"/>
            <w:vAlign w:val="bottom"/>
          </w:tcPr>
          <w:p w14:paraId="5DEC60B4" w14:textId="77777777" w:rsidR="00B1578D" w:rsidRDefault="00B1578D">
            <w:pPr>
              <w:rPr>
                <w:rFonts w:ascii="宋体"/>
                <w:vanish/>
              </w:rPr>
            </w:pPr>
          </w:p>
        </w:tc>
        <w:tc>
          <w:tcPr>
            <w:tcW w:w="0" w:type="auto"/>
            <w:gridSpan w:val="3"/>
            <w:shd w:val="clear" w:color="auto" w:fill="auto"/>
            <w:vAlign w:val="bottom"/>
          </w:tcPr>
          <w:p w14:paraId="5DEC60B5" w14:textId="77777777" w:rsidR="00B1578D" w:rsidRDefault="00B1578D">
            <w:pPr>
              <w:rPr>
                <w:rFonts w:ascii="宋体"/>
                <w:vanish/>
              </w:rPr>
            </w:pPr>
          </w:p>
        </w:tc>
        <w:tc>
          <w:tcPr>
            <w:tcW w:w="0" w:type="auto"/>
            <w:gridSpan w:val="3"/>
            <w:shd w:val="clear" w:color="auto" w:fill="auto"/>
            <w:vAlign w:val="bottom"/>
          </w:tcPr>
          <w:p w14:paraId="5DEC60B6" w14:textId="77777777" w:rsidR="00B1578D" w:rsidRDefault="00B1578D">
            <w:pPr>
              <w:rPr>
                <w:rFonts w:ascii="宋体"/>
                <w:vanish/>
              </w:rPr>
            </w:pPr>
          </w:p>
        </w:tc>
        <w:tc>
          <w:tcPr>
            <w:tcW w:w="0" w:type="auto"/>
            <w:gridSpan w:val="3"/>
            <w:shd w:val="clear" w:color="auto" w:fill="auto"/>
            <w:vAlign w:val="bottom"/>
          </w:tcPr>
          <w:p w14:paraId="5DEC60B7" w14:textId="77777777" w:rsidR="00B1578D" w:rsidRDefault="00B1578D">
            <w:pPr>
              <w:rPr>
                <w:rFonts w:ascii="宋体"/>
                <w:vanish/>
              </w:rPr>
            </w:pPr>
          </w:p>
        </w:tc>
        <w:tc>
          <w:tcPr>
            <w:tcW w:w="0" w:type="auto"/>
            <w:gridSpan w:val="3"/>
            <w:shd w:val="clear" w:color="auto" w:fill="auto"/>
            <w:vAlign w:val="bottom"/>
          </w:tcPr>
          <w:p w14:paraId="5DEC60B8" w14:textId="77777777" w:rsidR="00B1578D" w:rsidRDefault="00B1578D">
            <w:pPr>
              <w:rPr>
                <w:rFonts w:ascii="宋体"/>
                <w:vanish/>
              </w:rPr>
            </w:pPr>
          </w:p>
        </w:tc>
        <w:tc>
          <w:tcPr>
            <w:tcW w:w="0" w:type="auto"/>
            <w:gridSpan w:val="3"/>
            <w:shd w:val="clear" w:color="auto" w:fill="auto"/>
            <w:vAlign w:val="bottom"/>
          </w:tcPr>
          <w:p w14:paraId="5DEC60B9" w14:textId="77777777" w:rsidR="00B1578D" w:rsidRDefault="00B1578D">
            <w:pPr>
              <w:rPr>
                <w:rFonts w:ascii="宋体"/>
                <w:vanish/>
              </w:rPr>
            </w:pPr>
          </w:p>
        </w:tc>
        <w:tc>
          <w:tcPr>
            <w:tcW w:w="0" w:type="auto"/>
            <w:gridSpan w:val="3"/>
            <w:shd w:val="clear" w:color="auto" w:fill="auto"/>
            <w:vAlign w:val="bottom"/>
          </w:tcPr>
          <w:p w14:paraId="5DEC60BA" w14:textId="77777777" w:rsidR="00B1578D" w:rsidRDefault="00B1578D">
            <w:pPr>
              <w:rPr>
                <w:rFonts w:ascii="宋体"/>
                <w:vanish/>
              </w:rPr>
            </w:pPr>
          </w:p>
        </w:tc>
      </w:tr>
    </w:tbl>
    <w:p w14:paraId="5DEC60BC" w14:textId="77777777" w:rsidR="00B1578D" w:rsidRDefault="004D2C04">
      <w:pPr>
        <w:spacing w:before="80" w:after="100"/>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Upon closing of the sale of the Company's operations in the U.K. and Japan during the first quarter of fiscal 2022, these amounts were released from accumulated other comprehensive loss, the majority of which was considered in the impairment evaluation wh</w:t>
      </w:r>
      <w:r>
        <w:rPr>
          <w:rFonts w:ascii="Times New Roman" w:eastAsia="宋体" w:hAnsi="Times New Roman"/>
          <w:color w:val="000000"/>
          <w:sz w:val="16"/>
          <w:szCs w:val="16"/>
        </w:rPr>
        <w:t>en the individual disposal groups met the held for sale classification in fiscal 2021.</w:t>
      </w:r>
    </w:p>
    <w:p w14:paraId="5DEC60BD" w14:textId="77777777" w:rsidR="00B1578D" w:rsidRDefault="004D2C04">
      <w:pPr>
        <w:jc w:val="center"/>
      </w:pPr>
      <w:r>
        <w:rPr>
          <w:rFonts w:ascii="Times New Roman" w:eastAsia="宋体" w:hAnsi="Times New Roman"/>
          <w:color w:val="000000"/>
          <w:sz w:val="20"/>
          <w:szCs w:val="20"/>
        </w:rPr>
        <w:t>9</w:t>
      </w:r>
    </w:p>
    <w:p w14:paraId="5DEC60BE" w14:textId="77777777" w:rsidR="00B1578D" w:rsidRDefault="004D2C04">
      <w:r>
        <w:pict w14:anchorId="5DEC6F2E">
          <v:rect id="_x0000_i1033" style="width:415.3pt;height:1.5pt" o:hralign="center" o:hrstd="t" o:hr="t" fillcolor="#a0a0a0" stroked="f"/>
        </w:pict>
      </w:r>
    </w:p>
    <w:p w14:paraId="5DEC60BF" w14:textId="77777777" w:rsidR="00B1578D" w:rsidRDefault="004D2C04">
      <w:hyperlink r:id="rId48" w:anchor="ia92fe4e1fa654d85928fb72942eadb02_7" w:history="1">
        <w:r>
          <w:rPr>
            <w:rStyle w:val="a5"/>
            <w:rFonts w:ascii="Times New Roman" w:eastAsia="宋体" w:hAnsi="Times New Roman"/>
            <w:sz w:val="20"/>
            <w:szCs w:val="20"/>
          </w:rPr>
          <w:t>Table of Contents</w:t>
        </w:r>
      </w:hyperlink>
    </w:p>
    <w:p w14:paraId="5DEC60C0" w14:textId="77777777" w:rsidR="00B1578D" w:rsidRDefault="004D2C04">
      <w:pPr>
        <w:spacing w:before="240"/>
      </w:pPr>
      <w:r>
        <w:rPr>
          <w:rFonts w:ascii="Times New Roman" w:eastAsia="宋体" w:hAnsi="Times New Roman"/>
          <w:b/>
          <w:bCs/>
          <w:color w:val="000000"/>
          <w:sz w:val="20"/>
          <w:szCs w:val="20"/>
        </w:rPr>
        <w:t>Note 4. Short-term Borrowings and Long-term Debt</w:t>
      </w:r>
    </w:p>
    <w:p w14:paraId="5DEC60C1" w14:textId="77777777" w:rsidR="00B1578D" w:rsidRDefault="004D2C04">
      <w:pPr>
        <w:spacing w:before="180" w:after="100"/>
      </w:pPr>
      <w:r>
        <w:rPr>
          <w:rFonts w:ascii="Times New Roman" w:eastAsia="宋体" w:hAnsi="Times New Roman"/>
          <w:color w:val="000000"/>
          <w:sz w:val="20"/>
          <w:szCs w:val="20"/>
        </w:rPr>
        <w:t>The Company has various committed lin</w:t>
      </w:r>
      <w:r>
        <w:rPr>
          <w:rFonts w:ascii="Times New Roman" w:eastAsia="宋体" w:hAnsi="Times New Roman"/>
          <w:color w:val="000000"/>
          <w:sz w:val="20"/>
          <w:szCs w:val="20"/>
        </w:rPr>
        <w:t>es of credit in the U.S. that are used to support its commercial paper program. In April 2022, the Company renewed and extended its existing 364-day revolving credit facility of $10.0 billion as well as its five-year credit facility of $5.0 billion. In tot</w:t>
      </w:r>
      <w:r>
        <w:rPr>
          <w:rFonts w:ascii="Times New Roman" w:eastAsia="宋体" w:hAnsi="Times New Roman"/>
          <w:color w:val="000000"/>
          <w:sz w:val="20"/>
          <w:szCs w:val="20"/>
        </w:rPr>
        <w:t>al, the Company had committed lines of credit in the U.S. of $15.0 billion at April 30, 2022 and January 31, 2022, all undrawn.</w:t>
      </w:r>
    </w:p>
    <w:p w14:paraId="5DEC60C2" w14:textId="77777777" w:rsidR="00B1578D" w:rsidRDefault="004D2C04">
      <w:pPr>
        <w:spacing w:before="100"/>
      </w:pPr>
      <w:r>
        <w:rPr>
          <w:rFonts w:ascii="Times New Roman" w:eastAsia="宋体" w:hAnsi="Times New Roman"/>
          <w:color w:val="000000"/>
          <w:sz w:val="20"/>
          <w:szCs w:val="20"/>
        </w:rPr>
        <w:t>The following table provides the changes in the Company's long-term debt for the three months ended April 30, 2022:</w:t>
      </w:r>
    </w:p>
    <w:tbl>
      <w:tblPr>
        <w:tblW w:w="4985" w:type="pct"/>
        <w:tblCellMar>
          <w:top w:w="15" w:type="dxa"/>
          <w:left w:w="15" w:type="dxa"/>
          <w:bottom w:w="15" w:type="dxa"/>
          <w:right w:w="15" w:type="dxa"/>
        </w:tblCellMar>
        <w:tblLook w:val="04A0" w:firstRow="1" w:lastRow="0" w:firstColumn="1" w:lastColumn="0" w:noHBand="0" w:noVBand="1"/>
      </w:tblPr>
      <w:tblGrid>
        <w:gridCol w:w="41"/>
        <w:gridCol w:w="4305"/>
        <w:gridCol w:w="38"/>
        <w:gridCol w:w="36"/>
        <w:gridCol w:w="36"/>
        <w:gridCol w:w="36"/>
        <w:gridCol w:w="101"/>
        <w:gridCol w:w="1063"/>
        <w:gridCol w:w="36"/>
        <w:gridCol w:w="36"/>
        <w:gridCol w:w="36"/>
        <w:gridCol w:w="36"/>
        <w:gridCol w:w="101"/>
        <w:gridCol w:w="1065"/>
        <w:gridCol w:w="36"/>
        <w:gridCol w:w="36"/>
        <w:gridCol w:w="36"/>
        <w:gridCol w:w="36"/>
        <w:gridCol w:w="100"/>
        <w:gridCol w:w="1065"/>
        <w:gridCol w:w="36"/>
      </w:tblGrid>
      <w:tr w:rsidR="00B1578D" w14:paraId="5DEC60D8" w14:textId="77777777">
        <w:tc>
          <w:tcPr>
            <w:tcW w:w="50" w:type="pct"/>
            <w:shd w:val="clear" w:color="auto" w:fill="auto"/>
            <w:vAlign w:val="bottom"/>
          </w:tcPr>
          <w:p w14:paraId="5DEC60C3" w14:textId="77777777" w:rsidR="00B1578D" w:rsidRDefault="00B1578D">
            <w:pPr>
              <w:rPr>
                <w:rFonts w:ascii="宋体"/>
              </w:rPr>
            </w:pPr>
          </w:p>
        </w:tc>
        <w:tc>
          <w:tcPr>
            <w:tcW w:w="2613" w:type="pct"/>
            <w:shd w:val="clear" w:color="auto" w:fill="auto"/>
            <w:vAlign w:val="bottom"/>
          </w:tcPr>
          <w:p w14:paraId="5DEC60C4" w14:textId="77777777" w:rsidR="00B1578D" w:rsidRDefault="00B1578D">
            <w:pPr>
              <w:rPr>
                <w:rFonts w:ascii="宋体"/>
              </w:rPr>
            </w:pPr>
          </w:p>
        </w:tc>
        <w:tc>
          <w:tcPr>
            <w:tcW w:w="5" w:type="pct"/>
            <w:shd w:val="clear" w:color="auto" w:fill="auto"/>
            <w:vAlign w:val="bottom"/>
          </w:tcPr>
          <w:p w14:paraId="5DEC60C5" w14:textId="77777777" w:rsidR="00B1578D" w:rsidRDefault="00B1578D">
            <w:pPr>
              <w:rPr>
                <w:rFonts w:ascii="宋体"/>
              </w:rPr>
            </w:pPr>
          </w:p>
        </w:tc>
        <w:tc>
          <w:tcPr>
            <w:tcW w:w="5" w:type="pct"/>
            <w:shd w:val="clear" w:color="auto" w:fill="auto"/>
            <w:vAlign w:val="bottom"/>
          </w:tcPr>
          <w:p w14:paraId="5DEC60C6" w14:textId="77777777" w:rsidR="00B1578D" w:rsidRDefault="00B1578D">
            <w:pPr>
              <w:rPr>
                <w:rFonts w:ascii="宋体"/>
              </w:rPr>
            </w:pPr>
          </w:p>
        </w:tc>
        <w:tc>
          <w:tcPr>
            <w:tcW w:w="26" w:type="pct"/>
            <w:shd w:val="clear" w:color="auto" w:fill="auto"/>
            <w:vAlign w:val="bottom"/>
          </w:tcPr>
          <w:p w14:paraId="5DEC60C7" w14:textId="77777777" w:rsidR="00B1578D" w:rsidRDefault="00B1578D">
            <w:pPr>
              <w:rPr>
                <w:rFonts w:ascii="宋体"/>
              </w:rPr>
            </w:pPr>
          </w:p>
        </w:tc>
        <w:tc>
          <w:tcPr>
            <w:tcW w:w="5" w:type="pct"/>
            <w:shd w:val="clear" w:color="auto" w:fill="auto"/>
            <w:vAlign w:val="bottom"/>
          </w:tcPr>
          <w:p w14:paraId="5DEC60C8" w14:textId="77777777" w:rsidR="00B1578D" w:rsidRDefault="00B1578D">
            <w:pPr>
              <w:rPr>
                <w:rFonts w:ascii="宋体"/>
              </w:rPr>
            </w:pPr>
          </w:p>
        </w:tc>
        <w:tc>
          <w:tcPr>
            <w:tcW w:w="50" w:type="pct"/>
            <w:shd w:val="clear" w:color="auto" w:fill="auto"/>
            <w:vAlign w:val="bottom"/>
          </w:tcPr>
          <w:p w14:paraId="5DEC60C9" w14:textId="77777777" w:rsidR="00B1578D" w:rsidRDefault="00B1578D">
            <w:pPr>
              <w:rPr>
                <w:rFonts w:ascii="宋体"/>
              </w:rPr>
            </w:pPr>
          </w:p>
        </w:tc>
        <w:tc>
          <w:tcPr>
            <w:tcW w:w="685" w:type="pct"/>
            <w:shd w:val="clear" w:color="auto" w:fill="auto"/>
            <w:vAlign w:val="bottom"/>
          </w:tcPr>
          <w:p w14:paraId="5DEC60CA" w14:textId="77777777" w:rsidR="00B1578D" w:rsidRDefault="00B1578D">
            <w:pPr>
              <w:rPr>
                <w:rFonts w:ascii="宋体"/>
              </w:rPr>
            </w:pPr>
          </w:p>
        </w:tc>
        <w:tc>
          <w:tcPr>
            <w:tcW w:w="5" w:type="pct"/>
            <w:shd w:val="clear" w:color="auto" w:fill="auto"/>
            <w:vAlign w:val="bottom"/>
          </w:tcPr>
          <w:p w14:paraId="5DEC60CB" w14:textId="77777777" w:rsidR="00B1578D" w:rsidRDefault="00B1578D">
            <w:pPr>
              <w:rPr>
                <w:rFonts w:ascii="宋体"/>
              </w:rPr>
            </w:pPr>
          </w:p>
        </w:tc>
        <w:tc>
          <w:tcPr>
            <w:tcW w:w="5" w:type="pct"/>
            <w:shd w:val="clear" w:color="auto" w:fill="auto"/>
            <w:vAlign w:val="bottom"/>
          </w:tcPr>
          <w:p w14:paraId="5DEC60CC" w14:textId="77777777" w:rsidR="00B1578D" w:rsidRDefault="00B1578D">
            <w:pPr>
              <w:rPr>
                <w:rFonts w:ascii="宋体"/>
              </w:rPr>
            </w:pPr>
          </w:p>
        </w:tc>
        <w:tc>
          <w:tcPr>
            <w:tcW w:w="26" w:type="pct"/>
            <w:shd w:val="clear" w:color="auto" w:fill="auto"/>
            <w:vAlign w:val="bottom"/>
          </w:tcPr>
          <w:p w14:paraId="5DEC60CD" w14:textId="77777777" w:rsidR="00B1578D" w:rsidRDefault="00B1578D">
            <w:pPr>
              <w:rPr>
                <w:rFonts w:ascii="宋体"/>
              </w:rPr>
            </w:pPr>
          </w:p>
        </w:tc>
        <w:tc>
          <w:tcPr>
            <w:tcW w:w="5" w:type="pct"/>
            <w:shd w:val="clear" w:color="auto" w:fill="auto"/>
            <w:vAlign w:val="bottom"/>
          </w:tcPr>
          <w:p w14:paraId="5DEC60CE" w14:textId="77777777" w:rsidR="00B1578D" w:rsidRDefault="00B1578D">
            <w:pPr>
              <w:rPr>
                <w:rFonts w:ascii="宋体"/>
              </w:rPr>
            </w:pPr>
          </w:p>
        </w:tc>
        <w:tc>
          <w:tcPr>
            <w:tcW w:w="50" w:type="pct"/>
            <w:shd w:val="clear" w:color="auto" w:fill="auto"/>
            <w:vAlign w:val="bottom"/>
          </w:tcPr>
          <w:p w14:paraId="5DEC60CF" w14:textId="77777777" w:rsidR="00B1578D" w:rsidRDefault="00B1578D">
            <w:pPr>
              <w:rPr>
                <w:rFonts w:ascii="宋体"/>
              </w:rPr>
            </w:pPr>
          </w:p>
        </w:tc>
        <w:tc>
          <w:tcPr>
            <w:tcW w:w="685" w:type="pct"/>
            <w:shd w:val="clear" w:color="auto" w:fill="auto"/>
            <w:vAlign w:val="bottom"/>
          </w:tcPr>
          <w:p w14:paraId="5DEC60D0" w14:textId="77777777" w:rsidR="00B1578D" w:rsidRDefault="00B1578D">
            <w:pPr>
              <w:rPr>
                <w:rFonts w:ascii="宋体"/>
              </w:rPr>
            </w:pPr>
          </w:p>
        </w:tc>
        <w:tc>
          <w:tcPr>
            <w:tcW w:w="5" w:type="pct"/>
            <w:shd w:val="clear" w:color="auto" w:fill="auto"/>
            <w:vAlign w:val="bottom"/>
          </w:tcPr>
          <w:p w14:paraId="5DEC60D1" w14:textId="77777777" w:rsidR="00B1578D" w:rsidRDefault="00B1578D">
            <w:pPr>
              <w:rPr>
                <w:rFonts w:ascii="宋体"/>
              </w:rPr>
            </w:pPr>
          </w:p>
        </w:tc>
        <w:tc>
          <w:tcPr>
            <w:tcW w:w="5" w:type="pct"/>
            <w:shd w:val="clear" w:color="auto" w:fill="auto"/>
            <w:vAlign w:val="bottom"/>
          </w:tcPr>
          <w:p w14:paraId="5DEC60D2" w14:textId="77777777" w:rsidR="00B1578D" w:rsidRDefault="00B1578D">
            <w:pPr>
              <w:rPr>
                <w:rFonts w:ascii="宋体"/>
              </w:rPr>
            </w:pPr>
          </w:p>
        </w:tc>
        <w:tc>
          <w:tcPr>
            <w:tcW w:w="26" w:type="pct"/>
            <w:shd w:val="clear" w:color="auto" w:fill="auto"/>
            <w:vAlign w:val="bottom"/>
          </w:tcPr>
          <w:p w14:paraId="5DEC60D3" w14:textId="77777777" w:rsidR="00B1578D" w:rsidRDefault="00B1578D">
            <w:pPr>
              <w:rPr>
                <w:rFonts w:ascii="宋体"/>
              </w:rPr>
            </w:pPr>
          </w:p>
        </w:tc>
        <w:tc>
          <w:tcPr>
            <w:tcW w:w="5" w:type="pct"/>
            <w:shd w:val="clear" w:color="auto" w:fill="auto"/>
            <w:vAlign w:val="bottom"/>
          </w:tcPr>
          <w:p w14:paraId="5DEC60D4" w14:textId="77777777" w:rsidR="00B1578D" w:rsidRDefault="00B1578D">
            <w:pPr>
              <w:rPr>
                <w:rFonts w:ascii="宋体"/>
              </w:rPr>
            </w:pPr>
          </w:p>
        </w:tc>
        <w:tc>
          <w:tcPr>
            <w:tcW w:w="50" w:type="pct"/>
            <w:shd w:val="clear" w:color="auto" w:fill="auto"/>
            <w:vAlign w:val="bottom"/>
          </w:tcPr>
          <w:p w14:paraId="5DEC60D5" w14:textId="77777777" w:rsidR="00B1578D" w:rsidRDefault="00B1578D">
            <w:pPr>
              <w:rPr>
                <w:rFonts w:ascii="宋体"/>
              </w:rPr>
            </w:pPr>
          </w:p>
        </w:tc>
        <w:tc>
          <w:tcPr>
            <w:tcW w:w="685" w:type="pct"/>
            <w:shd w:val="clear" w:color="auto" w:fill="auto"/>
            <w:vAlign w:val="bottom"/>
          </w:tcPr>
          <w:p w14:paraId="5DEC60D6" w14:textId="77777777" w:rsidR="00B1578D" w:rsidRDefault="00B1578D">
            <w:pPr>
              <w:rPr>
                <w:rFonts w:ascii="宋体"/>
              </w:rPr>
            </w:pPr>
          </w:p>
        </w:tc>
        <w:tc>
          <w:tcPr>
            <w:tcW w:w="5" w:type="pct"/>
            <w:shd w:val="clear" w:color="auto" w:fill="auto"/>
            <w:vAlign w:val="bottom"/>
          </w:tcPr>
          <w:p w14:paraId="5DEC60D7" w14:textId="77777777" w:rsidR="00B1578D" w:rsidRDefault="00B1578D">
            <w:pPr>
              <w:rPr>
                <w:rFonts w:ascii="宋体"/>
              </w:rPr>
            </w:pPr>
          </w:p>
        </w:tc>
      </w:tr>
      <w:tr w:rsidR="00B1578D" w14:paraId="5DEC60E0" w14:textId="77777777">
        <w:tc>
          <w:tcPr>
            <w:tcW w:w="0" w:type="auto"/>
            <w:gridSpan w:val="3"/>
            <w:shd w:val="clear" w:color="auto" w:fill="auto"/>
            <w:tcMar>
              <w:top w:w="40" w:type="dxa"/>
              <w:left w:w="20" w:type="dxa"/>
              <w:bottom w:w="40" w:type="dxa"/>
              <w:right w:w="20" w:type="dxa"/>
            </w:tcMar>
            <w:vAlign w:val="bottom"/>
          </w:tcPr>
          <w:p w14:paraId="5DEC60D9"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0D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0DB" w14:textId="77777777" w:rsidR="00B1578D" w:rsidRDefault="004D2C04">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5DEC60D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0DD" w14:textId="77777777" w:rsidR="00B1578D" w:rsidRDefault="004D2C04">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5DEC60D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0DF" w14:textId="77777777" w:rsidR="00B1578D" w:rsidRDefault="004D2C04">
            <w:pPr>
              <w:jc w:val="center"/>
              <w:textAlignment w:val="bottom"/>
            </w:pPr>
            <w:r>
              <w:rPr>
                <w:rFonts w:ascii="Times New Roman" w:eastAsia="宋体" w:hAnsi="Times New Roman"/>
                <w:b/>
                <w:bCs/>
                <w:color w:val="000000"/>
                <w:sz w:val="16"/>
                <w:szCs w:val="16"/>
              </w:rPr>
              <w:t>Total</w:t>
            </w:r>
          </w:p>
        </w:tc>
      </w:tr>
      <w:tr w:rsidR="00B1578D" w14:paraId="5DEC60EE" w14:textId="77777777">
        <w:tc>
          <w:tcPr>
            <w:tcW w:w="0" w:type="auto"/>
            <w:gridSpan w:val="3"/>
            <w:shd w:val="clear" w:color="auto" w:fill="CCEEFF"/>
            <w:tcMar>
              <w:top w:w="40" w:type="dxa"/>
              <w:left w:w="20" w:type="dxa"/>
              <w:bottom w:w="40" w:type="dxa"/>
              <w:right w:w="20" w:type="dxa"/>
            </w:tcMar>
            <w:vAlign w:val="center"/>
          </w:tcPr>
          <w:p w14:paraId="5DEC60E1" w14:textId="77777777" w:rsidR="00B1578D" w:rsidRDefault="004D2C04">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5DEC60E2"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E3"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E4" w14:textId="77777777" w:rsidR="00B1578D" w:rsidRDefault="004D2C04">
            <w:pPr>
              <w:jc w:val="right"/>
              <w:textAlignment w:val="center"/>
            </w:pPr>
            <w:r>
              <w:rPr>
                <w:rFonts w:ascii="Times New Roman" w:eastAsia="宋体" w:hAnsi="Times New Roman"/>
                <w:color w:val="000000"/>
                <w:sz w:val="16"/>
                <w:szCs w:val="16"/>
              </w:rPr>
              <w:t>2,803 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E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E6"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E7"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E8" w14:textId="77777777" w:rsidR="00B1578D" w:rsidRDefault="004D2C04">
            <w:pPr>
              <w:jc w:val="right"/>
              <w:textAlignment w:val="center"/>
            </w:pPr>
            <w:r>
              <w:rPr>
                <w:rFonts w:ascii="Times New Roman" w:eastAsia="宋体" w:hAnsi="Times New Roman"/>
                <w:color w:val="000000"/>
                <w:sz w:val="16"/>
                <w:szCs w:val="16"/>
              </w:rPr>
              <w:t>34,864 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E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0EA"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0E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0EC" w14:textId="77777777" w:rsidR="00B1578D" w:rsidRDefault="004D2C04">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0ED" w14:textId="77777777" w:rsidR="00B1578D" w:rsidRDefault="00B1578D">
            <w:pPr>
              <w:jc w:val="right"/>
              <w:rPr>
                <w:rFonts w:ascii="宋体"/>
              </w:rPr>
            </w:pPr>
          </w:p>
        </w:tc>
      </w:tr>
      <w:tr w:rsidR="00B1578D" w14:paraId="5DEC60F6" w14:textId="77777777">
        <w:trPr>
          <w:hidden/>
        </w:trPr>
        <w:tc>
          <w:tcPr>
            <w:tcW w:w="0" w:type="auto"/>
            <w:gridSpan w:val="3"/>
            <w:shd w:val="clear" w:color="auto" w:fill="auto"/>
            <w:vAlign w:val="bottom"/>
          </w:tcPr>
          <w:p w14:paraId="5DEC60EF" w14:textId="77777777" w:rsidR="00B1578D" w:rsidRDefault="00B1578D">
            <w:pPr>
              <w:rPr>
                <w:rFonts w:ascii="宋体"/>
                <w:vanish/>
              </w:rPr>
            </w:pPr>
          </w:p>
        </w:tc>
        <w:tc>
          <w:tcPr>
            <w:tcW w:w="0" w:type="auto"/>
            <w:gridSpan w:val="3"/>
            <w:shd w:val="clear" w:color="auto" w:fill="auto"/>
            <w:vAlign w:val="bottom"/>
          </w:tcPr>
          <w:p w14:paraId="5DEC60F0" w14:textId="77777777" w:rsidR="00B1578D" w:rsidRDefault="00B1578D">
            <w:pPr>
              <w:rPr>
                <w:rFonts w:ascii="宋体"/>
                <w:vanish/>
              </w:rPr>
            </w:pPr>
          </w:p>
        </w:tc>
        <w:tc>
          <w:tcPr>
            <w:tcW w:w="0" w:type="auto"/>
            <w:gridSpan w:val="3"/>
            <w:shd w:val="clear" w:color="auto" w:fill="auto"/>
            <w:vAlign w:val="bottom"/>
          </w:tcPr>
          <w:p w14:paraId="5DEC60F1" w14:textId="77777777" w:rsidR="00B1578D" w:rsidRDefault="00B1578D">
            <w:pPr>
              <w:rPr>
                <w:rFonts w:ascii="宋体"/>
                <w:vanish/>
              </w:rPr>
            </w:pPr>
          </w:p>
        </w:tc>
        <w:tc>
          <w:tcPr>
            <w:tcW w:w="0" w:type="auto"/>
            <w:gridSpan w:val="3"/>
            <w:shd w:val="clear" w:color="auto" w:fill="auto"/>
            <w:vAlign w:val="bottom"/>
          </w:tcPr>
          <w:p w14:paraId="5DEC60F2" w14:textId="77777777" w:rsidR="00B1578D" w:rsidRDefault="00B1578D">
            <w:pPr>
              <w:rPr>
                <w:rFonts w:ascii="宋体"/>
                <w:vanish/>
              </w:rPr>
            </w:pPr>
          </w:p>
        </w:tc>
        <w:tc>
          <w:tcPr>
            <w:tcW w:w="0" w:type="auto"/>
            <w:gridSpan w:val="3"/>
            <w:shd w:val="clear" w:color="auto" w:fill="auto"/>
            <w:vAlign w:val="bottom"/>
          </w:tcPr>
          <w:p w14:paraId="5DEC60F3" w14:textId="77777777" w:rsidR="00B1578D" w:rsidRDefault="00B1578D">
            <w:pPr>
              <w:rPr>
                <w:rFonts w:ascii="宋体"/>
                <w:vanish/>
              </w:rPr>
            </w:pPr>
          </w:p>
        </w:tc>
        <w:tc>
          <w:tcPr>
            <w:tcW w:w="0" w:type="auto"/>
            <w:gridSpan w:val="3"/>
            <w:shd w:val="clear" w:color="auto" w:fill="auto"/>
            <w:vAlign w:val="bottom"/>
          </w:tcPr>
          <w:p w14:paraId="5DEC60F4" w14:textId="77777777" w:rsidR="00B1578D" w:rsidRDefault="00B1578D">
            <w:pPr>
              <w:rPr>
                <w:rFonts w:ascii="宋体"/>
                <w:vanish/>
              </w:rPr>
            </w:pPr>
          </w:p>
        </w:tc>
        <w:tc>
          <w:tcPr>
            <w:tcW w:w="0" w:type="auto"/>
            <w:gridSpan w:val="3"/>
            <w:shd w:val="clear" w:color="auto" w:fill="auto"/>
            <w:vAlign w:val="bottom"/>
          </w:tcPr>
          <w:p w14:paraId="5DEC60F5" w14:textId="77777777" w:rsidR="00B1578D" w:rsidRDefault="00B1578D">
            <w:pPr>
              <w:rPr>
                <w:rFonts w:ascii="宋体"/>
                <w:vanish/>
              </w:rPr>
            </w:pPr>
          </w:p>
        </w:tc>
      </w:tr>
      <w:tr w:rsidR="00B1578D" w14:paraId="5DEC6101" w14:textId="77777777">
        <w:tc>
          <w:tcPr>
            <w:tcW w:w="0" w:type="auto"/>
            <w:gridSpan w:val="3"/>
            <w:shd w:val="clear" w:color="auto" w:fill="FFFFFF"/>
            <w:tcMar>
              <w:top w:w="40" w:type="dxa"/>
              <w:left w:w="20" w:type="dxa"/>
              <w:bottom w:w="40" w:type="dxa"/>
              <w:right w:w="20" w:type="dxa"/>
            </w:tcMar>
            <w:vAlign w:val="center"/>
          </w:tcPr>
          <w:p w14:paraId="5DEC60F7" w14:textId="77777777" w:rsidR="00B1578D" w:rsidRDefault="004D2C04">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5DEC60F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0F9" w14:textId="77777777" w:rsidR="00B1578D" w:rsidRDefault="004D2C04">
            <w:pPr>
              <w:jc w:val="right"/>
              <w:textAlignment w:val="center"/>
            </w:pPr>
            <w:r>
              <w:rPr>
                <w:rFonts w:ascii="Times New Roman" w:eastAsia="宋体" w:hAnsi="Times New Roman"/>
                <w:color w:val="000000"/>
                <w:sz w:val="16"/>
                <w:szCs w:val="16"/>
              </w:rPr>
              <w:t>(926)</w:t>
            </w:r>
          </w:p>
        </w:tc>
        <w:tc>
          <w:tcPr>
            <w:tcW w:w="0" w:type="auto"/>
            <w:shd w:val="clear" w:color="auto" w:fill="FFFFFF"/>
            <w:tcMar>
              <w:top w:w="40" w:type="dxa"/>
              <w:left w:w="0" w:type="dxa"/>
              <w:bottom w:w="40" w:type="dxa"/>
              <w:right w:w="20" w:type="dxa"/>
            </w:tcMar>
            <w:vAlign w:val="center"/>
          </w:tcPr>
          <w:p w14:paraId="5DEC60F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F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0FC"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60F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0F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0FF" w14:textId="77777777" w:rsidR="00B1578D" w:rsidRDefault="004D2C04">
            <w:pPr>
              <w:jc w:val="right"/>
              <w:textAlignment w:val="center"/>
            </w:pPr>
            <w:r>
              <w:rPr>
                <w:rFonts w:ascii="Times New Roman" w:eastAsia="宋体" w:hAnsi="Times New Roman"/>
                <w:color w:val="000000"/>
                <w:sz w:val="16"/>
                <w:szCs w:val="16"/>
              </w:rPr>
              <w:t>(926)</w:t>
            </w:r>
          </w:p>
        </w:tc>
        <w:tc>
          <w:tcPr>
            <w:tcW w:w="0" w:type="auto"/>
            <w:shd w:val="clear" w:color="auto" w:fill="FFFFFF"/>
            <w:tcMar>
              <w:top w:w="40" w:type="dxa"/>
              <w:left w:w="0" w:type="dxa"/>
              <w:bottom w:w="40" w:type="dxa"/>
              <w:right w:w="20" w:type="dxa"/>
            </w:tcMar>
            <w:vAlign w:val="center"/>
          </w:tcPr>
          <w:p w14:paraId="5DEC6100" w14:textId="77777777" w:rsidR="00B1578D" w:rsidRDefault="00B1578D">
            <w:pPr>
              <w:jc w:val="right"/>
              <w:rPr>
                <w:rFonts w:ascii="宋体"/>
              </w:rPr>
            </w:pPr>
          </w:p>
        </w:tc>
      </w:tr>
      <w:tr w:rsidR="00B1578D" w14:paraId="5DEC610C" w14:textId="77777777">
        <w:tc>
          <w:tcPr>
            <w:tcW w:w="0" w:type="auto"/>
            <w:gridSpan w:val="3"/>
            <w:shd w:val="clear" w:color="auto" w:fill="CCEEFF"/>
            <w:tcMar>
              <w:top w:w="40" w:type="dxa"/>
              <w:left w:w="20" w:type="dxa"/>
              <w:bottom w:w="40" w:type="dxa"/>
              <w:right w:w="20" w:type="dxa"/>
            </w:tcMar>
            <w:vAlign w:val="center"/>
          </w:tcPr>
          <w:p w14:paraId="5DEC6102" w14:textId="77777777" w:rsidR="00B1578D" w:rsidRDefault="004D2C04">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vAlign w:val="bottom"/>
          </w:tcPr>
          <w:p w14:paraId="5DEC610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104" w14:textId="77777777" w:rsidR="00B1578D" w:rsidRDefault="004D2C04">
            <w:pPr>
              <w:jc w:val="right"/>
              <w:textAlignment w:val="center"/>
            </w:pPr>
            <w:r>
              <w:rPr>
                <w:rFonts w:ascii="Times New Roman" w:eastAsia="宋体" w:hAnsi="Times New Roman"/>
                <w:color w:val="000000"/>
                <w:sz w:val="16"/>
                <w:szCs w:val="16"/>
              </w:rPr>
              <w:t>1,750 </w:t>
            </w:r>
          </w:p>
        </w:tc>
        <w:tc>
          <w:tcPr>
            <w:tcW w:w="0" w:type="auto"/>
            <w:shd w:val="clear" w:color="auto" w:fill="CCEEFF"/>
            <w:tcMar>
              <w:top w:w="40" w:type="dxa"/>
              <w:left w:w="0" w:type="dxa"/>
              <w:bottom w:w="40" w:type="dxa"/>
              <w:right w:w="20" w:type="dxa"/>
            </w:tcMar>
            <w:vAlign w:val="center"/>
          </w:tcPr>
          <w:p w14:paraId="5DEC610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0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107" w14:textId="77777777" w:rsidR="00B1578D" w:rsidRDefault="004D2C04">
            <w:pPr>
              <w:jc w:val="right"/>
              <w:textAlignment w:val="center"/>
            </w:pPr>
            <w:r>
              <w:rPr>
                <w:rFonts w:ascii="Times New Roman" w:eastAsia="宋体" w:hAnsi="Times New Roman"/>
                <w:color w:val="000000"/>
                <w:sz w:val="16"/>
                <w:szCs w:val="16"/>
              </w:rPr>
              <w:t>(1,750)</w:t>
            </w:r>
          </w:p>
        </w:tc>
        <w:tc>
          <w:tcPr>
            <w:tcW w:w="0" w:type="auto"/>
            <w:shd w:val="clear" w:color="auto" w:fill="CCEEFF"/>
            <w:tcMar>
              <w:top w:w="40" w:type="dxa"/>
              <w:left w:w="0" w:type="dxa"/>
              <w:bottom w:w="40" w:type="dxa"/>
              <w:right w:w="20" w:type="dxa"/>
            </w:tcMar>
            <w:vAlign w:val="center"/>
          </w:tcPr>
          <w:p w14:paraId="5DEC610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0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10A"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610B" w14:textId="77777777" w:rsidR="00B1578D" w:rsidRDefault="00B1578D">
            <w:pPr>
              <w:jc w:val="right"/>
              <w:rPr>
                <w:rFonts w:ascii="宋体"/>
              </w:rPr>
            </w:pPr>
          </w:p>
        </w:tc>
      </w:tr>
      <w:tr w:rsidR="00B1578D" w14:paraId="5DEC6117" w14:textId="77777777">
        <w:tc>
          <w:tcPr>
            <w:tcW w:w="0" w:type="auto"/>
            <w:gridSpan w:val="3"/>
            <w:shd w:val="clear" w:color="auto" w:fill="FFFFFF"/>
            <w:tcMar>
              <w:top w:w="40" w:type="dxa"/>
              <w:left w:w="20" w:type="dxa"/>
              <w:bottom w:w="40" w:type="dxa"/>
              <w:right w:w="20" w:type="dxa"/>
            </w:tcMar>
            <w:vAlign w:val="bottom"/>
          </w:tcPr>
          <w:p w14:paraId="5DEC610D" w14:textId="77777777" w:rsidR="00B1578D" w:rsidRDefault="004D2C04">
            <w:pPr>
              <w:textAlignment w:val="bottom"/>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vAlign w:val="bottom"/>
          </w:tcPr>
          <w:p w14:paraId="5DEC610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10F" w14:textId="77777777" w:rsidR="00B1578D" w:rsidRDefault="004D2C04">
            <w:pPr>
              <w:jc w:val="right"/>
              <w:textAlignment w:val="center"/>
            </w:pPr>
            <w:r>
              <w:rPr>
                <w:rFonts w:ascii="Times New Roman" w:eastAsia="宋体" w:hAnsi="Times New Roman"/>
                <w:color w:val="000000"/>
                <w:sz w:val="16"/>
                <w:szCs w:val="16"/>
              </w:rPr>
              <w:t>(47)</w:t>
            </w:r>
          </w:p>
        </w:tc>
        <w:tc>
          <w:tcPr>
            <w:tcW w:w="0" w:type="auto"/>
            <w:shd w:val="clear" w:color="auto" w:fill="FFFFFF"/>
            <w:tcMar>
              <w:top w:w="40" w:type="dxa"/>
              <w:left w:w="0" w:type="dxa"/>
              <w:bottom w:w="40" w:type="dxa"/>
              <w:right w:w="20" w:type="dxa"/>
            </w:tcMar>
            <w:vAlign w:val="center"/>
          </w:tcPr>
          <w:p w14:paraId="5DEC611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11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112" w14:textId="77777777" w:rsidR="00B1578D" w:rsidRDefault="004D2C04">
            <w:pPr>
              <w:jc w:val="right"/>
              <w:textAlignment w:val="center"/>
            </w:pPr>
            <w:r>
              <w:rPr>
                <w:rFonts w:ascii="Times New Roman" w:eastAsia="宋体" w:hAnsi="Times New Roman"/>
                <w:color w:val="000000"/>
                <w:sz w:val="16"/>
                <w:szCs w:val="16"/>
              </w:rPr>
              <w:t>(940)</w:t>
            </w:r>
          </w:p>
        </w:tc>
        <w:tc>
          <w:tcPr>
            <w:tcW w:w="0" w:type="auto"/>
            <w:shd w:val="clear" w:color="auto" w:fill="FFFFFF"/>
            <w:tcMar>
              <w:top w:w="40" w:type="dxa"/>
              <w:left w:w="0" w:type="dxa"/>
              <w:bottom w:w="40" w:type="dxa"/>
              <w:right w:w="20" w:type="dxa"/>
            </w:tcMar>
            <w:vAlign w:val="center"/>
          </w:tcPr>
          <w:p w14:paraId="5DEC611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11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115" w14:textId="77777777" w:rsidR="00B1578D" w:rsidRDefault="004D2C04">
            <w:pPr>
              <w:jc w:val="right"/>
              <w:textAlignment w:val="center"/>
            </w:pPr>
            <w:r>
              <w:rPr>
                <w:rFonts w:ascii="Times New Roman" w:eastAsia="宋体" w:hAnsi="Times New Roman"/>
                <w:color w:val="000000"/>
                <w:sz w:val="16"/>
                <w:szCs w:val="16"/>
              </w:rPr>
              <w:t>(987)</w:t>
            </w:r>
          </w:p>
        </w:tc>
        <w:tc>
          <w:tcPr>
            <w:tcW w:w="0" w:type="auto"/>
            <w:shd w:val="clear" w:color="auto" w:fill="FFFFFF"/>
            <w:tcMar>
              <w:top w:w="40" w:type="dxa"/>
              <w:left w:w="0" w:type="dxa"/>
              <w:bottom w:w="40" w:type="dxa"/>
              <w:right w:w="20" w:type="dxa"/>
            </w:tcMar>
            <w:vAlign w:val="center"/>
          </w:tcPr>
          <w:p w14:paraId="5DEC6116" w14:textId="77777777" w:rsidR="00B1578D" w:rsidRDefault="00B1578D">
            <w:pPr>
              <w:jc w:val="right"/>
              <w:rPr>
                <w:rFonts w:ascii="宋体"/>
              </w:rPr>
            </w:pPr>
          </w:p>
        </w:tc>
      </w:tr>
      <w:tr w:rsidR="00B1578D" w14:paraId="5DEC6125" w14:textId="77777777">
        <w:tc>
          <w:tcPr>
            <w:tcW w:w="0" w:type="auto"/>
            <w:gridSpan w:val="3"/>
            <w:shd w:val="clear" w:color="auto" w:fill="CCEEFF"/>
            <w:tcMar>
              <w:top w:w="40" w:type="dxa"/>
              <w:left w:w="20" w:type="dxa"/>
              <w:bottom w:w="40" w:type="dxa"/>
              <w:right w:w="20" w:type="dxa"/>
            </w:tcMar>
            <w:vAlign w:val="center"/>
          </w:tcPr>
          <w:p w14:paraId="5DEC6118" w14:textId="77777777" w:rsidR="00B1578D" w:rsidRDefault="004D2C04">
            <w:pPr>
              <w:textAlignment w:val="center"/>
            </w:pPr>
            <w:r>
              <w:rPr>
                <w:rFonts w:ascii="Times New Roman" w:eastAsia="宋体" w:hAnsi="Times New Roman"/>
                <w:b/>
                <w:bCs/>
                <w:color w:val="000000"/>
                <w:sz w:val="16"/>
                <w:szCs w:val="16"/>
              </w:rPr>
              <w:t>Balance</w:t>
            </w:r>
            <w:r>
              <w:rPr>
                <w:rFonts w:ascii="Times New Roman" w:eastAsia="宋体" w:hAnsi="Times New Roman"/>
                <w:b/>
                <w:bCs/>
                <w:color w:val="000000"/>
                <w:sz w:val="16"/>
                <w:szCs w:val="16"/>
              </w:rPr>
              <w:t>s as of April 30, 2022</w:t>
            </w:r>
          </w:p>
        </w:tc>
        <w:tc>
          <w:tcPr>
            <w:tcW w:w="0" w:type="auto"/>
            <w:gridSpan w:val="3"/>
            <w:shd w:val="clear" w:color="auto" w:fill="CCEEFF"/>
            <w:tcMar>
              <w:top w:w="0" w:type="dxa"/>
              <w:left w:w="20" w:type="dxa"/>
              <w:bottom w:w="0" w:type="dxa"/>
              <w:right w:w="20" w:type="dxa"/>
            </w:tcMar>
            <w:vAlign w:val="bottom"/>
          </w:tcPr>
          <w:p w14:paraId="5DEC6119"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11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11B" w14:textId="77777777" w:rsidR="00B1578D" w:rsidRDefault="004D2C04">
            <w:pPr>
              <w:jc w:val="right"/>
              <w:textAlignment w:val="center"/>
            </w:pPr>
            <w:r>
              <w:rPr>
                <w:rFonts w:ascii="Times New Roman" w:eastAsia="宋体" w:hAnsi="Times New Roman"/>
                <w:color w:val="000000"/>
                <w:sz w:val="16"/>
                <w:szCs w:val="16"/>
              </w:rPr>
              <w:t>3,580 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11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1D"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11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11F" w14:textId="77777777" w:rsidR="00B1578D" w:rsidRDefault="004D2C04">
            <w:pPr>
              <w:jc w:val="right"/>
              <w:textAlignment w:val="center"/>
            </w:pPr>
            <w:r>
              <w:rPr>
                <w:rFonts w:ascii="Times New Roman" w:eastAsia="宋体" w:hAnsi="Times New Roman"/>
                <w:color w:val="000000"/>
                <w:sz w:val="16"/>
                <w:szCs w:val="16"/>
              </w:rPr>
              <w:t>32,174 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12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21"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122"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123" w14:textId="77777777" w:rsidR="00B1578D" w:rsidRDefault="004D2C04">
            <w:pPr>
              <w:jc w:val="right"/>
              <w:textAlignment w:val="center"/>
            </w:pPr>
            <w:r>
              <w:rPr>
                <w:rFonts w:ascii="Times New Roman" w:eastAsia="宋体" w:hAnsi="Times New Roman"/>
                <w:color w:val="000000"/>
                <w:sz w:val="16"/>
                <w:szCs w:val="16"/>
              </w:rPr>
              <w:t>35,754 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124" w14:textId="77777777" w:rsidR="00B1578D" w:rsidRDefault="00B1578D">
            <w:pPr>
              <w:jc w:val="right"/>
              <w:rPr>
                <w:rFonts w:ascii="宋体"/>
              </w:rPr>
            </w:pPr>
          </w:p>
        </w:tc>
      </w:tr>
    </w:tbl>
    <w:p w14:paraId="5DEC6126" w14:textId="77777777" w:rsidR="00B1578D" w:rsidRDefault="004D2C04">
      <w:pPr>
        <w:spacing w:before="240"/>
      </w:pPr>
      <w:r>
        <w:rPr>
          <w:rFonts w:ascii="Times New Roman" w:eastAsia="宋体" w:hAnsi="Times New Roman"/>
          <w:b/>
          <w:bCs/>
          <w:color w:val="000000"/>
          <w:sz w:val="20"/>
          <w:szCs w:val="20"/>
        </w:rPr>
        <w:t>Note 5. Fair Value Measurements</w:t>
      </w:r>
    </w:p>
    <w:p w14:paraId="5DEC6127" w14:textId="77777777" w:rsidR="00B1578D" w:rsidRDefault="004D2C04">
      <w:pPr>
        <w:spacing w:before="180"/>
      </w:pPr>
      <w:r>
        <w:rPr>
          <w:rFonts w:ascii="Times New Roman" w:eastAsia="宋体" w:hAnsi="Times New Roman"/>
          <w:color w:val="000000"/>
          <w:sz w:val="20"/>
          <w:szCs w:val="20"/>
        </w:rPr>
        <w:t xml:space="preserve">Assets and liabilities recorded at fair value are measured using the fair </w:t>
      </w:r>
      <w:r>
        <w:rPr>
          <w:rFonts w:ascii="Times New Roman" w:eastAsia="宋体" w:hAnsi="Times New Roman"/>
          <w:color w:val="000000"/>
          <w:sz w:val="20"/>
          <w:szCs w:val="20"/>
        </w:rPr>
        <w:t>value hierarchy, which prioritizes the inputs used in measuring fair value. The levels of the fair value hierarchy are:</w:t>
      </w:r>
    </w:p>
    <w:p w14:paraId="5DEC6128" w14:textId="77777777" w:rsidR="00B1578D" w:rsidRDefault="004D2C04">
      <w:pPr>
        <w:spacing w:before="100"/>
        <w:ind w:hanging="360"/>
      </w:pPr>
      <w:r>
        <w:rPr>
          <w:rFonts w:ascii="Times New Roman" w:eastAsia="宋体" w:hAnsi="Times New Roman"/>
          <w:color w:val="000000"/>
          <w:sz w:val="20"/>
          <w:szCs w:val="20"/>
        </w:rPr>
        <w:t>•Level 1: observable inputs such as quoted prices in active markets;</w:t>
      </w:r>
    </w:p>
    <w:p w14:paraId="5DEC6129" w14:textId="77777777" w:rsidR="00B1578D" w:rsidRDefault="004D2C04">
      <w:pPr>
        <w:spacing w:before="100"/>
        <w:ind w:hanging="360"/>
      </w:pPr>
      <w:r>
        <w:rPr>
          <w:rFonts w:ascii="Times New Roman" w:eastAsia="宋体" w:hAnsi="Times New Roman"/>
          <w:color w:val="000000"/>
          <w:sz w:val="20"/>
          <w:szCs w:val="20"/>
        </w:rPr>
        <w:t xml:space="preserve">•Level 2: inputs other than quoted prices in active markets </w:t>
      </w:r>
      <w:r>
        <w:rPr>
          <w:rFonts w:ascii="Times New Roman" w:eastAsia="宋体" w:hAnsi="Times New Roman"/>
          <w:color w:val="000000"/>
          <w:sz w:val="20"/>
          <w:szCs w:val="20"/>
        </w:rPr>
        <w:t>that are either directly or indirectly observable; and</w:t>
      </w:r>
    </w:p>
    <w:p w14:paraId="5DEC612A" w14:textId="77777777" w:rsidR="00B1578D" w:rsidRDefault="004D2C04">
      <w:pPr>
        <w:spacing w:before="100"/>
        <w:ind w:hanging="360"/>
      </w:pPr>
      <w:r>
        <w:rPr>
          <w:rFonts w:ascii="Times New Roman" w:eastAsia="宋体" w:hAnsi="Times New Roman"/>
          <w:color w:val="000000"/>
          <w:sz w:val="20"/>
          <w:szCs w:val="20"/>
        </w:rPr>
        <w:t>•Level 3: unobservable inputs for which little or no market data exists, therefore requiring the Company to develop its own assumptions.</w:t>
      </w:r>
    </w:p>
    <w:p w14:paraId="5DEC612B" w14:textId="77777777" w:rsidR="00B1578D" w:rsidRDefault="004D2C04">
      <w:pPr>
        <w:spacing w:before="100"/>
      </w:pPr>
      <w:r>
        <w:rPr>
          <w:rFonts w:ascii="Times New Roman" w:eastAsia="宋体" w:hAnsi="Times New Roman"/>
          <w:color w:val="000000"/>
          <w:sz w:val="20"/>
          <w:szCs w:val="20"/>
        </w:rPr>
        <w:t>The Company measures the fair value of certain equity investment</w:t>
      </w:r>
      <w:r>
        <w:rPr>
          <w:rFonts w:ascii="Times New Roman" w:eastAsia="宋体" w:hAnsi="Times New Roman"/>
          <w:color w:val="000000"/>
          <w:sz w:val="20"/>
          <w:szCs w:val="20"/>
        </w:rPr>
        <w:t>s on a recurring basis in the accompanying Condensed Consolidated Balance Sheets. The fair value of the Company's equity investments measured on a recurring basis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65"/>
        <w:gridCol w:w="37"/>
        <w:gridCol w:w="36"/>
        <w:gridCol w:w="36"/>
        <w:gridCol w:w="36"/>
        <w:gridCol w:w="36"/>
        <w:gridCol w:w="36"/>
        <w:gridCol w:w="36"/>
        <w:gridCol w:w="36"/>
        <w:gridCol w:w="36"/>
        <w:gridCol w:w="36"/>
        <w:gridCol w:w="100"/>
        <w:gridCol w:w="877"/>
        <w:gridCol w:w="36"/>
        <w:gridCol w:w="36"/>
        <w:gridCol w:w="36"/>
        <w:gridCol w:w="36"/>
        <w:gridCol w:w="36"/>
        <w:gridCol w:w="100"/>
        <w:gridCol w:w="879"/>
        <w:gridCol w:w="36"/>
      </w:tblGrid>
      <w:tr w:rsidR="00B1578D" w14:paraId="5DEC6142" w14:textId="77777777">
        <w:trPr>
          <w:jc w:val="center"/>
        </w:trPr>
        <w:tc>
          <w:tcPr>
            <w:tcW w:w="50" w:type="pct"/>
            <w:shd w:val="clear" w:color="auto" w:fill="auto"/>
            <w:vAlign w:val="bottom"/>
          </w:tcPr>
          <w:p w14:paraId="5DEC612C" w14:textId="77777777" w:rsidR="00B1578D" w:rsidRDefault="00B1578D">
            <w:pPr>
              <w:rPr>
                <w:rFonts w:ascii="宋体"/>
              </w:rPr>
            </w:pPr>
          </w:p>
        </w:tc>
        <w:tc>
          <w:tcPr>
            <w:tcW w:w="3614" w:type="pct"/>
            <w:shd w:val="clear" w:color="auto" w:fill="auto"/>
            <w:vAlign w:val="bottom"/>
          </w:tcPr>
          <w:p w14:paraId="5DEC612D" w14:textId="77777777" w:rsidR="00B1578D" w:rsidRDefault="00B1578D">
            <w:pPr>
              <w:rPr>
                <w:rFonts w:ascii="宋体"/>
              </w:rPr>
            </w:pPr>
          </w:p>
        </w:tc>
        <w:tc>
          <w:tcPr>
            <w:tcW w:w="5" w:type="pct"/>
            <w:shd w:val="clear" w:color="auto" w:fill="auto"/>
            <w:vAlign w:val="bottom"/>
          </w:tcPr>
          <w:p w14:paraId="5DEC612E" w14:textId="77777777" w:rsidR="00B1578D" w:rsidRDefault="00B1578D">
            <w:pPr>
              <w:rPr>
                <w:rFonts w:ascii="宋体"/>
              </w:rPr>
            </w:pPr>
          </w:p>
        </w:tc>
        <w:tc>
          <w:tcPr>
            <w:tcW w:w="0" w:type="auto"/>
            <w:shd w:val="clear" w:color="auto" w:fill="auto"/>
            <w:vAlign w:val="bottom"/>
          </w:tcPr>
          <w:p w14:paraId="5DEC612F" w14:textId="77777777" w:rsidR="00B1578D" w:rsidRDefault="00B1578D">
            <w:pPr>
              <w:rPr>
                <w:rFonts w:ascii="宋体"/>
                <w:vanish/>
              </w:rPr>
            </w:pPr>
          </w:p>
        </w:tc>
        <w:tc>
          <w:tcPr>
            <w:tcW w:w="0" w:type="auto"/>
            <w:shd w:val="clear" w:color="auto" w:fill="auto"/>
            <w:vAlign w:val="bottom"/>
          </w:tcPr>
          <w:p w14:paraId="5DEC6130" w14:textId="77777777" w:rsidR="00B1578D" w:rsidRDefault="00B1578D">
            <w:pPr>
              <w:rPr>
                <w:rFonts w:ascii="宋体"/>
                <w:vanish/>
              </w:rPr>
            </w:pPr>
          </w:p>
        </w:tc>
        <w:tc>
          <w:tcPr>
            <w:tcW w:w="0" w:type="auto"/>
            <w:shd w:val="clear" w:color="auto" w:fill="auto"/>
            <w:vAlign w:val="bottom"/>
          </w:tcPr>
          <w:p w14:paraId="5DEC6131" w14:textId="77777777" w:rsidR="00B1578D" w:rsidRDefault="00B1578D">
            <w:pPr>
              <w:rPr>
                <w:rFonts w:ascii="宋体"/>
                <w:vanish/>
              </w:rPr>
            </w:pPr>
          </w:p>
        </w:tc>
        <w:tc>
          <w:tcPr>
            <w:tcW w:w="0" w:type="auto"/>
            <w:shd w:val="clear" w:color="auto" w:fill="auto"/>
            <w:vAlign w:val="bottom"/>
          </w:tcPr>
          <w:p w14:paraId="5DEC6132" w14:textId="77777777" w:rsidR="00B1578D" w:rsidRDefault="00B1578D">
            <w:pPr>
              <w:rPr>
                <w:rFonts w:ascii="宋体"/>
                <w:vanish/>
              </w:rPr>
            </w:pPr>
          </w:p>
        </w:tc>
        <w:tc>
          <w:tcPr>
            <w:tcW w:w="0" w:type="auto"/>
            <w:shd w:val="clear" w:color="auto" w:fill="auto"/>
            <w:vAlign w:val="bottom"/>
          </w:tcPr>
          <w:p w14:paraId="5DEC6133" w14:textId="77777777" w:rsidR="00B1578D" w:rsidRDefault="00B1578D">
            <w:pPr>
              <w:rPr>
                <w:rFonts w:ascii="宋体"/>
                <w:vanish/>
              </w:rPr>
            </w:pPr>
          </w:p>
        </w:tc>
        <w:tc>
          <w:tcPr>
            <w:tcW w:w="0" w:type="auto"/>
            <w:shd w:val="clear" w:color="auto" w:fill="auto"/>
            <w:vAlign w:val="bottom"/>
          </w:tcPr>
          <w:p w14:paraId="5DEC6134" w14:textId="77777777" w:rsidR="00B1578D" w:rsidRDefault="00B1578D">
            <w:pPr>
              <w:rPr>
                <w:rFonts w:ascii="宋体"/>
                <w:vanish/>
              </w:rPr>
            </w:pPr>
          </w:p>
        </w:tc>
        <w:tc>
          <w:tcPr>
            <w:tcW w:w="5" w:type="pct"/>
            <w:shd w:val="clear" w:color="auto" w:fill="auto"/>
            <w:vAlign w:val="bottom"/>
          </w:tcPr>
          <w:p w14:paraId="5DEC6135" w14:textId="77777777" w:rsidR="00B1578D" w:rsidRDefault="00B1578D">
            <w:pPr>
              <w:rPr>
                <w:rFonts w:ascii="宋体"/>
              </w:rPr>
            </w:pPr>
          </w:p>
        </w:tc>
        <w:tc>
          <w:tcPr>
            <w:tcW w:w="19" w:type="pct"/>
            <w:shd w:val="clear" w:color="auto" w:fill="auto"/>
            <w:vAlign w:val="bottom"/>
          </w:tcPr>
          <w:p w14:paraId="5DEC6136" w14:textId="77777777" w:rsidR="00B1578D" w:rsidRDefault="00B1578D">
            <w:pPr>
              <w:rPr>
                <w:rFonts w:ascii="宋体"/>
              </w:rPr>
            </w:pPr>
          </w:p>
        </w:tc>
        <w:tc>
          <w:tcPr>
            <w:tcW w:w="5" w:type="pct"/>
            <w:shd w:val="clear" w:color="auto" w:fill="auto"/>
            <w:vAlign w:val="bottom"/>
          </w:tcPr>
          <w:p w14:paraId="5DEC6137" w14:textId="77777777" w:rsidR="00B1578D" w:rsidRDefault="00B1578D">
            <w:pPr>
              <w:rPr>
                <w:rFonts w:ascii="宋体"/>
              </w:rPr>
            </w:pPr>
          </w:p>
        </w:tc>
        <w:tc>
          <w:tcPr>
            <w:tcW w:w="50" w:type="pct"/>
            <w:shd w:val="clear" w:color="auto" w:fill="auto"/>
            <w:vAlign w:val="bottom"/>
          </w:tcPr>
          <w:p w14:paraId="5DEC6138" w14:textId="77777777" w:rsidR="00B1578D" w:rsidRDefault="00B1578D">
            <w:pPr>
              <w:rPr>
                <w:rFonts w:ascii="宋体"/>
              </w:rPr>
            </w:pPr>
          </w:p>
        </w:tc>
        <w:tc>
          <w:tcPr>
            <w:tcW w:w="580" w:type="pct"/>
            <w:shd w:val="clear" w:color="auto" w:fill="auto"/>
            <w:vAlign w:val="bottom"/>
          </w:tcPr>
          <w:p w14:paraId="5DEC6139" w14:textId="77777777" w:rsidR="00B1578D" w:rsidRDefault="00B1578D">
            <w:pPr>
              <w:rPr>
                <w:rFonts w:ascii="宋体"/>
              </w:rPr>
            </w:pPr>
          </w:p>
        </w:tc>
        <w:tc>
          <w:tcPr>
            <w:tcW w:w="5" w:type="pct"/>
            <w:shd w:val="clear" w:color="auto" w:fill="auto"/>
            <w:vAlign w:val="bottom"/>
          </w:tcPr>
          <w:p w14:paraId="5DEC613A" w14:textId="77777777" w:rsidR="00B1578D" w:rsidRDefault="00B1578D">
            <w:pPr>
              <w:rPr>
                <w:rFonts w:ascii="宋体"/>
              </w:rPr>
            </w:pPr>
          </w:p>
        </w:tc>
        <w:tc>
          <w:tcPr>
            <w:tcW w:w="5" w:type="pct"/>
            <w:shd w:val="clear" w:color="auto" w:fill="auto"/>
            <w:vAlign w:val="bottom"/>
          </w:tcPr>
          <w:p w14:paraId="5DEC613B" w14:textId="77777777" w:rsidR="00B1578D" w:rsidRDefault="00B1578D">
            <w:pPr>
              <w:rPr>
                <w:rFonts w:ascii="宋体"/>
              </w:rPr>
            </w:pPr>
          </w:p>
        </w:tc>
        <w:tc>
          <w:tcPr>
            <w:tcW w:w="19" w:type="pct"/>
            <w:shd w:val="clear" w:color="auto" w:fill="auto"/>
            <w:vAlign w:val="bottom"/>
          </w:tcPr>
          <w:p w14:paraId="5DEC613C" w14:textId="77777777" w:rsidR="00B1578D" w:rsidRDefault="00B1578D">
            <w:pPr>
              <w:rPr>
                <w:rFonts w:ascii="宋体"/>
              </w:rPr>
            </w:pPr>
          </w:p>
        </w:tc>
        <w:tc>
          <w:tcPr>
            <w:tcW w:w="5" w:type="pct"/>
            <w:shd w:val="clear" w:color="auto" w:fill="auto"/>
            <w:vAlign w:val="bottom"/>
          </w:tcPr>
          <w:p w14:paraId="5DEC613D" w14:textId="77777777" w:rsidR="00B1578D" w:rsidRDefault="00B1578D">
            <w:pPr>
              <w:rPr>
                <w:rFonts w:ascii="宋体"/>
              </w:rPr>
            </w:pPr>
          </w:p>
        </w:tc>
        <w:tc>
          <w:tcPr>
            <w:tcW w:w="0" w:type="auto"/>
            <w:shd w:val="clear" w:color="auto" w:fill="auto"/>
            <w:vAlign w:val="bottom"/>
          </w:tcPr>
          <w:p w14:paraId="5DEC613E" w14:textId="77777777" w:rsidR="00B1578D" w:rsidRDefault="00B1578D">
            <w:pPr>
              <w:rPr>
                <w:rFonts w:ascii="宋体"/>
                <w:vanish/>
              </w:rPr>
            </w:pPr>
          </w:p>
        </w:tc>
        <w:tc>
          <w:tcPr>
            <w:tcW w:w="50" w:type="pct"/>
            <w:shd w:val="clear" w:color="auto" w:fill="auto"/>
            <w:vAlign w:val="bottom"/>
          </w:tcPr>
          <w:p w14:paraId="5DEC613F" w14:textId="77777777" w:rsidR="00B1578D" w:rsidRDefault="00B1578D">
            <w:pPr>
              <w:rPr>
                <w:rFonts w:ascii="宋体"/>
              </w:rPr>
            </w:pPr>
          </w:p>
        </w:tc>
        <w:tc>
          <w:tcPr>
            <w:tcW w:w="581" w:type="pct"/>
            <w:shd w:val="clear" w:color="auto" w:fill="auto"/>
            <w:vAlign w:val="bottom"/>
          </w:tcPr>
          <w:p w14:paraId="5DEC6140" w14:textId="77777777" w:rsidR="00B1578D" w:rsidRDefault="00B1578D">
            <w:pPr>
              <w:rPr>
                <w:rFonts w:ascii="宋体"/>
              </w:rPr>
            </w:pPr>
          </w:p>
        </w:tc>
        <w:tc>
          <w:tcPr>
            <w:tcW w:w="5" w:type="pct"/>
            <w:shd w:val="clear" w:color="auto" w:fill="auto"/>
            <w:vAlign w:val="bottom"/>
          </w:tcPr>
          <w:p w14:paraId="5DEC6141" w14:textId="77777777" w:rsidR="00B1578D" w:rsidRDefault="00B1578D">
            <w:pPr>
              <w:rPr>
                <w:rFonts w:ascii="宋体"/>
              </w:rPr>
            </w:pPr>
          </w:p>
        </w:tc>
      </w:tr>
      <w:tr w:rsidR="00B1578D" w14:paraId="5DEC614F" w14:textId="77777777">
        <w:trPr>
          <w:jc w:val="center"/>
        </w:trPr>
        <w:tc>
          <w:tcPr>
            <w:tcW w:w="0" w:type="auto"/>
            <w:gridSpan w:val="3"/>
            <w:shd w:val="clear" w:color="auto" w:fill="auto"/>
            <w:tcMar>
              <w:top w:w="40" w:type="dxa"/>
              <w:left w:w="20" w:type="dxa"/>
              <w:bottom w:w="40" w:type="dxa"/>
              <w:right w:w="20" w:type="dxa"/>
            </w:tcMar>
            <w:vAlign w:val="bottom"/>
          </w:tcPr>
          <w:p w14:paraId="5DEC6143"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shd w:val="clear" w:color="auto" w:fill="auto"/>
            <w:vAlign w:val="bottom"/>
          </w:tcPr>
          <w:p w14:paraId="5DEC6144" w14:textId="77777777" w:rsidR="00B1578D" w:rsidRDefault="00B1578D">
            <w:pPr>
              <w:rPr>
                <w:rFonts w:ascii="宋体"/>
                <w:vanish/>
              </w:rPr>
            </w:pPr>
          </w:p>
        </w:tc>
        <w:tc>
          <w:tcPr>
            <w:tcW w:w="0" w:type="auto"/>
            <w:shd w:val="clear" w:color="auto" w:fill="auto"/>
            <w:vAlign w:val="bottom"/>
          </w:tcPr>
          <w:p w14:paraId="5DEC6145" w14:textId="77777777" w:rsidR="00B1578D" w:rsidRDefault="00B1578D">
            <w:pPr>
              <w:rPr>
                <w:rFonts w:ascii="宋体"/>
                <w:vanish/>
              </w:rPr>
            </w:pPr>
          </w:p>
        </w:tc>
        <w:tc>
          <w:tcPr>
            <w:tcW w:w="0" w:type="auto"/>
            <w:shd w:val="clear" w:color="auto" w:fill="auto"/>
            <w:vAlign w:val="bottom"/>
          </w:tcPr>
          <w:p w14:paraId="5DEC6146" w14:textId="77777777" w:rsidR="00B1578D" w:rsidRDefault="00B1578D">
            <w:pPr>
              <w:rPr>
                <w:rFonts w:ascii="宋体"/>
                <w:vanish/>
              </w:rPr>
            </w:pPr>
          </w:p>
        </w:tc>
        <w:tc>
          <w:tcPr>
            <w:tcW w:w="0" w:type="auto"/>
            <w:shd w:val="clear" w:color="auto" w:fill="auto"/>
            <w:vAlign w:val="bottom"/>
          </w:tcPr>
          <w:p w14:paraId="5DEC6147" w14:textId="77777777" w:rsidR="00B1578D" w:rsidRDefault="00B1578D">
            <w:pPr>
              <w:rPr>
                <w:rFonts w:ascii="宋体"/>
                <w:vanish/>
              </w:rPr>
            </w:pPr>
          </w:p>
        </w:tc>
        <w:tc>
          <w:tcPr>
            <w:tcW w:w="0" w:type="auto"/>
            <w:shd w:val="clear" w:color="auto" w:fill="auto"/>
            <w:vAlign w:val="bottom"/>
          </w:tcPr>
          <w:p w14:paraId="5DEC6148" w14:textId="77777777" w:rsidR="00B1578D" w:rsidRDefault="00B1578D">
            <w:pPr>
              <w:rPr>
                <w:rFonts w:ascii="宋体"/>
                <w:vanish/>
              </w:rPr>
            </w:pPr>
          </w:p>
        </w:tc>
        <w:tc>
          <w:tcPr>
            <w:tcW w:w="0" w:type="auto"/>
            <w:shd w:val="clear" w:color="auto" w:fill="auto"/>
            <w:vAlign w:val="bottom"/>
          </w:tcPr>
          <w:p w14:paraId="5DEC6149" w14:textId="77777777" w:rsidR="00B1578D" w:rsidRDefault="00B1578D">
            <w:pPr>
              <w:rPr>
                <w:rFonts w:ascii="宋体"/>
                <w:vanish/>
              </w:rPr>
            </w:pPr>
          </w:p>
        </w:tc>
        <w:tc>
          <w:tcPr>
            <w:tcW w:w="0" w:type="auto"/>
            <w:gridSpan w:val="3"/>
            <w:shd w:val="clear" w:color="auto" w:fill="auto"/>
            <w:tcMar>
              <w:top w:w="0" w:type="dxa"/>
              <w:left w:w="20" w:type="dxa"/>
              <w:bottom w:w="0" w:type="dxa"/>
              <w:right w:w="20" w:type="dxa"/>
            </w:tcMar>
            <w:vAlign w:val="bottom"/>
          </w:tcPr>
          <w:p w14:paraId="5DEC614A"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14B" w14:textId="77777777" w:rsidR="00B1578D" w:rsidRDefault="004D2C04">
            <w:pPr>
              <w:jc w:val="center"/>
              <w:textAlignment w:val="bottom"/>
            </w:pPr>
            <w:r>
              <w:rPr>
                <w:rFonts w:ascii="Times New Roman" w:eastAsia="宋体" w:hAnsi="Times New Roman"/>
                <w:b/>
                <w:bCs/>
                <w:color w:val="000000"/>
                <w:sz w:val="16"/>
                <w:szCs w:val="16"/>
              </w:rPr>
              <w:t xml:space="preserve">Fair Value as of </w:t>
            </w:r>
            <w:r>
              <w:rPr>
                <w:rFonts w:ascii="Times New Roman" w:eastAsia="宋体" w:hAnsi="Times New Roman"/>
                <w:b/>
                <w:bCs/>
                <w:color w:val="000000"/>
                <w:sz w:val="16"/>
                <w:szCs w:val="16"/>
              </w:rPr>
              <w:t>April 30, 2022</w:t>
            </w:r>
          </w:p>
        </w:tc>
        <w:tc>
          <w:tcPr>
            <w:tcW w:w="0" w:type="auto"/>
            <w:gridSpan w:val="3"/>
            <w:shd w:val="clear" w:color="auto" w:fill="auto"/>
            <w:tcMar>
              <w:top w:w="0" w:type="dxa"/>
              <w:left w:w="20" w:type="dxa"/>
              <w:bottom w:w="0" w:type="dxa"/>
              <w:right w:w="20" w:type="dxa"/>
            </w:tcMar>
            <w:vAlign w:val="bottom"/>
          </w:tcPr>
          <w:p w14:paraId="5DEC614C" w14:textId="77777777" w:rsidR="00B1578D" w:rsidRDefault="00B1578D">
            <w:pPr>
              <w:rPr>
                <w:rFonts w:ascii="宋体"/>
              </w:rPr>
            </w:pPr>
          </w:p>
        </w:tc>
        <w:tc>
          <w:tcPr>
            <w:tcW w:w="0" w:type="auto"/>
            <w:shd w:val="clear" w:color="auto" w:fill="auto"/>
            <w:vAlign w:val="bottom"/>
          </w:tcPr>
          <w:p w14:paraId="5DEC614D" w14:textId="77777777" w:rsidR="00B1578D" w:rsidRDefault="00B1578D">
            <w:pPr>
              <w:rPr>
                <w:rFonts w:ascii="宋体"/>
                <w:vanish/>
              </w:rPr>
            </w:pPr>
          </w:p>
        </w:tc>
        <w:tc>
          <w:tcPr>
            <w:tcW w:w="0" w:type="auto"/>
            <w:gridSpan w:val="3"/>
            <w:shd w:val="clear" w:color="auto" w:fill="auto"/>
            <w:tcMar>
              <w:top w:w="40" w:type="dxa"/>
              <w:left w:w="20" w:type="dxa"/>
              <w:bottom w:w="40" w:type="dxa"/>
              <w:right w:w="20" w:type="dxa"/>
            </w:tcMar>
            <w:vAlign w:val="bottom"/>
          </w:tcPr>
          <w:p w14:paraId="5DEC614E" w14:textId="77777777" w:rsidR="00B1578D" w:rsidRDefault="004D2C04">
            <w:pPr>
              <w:jc w:val="center"/>
              <w:textAlignment w:val="bottom"/>
            </w:pPr>
            <w:r>
              <w:rPr>
                <w:rFonts w:ascii="Times New Roman" w:eastAsia="宋体" w:hAnsi="Times New Roman"/>
                <w:b/>
                <w:bCs/>
                <w:color w:val="000000"/>
                <w:sz w:val="16"/>
                <w:szCs w:val="16"/>
              </w:rPr>
              <w:t>Fair Value as of January 31, 2022</w:t>
            </w:r>
          </w:p>
        </w:tc>
      </w:tr>
      <w:tr w:rsidR="00B1578D" w14:paraId="5DEC6160" w14:textId="77777777">
        <w:trPr>
          <w:jc w:val="center"/>
        </w:trPr>
        <w:tc>
          <w:tcPr>
            <w:tcW w:w="0" w:type="auto"/>
            <w:gridSpan w:val="3"/>
            <w:shd w:val="clear" w:color="auto" w:fill="CCEEFF"/>
            <w:tcMar>
              <w:top w:w="40" w:type="dxa"/>
              <w:left w:w="20" w:type="dxa"/>
              <w:bottom w:w="40" w:type="dxa"/>
              <w:right w:w="20" w:type="dxa"/>
            </w:tcMar>
            <w:vAlign w:val="bottom"/>
          </w:tcPr>
          <w:p w14:paraId="5DEC6150" w14:textId="77777777" w:rsidR="00B1578D" w:rsidRDefault="004D2C04">
            <w:pPr>
              <w:textAlignment w:val="bottom"/>
            </w:pPr>
            <w:r>
              <w:rPr>
                <w:rFonts w:ascii="Times New Roman" w:eastAsia="宋体" w:hAnsi="Times New Roman"/>
                <w:color w:val="000000"/>
                <w:sz w:val="16"/>
                <w:szCs w:val="16"/>
              </w:rPr>
              <w:t>Equity investments measured using Level 1 inputs</w:t>
            </w:r>
          </w:p>
        </w:tc>
        <w:tc>
          <w:tcPr>
            <w:tcW w:w="0" w:type="auto"/>
            <w:shd w:val="clear" w:color="auto" w:fill="auto"/>
            <w:vAlign w:val="bottom"/>
          </w:tcPr>
          <w:p w14:paraId="5DEC6151" w14:textId="77777777" w:rsidR="00B1578D" w:rsidRDefault="00B1578D">
            <w:pPr>
              <w:rPr>
                <w:rFonts w:ascii="宋体"/>
                <w:vanish/>
              </w:rPr>
            </w:pPr>
          </w:p>
        </w:tc>
        <w:tc>
          <w:tcPr>
            <w:tcW w:w="0" w:type="auto"/>
            <w:shd w:val="clear" w:color="auto" w:fill="auto"/>
            <w:vAlign w:val="bottom"/>
          </w:tcPr>
          <w:p w14:paraId="5DEC6152" w14:textId="77777777" w:rsidR="00B1578D" w:rsidRDefault="00B1578D">
            <w:pPr>
              <w:rPr>
                <w:rFonts w:ascii="宋体"/>
                <w:vanish/>
              </w:rPr>
            </w:pPr>
          </w:p>
        </w:tc>
        <w:tc>
          <w:tcPr>
            <w:tcW w:w="0" w:type="auto"/>
            <w:shd w:val="clear" w:color="auto" w:fill="auto"/>
            <w:vAlign w:val="bottom"/>
          </w:tcPr>
          <w:p w14:paraId="5DEC6153" w14:textId="77777777" w:rsidR="00B1578D" w:rsidRDefault="00B1578D">
            <w:pPr>
              <w:rPr>
                <w:rFonts w:ascii="宋体"/>
                <w:vanish/>
              </w:rPr>
            </w:pPr>
          </w:p>
        </w:tc>
        <w:tc>
          <w:tcPr>
            <w:tcW w:w="0" w:type="auto"/>
            <w:shd w:val="clear" w:color="auto" w:fill="auto"/>
            <w:vAlign w:val="bottom"/>
          </w:tcPr>
          <w:p w14:paraId="5DEC6154" w14:textId="77777777" w:rsidR="00B1578D" w:rsidRDefault="00B1578D">
            <w:pPr>
              <w:rPr>
                <w:rFonts w:ascii="宋体"/>
                <w:vanish/>
              </w:rPr>
            </w:pPr>
          </w:p>
        </w:tc>
        <w:tc>
          <w:tcPr>
            <w:tcW w:w="0" w:type="auto"/>
            <w:shd w:val="clear" w:color="auto" w:fill="auto"/>
            <w:vAlign w:val="bottom"/>
          </w:tcPr>
          <w:p w14:paraId="5DEC6155" w14:textId="77777777" w:rsidR="00B1578D" w:rsidRDefault="00B1578D">
            <w:pPr>
              <w:rPr>
                <w:rFonts w:ascii="宋体"/>
                <w:vanish/>
              </w:rPr>
            </w:pPr>
          </w:p>
        </w:tc>
        <w:tc>
          <w:tcPr>
            <w:tcW w:w="0" w:type="auto"/>
            <w:shd w:val="clear" w:color="auto" w:fill="auto"/>
            <w:vAlign w:val="bottom"/>
          </w:tcPr>
          <w:p w14:paraId="5DEC6156" w14:textId="77777777" w:rsidR="00B1578D" w:rsidRDefault="00B1578D">
            <w:pPr>
              <w:rPr>
                <w:rFonts w:ascii="宋体"/>
                <w:vanish/>
              </w:rPr>
            </w:pPr>
          </w:p>
        </w:tc>
        <w:tc>
          <w:tcPr>
            <w:tcW w:w="0" w:type="auto"/>
            <w:gridSpan w:val="3"/>
            <w:shd w:val="clear" w:color="auto" w:fill="CCEEFF"/>
            <w:tcMar>
              <w:top w:w="0" w:type="dxa"/>
              <w:left w:w="20" w:type="dxa"/>
              <w:bottom w:w="0" w:type="dxa"/>
              <w:right w:w="20" w:type="dxa"/>
            </w:tcMar>
            <w:vAlign w:val="bottom"/>
          </w:tcPr>
          <w:p w14:paraId="5DEC6157"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158"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159" w14:textId="77777777" w:rsidR="00B1578D" w:rsidRDefault="004D2C04">
            <w:pPr>
              <w:jc w:val="right"/>
              <w:textAlignment w:val="bottom"/>
            </w:pPr>
            <w:r>
              <w:rPr>
                <w:rFonts w:ascii="Times New Roman" w:eastAsia="宋体" w:hAnsi="Times New Roman"/>
                <w:color w:val="000000"/>
                <w:sz w:val="16"/>
                <w:szCs w:val="16"/>
              </w:rPr>
              <w:t>5,080 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15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5B" w14:textId="77777777" w:rsidR="00B1578D" w:rsidRDefault="00B1578D">
            <w:pPr>
              <w:rPr>
                <w:rFonts w:ascii="宋体"/>
              </w:rPr>
            </w:pPr>
          </w:p>
        </w:tc>
        <w:tc>
          <w:tcPr>
            <w:tcW w:w="0" w:type="auto"/>
            <w:shd w:val="clear" w:color="auto" w:fill="auto"/>
            <w:vAlign w:val="bottom"/>
          </w:tcPr>
          <w:p w14:paraId="5DEC615C" w14:textId="77777777" w:rsidR="00B1578D" w:rsidRDefault="00B1578D">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15D"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15E" w14:textId="77777777" w:rsidR="00B1578D" w:rsidRDefault="004D2C04">
            <w:pPr>
              <w:jc w:val="right"/>
              <w:textAlignment w:val="bottom"/>
            </w:pPr>
            <w:r>
              <w:rPr>
                <w:rFonts w:ascii="Times New Roman" w:eastAsia="宋体" w:hAnsi="Times New Roman"/>
                <w:color w:val="000000"/>
                <w:sz w:val="16"/>
                <w:szCs w:val="16"/>
              </w:rPr>
              <w:t>6,069 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15F" w14:textId="77777777" w:rsidR="00B1578D" w:rsidRDefault="00B1578D">
            <w:pPr>
              <w:jc w:val="right"/>
              <w:rPr>
                <w:rFonts w:ascii="宋体"/>
              </w:rPr>
            </w:pPr>
          </w:p>
        </w:tc>
      </w:tr>
      <w:tr w:rsidR="00B1578D" w14:paraId="5DEC616F" w14:textId="77777777">
        <w:trPr>
          <w:jc w:val="center"/>
        </w:trPr>
        <w:tc>
          <w:tcPr>
            <w:tcW w:w="0" w:type="auto"/>
            <w:gridSpan w:val="3"/>
            <w:shd w:val="clear" w:color="auto" w:fill="FFFFFF"/>
            <w:tcMar>
              <w:top w:w="40" w:type="dxa"/>
              <w:left w:w="20" w:type="dxa"/>
              <w:bottom w:w="40" w:type="dxa"/>
              <w:right w:w="20" w:type="dxa"/>
            </w:tcMar>
            <w:vAlign w:val="bottom"/>
          </w:tcPr>
          <w:p w14:paraId="5DEC6161" w14:textId="77777777" w:rsidR="00B1578D" w:rsidRDefault="004D2C04">
            <w:pPr>
              <w:textAlignment w:val="bottom"/>
            </w:pPr>
            <w:r>
              <w:rPr>
                <w:rFonts w:ascii="Times New Roman" w:eastAsia="宋体" w:hAnsi="Times New Roman"/>
                <w:color w:val="000000"/>
                <w:sz w:val="16"/>
                <w:szCs w:val="16"/>
              </w:rPr>
              <w:t>Equity investments measured using Level 2 inputs</w:t>
            </w:r>
          </w:p>
        </w:tc>
        <w:tc>
          <w:tcPr>
            <w:tcW w:w="0" w:type="auto"/>
            <w:shd w:val="clear" w:color="auto" w:fill="auto"/>
            <w:vAlign w:val="bottom"/>
          </w:tcPr>
          <w:p w14:paraId="5DEC6162" w14:textId="77777777" w:rsidR="00B1578D" w:rsidRDefault="00B1578D">
            <w:pPr>
              <w:rPr>
                <w:rFonts w:ascii="宋体"/>
                <w:vanish/>
              </w:rPr>
            </w:pPr>
          </w:p>
        </w:tc>
        <w:tc>
          <w:tcPr>
            <w:tcW w:w="0" w:type="auto"/>
            <w:shd w:val="clear" w:color="auto" w:fill="auto"/>
            <w:vAlign w:val="bottom"/>
          </w:tcPr>
          <w:p w14:paraId="5DEC6163" w14:textId="77777777" w:rsidR="00B1578D" w:rsidRDefault="00B1578D">
            <w:pPr>
              <w:rPr>
                <w:rFonts w:ascii="宋体"/>
                <w:vanish/>
              </w:rPr>
            </w:pPr>
          </w:p>
        </w:tc>
        <w:tc>
          <w:tcPr>
            <w:tcW w:w="0" w:type="auto"/>
            <w:shd w:val="clear" w:color="auto" w:fill="auto"/>
            <w:vAlign w:val="bottom"/>
          </w:tcPr>
          <w:p w14:paraId="5DEC6164" w14:textId="77777777" w:rsidR="00B1578D" w:rsidRDefault="00B1578D">
            <w:pPr>
              <w:rPr>
                <w:rFonts w:ascii="宋体"/>
                <w:vanish/>
              </w:rPr>
            </w:pPr>
          </w:p>
        </w:tc>
        <w:tc>
          <w:tcPr>
            <w:tcW w:w="0" w:type="auto"/>
            <w:shd w:val="clear" w:color="auto" w:fill="auto"/>
            <w:vAlign w:val="bottom"/>
          </w:tcPr>
          <w:p w14:paraId="5DEC6165" w14:textId="77777777" w:rsidR="00B1578D" w:rsidRDefault="00B1578D">
            <w:pPr>
              <w:rPr>
                <w:rFonts w:ascii="宋体"/>
                <w:vanish/>
              </w:rPr>
            </w:pPr>
          </w:p>
        </w:tc>
        <w:tc>
          <w:tcPr>
            <w:tcW w:w="0" w:type="auto"/>
            <w:shd w:val="clear" w:color="auto" w:fill="auto"/>
            <w:vAlign w:val="bottom"/>
          </w:tcPr>
          <w:p w14:paraId="5DEC6166" w14:textId="77777777" w:rsidR="00B1578D" w:rsidRDefault="00B1578D">
            <w:pPr>
              <w:rPr>
                <w:rFonts w:ascii="宋体"/>
                <w:vanish/>
              </w:rPr>
            </w:pPr>
          </w:p>
        </w:tc>
        <w:tc>
          <w:tcPr>
            <w:tcW w:w="0" w:type="auto"/>
            <w:shd w:val="clear" w:color="auto" w:fill="auto"/>
            <w:vAlign w:val="bottom"/>
          </w:tcPr>
          <w:p w14:paraId="5DEC6167" w14:textId="77777777" w:rsidR="00B1578D" w:rsidRDefault="00B1578D">
            <w:pPr>
              <w:rPr>
                <w:rFonts w:ascii="宋体"/>
                <w:vanish/>
              </w:rPr>
            </w:pPr>
          </w:p>
        </w:tc>
        <w:tc>
          <w:tcPr>
            <w:tcW w:w="0" w:type="auto"/>
            <w:gridSpan w:val="3"/>
            <w:shd w:val="clear" w:color="auto" w:fill="FFFFFF"/>
            <w:tcMar>
              <w:top w:w="0" w:type="dxa"/>
              <w:left w:w="20" w:type="dxa"/>
              <w:bottom w:w="0" w:type="dxa"/>
              <w:right w:w="20" w:type="dxa"/>
            </w:tcMar>
            <w:vAlign w:val="bottom"/>
          </w:tcPr>
          <w:p w14:paraId="5DEC616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169" w14:textId="77777777" w:rsidR="00B1578D" w:rsidRDefault="004D2C04">
            <w:pPr>
              <w:jc w:val="right"/>
              <w:textAlignment w:val="bottom"/>
            </w:pPr>
            <w:r>
              <w:rPr>
                <w:rFonts w:ascii="Times New Roman" w:eastAsia="宋体" w:hAnsi="Times New Roman"/>
                <w:color w:val="000000"/>
                <w:sz w:val="16"/>
                <w:szCs w:val="16"/>
              </w:rPr>
              <w:t>4,810 </w:t>
            </w:r>
          </w:p>
        </w:tc>
        <w:tc>
          <w:tcPr>
            <w:tcW w:w="0" w:type="auto"/>
            <w:shd w:val="clear" w:color="auto" w:fill="FFFFFF"/>
            <w:tcMar>
              <w:top w:w="40" w:type="dxa"/>
              <w:left w:w="0" w:type="dxa"/>
              <w:bottom w:w="40" w:type="dxa"/>
              <w:right w:w="20" w:type="dxa"/>
            </w:tcMar>
            <w:vAlign w:val="bottom"/>
          </w:tcPr>
          <w:p w14:paraId="5DEC616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16B" w14:textId="77777777" w:rsidR="00B1578D" w:rsidRDefault="00B1578D">
            <w:pPr>
              <w:rPr>
                <w:rFonts w:ascii="宋体"/>
              </w:rPr>
            </w:pPr>
          </w:p>
        </w:tc>
        <w:tc>
          <w:tcPr>
            <w:tcW w:w="0" w:type="auto"/>
            <w:shd w:val="clear" w:color="auto" w:fill="auto"/>
            <w:vAlign w:val="bottom"/>
          </w:tcPr>
          <w:p w14:paraId="5DEC616C" w14:textId="77777777" w:rsidR="00B1578D" w:rsidRDefault="00B1578D">
            <w:pPr>
              <w:rPr>
                <w:rFonts w:ascii="宋体"/>
                <w:vanish/>
              </w:rPr>
            </w:pPr>
          </w:p>
        </w:tc>
        <w:tc>
          <w:tcPr>
            <w:tcW w:w="0" w:type="auto"/>
            <w:gridSpan w:val="2"/>
            <w:shd w:val="clear" w:color="auto" w:fill="FFFFFF"/>
            <w:tcMar>
              <w:top w:w="40" w:type="dxa"/>
              <w:left w:w="20" w:type="dxa"/>
              <w:bottom w:w="40" w:type="dxa"/>
              <w:right w:w="0" w:type="dxa"/>
            </w:tcMar>
            <w:vAlign w:val="bottom"/>
          </w:tcPr>
          <w:p w14:paraId="5DEC616D" w14:textId="77777777" w:rsidR="00B1578D" w:rsidRDefault="004D2C04">
            <w:pPr>
              <w:jc w:val="right"/>
              <w:textAlignment w:val="bottom"/>
            </w:pPr>
            <w:r>
              <w:rPr>
                <w:rFonts w:ascii="Times New Roman" w:eastAsia="宋体" w:hAnsi="Times New Roman"/>
                <w:color w:val="000000"/>
                <w:sz w:val="16"/>
                <w:szCs w:val="16"/>
              </w:rPr>
              <w:t>5,819 </w:t>
            </w:r>
          </w:p>
        </w:tc>
        <w:tc>
          <w:tcPr>
            <w:tcW w:w="0" w:type="auto"/>
            <w:shd w:val="clear" w:color="auto" w:fill="FFFFFF"/>
            <w:tcMar>
              <w:top w:w="40" w:type="dxa"/>
              <w:left w:w="0" w:type="dxa"/>
              <w:bottom w:w="40" w:type="dxa"/>
              <w:right w:w="20" w:type="dxa"/>
            </w:tcMar>
            <w:vAlign w:val="bottom"/>
          </w:tcPr>
          <w:p w14:paraId="5DEC616E" w14:textId="77777777" w:rsidR="00B1578D" w:rsidRDefault="00B1578D">
            <w:pPr>
              <w:jc w:val="right"/>
              <w:rPr>
                <w:rFonts w:ascii="宋体"/>
              </w:rPr>
            </w:pPr>
          </w:p>
        </w:tc>
      </w:tr>
      <w:tr w:rsidR="00B1578D" w14:paraId="5DEC617C" w14:textId="77777777">
        <w:trPr>
          <w:jc w:val="center"/>
          <w:hidden/>
        </w:trPr>
        <w:tc>
          <w:tcPr>
            <w:tcW w:w="0" w:type="auto"/>
            <w:gridSpan w:val="3"/>
            <w:shd w:val="clear" w:color="auto" w:fill="auto"/>
            <w:vAlign w:val="bottom"/>
          </w:tcPr>
          <w:p w14:paraId="5DEC6170" w14:textId="77777777" w:rsidR="00B1578D" w:rsidRDefault="00B1578D">
            <w:pPr>
              <w:rPr>
                <w:rFonts w:ascii="宋体"/>
                <w:vanish/>
              </w:rPr>
            </w:pPr>
          </w:p>
        </w:tc>
        <w:tc>
          <w:tcPr>
            <w:tcW w:w="0" w:type="auto"/>
            <w:shd w:val="clear" w:color="auto" w:fill="auto"/>
            <w:vAlign w:val="bottom"/>
          </w:tcPr>
          <w:p w14:paraId="5DEC6171" w14:textId="77777777" w:rsidR="00B1578D" w:rsidRDefault="00B1578D">
            <w:pPr>
              <w:rPr>
                <w:rFonts w:ascii="宋体"/>
                <w:vanish/>
              </w:rPr>
            </w:pPr>
          </w:p>
        </w:tc>
        <w:tc>
          <w:tcPr>
            <w:tcW w:w="0" w:type="auto"/>
            <w:shd w:val="clear" w:color="auto" w:fill="auto"/>
            <w:vAlign w:val="bottom"/>
          </w:tcPr>
          <w:p w14:paraId="5DEC6172" w14:textId="77777777" w:rsidR="00B1578D" w:rsidRDefault="00B1578D">
            <w:pPr>
              <w:rPr>
                <w:rFonts w:ascii="宋体"/>
                <w:vanish/>
              </w:rPr>
            </w:pPr>
          </w:p>
        </w:tc>
        <w:tc>
          <w:tcPr>
            <w:tcW w:w="0" w:type="auto"/>
            <w:shd w:val="clear" w:color="auto" w:fill="auto"/>
            <w:vAlign w:val="bottom"/>
          </w:tcPr>
          <w:p w14:paraId="5DEC6173" w14:textId="77777777" w:rsidR="00B1578D" w:rsidRDefault="00B1578D">
            <w:pPr>
              <w:rPr>
                <w:rFonts w:ascii="宋体"/>
                <w:vanish/>
              </w:rPr>
            </w:pPr>
          </w:p>
        </w:tc>
        <w:tc>
          <w:tcPr>
            <w:tcW w:w="0" w:type="auto"/>
            <w:shd w:val="clear" w:color="auto" w:fill="auto"/>
            <w:vAlign w:val="bottom"/>
          </w:tcPr>
          <w:p w14:paraId="5DEC6174" w14:textId="77777777" w:rsidR="00B1578D" w:rsidRDefault="00B1578D">
            <w:pPr>
              <w:rPr>
                <w:rFonts w:ascii="宋体"/>
                <w:vanish/>
              </w:rPr>
            </w:pPr>
          </w:p>
        </w:tc>
        <w:tc>
          <w:tcPr>
            <w:tcW w:w="0" w:type="auto"/>
            <w:shd w:val="clear" w:color="auto" w:fill="auto"/>
            <w:vAlign w:val="bottom"/>
          </w:tcPr>
          <w:p w14:paraId="5DEC6175" w14:textId="77777777" w:rsidR="00B1578D" w:rsidRDefault="00B1578D">
            <w:pPr>
              <w:rPr>
                <w:rFonts w:ascii="宋体"/>
                <w:vanish/>
              </w:rPr>
            </w:pPr>
          </w:p>
        </w:tc>
        <w:tc>
          <w:tcPr>
            <w:tcW w:w="0" w:type="auto"/>
            <w:shd w:val="clear" w:color="auto" w:fill="auto"/>
            <w:vAlign w:val="bottom"/>
          </w:tcPr>
          <w:p w14:paraId="5DEC6176" w14:textId="77777777" w:rsidR="00B1578D" w:rsidRDefault="00B1578D">
            <w:pPr>
              <w:rPr>
                <w:rFonts w:ascii="宋体"/>
                <w:vanish/>
              </w:rPr>
            </w:pPr>
          </w:p>
        </w:tc>
        <w:tc>
          <w:tcPr>
            <w:tcW w:w="0" w:type="auto"/>
            <w:gridSpan w:val="3"/>
            <w:shd w:val="clear" w:color="auto" w:fill="auto"/>
            <w:vAlign w:val="bottom"/>
          </w:tcPr>
          <w:p w14:paraId="5DEC6177" w14:textId="77777777" w:rsidR="00B1578D" w:rsidRDefault="00B1578D">
            <w:pPr>
              <w:rPr>
                <w:rFonts w:ascii="宋体"/>
                <w:vanish/>
              </w:rPr>
            </w:pPr>
          </w:p>
        </w:tc>
        <w:tc>
          <w:tcPr>
            <w:tcW w:w="0" w:type="auto"/>
            <w:gridSpan w:val="3"/>
            <w:shd w:val="clear" w:color="auto" w:fill="auto"/>
            <w:vAlign w:val="bottom"/>
          </w:tcPr>
          <w:p w14:paraId="5DEC6178" w14:textId="77777777" w:rsidR="00B1578D" w:rsidRDefault="00B1578D">
            <w:pPr>
              <w:rPr>
                <w:rFonts w:ascii="宋体"/>
                <w:vanish/>
              </w:rPr>
            </w:pPr>
          </w:p>
        </w:tc>
        <w:tc>
          <w:tcPr>
            <w:tcW w:w="0" w:type="auto"/>
            <w:gridSpan w:val="3"/>
            <w:shd w:val="clear" w:color="auto" w:fill="auto"/>
            <w:vAlign w:val="bottom"/>
          </w:tcPr>
          <w:p w14:paraId="5DEC6179" w14:textId="77777777" w:rsidR="00B1578D" w:rsidRDefault="00B1578D">
            <w:pPr>
              <w:rPr>
                <w:rFonts w:ascii="宋体"/>
                <w:vanish/>
              </w:rPr>
            </w:pPr>
          </w:p>
        </w:tc>
        <w:tc>
          <w:tcPr>
            <w:tcW w:w="0" w:type="auto"/>
            <w:shd w:val="clear" w:color="auto" w:fill="auto"/>
            <w:vAlign w:val="bottom"/>
          </w:tcPr>
          <w:p w14:paraId="5DEC617A" w14:textId="77777777" w:rsidR="00B1578D" w:rsidRDefault="00B1578D">
            <w:pPr>
              <w:rPr>
                <w:rFonts w:ascii="宋体"/>
                <w:vanish/>
              </w:rPr>
            </w:pPr>
          </w:p>
        </w:tc>
        <w:tc>
          <w:tcPr>
            <w:tcW w:w="0" w:type="auto"/>
            <w:gridSpan w:val="3"/>
            <w:shd w:val="clear" w:color="auto" w:fill="auto"/>
            <w:vAlign w:val="bottom"/>
          </w:tcPr>
          <w:p w14:paraId="5DEC617B" w14:textId="77777777" w:rsidR="00B1578D" w:rsidRDefault="00B1578D">
            <w:pPr>
              <w:rPr>
                <w:rFonts w:ascii="宋体"/>
                <w:vanish/>
              </w:rPr>
            </w:pPr>
          </w:p>
        </w:tc>
      </w:tr>
      <w:tr w:rsidR="00B1578D" w14:paraId="5DEC618D" w14:textId="77777777">
        <w:trPr>
          <w:jc w:val="center"/>
        </w:trPr>
        <w:tc>
          <w:tcPr>
            <w:tcW w:w="0" w:type="auto"/>
            <w:gridSpan w:val="3"/>
            <w:shd w:val="clear" w:color="auto" w:fill="CCEEFF"/>
            <w:tcMar>
              <w:top w:w="40" w:type="dxa"/>
              <w:left w:w="20" w:type="dxa"/>
              <w:bottom w:w="40" w:type="dxa"/>
              <w:right w:w="20" w:type="dxa"/>
            </w:tcMar>
          </w:tcPr>
          <w:p w14:paraId="5DEC617D" w14:textId="77777777" w:rsidR="00B1578D" w:rsidRDefault="004D2C04">
            <w:pPr>
              <w:textAlignment w:val="top"/>
            </w:pPr>
            <w:r>
              <w:rPr>
                <w:rFonts w:ascii="Times New Roman" w:eastAsia="宋体" w:hAnsi="Times New Roman"/>
                <w:b/>
                <w:bCs/>
                <w:color w:val="000000"/>
                <w:sz w:val="16"/>
                <w:szCs w:val="16"/>
              </w:rPr>
              <w:t>Total</w:t>
            </w:r>
          </w:p>
        </w:tc>
        <w:tc>
          <w:tcPr>
            <w:tcW w:w="0" w:type="auto"/>
            <w:shd w:val="clear" w:color="auto" w:fill="auto"/>
            <w:vAlign w:val="bottom"/>
          </w:tcPr>
          <w:p w14:paraId="5DEC617E" w14:textId="77777777" w:rsidR="00B1578D" w:rsidRDefault="00B1578D">
            <w:pPr>
              <w:rPr>
                <w:rFonts w:ascii="宋体"/>
                <w:vanish/>
              </w:rPr>
            </w:pPr>
          </w:p>
        </w:tc>
        <w:tc>
          <w:tcPr>
            <w:tcW w:w="0" w:type="auto"/>
            <w:shd w:val="clear" w:color="auto" w:fill="auto"/>
            <w:vAlign w:val="bottom"/>
          </w:tcPr>
          <w:p w14:paraId="5DEC617F" w14:textId="77777777" w:rsidR="00B1578D" w:rsidRDefault="00B1578D">
            <w:pPr>
              <w:rPr>
                <w:rFonts w:ascii="宋体"/>
                <w:vanish/>
              </w:rPr>
            </w:pPr>
          </w:p>
        </w:tc>
        <w:tc>
          <w:tcPr>
            <w:tcW w:w="0" w:type="auto"/>
            <w:shd w:val="clear" w:color="auto" w:fill="auto"/>
            <w:vAlign w:val="bottom"/>
          </w:tcPr>
          <w:p w14:paraId="5DEC6180" w14:textId="77777777" w:rsidR="00B1578D" w:rsidRDefault="00B1578D">
            <w:pPr>
              <w:rPr>
                <w:rFonts w:ascii="宋体"/>
                <w:vanish/>
              </w:rPr>
            </w:pPr>
          </w:p>
        </w:tc>
        <w:tc>
          <w:tcPr>
            <w:tcW w:w="0" w:type="auto"/>
            <w:shd w:val="clear" w:color="auto" w:fill="auto"/>
            <w:vAlign w:val="bottom"/>
          </w:tcPr>
          <w:p w14:paraId="5DEC6181" w14:textId="77777777" w:rsidR="00B1578D" w:rsidRDefault="00B1578D">
            <w:pPr>
              <w:rPr>
                <w:rFonts w:ascii="宋体"/>
                <w:vanish/>
              </w:rPr>
            </w:pPr>
          </w:p>
        </w:tc>
        <w:tc>
          <w:tcPr>
            <w:tcW w:w="0" w:type="auto"/>
            <w:shd w:val="clear" w:color="auto" w:fill="auto"/>
            <w:vAlign w:val="bottom"/>
          </w:tcPr>
          <w:p w14:paraId="5DEC6182" w14:textId="77777777" w:rsidR="00B1578D" w:rsidRDefault="00B1578D">
            <w:pPr>
              <w:rPr>
                <w:rFonts w:ascii="宋体"/>
                <w:vanish/>
              </w:rPr>
            </w:pPr>
          </w:p>
        </w:tc>
        <w:tc>
          <w:tcPr>
            <w:tcW w:w="0" w:type="auto"/>
            <w:shd w:val="clear" w:color="auto" w:fill="auto"/>
            <w:vAlign w:val="bottom"/>
          </w:tcPr>
          <w:p w14:paraId="5DEC6183" w14:textId="77777777" w:rsidR="00B1578D" w:rsidRDefault="00B1578D">
            <w:pPr>
              <w:rPr>
                <w:rFonts w:ascii="宋体"/>
                <w:vanish/>
              </w:rPr>
            </w:pPr>
          </w:p>
        </w:tc>
        <w:tc>
          <w:tcPr>
            <w:tcW w:w="0" w:type="auto"/>
            <w:gridSpan w:val="3"/>
            <w:shd w:val="clear" w:color="auto" w:fill="CCEEFF"/>
            <w:tcMar>
              <w:top w:w="0" w:type="dxa"/>
              <w:left w:w="20" w:type="dxa"/>
              <w:bottom w:w="0" w:type="dxa"/>
              <w:right w:w="20" w:type="dxa"/>
            </w:tcMar>
            <w:vAlign w:val="bottom"/>
          </w:tcPr>
          <w:p w14:paraId="5DEC6184"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DEC6185"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DEC6186" w14:textId="77777777" w:rsidR="00B1578D" w:rsidRDefault="004D2C04">
            <w:pPr>
              <w:jc w:val="right"/>
              <w:textAlignment w:val="bottom"/>
            </w:pPr>
            <w:r>
              <w:rPr>
                <w:rFonts w:ascii="Times New Roman" w:eastAsia="宋体" w:hAnsi="Times New Roman"/>
                <w:color w:val="000000"/>
                <w:sz w:val="16"/>
                <w:szCs w:val="16"/>
              </w:rPr>
              <w:t>9,890 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DEC618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88" w14:textId="77777777" w:rsidR="00B1578D" w:rsidRDefault="00B1578D">
            <w:pPr>
              <w:rPr>
                <w:rFonts w:ascii="宋体"/>
              </w:rPr>
            </w:pPr>
          </w:p>
        </w:tc>
        <w:tc>
          <w:tcPr>
            <w:tcW w:w="0" w:type="auto"/>
            <w:shd w:val="clear" w:color="auto" w:fill="auto"/>
            <w:vAlign w:val="bottom"/>
          </w:tcPr>
          <w:p w14:paraId="5DEC6189" w14:textId="77777777" w:rsidR="00B1578D" w:rsidRDefault="00B1578D">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DEC618A"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DEC618B" w14:textId="77777777" w:rsidR="00B1578D" w:rsidRDefault="004D2C04">
            <w:pPr>
              <w:jc w:val="right"/>
              <w:textAlignment w:val="bottom"/>
            </w:pPr>
            <w:r>
              <w:rPr>
                <w:rFonts w:ascii="Times New Roman" w:eastAsia="宋体" w:hAnsi="Times New Roman"/>
                <w:color w:val="000000"/>
                <w:sz w:val="16"/>
                <w:szCs w:val="16"/>
              </w:rPr>
              <w:t>11,888 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DEC618C" w14:textId="77777777" w:rsidR="00B1578D" w:rsidRDefault="00B1578D">
            <w:pPr>
              <w:jc w:val="right"/>
              <w:rPr>
                <w:rFonts w:ascii="宋体"/>
              </w:rPr>
            </w:pPr>
          </w:p>
        </w:tc>
      </w:tr>
    </w:tbl>
    <w:p w14:paraId="5DEC618E" w14:textId="77777777" w:rsidR="00B1578D" w:rsidRDefault="004D2C04">
      <w:pPr>
        <w:spacing w:before="100"/>
      </w:pPr>
      <w:r>
        <w:rPr>
          <w:rFonts w:ascii="Times New Roman" w:eastAsia="宋体" w:hAnsi="Times New Roman"/>
          <w:i/>
          <w:iCs/>
          <w:color w:val="000000"/>
          <w:sz w:val="20"/>
          <w:szCs w:val="20"/>
        </w:rPr>
        <w:t>Derivatives</w:t>
      </w:r>
    </w:p>
    <w:p w14:paraId="5DEC618F" w14:textId="77777777" w:rsidR="00B1578D" w:rsidRDefault="004D2C04">
      <w:pPr>
        <w:spacing w:before="100"/>
      </w:pPr>
      <w:r>
        <w:rPr>
          <w:rFonts w:ascii="Times New Roman" w:eastAsia="宋体" w:hAnsi="Times New Roman"/>
          <w:color w:val="000000"/>
          <w:sz w:val="20"/>
          <w:szCs w:val="20"/>
        </w:rPr>
        <w:t>The Company also has derivatives recorded at fair value. Derivative fair values are the estimated amounts the Company would receive or pay upon termination of the related derivative agreements as of the reporting dates. T</w:t>
      </w:r>
      <w:r>
        <w:rPr>
          <w:rFonts w:ascii="Times New Roman" w:eastAsia="宋体" w:hAnsi="Times New Roman"/>
          <w:color w:val="000000"/>
          <w:sz w:val="20"/>
          <w:szCs w:val="20"/>
        </w:rPr>
        <w:t>he fair values have been measured using the income approach and Level 2 inputs, which include the relevant interest rate and foreign currency forward curves. As of April 30, 2022 and January 31, 2022, the notional amounts and fair values of these derivativ</w:t>
      </w:r>
      <w:r>
        <w:rPr>
          <w:rFonts w:ascii="Times New Roman" w:eastAsia="宋体" w:hAnsi="Times New Roman"/>
          <w:color w:val="000000"/>
          <w:sz w:val="20"/>
          <w:szCs w:val="20"/>
        </w:rPr>
        <w: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33"/>
        <w:gridCol w:w="38"/>
        <w:gridCol w:w="101"/>
        <w:gridCol w:w="537"/>
        <w:gridCol w:w="36"/>
        <w:gridCol w:w="36"/>
        <w:gridCol w:w="36"/>
        <w:gridCol w:w="36"/>
        <w:gridCol w:w="100"/>
        <w:gridCol w:w="467"/>
        <w:gridCol w:w="36"/>
        <w:gridCol w:w="37"/>
        <w:gridCol w:w="144"/>
        <w:gridCol w:w="36"/>
        <w:gridCol w:w="101"/>
        <w:gridCol w:w="534"/>
        <w:gridCol w:w="36"/>
        <w:gridCol w:w="36"/>
        <w:gridCol w:w="36"/>
        <w:gridCol w:w="36"/>
        <w:gridCol w:w="100"/>
        <w:gridCol w:w="492"/>
        <w:gridCol w:w="36"/>
        <w:gridCol w:w="37"/>
        <w:gridCol w:w="144"/>
        <w:gridCol w:w="36"/>
      </w:tblGrid>
      <w:tr w:rsidR="00B1578D" w14:paraId="5DEC61AB" w14:textId="77777777">
        <w:tc>
          <w:tcPr>
            <w:tcW w:w="50" w:type="pct"/>
            <w:shd w:val="clear" w:color="auto" w:fill="auto"/>
            <w:vAlign w:val="bottom"/>
          </w:tcPr>
          <w:p w14:paraId="5DEC6190" w14:textId="77777777" w:rsidR="00B1578D" w:rsidRDefault="00B1578D">
            <w:pPr>
              <w:rPr>
                <w:rFonts w:ascii="宋体"/>
              </w:rPr>
            </w:pPr>
          </w:p>
        </w:tc>
        <w:tc>
          <w:tcPr>
            <w:tcW w:w="3051" w:type="pct"/>
            <w:shd w:val="clear" w:color="auto" w:fill="auto"/>
            <w:vAlign w:val="bottom"/>
          </w:tcPr>
          <w:p w14:paraId="5DEC6191" w14:textId="77777777" w:rsidR="00B1578D" w:rsidRDefault="00B1578D">
            <w:pPr>
              <w:rPr>
                <w:rFonts w:ascii="宋体"/>
              </w:rPr>
            </w:pPr>
          </w:p>
        </w:tc>
        <w:tc>
          <w:tcPr>
            <w:tcW w:w="5" w:type="pct"/>
            <w:shd w:val="clear" w:color="auto" w:fill="auto"/>
            <w:vAlign w:val="bottom"/>
          </w:tcPr>
          <w:p w14:paraId="5DEC6192" w14:textId="77777777" w:rsidR="00B1578D" w:rsidRDefault="00B1578D">
            <w:pPr>
              <w:rPr>
                <w:rFonts w:ascii="宋体"/>
              </w:rPr>
            </w:pPr>
          </w:p>
        </w:tc>
        <w:tc>
          <w:tcPr>
            <w:tcW w:w="50" w:type="pct"/>
            <w:shd w:val="clear" w:color="auto" w:fill="auto"/>
            <w:vAlign w:val="bottom"/>
          </w:tcPr>
          <w:p w14:paraId="5DEC6193" w14:textId="77777777" w:rsidR="00B1578D" w:rsidRDefault="00B1578D">
            <w:pPr>
              <w:rPr>
                <w:rFonts w:ascii="宋体"/>
              </w:rPr>
            </w:pPr>
          </w:p>
        </w:tc>
        <w:tc>
          <w:tcPr>
            <w:tcW w:w="332" w:type="pct"/>
            <w:shd w:val="clear" w:color="auto" w:fill="auto"/>
            <w:vAlign w:val="bottom"/>
          </w:tcPr>
          <w:p w14:paraId="5DEC6194" w14:textId="77777777" w:rsidR="00B1578D" w:rsidRDefault="00B1578D">
            <w:pPr>
              <w:rPr>
                <w:rFonts w:ascii="宋体"/>
              </w:rPr>
            </w:pPr>
          </w:p>
        </w:tc>
        <w:tc>
          <w:tcPr>
            <w:tcW w:w="5" w:type="pct"/>
            <w:shd w:val="clear" w:color="auto" w:fill="auto"/>
            <w:vAlign w:val="bottom"/>
          </w:tcPr>
          <w:p w14:paraId="5DEC6195" w14:textId="77777777" w:rsidR="00B1578D" w:rsidRDefault="00B1578D">
            <w:pPr>
              <w:rPr>
                <w:rFonts w:ascii="宋体"/>
              </w:rPr>
            </w:pPr>
          </w:p>
        </w:tc>
        <w:tc>
          <w:tcPr>
            <w:tcW w:w="5" w:type="pct"/>
            <w:shd w:val="clear" w:color="auto" w:fill="auto"/>
            <w:vAlign w:val="bottom"/>
          </w:tcPr>
          <w:p w14:paraId="5DEC6196" w14:textId="77777777" w:rsidR="00B1578D" w:rsidRDefault="00B1578D">
            <w:pPr>
              <w:rPr>
                <w:rFonts w:ascii="宋体"/>
              </w:rPr>
            </w:pPr>
          </w:p>
        </w:tc>
        <w:tc>
          <w:tcPr>
            <w:tcW w:w="26" w:type="pct"/>
            <w:shd w:val="clear" w:color="auto" w:fill="auto"/>
            <w:vAlign w:val="bottom"/>
          </w:tcPr>
          <w:p w14:paraId="5DEC6197" w14:textId="77777777" w:rsidR="00B1578D" w:rsidRDefault="00B1578D">
            <w:pPr>
              <w:rPr>
                <w:rFonts w:ascii="宋体"/>
              </w:rPr>
            </w:pPr>
          </w:p>
        </w:tc>
        <w:tc>
          <w:tcPr>
            <w:tcW w:w="5" w:type="pct"/>
            <w:shd w:val="clear" w:color="auto" w:fill="auto"/>
            <w:vAlign w:val="bottom"/>
          </w:tcPr>
          <w:p w14:paraId="5DEC6198" w14:textId="77777777" w:rsidR="00B1578D" w:rsidRDefault="00B1578D">
            <w:pPr>
              <w:rPr>
                <w:rFonts w:ascii="宋体"/>
              </w:rPr>
            </w:pPr>
          </w:p>
        </w:tc>
        <w:tc>
          <w:tcPr>
            <w:tcW w:w="50" w:type="pct"/>
            <w:shd w:val="clear" w:color="auto" w:fill="auto"/>
            <w:vAlign w:val="bottom"/>
          </w:tcPr>
          <w:p w14:paraId="5DEC6199" w14:textId="77777777" w:rsidR="00B1578D" w:rsidRDefault="00B1578D">
            <w:pPr>
              <w:rPr>
                <w:rFonts w:ascii="宋体"/>
              </w:rPr>
            </w:pPr>
          </w:p>
        </w:tc>
        <w:tc>
          <w:tcPr>
            <w:tcW w:w="354" w:type="pct"/>
            <w:shd w:val="clear" w:color="auto" w:fill="auto"/>
            <w:vAlign w:val="bottom"/>
          </w:tcPr>
          <w:p w14:paraId="5DEC619A" w14:textId="77777777" w:rsidR="00B1578D" w:rsidRDefault="00B1578D">
            <w:pPr>
              <w:rPr>
                <w:rFonts w:ascii="宋体"/>
              </w:rPr>
            </w:pPr>
          </w:p>
        </w:tc>
        <w:tc>
          <w:tcPr>
            <w:tcW w:w="5" w:type="pct"/>
            <w:shd w:val="clear" w:color="auto" w:fill="auto"/>
            <w:vAlign w:val="bottom"/>
          </w:tcPr>
          <w:p w14:paraId="5DEC619B" w14:textId="77777777" w:rsidR="00B1578D" w:rsidRDefault="00B1578D">
            <w:pPr>
              <w:rPr>
                <w:rFonts w:ascii="宋体"/>
              </w:rPr>
            </w:pPr>
          </w:p>
        </w:tc>
        <w:tc>
          <w:tcPr>
            <w:tcW w:w="5" w:type="pct"/>
            <w:shd w:val="clear" w:color="auto" w:fill="auto"/>
            <w:vAlign w:val="bottom"/>
          </w:tcPr>
          <w:p w14:paraId="5DEC619C" w14:textId="77777777" w:rsidR="00B1578D" w:rsidRDefault="00B1578D">
            <w:pPr>
              <w:rPr>
                <w:rFonts w:ascii="宋体"/>
              </w:rPr>
            </w:pPr>
          </w:p>
        </w:tc>
        <w:tc>
          <w:tcPr>
            <w:tcW w:w="106" w:type="pct"/>
            <w:shd w:val="clear" w:color="auto" w:fill="auto"/>
            <w:vAlign w:val="bottom"/>
          </w:tcPr>
          <w:p w14:paraId="5DEC619D" w14:textId="77777777" w:rsidR="00B1578D" w:rsidRDefault="00B1578D">
            <w:pPr>
              <w:rPr>
                <w:rFonts w:ascii="宋体"/>
              </w:rPr>
            </w:pPr>
          </w:p>
        </w:tc>
        <w:tc>
          <w:tcPr>
            <w:tcW w:w="5" w:type="pct"/>
            <w:shd w:val="clear" w:color="auto" w:fill="auto"/>
            <w:vAlign w:val="bottom"/>
          </w:tcPr>
          <w:p w14:paraId="5DEC619E" w14:textId="77777777" w:rsidR="00B1578D" w:rsidRDefault="00B1578D">
            <w:pPr>
              <w:rPr>
                <w:rFonts w:ascii="宋体"/>
              </w:rPr>
            </w:pPr>
          </w:p>
        </w:tc>
        <w:tc>
          <w:tcPr>
            <w:tcW w:w="50" w:type="pct"/>
            <w:shd w:val="clear" w:color="auto" w:fill="auto"/>
            <w:vAlign w:val="bottom"/>
          </w:tcPr>
          <w:p w14:paraId="5DEC619F" w14:textId="77777777" w:rsidR="00B1578D" w:rsidRDefault="00B1578D">
            <w:pPr>
              <w:rPr>
                <w:rFonts w:ascii="宋体"/>
              </w:rPr>
            </w:pPr>
          </w:p>
        </w:tc>
        <w:tc>
          <w:tcPr>
            <w:tcW w:w="317" w:type="pct"/>
            <w:shd w:val="clear" w:color="auto" w:fill="auto"/>
            <w:vAlign w:val="bottom"/>
          </w:tcPr>
          <w:p w14:paraId="5DEC61A0" w14:textId="77777777" w:rsidR="00B1578D" w:rsidRDefault="00B1578D">
            <w:pPr>
              <w:rPr>
                <w:rFonts w:ascii="宋体"/>
              </w:rPr>
            </w:pPr>
          </w:p>
        </w:tc>
        <w:tc>
          <w:tcPr>
            <w:tcW w:w="5" w:type="pct"/>
            <w:shd w:val="clear" w:color="auto" w:fill="auto"/>
            <w:vAlign w:val="bottom"/>
          </w:tcPr>
          <w:p w14:paraId="5DEC61A1" w14:textId="77777777" w:rsidR="00B1578D" w:rsidRDefault="00B1578D">
            <w:pPr>
              <w:rPr>
                <w:rFonts w:ascii="宋体"/>
              </w:rPr>
            </w:pPr>
          </w:p>
        </w:tc>
        <w:tc>
          <w:tcPr>
            <w:tcW w:w="5" w:type="pct"/>
            <w:shd w:val="clear" w:color="auto" w:fill="auto"/>
            <w:vAlign w:val="bottom"/>
          </w:tcPr>
          <w:p w14:paraId="5DEC61A2" w14:textId="77777777" w:rsidR="00B1578D" w:rsidRDefault="00B1578D">
            <w:pPr>
              <w:rPr>
                <w:rFonts w:ascii="宋体"/>
              </w:rPr>
            </w:pPr>
          </w:p>
        </w:tc>
        <w:tc>
          <w:tcPr>
            <w:tcW w:w="26" w:type="pct"/>
            <w:shd w:val="clear" w:color="auto" w:fill="auto"/>
            <w:vAlign w:val="bottom"/>
          </w:tcPr>
          <w:p w14:paraId="5DEC61A3" w14:textId="77777777" w:rsidR="00B1578D" w:rsidRDefault="00B1578D">
            <w:pPr>
              <w:rPr>
                <w:rFonts w:ascii="宋体"/>
              </w:rPr>
            </w:pPr>
          </w:p>
        </w:tc>
        <w:tc>
          <w:tcPr>
            <w:tcW w:w="5" w:type="pct"/>
            <w:shd w:val="clear" w:color="auto" w:fill="auto"/>
            <w:vAlign w:val="bottom"/>
          </w:tcPr>
          <w:p w14:paraId="5DEC61A4" w14:textId="77777777" w:rsidR="00B1578D" w:rsidRDefault="00B1578D">
            <w:pPr>
              <w:rPr>
                <w:rFonts w:ascii="宋体"/>
              </w:rPr>
            </w:pPr>
          </w:p>
        </w:tc>
        <w:tc>
          <w:tcPr>
            <w:tcW w:w="50" w:type="pct"/>
            <w:shd w:val="clear" w:color="auto" w:fill="auto"/>
            <w:vAlign w:val="bottom"/>
          </w:tcPr>
          <w:p w14:paraId="5DEC61A5" w14:textId="77777777" w:rsidR="00B1578D" w:rsidRDefault="00B1578D">
            <w:pPr>
              <w:rPr>
                <w:rFonts w:ascii="宋体"/>
              </w:rPr>
            </w:pPr>
          </w:p>
        </w:tc>
        <w:tc>
          <w:tcPr>
            <w:tcW w:w="361" w:type="pct"/>
            <w:shd w:val="clear" w:color="auto" w:fill="auto"/>
            <w:vAlign w:val="bottom"/>
          </w:tcPr>
          <w:p w14:paraId="5DEC61A6" w14:textId="77777777" w:rsidR="00B1578D" w:rsidRDefault="00B1578D">
            <w:pPr>
              <w:rPr>
                <w:rFonts w:ascii="宋体"/>
              </w:rPr>
            </w:pPr>
          </w:p>
        </w:tc>
        <w:tc>
          <w:tcPr>
            <w:tcW w:w="5" w:type="pct"/>
            <w:shd w:val="clear" w:color="auto" w:fill="auto"/>
            <w:vAlign w:val="bottom"/>
          </w:tcPr>
          <w:p w14:paraId="5DEC61A7" w14:textId="77777777" w:rsidR="00B1578D" w:rsidRDefault="00B1578D">
            <w:pPr>
              <w:rPr>
                <w:rFonts w:ascii="宋体"/>
              </w:rPr>
            </w:pPr>
          </w:p>
        </w:tc>
        <w:tc>
          <w:tcPr>
            <w:tcW w:w="5" w:type="pct"/>
            <w:shd w:val="clear" w:color="auto" w:fill="auto"/>
            <w:vAlign w:val="bottom"/>
          </w:tcPr>
          <w:p w14:paraId="5DEC61A8" w14:textId="77777777" w:rsidR="00B1578D" w:rsidRDefault="00B1578D">
            <w:pPr>
              <w:rPr>
                <w:rFonts w:ascii="宋体"/>
              </w:rPr>
            </w:pPr>
          </w:p>
        </w:tc>
        <w:tc>
          <w:tcPr>
            <w:tcW w:w="107" w:type="pct"/>
            <w:shd w:val="clear" w:color="auto" w:fill="auto"/>
            <w:vAlign w:val="bottom"/>
          </w:tcPr>
          <w:p w14:paraId="5DEC61A9" w14:textId="77777777" w:rsidR="00B1578D" w:rsidRDefault="00B1578D">
            <w:pPr>
              <w:rPr>
                <w:rFonts w:ascii="宋体"/>
              </w:rPr>
            </w:pPr>
          </w:p>
        </w:tc>
        <w:tc>
          <w:tcPr>
            <w:tcW w:w="5" w:type="pct"/>
            <w:shd w:val="clear" w:color="auto" w:fill="auto"/>
            <w:vAlign w:val="bottom"/>
          </w:tcPr>
          <w:p w14:paraId="5DEC61AA" w14:textId="77777777" w:rsidR="00B1578D" w:rsidRDefault="00B1578D">
            <w:pPr>
              <w:rPr>
                <w:rFonts w:ascii="宋体"/>
              </w:rPr>
            </w:pPr>
          </w:p>
        </w:tc>
      </w:tr>
      <w:tr w:rsidR="00B1578D" w14:paraId="5DEC61B1" w14:textId="77777777">
        <w:tc>
          <w:tcPr>
            <w:tcW w:w="0" w:type="auto"/>
            <w:gridSpan w:val="3"/>
            <w:shd w:val="clear" w:color="auto" w:fill="auto"/>
            <w:tcMar>
              <w:top w:w="40" w:type="dxa"/>
              <w:left w:w="20" w:type="dxa"/>
              <w:bottom w:w="40" w:type="dxa"/>
              <w:right w:w="20" w:type="dxa"/>
            </w:tcMar>
            <w:vAlign w:val="bottom"/>
          </w:tcPr>
          <w:p w14:paraId="5DEC61AC" w14:textId="77777777" w:rsidR="00B1578D" w:rsidRDefault="004D2C0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5DEC61AD" w14:textId="77777777" w:rsidR="00B1578D" w:rsidRDefault="004D2C04">
            <w:pPr>
              <w:jc w:val="center"/>
              <w:textAlignment w:val="bottom"/>
            </w:pPr>
            <w:r>
              <w:rPr>
                <w:rFonts w:ascii="Times New Roman" w:eastAsia="宋体" w:hAnsi="Times New Roman"/>
                <w:b/>
                <w:bCs/>
                <w:color w:val="000000"/>
                <w:sz w:val="16"/>
                <w:szCs w:val="16"/>
              </w:rPr>
              <w:t>April 30, 2022</w:t>
            </w:r>
          </w:p>
        </w:tc>
        <w:tc>
          <w:tcPr>
            <w:tcW w:w="0" w:type="auto"/>
            <w:gridSpan w:val="3"/>
            <w:shd w:val="clear" w:color="auto" w:fill="auto"/>
            <w:tcMar>
              <w:top w:w="0" w:type="dxa"/>
              <w:left w:w="20" w:type="dxa"/>
              <w:bottom w:w="0" w:type="dxa"/>
              <w:right w:w="20" w:type="dxa"/>
            </w:tcMar>
            <w:vAlign w:val="bottom"/>
          </w:tcPr>
          <w:p w14:paraId="5DEC61AE"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1AF" w14:textId="77777777" w:rsidR="00B1578D" w:rsidRDefault="004D2C04">
            <w:pPr>
              <w:jc w:val="center"/>
              <w:textAlignment w:val="bottom"/>
            </w:pPr>
            <w:r>
              <w:rPr>
                <w:rFonts w:ascii="Times New Roman" w:eastAsia="宋体" w:hAnsi="Times New Roman"/>
                <w:b/>
                <w:bCs/>
                <w:color w:val="000000"/>
                <w:sz w:val="16"/>
                <w:szCs w:val="16"/>
              </w:rPr>
              <w:t>January 31, 2022</w:t>
            </w:r>
          </w:p>
        </w:tc>
        <w:tc>
          <w:tcPr>
            <w:tcW w:w="0" w:type="auto"/>
            <w:gridSpan w:val="3"/>
            <w:shd w:val="clear" w:color="auto" w:fill="auto"/>
            <w:tcMar>
              <w:top w:w="0" w:type="dxa"/>
              <w:left w:w="20" w:type="dxa"/>
              <w:bottom w:w="0" w:type="dxa"/>
              <w:right w:w="20" w:type="dxa"/>
            </w:tcMar>
            <w:vAlign w:val="bottom"/>
          </w:tcPr>
          <w:p w14:paraId="5DEC61B0" w14:textId="77777777" w:rsidR="00B1578D" w:rsidRDefault="00B1578D">
            <w:pPr>
              <w:rPr>
                <w:rFonts w:ascii="宋体"/>
              </w:rPr>
            </w:pPr>
          </w:p>
        </w:tc>
      </w:tr>
      <w:tr w:rsidR="00B1578D" w14:paraId="5DEC61BB" w14:textId="77777777">
        <w:tc>
          <w:tcPr>
            <w:tcW w:w="0" w:type="auto"/>
            <w:gridSpan w:val="3"/>
            <w:shd w:val="clear" w:color="auto" w:fill="auto"/>
            <w:tcMar>
              <w:top w:w="40" w:type="dxa"/>
              <w:left w:w="20" w:type="dxa"/>
              <w:bottom w:w="40" w:type="dxa"/>
              <w:right w:w="20" w:type="dxa"/>
            </w:tcMar>
            <w:vAlign w:val="bottom"/>
          </w:tcPr>
          <w:p w14:paraId="5DEC61B2"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1B3" w14:textId="77777777" w:rsidR="00B1578D" w:rsidRDefault="004D2C04">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1B4"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1B5" w14:textId="77777777" w:rsidR="00B1578D" w:rsidRDefault="004D2C04">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5DEC61B6"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1B7" w14:textId="77777777" w:rsidR="00B1578D" w:rsidRDefault="004D2C04">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1B8"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1B9" w14:textId="77777777" w:rsidR="00B1578D" w:rsidRDefault="004D2C04">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5DEC61BA" w14:textId="77777777" w:rsidR="00B1578D" w:rsidRDefault="00B1578D">
            <w:pPr>
              <w:rPr>
                <w:rFonts w:ascii="宋体"/>
              </w:rPr>
            </w:pPr>
          </w:p>
        </w:tc>
      </w:tr>
      <w:tr w:rsidR="00B1578D" w14:paraId="5DEC61CD" w14:textId="77777777">
        <w:tc>
          <w:tcPr>
            <w:tcW w:w="0" w:type="auto"/>
            <w:gridSpan w:val="3"/>
            <w:shd w:val="clear" w:color="auto" w:fill="CCEEFF"/>
            <w:tcMar>
              <w:top w:w="40" w:type="dxa"/>
              <w:left w:w="20" w:type="dxa"/>
              <w:bottom w:w="40" w:type="dxa"/>
              <w:right w:w="20" w:type="dxa"/>
            </w:tcMar>
            <w:vAlign w:val="center"/>
          </w:tcPr>
          <w:p w14:paraId="5DEC61BC" w14:textId="77777777" w:rsidR="00B1578D" w:rsidRDefault="004D2C04">
            <w:pPr>
              <w:textAlignment w:val="center"/>
            </w:pPr>
            <w:r>
              <w:rPr>
                <w:rFonts w:ascii="Times New Roman" w:eastAsia="宋体" w:hAnsi="Times New Roman"/>
                <w:color w:val="000000"/>
                <w:sz w:val="16"/>
                <w:szCs w:val="16"/>
              </w:rPr>
              <w:t xml:space="preserve">Receive fixed-rate, pay variable-rate interest rate swaps </w:t>
            </w:r>
            <w:r>
              <w:rPr>
                <w:rFonts w:ascii="Times New Roman" w:eastAsia="宋体" w:hAnsi="Times New Roman"/>
                <w:color w:val="000000"/>
                <w:sz w:val="16"/>
                <w:szCs w:val="16"/>
              </w:rPr>
              <w:t>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5DEC61B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1BE" w14:textId="77777777" w:rsidR="00B1578D" w:rsidRDefault="004D2C04">
            <w:pPr>
              <w:jc w:val="right"/>
              <w:textAlignment w:val="center"/>
            </w:pPr>
            <w:r>
              <w:rPr>
                <w:rFonts w:ascii="Times New Roman" w:eastAsia="宋体" w:hAnsi="Times New Roman"/>
                <w:color w:val="000000"/>
                <w:sz w:val="16"/>
                <w:szCs w:val="16"/>
              </w:rPr>
              <w:t>8,021 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1B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C0"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1C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1C2" w14:textId="77777777" w:rsidR="00B1578D" w:rsidRDefault="004D2C04">
            <w:pPr>
              <w:jc w:val="right"/>
              <w:textAlignment w:val="center"/>
            </w:pPr>
            <w:r>
              <w:rPr>
                <w:rFonts w:ascii="Times New Roman" w:eastAsia="宋体" w:hAnsi="Times New Roman"/>
                <w:color w:val="000000"/>
                <w:sz w:val="16"/>
                <w:szCs w:val="16"/>
              </w:rPr>
              <w:t>(539)</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1C3" w14:textId="77777777" w:rsidR="00B1578D" w:rsidRDefault="00B1578D">
            <w:pPr>
              <w:jc w:val="right"/>
              <w:rPr>
                <w:rFonts w:ascii="宋体"/>
              </w:rPr>
            </w:pPr>
          </w:p>
        </w:tc>
        <w:tc>
          <w:tcPr>
            <w:tcW w:w="0" w:type="auto"/>
            <w:gridSpan w:val="3"/>
            <w:shd w:val="clear" w:color="auto" w:fill="CCEEFF"/>
            <w:tcMar>
              <w:top w:w="40" w:type="dxa"/>
              <w:left w:w="20" w:type="dxa"/>
              <w:bottom w:w="40" w:type="dxa"/>
              <w:right w:w="20" w:type="dxa"/>
            </w:tcMar>
            <w:vAlign w:val="center"/>
          </w:tcPr>
          <w:p w14:paraId="5DEC61C4" w14:textId="77777777" w:rsidR="00B1578D" w:rsidRDefault="004D2C04">
            <w:pPr>
              <w:textAlignment w:val="center"/>
            </w:pPr>
            <w:r>
              <w:rPr>
                <w:rFonts w:ascii="Times New Roman" w:eastAsia="宋体" w:hAnsi="Times New Roman"/>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5DEC61C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1C6" w14:textId="77777777" w:rsidR="00B1578D" w:rsidRDefault="004D2C04">
            <w:pPr>
              <w:jc w:val="right"/>
              <w:textAlignment w:val="center"/>
            </w:pPr>
            <w:r>
              <w:rPr>
                <w:rFonts w:ascii="Times New Roman" w:eastAsia="宋体" w:hAnsi="Times New Roman"/>
                <w:color w:val="000000"/>
                <w:sz w:val="16"/>
                <w:szCs w:val="16"/>
              </w:rPr>
              <w:t>8,021 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1C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C8"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1C9"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1CA" w14:textId="77777777" w:rsidR="00B1578D" w:rsidRDefault="004D2C04">
            <w:pPr>
              <w:jc w:val="right"/>
              <w:textAlignment w:val="center"/>
            </w:pPr>
            <w:r>
              <w:rPr>
                <w:rFonts w:ascii="Times New Roman" w:eastAsia="宋体" w:hAnsi="Times New Roman"/>
                <w:color w:val="000000"/>
                <w:sz w:val="16"/>
                <w:szCs w:val="16"/>
              </w:rPr>
              <w:t>(47)</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1CB" w14:textId="77777777" w:rsidR="00B1578D" w:rsidRDefault="00B1578D">
            <w:pPr>
              <w:jc w:val="right"/>
              <w:rPr>
                <w:rFonts w:ascii="宋体"/>
              </w:rPr>
            </w:pPr>
          </w:p>
        </w:tc>
        <w:tc>
          <w:tcPr>
            <w:tcW w:w="0" w:type="auto"/>
            <w:gridSpan w:val="3"/>
            <w:shd w:val="clear" w:color="auto" w:fill="CCEEFF"/>
            <w:tcMar>
              <w:top w:w="40" w:type="dxa"/>
              <w:left w:w="20" w:type="dxa"/>
              <w:bottom w:w="40" w:type="dxa"/>
              <w:right w:w="20" w:type="dxa"/>
            </w:tcMar>
            <w:vAlign w:val="center"/>
          </w:tcPr>
          <w:p w14:paraId="5DEC61CC" w14:textId="77777777" w:rsidR="00B1578D" w:rsidRDefault="004D2C04">
            <w:pPr>
              <w:textAlignment w:val="center"/>
            </w:pPr>
            <w:r>
              <w:rPr>
                <w:rFonts w:ascii="Times New Roman" w:eastAsia="宋体" w:hAnsi="Times New Roman"/>
                <w:color w:val="000000"/>
                <w:sz w:val="10"/>
                <w:szCs w:val="10"/>
              </w:rPr>
              <w:t>(1)</w:t>
            </w:r>
          </w:p>
        </w:tc>
      </w:tr>
      <w:tr w:rsidR="00B1578D" w14:paraId="5DEC61D7" w14:textId="77777777">
        <w:trPr>
          <w:hidden/>
        </w:trPr>
        <w:tc>
          <w:tcPr>
            <w:tcW w:w="0" w:type="auto"/>
            <w:gridSpan w:val="3"/>
            <w:shd w:val="clear" w:color="auto" w:fill="auto"/>
            <w:vAlign w:val="bottom"/>
          </w:tcPr>
          <w:p w14:paraId="5DEC61CE" w14:textId="77777777" w:rsidR="00B1578D" w:rsidRDefault="00B1578D">
            <w:pPr>
              <w:rPr>
                <w:rFonts w:ascii="宋体"/>
                <w:vanish/>
              </w:rPr>
            </w:pPr>
          </w:p>
        </w:tc>
        <w:tc>
          <w:tcPr>
            <w:tcW w:w="0" w:type="auto"/>
            <w:gridSpan w:val="3"/>
            <w:shd w:val="clear" w:color="auto" w:fill="auto"/>
            <w:vAlign w:val="bottom"/>
          </w:tcPr>
          <w:p w14:paraId="5DEC61CF" w14:textId="77777777" w:rsidR="00B1578D" w:rsidRDefault="00B1578D">
            <w:pPr>
              <w:rPr>
                <w:rFonts w:ascii="宋体"/>
                <w:vanish/>
              </w:rPr>
            </w:pPr>
          </w:p>
        </w:tc>
        <w:tc>
          <w:tcPr>
            <w:tcW w:w="0" w:type="auto"/>
            <w:gridSpan w:val="3"/>
            <w:shd w:val="clear" w:color="auto" w:fill="auto"/>
            <w:vAlign w:val="bottom"/>
          </w:tcPr>
          <w:p w14:paraId="5DEC61D0" w14:textId="77777777" w:rsidR="00B1578D" w:rsidRDefault="00B1578D">
            <w:pPr>
              <w:rPr>
                <w:rFonts w:ascii="宋体"/>
                <w:vanish/>
              </w:rPr>
            </w:pPr>
          </w:p>
        </w:tc>
        <w:tc>
          <w:tcPr>
            <w:tcW w:w="0" w:type="auto"/>
            <w:gridSpan w:val="3"/>
            <w:shd w:val="clear" w:color="auto" w:fill="auto"/>
            <w:vAlign w:val="bottom"/>
          </w:tcPr>
          <w:p w14:paraId="5DEC61D1" w14:textId="77777777" w:rsidR="00B1578D" w:rsidRDefault="00B1578D">
            <w:pPr>
              <w:rPr>
                <w:rFonts w:ascii="宋体"/>
                <w:vanish/>
              </w:rPr>
            </w:pPr>
          </w:p>
        </w:tc>
        <w:tc>
          <w:tcPr>
            <w:tcW w:w="0" w:type="auto"/>
            <w:gridSpan w:val="3"/>
            <w:shd w:val="clear" w:color="auto" w:fill="auto"/>
            <w:vAlign w:val="bottom"/>
          </w:tcPr>
          <w:p w14:paraId="5DEC61D2" w14:textId="77777777" w:rsidR="00B1578D" w:rsidRDefault="00B1578D">
            <w:pPr>
              <w:rPr>
                <w:rFonts w:ascii="宋体"/>
                <w:vanish/>
              </w:rPr>
            </w:pPr>
          </w:p>
        </w:tc>
        <w:tc>
          <w:tcPr>
            <w:tcW w:w="0" w:type="auto"/>
            <w:gridSpan w:val="3"/>
            <w:shd w:val="clear" w:color="auto" w:fill="auto"/>
            <w:vAlign w:val="bottom"/>
          </w:tcPr>
          <w:p w14:paraId="5DEC61D3" w14:textId="77777777" w:rsidR="00B1578D" w:rsidRDefault="00B1578D">
            <w:pPr>
              <w:rPr>
                <w:rFonts w:ascii="宋体"/>
                <w:vanish/>
              </w:rPr>
            </w:pPr>
          </w:p>
        </w:tc>
        <w:tc>
          <w:tcPr>
            <w:tcW w:w="0" w:type="auto"/>
            <w:gridSpan w:val="3"/>
            <w:shd w:val="clear" w:color="auto" w:fill="auto"/>
            <w:vAlign w:val="bottom"/>
          </w:tcPr>
          <w:p w14:paraId="5DEC61D4" w14:textId="77777777" w:rsidR="00B1578D" w:rsidRDefault="00B1578D">
            <w:pPr>
              <w:rPr>
                <w:rFonts w:ascii="宋体"/>
                <w:vanish/>
              </w:rPr>
            </w:pPr>
          </w:p>
        </w:tc>
        <w:tc>
          <w:tcPr>
            <w:tcW w:w="0" w:type="auto"/>
            <w:gridSpan w:val="3"/>
            <w:shd w:val="clear" w:color="auto" w:fill="auto"/>
            <w:vAlign w:val="bottom"/>
          </w:tcPr>
          <w:p w14:paraId="5DEC61D5" w14:textId="77777777" w:rsidR="00B1578D" w:rsidRDefault="00B1578D">
            <w:pPr>
              <w:rPr>
                <w:rFonts w:ascii="宋体"/>
                <w:vanish/>
              </w:rPr>
            </w:pPr>
          </w:p>
        </w:tc>
        <w:tc>
          <w:tcPr>
            <w:tcW w:w="0" w:type="auto"/>
            <w:gridSpan w:val="3"/>
            <w:shd w:val="clear" w:color="auto" w:fill="auto"/>
            <w:vAlign w:val="bottom"/>
          </w:tcPr>
          <w:p w14:paraId="5DEC61D6" w14:textId="77777777" w:rsidR="00B1578D" w:rsidRDefault="00B1578D">
            <w:pPr>
              <w:rPr>
                <w:rFonts w:ascii="宋体"/>
                <w:vanish/>
              </w:rPr>
            </w:pPr>
          </w:p>
        </w:tc>
      </w:tr>
      <w:tr w:rsidR="00B1578D" w14:paraId="5DEC61E5" w14:textId="77777777">
        <w:tc>
          <w:tcPr>
            <w:tcW w:w="0" w:type="auto"/>
            <w:gridSpan w:val="3"/>
            <w:shd w:val="clear" w:color="auto" w:fill="FFFFFF"/>
            <w:tcMar>
              <w:top w:w="40" w:type="dxa"/>
              <w:left w:w="20" w:type="dxa"/>
              <w:bottom w:w="40" w:type="dxa"/>
              <w:right w:w="20" w:type="dxa"/>
            </w:tcMar>
            <w:vAlign w:val="center"/>
          </w:tcPr>
          <w:p w14:paraId="5DEC61D8" w14:textId="77777777" w:rsidR="00B1578D" w:rsidRDefault="004D2C04">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FFFFFF"/>
            <w:tcMar>
              <w:top w:w="40" w:type="dxa"/>
              <w:left w:w="20" w:type="dxa"/>
              <w:bottom w:w="40" w:type="dxa"/>
              <w:right w:w="0" w:type="dxa"/>
            </w:tcMar>
            <w:vAlign w:val="center"/>
          </w:tcPr>
          <w:p w14:paraId="5DEC61D9" w14:textId="77777777" w:rsidR="00B1578D" w:rsidRDefault="004D2C04">
            <w:pPr>
              <w:jc w:val="right"/>
              <w:textAlignment w:val="center"/>
            </w:pPr>
            <w:r>
              <w:rPr>
                <w:rFonts w:ascii="Times New Roman" w:eastAsia="宋体" w:hAnsi="Times New Roman"/>
                <w:color w:val="000000"/>
                <w:sz w:val="16"/>
                <w:szCs w:val="16"/>
              </w:rPr>
              <w:t>6,428 </w:t>
            </w:r>
          </w:p>
        </w:tc>
        <w:tc>
          <w:tcPr>
            <w:tcW w:w="0" w:type="auto"/>
            <w:shd w:val="clear" w:color="auto" w:fill="FFFFFF"/>
            <w:tcMar>
              <w:top w:w="40" w:type="dxa"/>
              <w:left w:w="0" w:type="dxa"/>
              <w:bottom w:w="40" w:type="dxa"/>
              <w:right w:w="20" w:type="dxa"/>
            </w:tcMar>
            <w:vAlign w:val="center"/>
          </w:tcPr>
          <w:p w14:paraId="5DEC61D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1D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1DC" w14:textId="77777777" w:rsidR="00B1578D" w:rsidRDefault="004D2C04">
            <w:pPr>
              <w:jc w:val="right"/>
              <w:textAlignment w:val="center"/>
            </w:pPr>
            <w:r>
              <w:rPr>
                <w:rFonts w:ascii="Times New Roman" w:eastAsia="宋体" w:hAnsi="Times New Roman"/>
                <w:color w:val="000000"/>
                <w:sz w:val="16"/>
                <w:szCs w:val="16"/>
              </w:rPr>
              <w:t>(1,121)</w:t>
            </w:r>
          </w:p>
        </w:tc>
        <w:tc>
          <w:tcPr>
            <w:tcW w:w="0" w:type="auto"/>
            <w:shd w:val="clear" w:color="auto" w:fill="FFFFFF"/>
            <w:tcMar>
              <w:top w:w="40" w:type="dxa"/>
              <w:left w:w="0" w:type="dxa"/>
              <w:bottom w:w="40" w:type="dxa"/>
              <w:right w:w="20" w:type="dxa"/>
            </w:tcMar>
            <w:vAlign w:val="center"/>
          </w:tcPr>
          <w:p w14:paraId="5DEC61DD" w14:textId="77777777" w:rsidR="00B1578D" w:rsidRDefault="00B1578D">
            <w:pPr>
              <w:jc w:val="right"/>
              <w:rPr>
                <w:rFonts w:ascii="宋体"/>
              </w:rPr>
            </w:pPr>
          </w:p>
        </w:tc>
        <w:tc>
          <w:tcPr>
            <w:tcW w:w="0" w:type="auto"/>
            <w:gridSpan w:val="3"/>
            <w:shd w:val="clear" w:color="auto" w:fill="FFFFFF"/>
            <w:tcMar>
              <w:top w:w="40" w:type="dxa"/>
              <w:left w:w="20" w:type="dxa"/>
              <w:bottom w:w="40" w:type="dxa"/>
              <w:right w:w="20" w:type="dxa"/>
            </w:tcMar>
            <w:vAlign w:val="center"/>
          </w:tcPr>
          <w:p w14:paraId="5DEC61DE" w14:textId="77777777" w:rsidR="00B1578D" w:rsidRDefault="004D2C04">
            <w:pPr>
              <w:textAlignment w:val="center"/>
            </w:pPr>
            <w:r>
              <w:rPr>
                <w:rFonts w:ascii="Times New Roman" w:eastAsia="宋体" w:hAnsi="Times New Roman"/>
                <w:color w:val="000000"/>
                <w:sz w:val="10"/>
                <w:szCs w:val="10"/>
              </w:rPr>
              <w:t>(1)</w:t>
            </w:r>
          </w:p>
        </w:tc>
        <w:tc>
          <w:tcPr>
            <w:tcW w:w="0" w:type="auto"/>
            <w:gridSpan w:val="2"/>
            <w:shd w:val="clear" w:color="auto" w:fill="FFFFFF"/>
            <w:tcMar>
              <w:top w:w="40" w:type="dxa"/>
              <w:left w:w="20" w:type="dxa"/>
              <w:bottom w:w="40" w:type="dxa"/>
              <w:right w:w="0" w:type="dxa"/>
            </w:tcMar>
            <w:vAlign w:val="center"/>
          </w:tcPr>
          <w:p w14:paraId="5DEC61DF" w14:textId="77777777" w:rsidR="00B1578D" w:rsidRDefault="004D2C04">
            <w:pPr>
              <w:jc w:val="right"/>
              <w:textAlignment w:val="center"/>
            </w:pPr>
            <w:r>
              <w:rPr>
                <w:rFonts w:ascii="Times New Roman" w:eastAsia="宋体" w:hAnsi="Times New Roman"/>
                <w:color w:val="000000"/>
                <w:sz w:val="16"/>
                <w:szCs w:val="16"/>
              </w:rPr>
              <w:t>7,855 </w:t>
            </w:r>
          </w:p>
        </w:tc>
        <w:tc>
          <w:tcPr>
            <w:tcW w:w="0" w:type="auto"/>
            <w:shd w:val="clear" w:color="auto" w:fill="FFFFFF"/>
            <w:tcMar>
              <w:top w:w="40" w:type="dxa"/>
              <w:left w:w="0" w:type="dxa"/>
              <w:bottom w:w="40" w:type="dxa"/>
              <w:right w:w="20" w:type="dxa"/>
            </w:tcMar>
            <w:vAlign w:val="center"/>
          </w:tcPr>
          <w:p w14:paraId="5DEC61E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1E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1E2" w14:textId="77777777" w:rsidR="00B1578D" w:rsidRDefault="004D2C04">
            <w:pPr>
              <w:jc w:val="right"/>
              <w:textAlignment w:val="center"/>
            </w:pPr>
            <w:r>
              <w:rPr>
                <w:rFonts w:ascii="Times New Roman" w:eastAsia="宋体" w:hAnsi="Times New Roman"/>
                <w:color w:val="000000"/>
                <w:sz w:val="16"/>
                <w:szCs w:val="16"/>
              </w:rPr>
              <w:t>(1,048)</w:t>
            </w:r>
          </w:p>
        </w:tc>
        <w:tc>
          <w:tcPr>
            <w:tcW w:w="0" w:type="auto"/>
            <w:shd w:val="clear" w:color="auto" w:fill="FFFFFF"/>
            <w:tcMar>
              <w:top w:w="40" w:type="dxa"/>
              <w:left w:w="0" w:type="dxa"/>
              <w:bottom w:w="40" w:type="dxa"/>
              <w:right w:w="20" w:type="dxa"/>
            </w:tcMar>
            <w:vAlign w:val="center"/>
          </w:tcPr>
          <w:p w14:paraId="5DEC61E3" w14:textId="77777777" w:rsidR="00B1578D" w:rsidRDefault="00B1578D">
            <w:pPr>
              <w:jc w:val="right"/>
              <w:rPr>
                <w:rFonts w:ascii="宋体"/>
              </w:rPr>
            </w:pPr>
          </w:p>
        </w:tc>
        <w:tc>
          <w:tcPr>
            <w:tcW w:w="0" w:type="auto"/>
            <w:gridSpan w:val="3"/>
            <w:shd w:val="clear" w:color="auto" w:fill="FFFFFF"/>
            <w:tcMar>
              <w:top w:w="40" w:type="dxa"/>
              <w:left w:w="20" w:type="dxa"/>
              <w:bottom w:w="40" w:type="dxa"/>
              <w:right w:w="20" w:type="dxa"/>
            </w:tcMar>
            <w:vAlign w:val="center"/>
          </w:tcPr>
          <w:p w14:paraId="5DEC61E4" w14:textId="77777777" w:rsidR="00B1578D" w:rsidRDefault="004D2C04">
            <w:pPr>
              <w:textAlignment w:val="center"/>
            </w:pPr>
            <w:r>
              <w:rPr>
                <w:rFonts w:ascii="Times New Roman" w:eastAsia="宋体" w:hAnsi="Times New Roman"/>
                <w:color w:val="000000"/>
                <w:sz w:val="10"/>
                <w:szCs w:val="10"/>
              </w:rPr>
              <w:t>(1)</w:t>
            </w:r>
          </w:p>
        </w:tc>
      </w:tr>
      <w:tr w:rsidR="00B1578D" w14:paraId="5DEC61EF" w14:textId="77777777">
        <w:trPr>
          <w:hidden/>
        </w:trPr>
        <w:tc>
          <w:tcPr>
            <w:tcW w:w="0" w:type="auto"/>
            <w:gridSpan w:val="3"/>
            <w:shd w:val="clear" w:color="auto" w:fill="auto"/>
            <w:vAlign w:val="bottom"/>
          </w:tcPr>
          <w:p w14:paraId="5DEC61E6" w14:textId="77777777" w:rsidR="00B1578D" w:rsidRDefault="00B1578D">
            <w:pPr>
              <w:rPr>
                <w:rFonts w:ascii="宋体"/>
                <w:vanish/>
              </w:rPr>
            </w:pPr>
          </w:p>
        </w:tc>
        <w:tc>
          <w:tcPr>
            <w:tcW w:w="0" w:type="auto"/>
            <w:gridSpan w:val="3"/>
            <w:shd w:val="clear" w:color="auto" w:fill="auto"/>
            <w:vAlign w:val="bottom"/>
          </w:tcPr>
          <w:p w14:paraId="5DEC61E7" w14:textId="77777777" w:rsidR="00B1578D" w:rsidRDefault="00B1578D">
            <w:pPr>
              <w:rPr>
                <w:rFonts w:ascii="宋体"/>
                <w:vanish/>
              </w:rPr>
            </w:pPr>
          </w:p>
        </w:tc>
        <w:tc>
          <w:tcPr>
            <w:tcW w:w="0" w:type="auto"/>
            <w:gridSpan w:val="3"/>
            <w:shd w:val="clear" w:color="auto" w:fill="auto"/>
            <w:vAlign w:val="bottom"/>
          </w:tcPr>
          <w:p w14:paraId="5DEC61E8" w14:textId="77777777" w:rsidR="00B1578D" w:rsidRDefault="00B1578D">
            <w:pPr>
              <w:rPr>
                <w:rFonts w:ascii="宋体"/>
                <w:vanish/>
              </w:rPr>
            </w:pPr>
          </w:p>
        </w:tc>
        <w:tc>
          <w:tcPr>
            <w:tcW w:w="0" w:type="auto"/>
            <w:gridSpan w:val="3"/>
            <w:shd w:val="clear" w:color="auto" w:fill="auto"/>
            <w:vAlign w:val="bottom"/>
          </w:tcPr>
          <w:p w14:paraId="5DEC61E9" w14:textId="77777777" w:rsidR="00B1578D" w:rsidRDefault="00B1578D">
            <w:pPr>
              <w:rPr>
                <w:rFonts w:ascii="宋体"/>
                <w:vanish/>
              </w:rPr>
            </w:pPr>
          </w:p>
        </w:tc>
        <w:tc>
          <w:tcPr>
            <w:tcW w:w="0" w:type="auto"/>
            <w:gridSpan w:val="3"/>
            <w:shd w:val="clear" w:color="auto" w:fill="auto"/>
            <w:vAlign w:val="bottom"/>
          </w:tcPr>
          <w:p w14:paraId="5DEC61EA" w14:textId="77777777" w:rsidR="00B1578D" w:rsidRDefault="00B1578D">
            <w:pPr>
              <w:rPr>
                <w:rFonts w:ascii="宋体"/>
                <w:vanish/>
              </w:rPr>
            </w:pPr>
          </w:p>
        </w:tc>
        <w:tc>
          <w:tcPr>
            <w:tcW w:w="0" w:type="auto"/>
            <w:gridSpan w:val="3"/>
            <w:shd w:val="clear" w:color="auto" w:fill="auto"/>
            <w:vAlign w:val="bottom"/>
          </w:tcPr>
          <w:p w14:paraId="5DEC61EB" w14:textId="77777777" w:rsidR="00B1578D" w:rsidRDefault="00B1578D">
            <w:pPr>
              <w:rPr>
                <w:rFonts w:ascii="宋体"/>
                <w:vanish/>
              </w:rPr>
            </w:pPr>
          </w:p>
        </w:tc>
        <w:tc>
          <w:tcPr>
            <w:tcW w:w="0" w:type="auto"/>
            <w:gridSpan w:val="3"/>
            <w:shd w:val="clear" w:color="auto" w:fill="auto"/>
            <w:vAlign w:val="bottom"/>
          </w:tcPr>
          <w:p w14:paraId="5DEC61EC" w14:textId="77777777" w:rsidR="00B1578D" w:rsidRDefault="00B1578D">
            <w:pPr>
              <w:rPr>
                <w:rFonts w:ascii="宋体"/>
                <w:vanish/>
              </w:rPr>
            </w:pPr>
          </w:p>
        </w:tc>
        <w:tc>
          <w:tcPr>
            <w:tcW w:w="0" w:type="auto"/>
            <w:gridSpan w:val="3"/>
            <w:shd w:val="clear" w:color="auto" w:fill="auto"/>
            <w:vAlign w:val="bottom"/>
          </w:tcPr>
          <w:p w14:paraId="5DEC61ED" w14:textId="77777777" w:rsidR="00B1578D" w:rsidRDefault="00B1578D">
            <w:pPr>
              <w:rPr>
                <w:rFonts w:ascii="宋体"/>
                <w:vanish/>
              </w:rPr>
            </w:pPr>
          </w:p>
        </w:tc>
        <w:tc>
          <w:tcPr>
            <w:tcW w:w="0" w:type="auto"/>
            <w:gridSpan w:val="3"/>
            <w:shd w:val="clear" w:color="auto" w:fill="auto"/>
            <w:vAlign w:val="bottom"/>
          </w:tcPr>
          <w:p w14:paraId="5DEC61EE" w14:textId="77777777" w:rsidR="00B1578D" w:rsidRDefault="00B1578D">
            <w:pPr>
              <w:rPr>
                <w:rFonts w:ascii="宋体"/>
                <w:vanish/>
              </w:rPr>
            </w:pPr>
          </w:p>
        </w:tc>
      </w:tr>
      <w:tr w:rsidR="00B1578D" w14:paraId="5DEC6201" w14:textId="77777777">
        <w:tc>
          <w:tcPr>
            <w:tcW w:w="0" w:type="auto"/>
            <w:gridSpan w:val="3"/>
            <w:shd w:val="clear" w:color="auto" w:fill="CCEEFF"/>
            <w:tcMar>
              <w:top w:w="40" w:type="dxa"/>
              <w:left w:w="20" w:type="dxa"/>
              <w:bottom w:w="40" w:type="dxa"/>
              <w:right w:w="20" w:type="dxa"/>
            </w:tcMar>
            <w:vAlign w:val="center"/>
          </w:tcPr>
          <w:p w14:paraId="5DEC61F0" w14:textId="77777777" w:rsidR="00B1578D" w:rsidRDefault="004D2C04">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1F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1F2" w14:textId="77777777" w:rsidR="00B1578D" w:rsidRDefault="004D2C04">
            <w:pPr>
              <w:jc w:val="right"/>
              <w:textAlignment w:val="center"/>
            </w:pPr>
            <w:r>
              <w:rPr>
                <w:rFonts w:ascii="Times New Roman" w:eastAsia="宋体" w:hAnsi="Times New Roman"/>
                <w:color w:val="000000"/>
                <w:sz w:val="16"/>
                <w:szCs w:val="16"/>
              </w:rPr>
              <w:t>14,449 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1F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F4"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1F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1F6" w14:textId="77777777" w:rsidR="00B1578D" w:rsidRDefault="004D2C04">
            <w:pPr>
              <w:jc w:val="right"/>
              <w:textAlignment w:val="center"/>
            </w:pPr>
            <w:r>
              <w:rPr>
                <w:rFonts w:ascii="Times New Roman" w:eastAsia="宋体" w:hAnsi="Times New Roman"/>
                <w:color w:val="000000"/>
                <w:sz w:val="16"/>
                <w:szCs w:val="16"/>
              </w:rPr>
              <w:t>(1,660)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1F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F8"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1F9"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1FA" w14:textId="77777777" w:rsidR="00B1578D" w:rsidRDefault="004D2C04">
            <w:pPr>
              <w:jc w:val="right"/>
              <w:textAlignment w:val="center"/>
            </w:pPr>
            <w:r>
              <w:rPr>
                <w:rFonts w:ascii="Times New Roman" w:eastAsia="宋体" w:hAnsi="Times New Roman"/>
                <w:color w:val="000000"/>
                <w:sz w:val="16"/>
                <w:szCs w:val="16"/>
              </w:rPr>
              <w:t>15,876 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1F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1FC"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1F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1FE" w14:textId="77777777" w:rsidR="00B1578D" w:rsidRDefault="004D2C04">
            <w:pPr>
              <w:jc w:val="right"/>
              <w:textAlignment w:val="center"/>
            </w:pPr>
            <w:r>
              <w:rPr>
                <w:rFonts w:ascii="Times New Roman" w:eastAsia="宋体" w:hAnsi="Times New Roman"/>
                <w:color w:val="000000"/>
                <w:sz w:val="16"/>
                <w:szCs w:val="16"/>
              </w:rPr>
              <w:t>(1,095)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1F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200" w14:textId="77777777" w:rsidR="00B1578D" w:rsidRDefault="00B1578D">
            <w:pPr>
              <w:rPr>
                <w:rFonts w:ascii="宋体"/>
              </w:rPr>
            </w:pPr>
          </w:p>
        </w:tc>
      </w:tr>
    </w:tbl>
    <w:p w14:paraId="5DEC6202" w14:textId="77777777" w:rsidR="00B1578D" w:rsidRDefault="004D2C04">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Classified primarily in deferred income taxes and other within the </w:t>
      </w:r>
      <w:r>
        <w:rPr>
          <w:rFonts w:ascii="Times New Roman" w:eastAsia="宋体" w:hAnsi="Times New Roman"/>
          <w:color w:val="000000"/>
          <w:sz w:val="16"/>
          <w:szCs w:val="16"/>
        </w:rPr>
        <w:t>Company's Condensed Consolidated Balance Sheets.</w:t>
      </w:r>
    </w:p>
    <w:p w14:paraId="5DEC6203" w14:textId="77777777" w:rsidR="00B1578D" w:rsidRDefault="004D2C04">
      <w:pPr>
        <w:spacing w:before="180"/>
      </w:pPr>
      <w:r>
        <w:rPr>
          <w:rFonts w:ascii="Times New Roman" w:eastAsia="宋体" w:hAnsi="Times New Roman"/>
          <w:i/>
          <w:iCs/>
          <w:color w:val="000000"/>
          <w:sz w:val="20"/>
          <w:szCs w:val="20"/>
        </w:rPr>
        <w:t>Nonrecurring Fair Value Measurements</w:t>
      </w:r>
    </w:p>
    <w:p w14:paraId="5DEC6204" w14:textId="77777777" w:rsidR="00B1578D" w:rsidRDefault="004D2C04">
      <w:pPr>
        <w:spacing w:before="100"/>
      </w:pPr>
      <w:r>
        <w:rPr>
          <w:rFonts w:ascii="Times New Roman" w:eastAsia="宋体" w:hAnsi="Times New Roman"/>
          <w:color w:val="000000"/>
          <w:sz w:val="20"/>
          <w:szCs w:val="20"/>
        </w:rPr>
        <w:t>In addition to assets and liabilities recorded at fair value on a recurring basis, the Company's assets and liabilities are also subject to nonrecurring fair value measur</w:t>
      </w:r>
      <w:r>
        <w:rPr>
          <w:rFonts w:ascii="Times New Roman" w:eastAsia="宋体" w:hAnsi="Times New Roman"/>
          <w:color w:val="000000"/>
          <w:sz w:val="20"/>
          <w:szCs w:val="20"/>
        </w:rPr>
        <w:t xml:space="preserve">ements. Generally, assets are recorded at fair value on a nonrecurring basis as a result of impairment charges. The Company did not have any material assets or liabilities resulting in nonrecurring fair value measurements as of April 30, 2022. </w:t>
      </w:r>
    </w:p>
    <w:p w14:paraId="5DEC6205" w14:textId="77777777" w:rsidR="00B1578D" w:rsidRDefault="004D2C04">
      <w:pPr>
        <w:spacing w:before="100"/>
      </w:pPr>
      <w:r>
        <w:rPr>
          <w:rFonts w:ascii="Times New Roman" w:eastAsia="宋体" w:hAnsi="Times New Roman"/>
          <w:i/>
          <w:iCs/>
          <w:color w:val="000000"/>
          <w:sz w:val="20"/>
          <w:szCs w:val="20"/>
        </w:rPr>
        <w:t xml:space="preserve">Other Fair </w:t>
      </w:r>
      <w:r>
        <w:rPr>
          <w:rFonts w:ascii="Times New Roman" w:eastAsia="宋体" w:hAnsi="Times New Roman"/>
          <w:i/>
          <w:iCs/>
          <w:color w:val="000000"/>
          <w:sz w:val="20"/>
          <w:szCs w:val="20"/>
        </w:rPr>
        <w:t>Value Disclosures</w:t>
      </w:r>
    </w:p>
    <w:p w14:paraId="5DEC6206" w14:textId="77777777" w:rsidR="00B1578D" w:rsidRDefault="004D2C04">
      <w:pPr>
        <w:spacing w:before="100"/>
      </w:pPr>
      <w:r>
        <w:rPr>
          <w:rFonts w:ascii="Times New Roman" w:eastAsia="宋体" w:hAnsi="Times New Roman"/>
          <w:color w:val="000000"/>
          <w:sz w:val="20"/>
          <w:szCs w:val="20"/>
        </w:rPr>
        <w:t xml:space="preserve">The Company records cash and cash equivalents, restricted cash, and short-term borrowings at cost. The carrying values of these instruments approximate their fair value due to their short-term maturities. </w:t>
      </w:r>
    </w:p>
    <w:p w14:paraId="5DEC6207" w14:textId="77777777" w:rsidR="00B1578D" w:rsidRDefault="004D2C04">
      <w:pPr>
        <w:jc w:val="center"/>
      </w:pPr>
      <w:r>
        <w:rPr>
          <w:rFonts w:ascii="Times New Roman" w:eastAsia="宋体" w:hAnsi="Times New Roman"/>
          <w:color w:val="000000"/>
          <w:sz w:val="20"/>
          <w:szCs w:val="20"/>
        </w:rPr>
        <w:t>10</w:t>
      </w:r>
    </w:p>
    <w:p w14:paraId="5DEC6208" w14:textId="77777777" w:rsidR="00B1578D" w:rsidRDefault="004D2C04">
      <w:r>
        <w:pict w14:anchorId="5DEC6F2F">
          <v:rect id="_x0000_i1034" style="width:415.3pt;height:1.5pt" o:hralign="center" o:hrstd="t" o:hr="t" fillcolor="#a0a0a0" stroked="f"/>
        </w:pict>
      </w:r>
    </w:p>
    <w:p w14:paraId="5DEC6209" w14:textId="77777777" w:rsidR="00B1578D" w:rsidRDefault="004D2C04">
      <w:hyperlink r:id="rId49" w:anchor="ia92fe4e1fa654d85928fb72942eadb02_7" w:history="1">
        <w:r>
          <w:rPr>
            <w:rStyle w:val="a5"/>
            <w:rFonts w:ascii="Times New Roman" w:eastAsia="宋体" w:hAnsi="Times New Roman"/>
            <w:sz w:val="20"/>
            <w:szCs w:val="20"/>
          </w:rPr>
          <w:t>Table of Contents</w:t>
        </w:r>
      </w:hyperlink>
    </w:p>
    <w:p w14:paraId="5DEC620A" w14:textId="77777777" w:rsidR="00B1578D" w:rsidRDefault="004D2C04">
      <w:pPr>
        <w:spacing w:before="100"/>
      </w:pPr>
      <w:r>
        <w:rPr>
          <w:rFonts w:ascii="Times New Roman" w:eastAsia="宋体" w:hAnsi="Times New Roman"/>
          <w:color w:val="000000"/>
          <w:sz w:val="20"/>
          <w:szCs w:val="20"/>
        </w:rPr>
        <w:t xml:space="preserve">The Company's long-term debt is also recorded at cost. The fair value is estimated using Level 2 inputs based on </w:t>
      </w:r>
      <w:r>
        <w:rPr>
          <w:rFonts w:ascii="Times New Roman" w:eastAsia="宋体" w:hAnsi="Times New Roman"/>
          <w:color w:val="000000"/>
          <w:sz w:val="20"/>
          <w:szCs w:val="20"/>
        </w:rPr>
        <w:t>the Company's current incremental borrowing rate for similar types of borrowing arrangements. The carrying value and fair value of the Company's long-term debt as of April 30, 2022 and January 31, 2022, are as follows: </w:t>
      </w:r>
    </w:p>
    <w:tbl>
      <w:tblPr>
        <w:tblW w:w="4993" w:type="pct"/>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B1578D" w14:paraId="5DEC6226" w14:textId="77777777">
        <w:tc>
          <w:tcPr>
            <w:tcW w:w="50" w:type="pct"/>
            <w:shd w:val="clear" w:color="auto" w:fill="auto"/>
            <w:vAlign w:val="bottom"/>
          </w:tcPr>
          <w:p w14:paraId="5DEC620B" w14:textId="77777777" w:rsidR="00B1578D" w:rsidRDefault="00B1578D">
            <w:pPr>
              <w:rPr>
                <w:rFonts w:ascii="宋体"/>
              </w:rPr>
            </w:pPr>
          </w:p>
        </w:tc>
        <w:tc>
          <w:tcPr>
            <w:tcW w:w="2455" w:type="pct"/>
            <w:shd w:val="clear" w:color="auto" w:fill="auto"/>
            <w:vAlign w:val="bottom"/>
          </w:tcPr>
          <w:p w14:paraId="5DEC620C" w14:textId="77777777" w:rsidR="00B1578D" w:rsidRDefault="00B1578D">
            <w:pPr>
              <w:rPr>
                <w:rFonts w:ascii="宋体"/>
              </w:rPr>
            </w:pPr>
          </w:p>
        </w:tc>
        <w:tc>
          <w:tcPr>
            <w:tcW w:w="5" w:type="pct"/>
            <w:shd w:val="clear" w:color="auto" w:fill="auto"/>
            <w:vAlign w:val="bottom"/>
          </w:tcPr>
          <w:p w14:paraId="5DEC620D" w14:textId="77777777" w:rsidR="00B1578D" w:rsidRDefault="00B1578D">
            <w:pPr>
              <w:rPr>
                <w:rFonts w:ascii="宋体"/>
              </w:rPr>
            </w:pPr>
          </w:p>
        </w:tc>
        <w:tc>
          <w:tcPr>
            <w:tcW w:w="5" w:type="pct"/>
            <w:shd w:val="clear" w:color="auto" w:fill="auto"/>
            <w:vAlign w:val="bottom"/>
          </w:tcPr>
          <w:p w14:paraId="5DEC620E" w14:textId="77777777" w:rsidR="00B1578D" w:rsidRDefault="00B1578D">
            <w:pPr>
              <w:rPr>
                <w:rFonts w:ascii="宋体"/>
              </w:rPr>
            </w:pPr>
          </w:p>
        </w:tc>
        <w:tc>
          <w:tcPr>
            <w:tcW w:w="26" w:type="pct"/>
            <w:shd w:val="clear" w:color="auto" w:fill="auto"/>
            <w:vAlign w:val="bottom"/>
          </w:tcPr>
          <w:p w14:paraId="5DEC620F" w14:textId="77777777" w:rsidR="00B1578D" w:rsidRDefault="00B1578D">
            <w:pPr>
              <w:rPr>
                <w:rFonts w:ascii="宋体"/>
              </w:rPr>
            </w:pPr>
          </w:p>
        </w:tc>
        <w:tc>
          <w:tcPr>
            <w:tcW w:w="5" w:type="pct"/>
            <w:shd w:val="clear" w:color="auto" w:fill="auto"/>
            <w:vAlign w:val="bottom"/>
          </w:tcPr>
          <w:p w14:paraId="5DEC6210" w14:textId="77777777" w:rsidR="00B1578D" w:rsidRDefault="00B1578D">
            <w:pPr>
              <w:rPr>
                <w:rFonts w:ascii="宋体"/>
              </w:rPr>
            </w:pPr>
          </w:p>
        </w:tc>
        <w:tc>
          <w:tcPr>
            <w:tcW w:w="50" w:type="pct"/>
            <w:shd w:val="clear" w:color="auto" w:fill="auto"/>
            <w:vAlign w:val="bottom"/>
          </w:tcPr>
          <w:p w14:paraId="5DEC6211" w14:textId="77777777" w:rsidR="00B1578D" w:rsidRDefault="00B1578D">
            <w:pPr>
              <w:rPr>
                <w:rFonts w:ascii="宋体"/>
              </w:rPr>
            </w:pPr>
          </w:p>
        </w:tc>
        <w:tc>
          <w:tcPr>
            <w:tcW w:w="530" w:type="pct"/>
            <w:shd w:val="clear" w:color="auto" w:fill="auto"/>
            <w:vAlign w:val="bottom"/>
          </w:tcPr>
          <w:p w14:paraId="5DEC6212" w14:textId="77777777" w:rsidR="00B1578D" w:rsidRDefault="00B1578D">
            <w:pPr>
              <w:rPr>
                <w:rFonts w:ascii="宋体"/>
              </w:rPr>
            </w:pPr>
          </w:p>
        </w:tc>
        <w:tc>
          <w:tcPr>
            <w:tcW w:w="5" w:type="pct"/>
            <w:shd w:val="clear" w:color="auto" w:fill="auto"/>
            <w:vAlign w:val="bottom"/>
          </w:tcPr>
          <w:p w14:paraId="5DEC6213" w14:textId="77777777" w:rsidR="00B1578D" w:rsidRDefault="00B1578D">
            <w:pPr>
              <w:rPr>
                <w:rFonts w:ascii="宋体"/>
              </w:rPr>
            </w:pPr>
          </w:p>
        </w:tc>
        <w:tc>
          <w:tcPr>
            <w:tcW w:w="5" w:type="pct"/>
            <w:shd w:val="clear" w:color="auto" w:fill="auto"/>
            <w:vAlign w:val="bottom"/>
          </w:tcPr>
          <w:p w14:paraId="5DEC6214" w14:textId="77777777" w:rsidR="00B1578D" w:rsidRDefault="00B1578D">
            <w:pPr>
              <w:rPr>
                <w:rFonts w:ascii="宋体"/>
              </w:rPr>
            </w:pPr>
          </w:p>
        </w:tc>
        <w:tc>
          <w:tcPr>
            <w:tcW w:w="26" w:type="pct"/>
            <w:shd w:val="clear" w:color="auto" w:fill="auto"/>
            <w:vAlign w:val="bottom"/>
          </w:tcPr>
          <w:p w14:paraId="5DEC6215" w14:textId="77777777" w:rsidR="00B1578D" w:rsidRDefault="00B1578D">
            <w:pPr>
              <w:rPr>
                <w:rFonts w:ascii="宋体"/>
              </w:rPr>
            </w:pPr>
          </w:p>
        </w:tc>
        <w:tc>
          <w:tcPr>
            <w:tcW w:w="5" w:type="pct"/>
            <w:shd w:val="clear" w:color="auto" w:fill="auto"/>
            <w:vAlign w:val="bottom"/>
          </w:tcPr>
          <w:p w14:paraId="5DEC6216" w14:textId="77777777" w:rsidR="00B1578D" w:rsidRDefault="00B1578D">
            <w:pPr>
              <w:rPr>
                <w:rFonts w:ascii="宋体"/>
              </w:rPr>
            </w:pPr>
          </w:p>
        </w:tc>
        <w:tc>
          <w:tcPr>
            <w:tcW w:w="50" w:type="pct"/>
            <w:shd w:val="clear" w:color="auto" w:fill="auto"/>
            <w:vAlign w:val="bottom"/>
          </w:tcPr>
          <w:p w14:paraId="5DEC6217" w14:textId="77777777" w:rsidR="00B1578D" w:rsidRDefault="00B1578D">
            <w:pPr>
              <w:rPr>
                <w:rFonts w:ascii="宋体"/>
              </w:rPr>
            </w:pPr>
          </w:p>
        </w:tc>
        <w:tc>
          <w:tcPr>
            <w:tcW w:w="530" w:type="pct"/>
            <w:shd w:val="clear" w:color="auto" w:fill="auto"/>
            <w:vAlign w:val="bottom"/>
          </w:tcPr>
          <w:p w14:paraId="5DEC6218" w14:textId="77777777" w:rsidR="00B1578D" w:rsidRDefault="00B1578D">
            <w:pPr>
              <w:rPr>
                <w:rFonts w:ascii="宋体"/>
              </w:rPr>
            </w:pPr>
          </w:p>
        </w:tc>
        <w:tc>
          <w:tcPr>
            <w:tcW w:w="5" w:type="pct"/>
            <w:shd w:val="clear" w:color="auto" w:fill="auto"/>
            <w:vAlign w:val="bottom"/>
          </w:tcPr>
          <w:p w14:paraId="5DEC6219" w14:textId="77777777" w:rsidR="00B1578D" w:rsidRDefault="00B1578D">
            <w:pPr>
              <w:rPr>
                <w:rFonts w:ascii="宋体"/>
              </w:rPr>
            </w:pPr>
          </w:p>
        </w:tc>
        <w:tc>
          <w:tcPr>
            <w:tcW w:w="5" w:type="pct"/>
            <w:shd w:val="clear" w:color="auto" w:fill="auto"/>
            <w:vAlign w:val="bottom"/>
          </w:tcPr>
          <w:p w14:paraId="5DEC621A" w14:textId="77777777" w:rsidR="00B1578D" w:rsidRDefault="00B1578D">
            <w:pPr>
              <w:rPr>
                <w:rFonts w:ascii="宋体"/>
              </w:rPr>
            </w:pPr>
          </w:p>
        </w:tc>
        <w:tc>
          <w:tcPr>
            <w:tcW w:w="26" w:type="pct"/>
            <w:shd w:val="clear" w:color="auto" w:fill="auto"/>
            <w:vAlign w:val="bottom"/>
          </w:tcPr>
          <w:p w14:paraId="5DEC621B" w14:textId="77777777" w:rsidR="00B1578D" w:rsidRDefault="00B1578D">
            <w:pPr>
              <w:rPr>
                <w:rFonts w:ascii="宋体"/>
              </w:rPr>
            </w:pPr>
          </w:p>
        </w:tc>
        <w:tc>
          <w:tcPr>
            <w:tcW w:w="5" w:type="pct"/>
            <w:shd w:val="clear" w:color="auto" w:fill="auto"/>
            <w:vAlign w:val="bottom"/>
          </w:tcPr>
          <w:p w14:paraId="5DEC621C" w14:textId="77777777" w:rsidR="00B1578D" w:rsidRDefault="00B1578D">
            <w:pPr>
              <w:rPr>
                <w:rFonts w:ascii="宋体"/>
              </w:rPr>
            </w:pPr>
          </w:p>
        </w:tc>
        <w:tc>
          <w:tcPr>
            <w:tcW w:w="50" w:type="pct"/>
            <w:shd w:val="clear" w:color="auto" w:fill="auto"/>
            <w:vAlign w:val="bottom"/>
          </w:tcPr>
          <w:p w14:paraId="5DEC621D" w14:textId="77777777" w:rsidR="00B1578D" w:rsidRDefault="00B1578D">
            <w:pPr>
              <w:rPr>
                <w:rFonts w:ascii="宋体"/>
              </w:rPr>
            </w:pPr>
          </w:p>
        </w:tc>
        <w:tc>
          <w:tcPr>
            <w:tcW w:w="530" w:type="pct"/>
            <w:shd w:val="clear" w:color="auto" w:fill="auto"/>
            <w:vAlign w:val="bottom"/>
          </w:tcPr>
          <w:p w14:paraId="5DEC621E" w14:textId="77777777" w:rsidR="00B1578D" w:rsidRDefault="00B1578D">
            <w:pPr>
              <w:rPr>
                <w:rFonts w:ascii="宋体"/>
              </w:rPr>
            </w:pPr>
          </w:p>
        </w:tc>
        <w:tc>
          <w:tcPr>
            <w:tcW w:w="5" w:type="pct"/>
            <w:shd w:val="clear" w:color="auto" w:fill="auto"/>
            <w:vAlign w:val="bottom"/>
          </w:tcPr>
          <w:p w14:paraId="5DEC621F" w14:textId="77777777" w:rsidR="00B1578D" w:rsidRDefault="00B1578D">
            <w:pPr>
              <w:rPr>
                <w:rFonts w:ascii="宋体"/>
              </w:rPr>
            </w:pPr>
          </w:p>
        </w:tc>
        <w:tc>
          <w:tcPr>
            <w:tcW w:w="5" w:type="pct"/>
            <w:shd w:val="clear" w:color="auto" w:fill="auto"/>
            <w:vAlign w:val="bottom"/>
          </w:tcPr>
          <w:p w14:paraId="5DEC6220" w14:textId="77777777" w:rsidR="00B1578D" w:rsidRDefault="00B1578D">
            <w:pPr>
              <w:rPr>
                <w:rFonts w:ascii="宋体"/>
              </w:rPr>
            </w:pPr>
          </w:p>
        </w:tc>
        <w:tc>
          <w:tcPr>
            <w:tcW w:w="26" w:type="pct"/>
            <w:shd w:val="clear" w:color="auto" w:fill="auto"/>
            <w:vAlign w:val="bottom"/>
          </w:tcPr>
          <w:p w14:paraId="5DEC6221" w14:textId="77777777" w:rsidR="00B1578D" w:rsidRDefault="00B1578D">
            <w:pPr>
              <w:rPr>
                <w:rFonts w:ascii="宋体"/>
              </w:rPr>
            </w:pPr>
          </w:p>
        </w:tc>
        <w:tc>
          <w:tcPr>
            <w:tcW w:w="5" w:type="pct"/>
            <w:shd w:val="clear" w:color="auto" w:fill="auto"/>
            <w:vAlign w:val="bottom"/>
          </w:tcPr>
          <w:p w14:paraId="5DEC6222" w14:textId="77777777" w:rsidR="00B1578D" w:rsidRDefault="00B1578D">
            <w:pPr>
              <w:rPr>
                <w:rFonts w:ascii="宋体"/>
              </w:rPr>
            </w:pPr>
          </w:p>
        </w:tc>
        <w:tc>
          <w:tcPr>
            <w:tcW w:w="50" w:type="pct"/>
            <w:shd w:val="clear" w:color="auto" w:fill="auto"/>
            <w:vAlign w:val="bottom"/>
          </w:tcPr>
          <w:p w14:paraId="5DEC6223" w14:textId="77777777" w:rsidR="00B1578D" w:rsidRDefault="00B1578D">
            <w:pPr>
              <w:rPr>
                <w:rFonts w:ascii="宋体"/>
              </w:rPr>
            </w:pPr>
          </w:p>
        </w:tc>
        <w:tc>
          <w:tcPr>
            <w:tcW w:w="530" w:type="pct"/>
            <w:shd w:val="clear" w:color="auto" w:fill="auto"/>
            <w:vAlign w:val="bottom"/>
          </w:tcPr>
          <w:p w14:paraId="5DEC6224" w14:textId="77777777" w:rsidR="00B1578D" w:rsidRDefault="00B1578D">
            <w:pPr>
              <w:rPr>
                <w:rFonts w:ascii="宋体"/>
              </w:rPr>
            </w:pPr>
          </w:p>
        </w:tc>
        <w:tc>
          <w:tcPr>
            <w:tcW w:w="5" w:type="pct"/>
            <w:shd w:val="clear" w:color="auto" w:fill="auto"/>
            <w:vAlign w:val="bottom"/>
          </w:tcPr>
          <w:p w14:paraId="5DEC6225" w14:textId="77777777" w:rsidR="00B1578D" w:rsidRDefault="00B1578D">
            <w:pPr>
              <w:rPr>
                <w:rFonts w:ascii="宋体"/>
              </w:rPr>
            </w:pPr>
          </w:p>
        </w:tc>
      </w:tr>
      <w:tr w:rsidR="00B1578D" w14:paraId="5DEC622C" w14:textId="77777777">
        <w:tc>
          <w:tcPr>
            <w:tcW w:w="0" w:type="auto"/>
            <w:gridSpan w:val="3"/>
            <w:shd w:val="clear" w:color="auto" w:fill="auto"/>
            <w:tcMar>
              <w:top w:w="40" w:type="dxa"/>
              <w:left w:w="20" w:type="dxa"/>
              <w:bottom w:w="40" w:type="dxa"/>
              <w:right w:w="20" w:type="dxa"/>
            </w:tcMar>
            <w:vAlign w:val="bottom"/>
          </w:tcPr>
          <w:p w14:paraId="5DEC6227"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228"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229" w14:textId="77777777" w:rsidR="00B1578D" w:rsidRDefault="004D2C04">
            <w:pPr>
              <w:jc w:val="center"/>
              <w:textAlignment w:val="bottom"/>
            </w:pPr>
            <w:r>
              <w:rPr>
                <w:rFonts w:ascii="Times New Roman" w:eastAsia="宋体" w:hAnsi="Times New Roman"/>
                <w:b/>
                <w:bCs/>
                <w:color w:val="000000"/>
                <w:sz w:val="16"/>
                <w:szCs w:val="16"/>
              </w:rPr>
              <w:t>April 30, 2022</w:t>
            </w:r>
          </w:p>
        </w:tc>
        <w:tc>
          <w:tcPr>
            <w:tcW w:w="0" w:type="auto"/>
            <w:gridSpan w:val="3"/>
            <w:shd w:val="clear" w:color="auto" w:fill="auto"/>
            <w:tcMar>
              <w:top w:w="0" w:type="dxa"/>
              <w:left w:w="20" w:type="dxa"/>
              <w:bottom w:w="0" w:type="dxa"/>
              <w:right w:w="20" w:type="dxa"/>
            </w:tcMar>
            <w:vAlign w:val="bottom"/>
          </w:tcPr>
          <w:p w14:paraId="5DEC622A"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22B" w14:textId="77777777" w:rsidR="00B1578D" w:rsidRDefault="004D2C04">
            <w:pPr>
              <w:jc w:val="center"/>
              <w:textAlignment w:val="bottom"/>
            </w:pPr>
            <w:r>
              <w:rPr>
                <w:rFonts w:ascii="Times New Roman" w:eastAsia="宋体" w:hAnsi="Times New Roman"/>
                <w:b/>
                <w:bCs/>
                <w:color w:val="000000"/>
                <w:sz w:val="16"/>
                <w:szCs w:val="16"/>
              </w:rPr>
              <w:t>January 31, 2022</w:t>
            </w:r>
          </w:p>
        </w:tc>
      </w:tr>
      <w:tr w:rsidR="00B1578D" w14:paraId="5DEC6236" w14:textId="77777777">
        <w:tc>
          <w:tcPr>
            <w:tcW w:w="0" w:type="auto"/>
            <w:gridSpan w:val="3"/>
            <w:shd w:val="clear" w:color="auto" w:fill="auto"/>
            <w:tcMar>
              <w:top w:w="40" w:type="dxa"/>
              <w:left w:w="20" w:type="dxa"/>
              <w:bottom w:w="40" w:type="dxa"/>
              <w:right w:w="20" w:type="dxa"/>
            </w:tcMar>
            <w:vAlign w:val="bottom"/>
          </w:tcPr>
          <w:p w14:paraId="5DEC622D"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22E"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22F" w14:textId="77777777" w:rsidR="00B1578D" w:rsidRDefault="004D2C04">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230"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231" w14:textId="77777777" w:rsidR="00B1578D" w:rsidRDefault="004D2C04">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5DEC6232"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233" w14:textId="77777777" w:rsidR="00B1578D" w:rsidRDefault="004D2C04">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234"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235" w14:textId="77777777" w:rsidR="00B1578D" w:rsidRDefault="004D2C04">
            <w:pPr>
              <w:jc w:val="center"/>
              <w:textAlignment w:val="bottom"/>
            </w:pPr>
            <w:r>
              <w:rPr>
                <w:rFonts w:ascii="Times New Roman" w:eastAsia="宋体" w:hAnsi="Times New Roman"/>
                <w:b/>
                <w:bCs/>
                <w:color w:val="000000"/>
                <w:sz w:val="16"/>
                <w:szCs w:val="16"/>
              </w:rPr>
              <w:t>Fair Value</w:t>
            </w:r>
          </w:p>
        </w:tc>
      </w:tr>
      <w:tr w:rsidR="00B1578D" w14:paraId="5DEC6248" w14:textId="77777777">
        <w:tc>
          <w:tcPr>
            <w:tcW w:w="0" w:type="auto"/>
            <w:gridSpan w:val="3"/>
            <w:shd w:val="clear" w:color="auto" w:fill="CCEEFF"/>
            <w:tcMar>
              <w:top w:w="40" w:type="dxa"/>
              <w:left w:w="20" w:type="dxa"/>
              <w:bottom w:w="40" w:type="dxa"/>
              <w:right w:w="20" w:type="dxa"/>
            </w:tcMar>
            <w:vAlign w:val="center"/>
          </w:tcPr>
          <w:p w14:paraId="5DEC6237" w14:textId="77777777" w:rsidR="00B1578D" w:rsidRDefault="004D2C04">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vAlign w:val="bottom"/>
          </w:tcPr>
          <w:p w14:paraId="5DEC6238"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239"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23A" w14:textId="77777777" w:rsidR="00B1578D" w:rsidRDefault="004D2C04">
            <w:pPr>
              <w:jc w:val="right"/>
              <w:textAlignment w:val="center"/>
            </w:pPr>
            <w:r>
              <w:rPr>
                <w:rFonts w:ascii="Times New Roman" w:eastAsia="宋体" w:hAnsi="Times New Roman"/>
                <w:color w:val="000000"/>
                <w:sz w:val="16"/>
                <w:szCs w:val="16"/>
              </w:rPr>
              <w:t>35,754 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23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23C"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23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23E" w14:textId="77777777" w:rsidR="00B1578D" w:rsidRDefault="004D2C04">
            <w:pPr>
              <w:jc w:val="right"/>
              <w:textAlignment w:val="center"/>
            </w:pPr>
            <w:r>
              <w:rPr>
                <w:rFonts w:ascii="Times New Roman" w:eastAsia="宋体" w:hAnsi="Times New Roman"/>
                <w:color w:val="000000"/>
                <w:sz w:val="16"/>
                <w:szCs w:val="16"/>
              </w:rPr>
              <w:t>36,680 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23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240"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24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242" w14:textId="77777777" w:rsidR="00B1578D" w:rsidRDefault="004D2C04">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24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244"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24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246" w14:textId="77777777" w:rsidR="00B1578D" w:rsidRDefault="004D2C04">
            <w:pPr>
              <w:jc w:val="right"/>
              <w:textAlignment w:val="center"/>
            </w:pPr>
            <w:r>
              <w:rPr>
                <w:rFonts w:ascii="Times New Roman" w:eastAsia="宋体" w:hAnsi="Times New Roman"/>
                <w:color w:val="000000"/>
                <w:sz w:val="16"/>
                <w:szCs w:val="16"/>
              </w:rPr>
              <w:t>42,381 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247" w14:textId="77777777" w:rsidR="00B1578D" w:rsidRDefault="00B1578D">
            <w:pPr>
              <w:jc w:val="right"/>
              <w:rPr>
                <w:rFonts w:ascii="宋体"/>
              </w:rPr>
            </w:pPr>
          </w:p>
        </w:tc>
      </w:tr>
    </w:tbl>
    <w:p w14:paraId="5DEC6249" w14:textId="77777777" w:rsidR="00B1578D" w:rsidRDefault="004D2C04">
      <w:pPr>
        <w:spacing w:before="240"/>
      </w:pPr>
      <w:r>
        <w:rPr>
          <w:rFonts w:ascii="Times New Roman" w:eastAsia="宋体" w:hAnsi="Times New Roman"/>
          <w:b/>
          <w:bCs/>
          <w:color w:val="000000"/>
          <w:sz w:val="20"/>
          <w:szCs w:val="20"/>
        </w:rPr>
        <w:t>Note 6. Contingencies</w:t>
      </w:r>
    </w:p>
    <w:p w14:paraId="5DEC624A" w14:textId="77777777" w:rsidR="00B1578D" w:rsidRDefault="004D2C04">
      <w:pPr>
        <w:spacing w:before="180"/>
      </w:pPr>
      <w:r>
        <w:rPr>
          <w:rFonts w:ascii="Times New Roman" w:eastAsia="宋体" w:hAnsi="Times New Roman"/>
          <w:b/>
          <w:bCs/>
          <w:i/>
          <w:iCs/>
          <w:color w:val="000000"/>
          <w:sz w:val="20"/>
          <w:szCs w:val="20"/>
        </w:rPr>
        <w:t>Legal Proceedings</w:t>
      </w:r>
    </w:p>
    <w:p w14:paraId="5DEC624B" w14:textId="77777777" w:rsidR="00B1578D" w:rsidRDefault="004D2C04">
      <w:pPr>
        <w:spacing w:before="100"/>
      </w:pPr>
      <w:r>
        <w:rPr>
          <w:rFonts w:ascii="Times New Roman" w:eastAsia="宋体" w:hAnsi="Times New Roman"/>
          <w:color w:val="000000"/>
          <w:sz w:val="20"/>
          <w:szCs w:val="20"/>
        </w:rPr>
        <w:t>The Company is involved in a number o</w:t>
      </w:r>
      <w:r>
        <w:rPr>
          <w:rFonts w:ascii="Times New Roman" w:eastAsia="宋体" w:hAnsi="Times New Roman"/>
          <w:color w:val="000000"/>
          <w:sz w:val="20"/>
          <w:szCs w:val="20"/>
        </w:rPr>
        <w:t>f legal proceedings and certain regulatory matters. The Company has made accruals with respect to these matters, where appropriate, which are reflected in the Company's Condensed Consolidated Financial Statements. For some matters, a liability is not proba</w:t>
      </w:r>
      <w:r>
        <w:rPr>
          <w:rFonts w:ascii="Times New Roman" w:eastAsia="宋体" w:hAnsi="Times New Roman"/>
          <w:color w:val="000000"/>
          <w:sz w:val="20"/>
          <w:szCs w:val="20"/>
        </w:rPr>
        <w:t>ble or the amount cannot be reasonably estimated and therefore an accrual has not been recorded. However, where a liability is reasonably possible and may be material, such matters have been disclosed. The Company may enter into discussions regarding settl</w:t>
      </w:r>
      <w:r>
        <w:rPr>
          <w:rFonts w:ascii="Times New Roman" w:eastAsia="宋体" w:hAnsi="Times New Roman"/>
          <w:color w:val="000000"/>
          <w:sz w:val="20"/>
          <w:szCs w:val="20"/>
        </w:rPr>
        <w:t>ement of these matters, and may enter into settlement agreements, if it believes settlement is in the best interest of the Company and its shareholders.</w:t>
      </w:r>
    </w:p>
    <w:p w14:paraId="5DEC624C" w14:textId="77777777" w:rsidR="00B1578D" w:rsidRDefault="004D2C04">
      <w:pPr>
        <w:spacing w:before="100"/>
      </w:pPr>
      <w:r>
        <w:rPr>
          <w:rFonts w:ascii="Times New Roman" w:eastAsia="宋体" w:hAnsi="Times New Roman"/>
          <w:color w:val="000000"/>
          <w:sz w:val="20"/>
          <w:szCs w:val="20"/>
        </w:rPr>
        <w:t xml:space="preserve">Unless stated otherwise, the matters discussed below, if decided adversely to or settled by the </w:t>
      </w:r>
      <w:r>
        <w:rPr>
          <w:rFonts w:ascii="Times New Roman" w:eastAsia="宋体" w:hAnsi="Times New Roman"/>
          <w:color w:val="000000"/>
          <w:sz w:val="20"/>
          <w:szCs w:val="20"/>
        </w:rPr>
        <w:t>Company, individually or in the aggregate, may result in a liability material to the Company's financial position, results of operations or cash flows.</w:t>
      </w:r>
    </w:p>
    <w:p w14:paraId="5DEC624D" w14:textId="77777777" w:rsidR="00B1578D" w:rsidRDefault="004D2C04">
      <w:pPr>
        <w:spacing w:before="180"/>
      </w:pPr>
      <w:r>
        <w:rPr>
          <w:rFonts w:ascii="Times New Roman" w:eastAsia="宋体" w:hAnsi="Times New Roman"/>
          <w:i/>
          <w:iCs/>
          <w:color w:val="000000"/>
          <w:sz w:val="20"/>
          <w:szCs w:val="20"/>
        </w:rPr>
        <w:t xml:space="preserve">Opioids Litigation </w:t>
      </w:r>
    </w:p>
    <w:p w14:paraId="5DEC624E" w14:textId="77777777" w:rsidR="00B1578D" w:rsidRDefault="004D2C04">
      <w:pPr>
        <w:spacing w:before="100"/>
      </w:pPr>
      <w:r>
        <w:rPr>
          <w:rFonts w:ascii="Times New Roman" w:eastAsia="宋体" w:hAnsi="Times New Roman"/>
          <w:color w:val="000000"/>
          <w:sz w:val="20"/>
          <w:szCs w:val="20"/>
        </w:rPr>
        <w:t>In December 2017, the United States Judicial Panel on Multidistrict Litigation consolidated numerous lawsuits filed against a wide array of defendants by various plaintiffs, including counties, cities, healthcare providers, Native American tribes, individu</w:t>
      </w:r>
      <w:r>
        <w:rPr>
          <w:rFonts w:ascii="Times New Roman" w:eastAsia="宋体" w:hAnsi="Times New Roman"/>
          <w:color w:val="000000"/>
          <w:sz w:val="20"/>
          <w:szCs w:val="20"/>
        </w:rPr>
        <w:t xml:space="preserve">als, and third-party payers, asserting claims generally concerning the impacts of widespread opioid abuse. The consolidated multidistrict litigation is entitled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(the "MDL") and is pending in the </w:t>
      </w:r>
      <w:r>
        <w:rPr>
          <w:rFonts w:ascii="Times New Roman" w:eastAsia="宋体" w:hAnsi="Times New Roman"/>
          <w:color w:val="000000"/>
          <w:sz w:val="20"/>
          <w:szCs w:val="20"/>
        </w:rPr>
        <w:t>U.S. District Court for the Northern District of Ohio. The Company is named as a defendant in some of the cases included in this multidistrict litigation. The liability phase of a trial in one of the MDL cases began on October 4, 2021 against a number of p</w:t>
      </w:r>
      <w:r>
        <w:rPr>
          <w:rFonts w:ascii="Times New Roman" w:eastAsia="宋体" w:hAnsi="Times New Roman"/>
          <w:color w:val="000000"/>
          <w:sz w:val="20"/>
          <w:szCs w:val="20"/>
        </w:rPr>
        <w:t xml:space="preserve">arties, including the Company, regarding opioid dispensing claims. On November 23, 2021, the jury found in favor of the plaintiffs as to the liability of all defendants, including the Company. The abatement phase of the trial, which will determine amounts </w:t>
      </w:r>
      <w:r>
        <w:rPr>
          <w:rFonts w:ascii="Times New Roman" w:eastAsia="宋体" w:hAnsi="Times New Roman"/>
          <w:color w:val="000000"/>
          <w:sz w:val="20"/>
          <w:szCs w:val="20"/>
        </w:rPr>
        <w:t>owed by the defendants, began on May 10, 2022 and ended on May 17, 2022, and the parties will await a ruling from the court. The Company intends to appeal the jury verdict from the liability phase upon completion of the abatement phase of the trial.</w:t>
      </w:r>
    </w:p>
    <w:p w14:paraId="5DEC624F" w14:textId="77777777" w:rsidR="00B1578D" w:rsidRDefault="004D2C04">
      <w:pPr>
        <w:spacing w:before="100"/>
      </w:pPr>
      <w:r>
        <w:rPr>
          <w:rFonts w:ascii="Times New Roman" w:eastAsia="宋体" w:hAnsi="Times New Roman"/>
          <w:color w:val="000000"/>
          <w:sz w:val="20"/>
          <w:szCs w:val="20"/>
        </w:rPr>
        <w:t>Simila</w:t>
      </w:r>
      <w:r>
        <w:rPr>
          <w:rFonts w:ascii="Times New Roman" w:eastAsia="宋体" w:hAnsi="Times New Roman"/>
          <w:color w:val="000000"/>
          <w:sz w:val="20"/>
          <w:szCs w:val="20"/>
        </w:rPr>
        <w:t>r cases that name the Company have also been filed in state courts by state, local and tribal governments, health care providers and other plaintiffs. Plaintiffs are seeking compensatory and punitive damages, as well as injunctive relief including abatemen</w:t>
      </w:r>
      <w:r>
        <w:rPr>
          <w:rFonts w:ascii="Times New Roman" w:eastAsia="宋体" w:hAnsi="Times New Roman"/>
          <w:color w:val="000000"/>
          <w:sz w:val="20"/>
          <w:szCs w:val="20"/>
        </w:rPr>
        <w:t>t. The Company cannot predict the number of such claims that may be filed, but believes it has substantial factual and legal defenses to these claims, and intends to defend the claims vigorously. The Company has also been responding to subpoenas, informati</w:t>
      </w:r>
      <w:r>
        <w:rPr>
          <w:rFonts w:ascii="Times New Roman" w:eastAsia="宋体" w:hAnsi="Times New Roman"/>
          <w:color w:val="000000"/>
          <w:sz w:val="20"/>
          <w:szCs w:val="20"/>
        </w:rPr>
        <w:t xml:space="preserve">on requests and investigations from governmental entities related to nationwide controlled substance dispensing and distribution practices involving opioids. </w:t>
      </w:r>
    </w:p>
    <w:p w14:paraId="5DEC6250" w14:textId="77777777" w:rsidR="00B1578D" w:rsidRDefault="004D2C04">
      <w:pPr>
        <w:spacing w:before="100"/>
      </w:pPr>
      <w:r>
        <w:rPr>
          <w:rFonts w:ascii="Times New Roman" w:eastAsia="宋体" w:hAnsi="Times New Roman"/>
          <w:color w:val="000000"/>
          <w:sz w:val="20"/>
          <w:szCs w:val="20"/>
        </w:rPr>
        <w:t>On December 22, 2020, the U.S. Department of Justice (the "DOJ") filed a civil complaint in the U</w:t>
      </w:r>
      <w:r>
        <w:rPr>
          <w:rFonts w:ascii="Times New Roman" w:eastAsia="宋体" w:hAnsi="Times New Roman"/>
          <w:color w:val="000000"/>
          <w:sz w:val="20"/>
          <w:szCs w:val="20"/>
        </w:rPr>
        <w:t xml:space="preserve">.S. District Court for the District of Delaware alleging that the Company unlawfully dispensed controlled substances from its pharmacies and unlawfully distributed controlled substances to those pharmacies. The complaint alleges that this conduct resulted </w:t>
      </w:r>
      <w:r>
        <w:rPr>
          <w:rFonts w:ascii="Times New Roman" w:eastAsia="宋体" w:hAnsi="Times New Roman"/>
          <w:color w:val="000000"/>
          <w:sz w:val="20"/>
          <w:szCs w:val="20"/>
        </w:rPr>
        <w:t xml:space="preserve">in violations of the Controlled Substances Act (the"CSA"). The DOJ is seeking civil penalties and injunctive relief. The Company filed a motion to dismiss the DOJ complaint on February 22, 2021. The DOJ filed its opposition brief on April 23, 2021 and the </w:t>
      </w:r>
      <w:r>
        <w:rPr>
          <w:rFonts w:ascii="Times New Roman" w:eastAsia="宋体" w:hAnsi="Times New Roman"/>
          <w:color w:val="000000"/>
          <w:sz w:val="20"/>
          <w:szCs w:val="20"/>
        </w:rPr>
        <w:t>Company filed its reply brief on May 24, 2021.</w:t>
      </w:r>
      <w:r>
        <w:rPr>
          <w:rFonts w:ascii="Times New Roman" w:eastAsia="宋体" w:hAnsi="Times New Roman"/>
          <w:color w:val="000000"/>
        </w:rPr>
        <w:t xml:space="preserve"> </w:t>
      </w:r>
      <w:r>
        <w:rPr>
          <w:rFonts w:ascii="Times New Roman" w:eastAsia="宋体" w:hAnsi="Times New Roman"/>
          <w:color w:val="000000"/>
          <w:sz w:val="20"/>
          <w:szCs w:val="20"/>
        </w:rPr>
        <w:t>On November 19, 2021, the District Court stayed further proceedings in the DOJ complaint pending the decision of the United States Supreme Court in two consolidated cases (not involving Walmart) interpreting t</w:t>
      </w:r>
      <w:r>
        <w:rPr>
          <w:rFonts w:ascii="Times New Roman" w:eastAsia="宋体" w:hAnsi="Times New Roman"/>
          <w:color w:val="000000"/>
          <w:sz w:val="20"/>
          <w:szCs w:val="20"/>
        </w:rPr>
        <w:t>he CSA.</w:t>
      </w:r>
    </w:p>
    <w:p w14:paraId="5DEC6251" w14:textId="77777777" w:rsidR="00B1578D" w:rsidRDefault="004D2C04">
      <w:pPr>
        <w:spacing w:before="100"/>
      </w:pPr>
      <w:r>
        <w:rPr>
          <w:rFonts w:ascii="Times New Roman" w:eastAsia="宋体" w:hAnsi="Times New Roman"/>
          <w:color w:val="000000"/>
          <w:sz w:val="20"/>
          <w:szCs w:val="20"/>
        </w:rPr>
        <w:t>In addition, the Company is the subject of two securities class actions alleging violations of the federal securities laws regarding the Company's disclosures with respect to opioids, filed in the U.S. District Court for the District of Delaware on</w:t>
      </w:r>
      <w:r>
        <w:rPr>
          <w:rFonts w:ascii="Times New Roman" w:eastAsia="宋体" w:hAnsi="Times New Roman"/>
          <w:color w:val="000000"/>
          <w:sz w:val="20"/>
          <w:szCs w:val="20"/>
        </w:rPr>
        <w:t xml:space="preserve"> January 20, 2021 and March 5, 2021 purportedly on behalf of a class of investors who acquired Walmart stock from March 30, 2016 through December 22, 2020. Those cases have been consolidated. On October 8, 2021, the defendants filed a motion to dismiss the</w:t>
      </w:r>
      <w:r>
        <w:rPr>
          <w:rFonts w:ascii="Times New Roman" w:eastAsia="宋体" w:hAnsi="Times New Roman"/>
          <w:color w:val="000000"/>
          <w:sz w:val="20"/>
          <w:szCs w:val="20"/>
        </w:rPr>
        <w:t xml:space="preserve"> consolidated securities action; the lead plaintiff responded to the motion on January 10, 2022; and the defendants filed their reply brief on February 10, 2022. Derivative actions were also filed by two of the Company's shareholders in the U.S. District C</w:t>
      </w:r>
      <w:r>
        <w:rPr>
          <w:rFonts w:ascii="Times New Roman" w:eastAsia="宋体" w:hAnsi="Times New Roman"/>
          <w:color w:val="000000"/>
          <w:sz w:val="20"/>
          <w:szCs w:val="20"/>
        </w:rPr>
        <w:t>ourt for the District of Delaware on February 9, 2021 and April 16, 2021 alleging breach of fiduciary duties against certain of its current and former directors with respect to oversight of the Company's distribution and dispensing of opioids and also alle</w:t>
      </w:r>
      <w:r>
        <w:rPr>
          <w:rFonts w:ascii="Times New Roman" w:eastAsia="宋体" w:hAnsi="Times New Roman"/>
          <w:color w:val="000000"/>
          <w:sz w:val="20"/>
          <w:szCs w:val="20"/>
        </w:rPr>
        <w:t>ging violations of the federal securities laws and other breaches of duty by current directors and two current officers in connection with the Company's opioids disclosures. Those cases have been stayed pending developments in other Opioids Litigation matt</w:t>
      </w:r>
      <w:r>
        <w:rPr>
          <w:rFonts w:ascii="Times New Roman" w:eastAsia="宋体" w:hAnsi="Times New Roman"/>
          <w:color w:val="000000"/>
          <w:sz w:val="20"/>
          <w:szCs w:val="20"/>
        </w:rPr>
        <w:t xml:space="preserve">ers. On September 27, 2021, three shareholders filed a derivative action in the Delaware Court of Chancery alleging that certain members of the current Board and certain former officers breached their fiduciary duties in failing to </w:t>
      </w:r>
    </w:p>
    <w:p w14:paraId="5DEC6252" w14:textId="77777777" w:rsidR="00B1578D" w:rsidRDefault="004D2C04">
      <w:pPr>
        <w:jc w:val="center"/>
      </w:pPr>
      <w:r>
        <w:rPr>
          <w:rFonts w:ascii="Times New Roman" w:eastAsia="宋体" w:hAnsi="Times New Roman"/>
          <w:color w:val="000000"/>
          <w:sz w:val="20"/>
          <w:szCs w:val="20"/>
        </w:rPr>
        <w:t>11</w:t>
      </w:r>
    </w:p>
    <w:p w14:paraId="5DEC6253" w14:textId="77777777" w:rsidR="00B1578D" w:rsidRDefault="004D2C04">
      <w:r>
        <w:pict w14:anchorId="5DEC6F30">
          <v:rect id="_x0000_i1035" style="width:415.3pt;height:1.5pt" o:hralign="center" o:hrstd="t" o:hr="t" fillcolor="#a0a0a0" stroked="f"/>
        </w:pict>
      </w:r>
    </w:p>
    <w:p w14:paraId="5DEC6254" w14:textId="77777777" w:rsidR="00B1578D" w:rsidRDefault="004D2C04">
      <w:hyperlink r:id="rId50" w:anchor="ia92fe4e1fa654d85928fb72942eadb02_7" w:history="1">
        <w:r>
          <w:rPr>
            <w:rStyle w:val="a5"/>
            <w:rFonts w:ascii="Times New Roman" w:eastAsia="宋体" w:hAnsi="Times New Roman"/>
            <w:sz w:val="20"/>
            <w:szCs w:val="20"/>
          </w:rPr>
          <w:t>Table of Contents</w:t>
        </w:r>
      </w:hyperlink>
    </w:p>
    <w:p w14:paraId="5DEC6255" w14:textId="77777777" w:rsidR="00B1578D" w:rsidRDefault="004D2C04">
      <w:pPr>
        <w:spacing w:before="100"/>
      </w:pPr>
      <w:r>
        <w:rPr>
          <w:rFonts w:ascii="Times New Roman" w:eastAsia="宋体" w:hAnsi="Times New Roman"/>
          <w:color w:val="000000"/>
          <w:sz w:val="20"/>
          <w:szCs w:val="20"/>
        </w:rPr>
        <w:t>adequately oversee the Company's prescription opioids business. The defendants filed the opening brief o</w:t>
      </w:r>
      <w:r>
        <w:rPr>
          <w:rFonts w:ascii="Times New Roman" w:eastAsia="宋体" w:hAnsi="Times New Roman"/>
          <w:color w:val="000000"/>
          <w:sz w:val="20"/>
          <w:szCs w:val="20"/>
        </w:rPr>
        <w:t>n their motion to dismiss that case on December 21, 2021, and the plaintiffs responded by filing an amended complaint on February 22, 2022. On April 27, 2022, the defendants filed their opening brief in support of their motion to dismiss the amended compla</w:t>
      </w:r>
      <w:r>
        <w:rPr>
          <w:rFonts w:ascii="Times New Roman" w:eastAsia="宋体" w:hAnsi="Times New Roman"/>
          <w:color w:val="000000"/>
          <w:sz w:val="20"/>
          <w:szCs w:val="20"/>
        </w:rPr>
        <w:t>int.</w:t>
      </w:r>
    </w:p>
    <w:p w14:paraId="5DEC6256" w14:textId="77777777" w:rsidR="00B1578D" w:rsidRDefault="004D2C04">
      <w:pPr>
        <w:spacing w:before="100"/>
      </w:pPr>
      <w:r>
        <w:rPr>
          <w:rFonts w:ascii="Times New Roman" w:eastAsia="宋体" w:hAnsi="Times New Roman"/>
          <w:color w:val="000000"/>
          <w:sz w:val="20"/>
          <w:szCs w:val="20"/>
        </w:rPr>
        <w:t>The Company cannot reasonably estimate any loss or range of loss that may arise from the various Opioids Litigation and intends to vigorously defend these litigation matters. Accordingly, the Company can provide no assurance as to the scope and outcom</w:t>
      </w:r>
      <w:r>
        <w:rPr>
          <w:rFonts w:ascii="Times New Roman" w:eastAsia="宋体" w:hAnsi="Times New Roman"/>
          <w:color w:val="000000"/>
          <w:sz w:val="20"/>
          <w:szCs w:val="20"/>
        </w:rPr>
        <w:t>e of these matters and no assurance as to whether its business, financial position, results of operations or cash flows will not be materially adversely affected.</w:t>
      </w:r>
    </w:p>
    <w:p w14:paraId="5DEC6257" w14:textId="77777777" w:rsidR="00B1578D" w:rsidRDefault="004D2C04">
      <w:pPr>
        <w:spacing w:before="100"/>
      </w:pPr>
      <w:r>
        <w:rPr>
          <w:rFonts w:ascii="Times New Roman" w:eastAsia="宋体" w:hAnsi="Times New Roman"/>
          <w:i/>
          <w:iCs/>
          <w:color w:val="000000"/>
          <w:sz w:val="20"/>
          <w:szCs w:val="20"/>
        </w:rPr>
        <w:t>Asda Equal Value Claims</w:t>
      </w:r>
    </w:p>
    <w:p w14:paraId="5DEC6258" w14:textId="77777777" w:rsidR="00B1578D" w:rsidRDefault="004D2C04">
      <w:pPr>
        <w:spacing w:before="100"/>
      </w:pPr>
      <w:r>
        <w:rPr>
          <w:rFonts w:ascii="Times New Roman" w:eastAsia="宋体" w:hAnsi="Times New Roman"/>
          <w:color w:val="000000"/>
          <w:sz w:val="20"/>
          <w:szCs w:val="20"/>
        </w:rPr>
        <w:t>Asda, formerly a subsidiary of the Company, was and still is a defend</w:t>
      </w:r>
      <w:r>
        <w:rPr>
          <w:rFonts w:ascii="Times New Roman" w:eastAsia="宋体" w:hAnsi="Times New Roman"/>
          <w:color w:val="000000"/>
          <w:sz w:val="20"/>
          <w:szCs w:val="20"/>
        </w:rPr>
        <w:t>ant in certain equal value claims that began in 2008 and are proceeding before an Employment Tribunal in Manchester in the United Kingdom on behalf of current and former Asda store employees (the "Asda Equal Value Claims"), and further claims may be assert</w:t>
      </w:r>
      <w:r>
        <w:rPr>
          <w:rFonts w:ascii="Times New Roman" w:eastAsia="宋体" w:hAnsi="Times New Roman"/>
          <w:color w:val="000000"/>
          <w:sz w:val="20"/>
          <w:szCs w:val="20"/>
        </w:rPr>
        <w:t>ed in the future. Subsequent to the divestiture of Asda in February 2021, the Company will continue to oversee the conduct of the defense of these claims. While potential liability for these claims remains with Asda, the Company has agreed to provide indem</w:t>
      </w:r>
      <w:r>
        <w:rPr>
          <w:rFonts w:ascii="Times New Roman" w:eastAsia="宋体" w:hAnsi="Times New Roman"/>
          <w:color w:val="000000"/>
          <w:sz w:val="20"/>
          <w:szCs w:val="20"/>
        </w:rPr>
        <w:t>nification with respect to these claims up to a contractually determined amount. The Company cannot predict the number of such claims that may be filed, and cannot reasonably estimate any loss or range of loss that may arise related to these proceedings. A</w:t>
      </w:r>
      <w:r>
        <w:rPr>
          <w:rFonts w:ascii="Times New Roman" w:eastAsia="宋体" w:hAnsi="Times New Roman"/>
          <w:color w:val="000000"/>
          <w:sz w:val="20"/>
          <w:szCs w:val="20"/>
        </w:rPr>
        <w:t xml:space="preserve">ccordingly, the Company can provide no assurance as to the scope and outcomes of these matters. </w:t>
      </w:r>
    </w:p>
    <w:p w14:paraId="5DEC6259" w14:textId="77777777" w:rsidR="00B1578D" w:rsidRDefault="004D2C04">
      <w:pPr>
        <w:spacing w:before="100"/>
      </w:pPr>
      <w:r>
        <w:rPr>
          <w:rFonts w:ascii="Times New Roman" w:eastAsia="宋体" w:hAnsi="Times New Roman"/>
          <w:i/>
          <w:iCs/>
          <w:color w:val="000000"/>
          <w:sz w:val="20"/>
          <w:szCs w:val="20"/>
        </w:rPr>
        <w:t>Money Transfer Agent Services Matters</w:t>
      </w:r>
    </w:p>
    <w:p w14:paraId="5DEC625A" w14:textId="77777777" w:rsidR="00B1578D" w:rsidRDefault="004D2C04">
      <w:pPr>
        <w:spacing w:before="100"/>
      </w:pPr>
      <w:r>
        <w:rPr>
          <w:rFonts w:ascii="Times New Roman" w:eastAsia="宋体" w:hAnsi="Times New Roman"/>
          <w:color w:val="000000"/>
          <w:sz w:val="20"/>
          <w:szCs w:val="20"/>
        </w:rPr>
        <w:t>The Company has received grand jury subpoenas issued by the United States Attorney's Office for the Middle District of Pe</w:t>
      </w:r>
      <w:r>
        <w:rPr>
          <w:rFonts w:ascii="Times New Roman" w:eastAsia="宋体" w:hAnsi="Times New Roman"/>
          <w:color w:val="000000"/>
          <w:sz w:val="20"/>
          <w:szCs w:val="20"/>
        </w:rPr>
        <w:t>nnsylvania seeking documents regarding the Company's consumer fraud program and anti-money laundering compliance related to the Company's money transfer services, where Walmart is an agent. The most recent subpoena was issued in August 2020. The Company ha</w:t>
      </w:r>
      <w:r>
        <w:rPr>
          <w:rFonts w:ascii="Times New Roman" w:eastAsia="宋体" w:hAnsi="Times New Roman"/>
          <w:color w:val="000000"/>
          <w:sz w:val="20"/>
          <w:szCs w:val="20"/>
        </w:rPr>
        <w:t>s been responding to these subpoenas and is cooperating with the government's investigation. The Company has also responded to civil investigative demands from the United States Federal Trade Commission (the "FTC") in connection with the FTC's investigatio</w:t>
      </w:r>
      <w:r>
        <w:rPr>
          <w:rFonts w:ascii="Times New Roman" w:eastAsia="宋体" w:hAnsi="Times New Roman"/>
          <w:color w:val="000000"/>
          <w:sz w:val="20"/>
          <w:szCs w:val="20"/>
        </w:rPr>
        <w:t>n related to money transfers and the Company's anti-fraud program in its capacity as an agent. While the Company had been engaged in discussions with the FTC regarding a potential resolution of this matter, the parties have not been able to reach a resolut</w:t>
      </w:r>
      <w:r>
        <w:rPr>
          <w:rFonts w:ascii="Times New Roman" w:eastAsia="宋体" w:hAnsi="Times New Roman"/>
          <w:color w:val="000000"/>
          <w:sz w:val="20"/>
          <w:szCs w:val="20"/>
        </w:rPr>
        <w:t>ion. In May 2022, the FTC Bureau of Consumer Protection forwarded a revised draft complaint to the FTC seeking authority to file a civil complaint against the Company seeking various forms of monetary and injunctive relief regarding the Company’s anti-frau</w:t>
      </w:r>
      <w:r>
        <w:rPr>
          <w:rFonts w:ascii="Times New Roman" w:eastAsia="宋体" w:hAnsi="Times New Roman"/>
          <w:color w:val="000000"/>
          <w:sz w:val="20"/>
          <w:szCs w:val="20"/>
        </w:rPr>
        <w:t>d program. The Company understands that the FTC voted to authorize the complaint on June 1, 2022. The Company cannot reasonably estimate any loss or range of loss that may arise from these matters. While the Company does not currently believe that the outc</w:t>
      </w:r>
      <w:r>
        <w:rPr>
          <w:rFonts w:ascii="Times New Roman" w:eastAsia="宋体" w:hAnsi="Times New Roman"/>
          <w:color w:val="000000"/>
          <w:sz w:val="20"/>
          <w:szCs w:val="20"/>
        </w:rPr>
        <w:t>ome of these matters will have a material adverse effect on its business, financial position, results of operations or cash flows, the Company can provide no assurance as to the scope and outcome of these matters and no assurance as to whether its business</w:t>
      </w:r>
      <w:r>
        <w:rPr>
          <w:rFonts w:ascii="Times New Roman" w:eastAsia="宋体" w:hAnsi="Times New Roman"/>
          <w:color w:val="000000"/>
          <w:sz w:val="20"/>
          <w:szCs w:val="20"/>
        </w:rPr>
        <w:t>, financial position, results of operations or cash flows will not be materially adversely affected.</w:t>
      </w:r>
    </w:p>
    <w:p w14:paraId="5DEC625B" w14:textId="77777777" w:rsidR="00B1578D" w:rsidRDefault="004D2C04">
      <w:pPr>
        <w:spacing w:before="240"/>
      </w:pPr>
      <w:r>
        <w:rPr>
          <w:rFonts w:ascii="Times New Roman" w:eastAsia="宋体" w:hAnsi="Times New Roman"/>
          <w:b/>
          <w:bCs/>
          <w:color w:val="000000"/>
          <w:sz w:val="20"/>
          <w:szCs w:val="20"/>
        </w:rPr>
        <w:t>Note 7. Segments and Disaggregated Revenue</w:t>
      </w:r>
    </w:p>
    <w:p w14:paraId="5DEC625C" w14:textId="77777777" w:rsidR="00B1578D" w:rsidRDefault="004D2C04">
      <w:pPr>
        <w:spacing w:before="180"/>
      </w:pPr>
      <w:r>
        <w:rPr>
          <w:rFonts w:ascii="Times New Roman" w:eastAsia="宋体" w:hAnsi="Times New Roman"/>
          <w:i/>
          <w:iCs/>
          <w:color w:val="000000"/>
          <w:sz w:val="20"/>
          <w:szCs w:val="20"/>
        </w:rPr>
        <w:t>Segments</w:t>
      </w:r>
    </w:p>
    <w:p w14:paraId="5DEC625D" w14:textId="77777777" w:rsidR="00B1578D" w:rsidRDefault="004D2C04">
      <w:pPr>
        <w:spacing w:before="100"/>
      </w:pPr>
      <w:r>
        <w:rPr>
          <w:rFonts w:ascii="Times New Roman" w:eastAsia="宋体" w:hAnsi="Times New Roman"/>
          <w:color w:val="000000"/>
          <w:sz w:val="20"/>
          <w:szCs w:val="20"/>
        </w:rPr>
        <w:t xml:space="preserve">The Company is engaged in the operation of retail and wholesale stores and clubs, as well as </w:t>
      </w:r>
      <w:r>
        <w:rPr>
          <w:rFonts w:ascii="Times New Roman" w:eastAsia="宋体" w:hAnsi="Times New Roman"/>
          <w:color w:val="000000"/>
          <w:sz w:val="20"/>
          <w:szCs w:val="20"/>
        </w:rPr>
        <w:t>eCommerce websites, located throughout the U.S., Africa, Canada, Central America, Chile, China, India and Mexico. The Company's operations are conducted in three reportable segments: Walmart U.S., Walmart International and Sam's Club. The Company defines i</w:t>
      </w:r>
      <w:r>
        <w:rPr>
          <w:rFonts w:ascii="Times New Roman" w:eastAsia="宋体" w:hAnsi="Times New Roman"/>
          <w:color w:val="000000"/>
          <w:sz w:val="20"/>
          <w:szCs w:val="20"/>
        </w:rPr>
        <w:t>ts segments as those operations whose results the chief operating decision maker ("CODM") regularly reviews to analyze performance and allocate resources. The Company sells similar individual products and services in each of its segments. It is impractical</w:t>
      </w:r>
      <w:r>
        <w:rPr>
          <w:rFonts w:ascii="Times New Roman" w:eastAsia="宋体" w:hAnsi="Times New Roman"/>
          <w:color w:val="000000"/>
          <w:sz w:val="20"/>
          <w:szCs w:val="20"/>
        </w:rPr>
        <w:t xml:space="preserve"> to segregate and identify revenues for each of these individual products and services.</w:t>
      </w:r>
    </w:p>
    <w:p w14:paraId="5DEC625E" w14:textId="77777777" w:rsidR="00B1578D" w:rsidRDefault="004D2C04">
      <w:pPr>
        <w:spacing w:before="100"/>
      </w:pPr>
      <w:r>
        <w:rPr>
          <w:rFonts w:ascii="Times New Roman" w:eastAsia="宋体" w:hAnsi="Times New Roman"/>
          <w:color w:val="000000"/>
          <w:sz w:val="20"/>
          <w:szCs w:val="20"/>
        </w:rPr>
        <w:t>The Walmart U.S. segment includes the Company's mass merchandising concept in the U.S., as well as eCommerce and omni-channel initiatives. The Walmart International seg</w:t>
      </w:r>
      <w:r>
        <w:rPr>
          <w:rFonts w:ascii="Times New Roman" w:eastAsia="宋体" w:hAnsi="Times New Roman"/>
          <w:color w:val="000000"/>
          <w:sz w:val="20"/>
          <w:szCs w:val="20"/>
        </w:rPr>
        <w:t>ment consists of the Company's operations outside of the U.S., as well as eCommerce and omni-channel initiatives. The Sam's Club segment includes the warehouse membership clubs in the U.S., as well as samsclub.com and omni-channel initiatives. Corporate an</w:t>
      </w:r>
      <w:r>
        <w:rPr>
          <w:rFonts w:ascii="Times New Roman" w:eastAsia="宋体" w:hAnsi="Times New Roman"/>
          <w:color w:val="000000"/>
          <w:sz w:val="20"/>
          <w:szCs w:val="20"/>
        </w:rPr>
        <w:t>d support consists of corporate overhead and other items not allocated to any of the Company's segments.</w:t>
      </w:r>
    </w:p>
    <w:p w14:paraId="5DEC625F" w14:textId="77777777" w:rsidR="00B1578D" w:rsidRDefault="004D2C04">
      <w:pPr>
        <w:spacing w:before="100"/>
      </w:pPr>
      <w:r>
        <w:rPr>
          <w:rFonts w:ascii="Times New Roman" w:eastAsia="宋体" w:hAnsi="Times New Roman"/>
          <w:color w:val="000000"/>
          <w:sz w:val="20"/>
          <w:szCs w:val="20"/>
        </w:rPr>
        <w:t>The Company measures the results of its segments using, among other measures, each segment's net sales and operating income, which includes certain cor</w:t>
      </w:r>
      <w:r>
        <w:rPr>
          <w:rFonts w:ascii="Times New Roman" w:eastAsia="宋体" w:hAnsi="Times New Roman"/>
          <w:color w:val="000000"/>
          <w:sz w:val="20"/>
          <w:szCs w:val="20"/>
        </w:rPr>
        <w:t>porate overhead allocations. From time to time, the Company revises the measurement of each segment's operating income and other measures, including any corporate overhead allocations, as determined by the information regularly reviewed by its CODM. When t</w:t>
      </w:r>
      <w:r>
        <w:rPr>
          <w:rFonts w:ascii="Times New Roman" w:eastAsia="宋体" w:hAnsi="Times New Roman"/>
          <w:color w:val="000000"/>
          <w:sz w:val="20"/>
          <w:szCs w:val="20"/>
        </w:rPr>
        <w:t>he measurement of a segment significantly changes, previous period amounts and balances are reclassified to be comparable to the current period's presentation.</w:t>
      </w:r>
    </w:p>
    <w:p w14:paraId="5DEC6260" w14:textId="77777777" w:rsidR="00B1578D" w:rsidRDefault="00B1578D">
      <w:pPr>
        <w:spacing w:before="100"/>
      </w:pPr>
    </w:p>
    <w:p w14:paraId="5DEC6261" w14:textId="77777777" w:rsidR="00B1578D" w:rsidRDefault="004D2C04">
      <w:pPr>
        <w:jc w:val="center"/>
      </w:pPr>
      <w:r>
        <w:rPr>
          <w:rFonts w:ascii="Times New Roman" w:eastAsia="宋体" w:hAnsi="Times New Roman"/>
          <w:color w:val="000000"/>
          <w:sz w:val="20"/>
          <w:szCs w:val="20"/>
        </w:rPr>
        <w:t>12</w:t>
      </w:r>
    </w:p>
    <w:p w14:paraId="5DEC6262" w14:textId="77777777" w:rsidR="00B1578D" w:rsidRDefault="004D2C04">
      <w:r>
        <w:pict w14:anchorId="5DEC6F31">
          <v:rect id="_x0000_i1036" style="width:415.3pt;height:1.5pt" o:hralign="center" o:hrstd="t" o:hr="t" fillcolor="#a0a0a0" stroked="f"/>
        </w:pict>
      </w:r>
    </w:p>
    <w:p w14:paraId="5DEC6263" w14:textId="77777777" w:rsidR="00B1578D" w:rsidRDefault="004D2C04">
      <w:hyperlink r:id="rId51" w:anchor="ia92fe4e1fa654d85928fb72942eadb02_7" w:history="1">
        <w:r>
          <w:rPr>
            <w:rStyle w:val="a5"/>
            <w:rFonts w:ascii="Times New Roman" w:eastAsia="宋体" w:hAnsi="Times New Roman"/>
            <w:sz w:val="20"/>
            <w:szCs w:val="20"/>
          </w:rPr>
          <w:t>Table of Contents</w:t>
        </w:r>
      </w:hyperlink>
    </w:p>
    <w:p w14:paraId="5DEC6264" w14:textId="77777777" w:rsidR="00B1578D" w:rsidRDefault="004D2C04">
      <w:pPr>
        <w:spacing w:before="100"/>
      </w:pPr>
      <w:r>
        <w:rPr>
          <w:rFonts w:ascii="Times New Roman" w:eastAsia="宋体" w:hAnsi="Times New Roman"/>
          <w:color w:val="000000"/>
          <w:sz w:val="20"/>
          <w:szCs w:val="20"/>
        </w:rPr>
        <w:t>Net sales by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946"/>
        <w:gridCol w:w="38"/>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B1578D" w14:paraId="5DEC6278" w14:textId="77777777">
        <w:tc>
          <w:tcPr>
            <w:tcW w:w="50" w:type="pct"/>
            <w:shd w:val="clear" w:color="auto" w:fill="auto"/>
            <w:vAlign w:val="bottom"/>
          </w:tcPr>
          <w:p w14:paraId="5DEC6265" w14:textId="77777777" w:rsidR="00B1578D" w:rsidRDefault="00B1578D">
            <w:pPr>
              <w:rPr>
                <w:rFonts w:ascii="宋体"/>
              </w:rPr>
            </w:pPr>
          </w:p>
        </w:tc>
        <w:tc>
          <w:tcPr>
            <w:tcW w:w="3716" w:type="pct"/>
            <w:shd w:val="clear" w:color="auto" w:fill="auto"/>
            <w:vAlign w:val="bottom"/>
          </w:tcPr>
          <w:p w14:paraId="5DEC6266" w14:textId="77777777" w:rsidR="00B1578D" w:rsidRDefault="00B1578D">
            <w:pPr>
              <w:rPr>
                <w:rFonts w:ascii="宋体"/>
              </w:rPr>
            </w:pPr>
          </w:p>
        </w:tc>
        <w:tc>
          <w:tcPr>
            <w:tcW w:w="5" w:type="pct"/>
            <w:shd w:val="clear" w:color="auto" w:fill="auto"/>
            <w:vAlign w:val="bottom"/>
          </w:tcPr>
          <w:p w14:paraId="5DEC6267" w14:textId="77777777" w:rsidR="00B1578D" w:rsidRDefault="00B1578D">
            <w:pPr>
              <w:rPr>
                <w:rFonts w:ascii="宋体"/>
              </w:rPr>
            </w:pPr>
          </w:p>
        </w:tc>
        <w:tc>
          <w:tcPr>
            <w:tcW w:w="5" w:type="pct"/>
            <w:shd w:val="clear" w:color="auto" w:fill="auto"/>
            <w:vAlign w:val="bottom"/>
          </w:tcPr>
          <w:p w14:paraId="5DEC6268" w14:textId="77777777" w:rsidR="00B1578D" w:rsidRDefault="00B1578D">
            <w:pPr>
              <w:rPr>
                <w:rFonts w:ascii="宋体"/>
              </w:rPr>
            </w:pPr>
          </w:p>
        </w:tc>
        <w:tc>
          <w:tcPr>
            <w:tcW w:w="26" w:type="pct"/>
            <w:shd w:val="clear" w:color="auto" w:fill="auto"/>
            <w:vAlign w:val="bottom"/>
          </w:tcPr>
          <w:p w14:paraId="5DEC6269" w14:textId="77777777" w:rsidR="00B1578D" w:rsidRDefault="00B1578D">
            <w:pPr>
              <w:rPr>
                <w:rFonts w:ascii="宋体"/>
              </w:rPr>
            </w:pPr>
          </w:p>
        </w:tc>
        <w:tc>
          <w:tcPr>
            <w:tcW w:w="5" w:type="pct"/>
            <w:shd w:val="clear" w:color="auto" w:fill="auto"/>
            <w:vAlign w:val="bottom"/>
          </w:tcPr>
          <w:p w14:paraId="5DEC626A" w14:textId="77777777" w:rsidR="00B1578D" w:rsidRDefault="00B1578D">
            <w:pPr>
              <w:rPr>
                <w:rFonts w:ascii="宋体"/>
              </w:rPr>
            </w:pPr>
          </w:p>
        </w:tc>
        <w:tc>
          <w:tcPr>
            <w:tcW w:w="50" w:type="pct"/>
            <w:shd w:val="clear" w:color="auto" w:fill="auto"/>
            <w:vAlign w:val="bottom"/>
          </w:tcPr>
          <w:p w14:paraId="5DEC626B" w14:textId="77777777" w:rsidR="00B1578D" w:rsidRDefault="00B1578D">
            <w:pPr>
              <w:rPr>
                <w:rFonts w:ascii="宋体"/>
              </w:rPr>
            </w:pPr>
          </w:p>
        </w:tc>
        <w:tc>
          <w:tcPr>
            <w:tcW w:w="522" w:type="pct"/>
            <w:shd w:val="clear" w:color="auto" w:fill="auto"/>
            <w:vAlign w:val="bottom"/>
          </w:tcPr>
          <w:p w14:paraId="5DEC626C" w14:textId="77777777" w:rsidR="00B1578D" w:rsidRDefault="00B1578D">
            <w:pPr>
              <w:rPr>
                <w:rFonts w:ascii="宋体"/>
              </w:rPr>
            </w:pPr>
          </w:p>
        </w:tc>
        <w:tc>
          <w:tcPr>
            <w:tcW w:w="5" w:type="pct"/>
            <w:shd w:val="clear" w:color="auto" w:fill="auto"/>
            <w:vAlign w:val="bottom"/>
          </w:tcPr>
          <w:p w14:paraId="5DEC626D" w14:textId="77777777" w:rsidR="00B1578D" w:rsidRDefault="00B1578D">
            <w:pPr>
              <w:rPr>
                <w:rFonts w:ascii="宋体"/>
              </w:rPr>
            </w:pPr>
          </w:p>
        </w:tc>
        <w:tc>
          <w:tcPr>
            <w:tcW w:w="5" w:type="pct"/>
            <w:shd w:val="clear" w:color="auto" w:fill="auto"/>
            <w:vAlign w:val="bottom"/>
          </w:tcPr>
          <w:p w14:paraId="5DEC626E" w14:textId="77777777" w:rsidR="00B1578D" w:rsidRDefault="00B1578D">
            <w:pPr>
              <w:rPr>
                <w:rFonts w:ascii="宋体"/>
              </w:rPr>
            </w:pPr>
          </w:p>
        </w:tc>
        <w:tc>
          <w:tcPr>
            <w:tcW w:w="26" w:type="pct"/>
            <w:shd w:val="clear" w:color="auto" w:fill="auto"/>
            <w:vAlign w:val="bottom"/>
          </w:tcPr>
          <w:p w14:paraId="5DEC626F" w14:textId="77777777" w:rsidR="00B1578D" w:rsidRDefault="00B1578D">
            <w:pPr>
              <w:rPr>
                <w:rFonts w:ascii="宋体"/>
              </w:rPr>
            </w:pPr>
          </w:p>
        </w:tc>
        <w:tc>
          <w:tcPr>
            <w:tcW w:w="5" w:type="pct"/>
            <w:shd w:val="clear" w:color="auto" w:fill="auto"/>
            <w:vAlign w:val="bottom"/>
          </w:tcPr>
          <w:p w14:paraId="5DEC6270" w14:textId="77777777" w:rsidR="00B1578D" w:rsidRDefault="00B1578D">
            <w:pPr>
              <w:rPr>
                <w:rFonts w:ascii="宋体"/>
              </w:rPr>
            </w:pPr>
          </w:p>
        </w:tc>
        <w:tc>
          <w:tcPr>
            <w:tcW w:w="50" w:type="pct"/>
            <w:shd w:val="clear" w:color="auto" w:fill="auto"/>
            <w:vAlign w:val="bottom"/>
          </w:tcPr>
          <w:p w14:paraId="5DEC6271" w14:textId="77777777" w:rsidR="00B1578D" w:rsidRDefault="00B1578D">
            <w:pPr>
              <w:rPr>
                <w:rFonts w:ascii="宋体"/>
              </w:rPr>
            </w:pPr>
          </w:p>
        </w:tc>
        <w:tc>
          <w:tcPr>
            <w:tcW w:w="522" w:type="pct"/>
            <w:shd w:val="clear" w:color="auto" w:fill="auto"/>
            <w:vAlign w:val="bottom"/>
          </w:tcPr>
          <w:p w14:paraId="5DEC6272" w14:textId="77777777" w:rsidR="00B1578D" w:rsidRDefault="00B1578D">
            <w:pPr>
              <w:rPr>
                <w:rFonts w:ascii="宋体"/>
              </w:rPr>
            </w:pPr>
          </w:p>
        </w:tc>
        <w:tc>
          <w:tcPr>
            <w:tcW w:w="5" w:type="pct"/>
            <w:shd w:val="clear" w:color="auto" w:fill="auto"/>
            <w:vAlign w:val="bottom"/>
          </w:tcPr>
          <w:p w14:paraId="5DEC6273" w14:textId="77777777" w:rsidR="00B1578D" w:rsidRDefault="00B1578D">
            <w:pPr>
              <w:rPr>
                <w:rFonts w:ascii="宋体"/>
              </w:rPr>
            </w:pPr>
          </w:p>
        </w:tc>
        <w:tc>
          <w:tcPr>
            <w:tcW w:w="0" w:type="auto"/>
            <w:shd w:val="clear" w:color="auto" w:fill="auto"/>
            <w:vAlign w:val="bottom"/>
          </w:tcPr>
          <w:p w14:paraId="5DEC6274" w14:textId="77777777" w:rsidR="00B1578D" w:rsidRDefault="00B1578D">
            <w:pPr>
              <w:rPr>
                <w:rFonts w:ascii="宋体"/>
                <w:vanish/>
              </w:rPr>
            </w:pPr>
          </w:p>
        </w:tc>
        <w:tc>
          <w:tcPr>
            <w:tcW w:w="0" w:type="auto"/>
            <w:shd w:val="clear" w:color="auto" w:fill="auto"/>
            <w:vAlign w:val="bottom"/>
          </w:tcPr>
          <w:p w14:paraId="5DEC6275" w14:textId="77777777" w:rsidR="00B1578D" w:rsidRDefault="00B1578D">
            <w:pPr>
              <w:rPr>
                <w:rFonts w:ascii="宋体"/>
                <w:vanish/>
              </w:rPr>
            </w:pPr>
          </w:p>
        </w:tc>
        <w:tc>
          <w:tcPr>
            <w:tcW w:w="0" w:type="auto"/>
            <w:gridSpan w:val="3"/>
            <w:shd w:val="clear" w:color="auto" w:fill="auto"/>
            <w:vAlign w:val="bottom"/>
          </w:tcPr>
          <w:p w14:paraId="5DEC6276" w14:textId="77777777" w:rsidR="00B1578D" w:rsidRDefault="00B1578D">
            <w:pPr>
              <w:rPr>
                <w:rFonts w:ascii="宋体"/>
                <w:vanish/>
              </w:rPr>
            </w:pPr>
          </w:p>
        </w:tc>
        <w:tc>
          <w:tcPr>
            <w:tcW w:w="0" w:type="auto"/>
            <w:gridSpan w:val="3"/>
            <w:shd w:val="clear" w:color="auto" w:fill="auto"/>
            <w:vAlign w:val="bottom"/>
          </w:tcPr>
          <w:p w14:paraId="5DEC6277" w14:textId="77777777" w:rsidR="00B1578D" w:rsidRDefault="00B1578D">
            <w:pPr>
              <w:rPr>
                <w:rFonts w:ascii="宋体"/>
                <w:vanish/>
              </w:rPr>
            </w:pPr>
          </w:p>
        </w:tc>
      </w:tr>
      <w:tr w:rsidR="00B1578D" w14:paraId="5DEC6284" w14:textId="77777777">
        <w:tc>
          <w:tcPr>
            <w:tcW w:w="0" w:type="auto"/>
            <w:gridSpan w:val="3"/>
            <w:shd w:val="clear" w:color="auto" w:fill="auto"/>
            <w:tcMar>
              <w:top w:w="40" w:type="dxa"/>
              <w:left w:w="20" w:type="dxa"/>
              <w:bottom w:w="40" w:type="dxa"/>
              <w:right w:w="20" w:type="dxa"/>
            </w:tcMar>
            <w:vAlign w:val="bottom"/>
          </w:tcPr>
          <w:p w14:paraId="5DEC6279"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27A"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27B"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27C" w14:textId="77777777" w:rsidR="00B1578D" w:rsidRDefault="00B1578D">
            <w:pPr>
              <w:rPr>
                <w:rFonts w:ascii="宋体"/>
                <w:vanish/>
              </w:rPr>
            </w:pPr>
          </w:p>
        </w:tc>
        <w:tc>
          <w:tcPr>
            <w:tcW w:w="0" w:type="auto"/>
            <w:shd w:val="clear" w:color="auto" w:fill="auto"/>
            <w:vAlign w:val="bottom"/>
          </w:tcPr>
          <w:p w14:paraId="5DEC627D" w14:textId="77777777" w:rsidR="00B1578D" w:rsidRDefault="00B1578D">
            <w:pPr>
              <w:rPr>
                <w:rFonts w:ascii="宋体"/>
                <w:vanish/>
              </w:rPr>
            </w:pPr>
          </w:p>
        </w:tc>
        <w:tc>
          <w:tcPr>
            <w:tcW w:w="0" w:type="auto"/>
            <w:shd w:val="clear" w:color="auto" w:fill="auto"/>
            <w:vAlign w:val="bottom"/>
          </w:tcPr>
          <w:p w14:paraId="5DEC627E" w14:textId="77777777" w:rsidR="00B1578D" w:rsidRDefault="00B1578D">
            <w:pPr>
              <w:rPr>
                <w:rFonts w:ascii="宋体"/>
              </w:rPr>
            </w:pPr>
          </w:p>
        </w:tc>
        <w:tc>
          <w:tcPr>
            <w:tcW w:w="0" w:type="auto"/>
            <w:shd w:val="clear" w:color="auto" w:fill="auto"/>
            <w:vAlign w:val="bottom"/>
          </w:tcPr>
          <w:p w14:paraId="5DEC627F" w14:textId="77777777" w:rsidR="00B1578D" w:rsidRDefault="00B1578D">
            <w:pPr>
              <w:rPr>
                <w:rFonts w:ascii="宋体"/>
              </w:rPr>
            </w:pPr>
          </w:p>
        </w:tc>
        <w:tc>
          <w:tcPr>
            <w:tcW w:w="0" w:type="auto"/>
            <w:shd w:val="clear" w:color="auto" w:fill="auto"/>
            <w:vAlign w:val="bottom"/>
          </w:tcPr>
          <w:p w14:paraId="5DEC6280" w14:textId="77777777" w:rsidR="00B1578D" w:rsidRDefault="00B1578D">
            <w:pPr>
              <w:rPr>
                <w:rFonts w:ascii="宋体"/>
              </w:rPr>
            </w:pPr>
          </w:p>
        </w:tc>
        <w:tc>
          <w:tcPr>
            <w:tcW w:w="0" w:type="auto"/>
            <w:shd w:val="clear" w:color="auto" w:fill="auto"/>
            <w:vAlign w:val="bottom"/>
          </w:tcPr>
          <w:p w14:paraId="5DEC6281" w14:textId="77777777" w:rsidR="00B1578D" w:rsidRDefault="00B1578D">
            <w:pPr>
              <w:rPr>
                <w:rFonts w:ascii="宋体"/>
              </w:rPr>
            </w:pPr>
          </w:p>
        </w:tc>
        <w:tc>
          <w:tcPr>
            <w:tcW w:w="0" w:type="auto"/>
            <w:shd w:val="clear" w:color="auto" w:fill="auto"/>
            <w:vAlign w:val="bottom"/>
          </w:tcPr>
          <w:p w14:paraId="5DEC6282" w14:textId="77777777" w:rsidR="00B1578D" w:rsidRDefault="00B1578D">
            <w:pPr>
              <w:rPr>
                <w:rFonts w:ascii="宋体"/>
              </w:rPr>
            </w:pPr>
          </w:p>
        </w:tc>
        <w:tc>
          <w:tcPr>
            <w:tcW w:w="0" w:type="auto"/>
            <w:shd w:val="clear" w:color="auto" w:fill="auto"/>
            <w:vAlign w:val="bottom"/>
          </w:tcPr>
          <w:p w14:paraId="5DEC6283" w14:textId="77777777" w:rsidR="00B1578D" w:rsidRDefault="00B1578D">
            <w:pPr>
              <w:rPr>
                <w:rFonts w:ascii="宋体"/>
              </w:rPr>
            </w:pPr>
          </w:p>
        </w:tc>
      </w:tr>
      <w:tr w:rsidR="00B1578D" w14:paraId="5DEC628E" w14:textId="77777777">
        <w:tc>
          <w:tcPr>
            <w:tcW w:w="0" w:type="auto"/>
            <w:gridSpan w:val="3"/>
            <w:shd w:val="clear" w:color="auto" w:fill="auto"/>
            <w:tcMar>
              <w:top w:w="40" w:type="dxa"/>
              <w:left w:w="20" w:type="dxa"/>
              <w:bottom w:w="40" w:type="dxa"/>
              <w:right w:w="20" w:type="dxa"/>
            </w:tcMar>
            <w:vAlign w:val="bottom"/>
          </w:tcPr>
          <w:p w14:paraId="5DEC6285" w14:textId="77777777" w:rsidR="00B1578D" w:rsidRDefault="004D2C04">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28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287"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628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289"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28A" w14:textId="77777777" w:rsidR="00B1578D" w:rsidRDefault="00B1578D">
            <w:pPr>
              <w:rPr>
                <w:rFonts w:ascii="宋体"/>
                <w:vanish/>
              </w:rPr>
            </w:pPr>
          </w:p>
        </w:tc>
        <w:tc>
          <w:tcPr>
            <w:tcW w:w="0" w:type="auto"/>
            <w:shd w:val="clear" w:color="auto" w:fill="auto"/>
            <w:vAlign w:val="bottom"/>
          </w:tcPr>
          <w:p w14:paraId="5DEC628B" w14:textId="77777777" w:rsidR="00B1578D" w:rsidRDefault="00B1578D">
            <w:pPr>
              <w:rPr>
                <w:rFonts w:ascii="宋体"/>
                <w:vanish/>
              </w:rPr>
            </w:pPr>
          </w:p>
        </w:tc>
        <w:tc>
          <w:tcPr>
            <w:tcW w:w="0" w:type="auto"/>
            <w:gridSpan w:val="3"/>
            <w:shd w:val="clear" w:color="auto" w:fill="auto"/>
            <w:vAlign w:val="bottom"/>
          </w:tcPr>
          <w:p w14:paraId="5DEC628C" w14:textId="77777777" w:rsidR="00B1578D" w:rsidRDefault="00B1578D">
            <w:pPr>
              <w:rPr>
                <w:rFonts w:ascii="宋体"/>
                <w:vanish/>
              </w:rPr>
            </w:pPr>
          </w:p>
        </w:tc>
        <w:tc>
          <w:tcPr>
            <w:tcW w:w="0" w:type="auto"/>
            <w:gridSpan w:val="3"/>
            <w:shd w:val="clear" w:color="auto" w:fill="auto"/>
            <w:vAlign w:val="bottom"/>
          </w:tcPr>
          <w:p w14:paraId="5DEC628D" w14:textId="77777777" w:rsidR="00B1578D" w:rsidRDefault="00B1578D">
            <w:pPr>
              <w:rPr>
                <w:rFonts w:ascii="宋体"/>
                <w:vanish/>
              </w:rPr>
            </w:pPr>
          </w:p>
        </w:tc>
      </w:tr>
      <w:tr w:rsidR="00B1578D" w14:paraId="5DEC6298" w14:textId="77777777">
        <w:tc>
          <w:tcPr>
            <w:tcW w:w="0" w:type="auto"/>
            <w:gridSpan w:val="3"/>
            <w:shd w:val="clear" w:color="auto" w:fill="auto"/>
            <w:tcMar>
              <w:top w:w="40" w:type="dxa"/>
              <w:left w:w="20" w:type="dxa"/>
              <w:bottom w:w="40" w:type="dxa"/>
              <w:right w:w="20" w:type="dxa"/>
            </w:tcMar>
            <w:vAlign w:val="center"/>
          </w:tcPr>
          <w:p w14:paraId="5DEC628F"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auto"/>
            <w:tcMar>
              <w:top w:w="0" w:type="dxa"/>
              <w:left w:w="20" w:type="dxa"/>
              <w:bottom w:w="0" w:type="dxa"/>
              <w:right w:w="20" w:type="dxa"/>
            </w:tcMar>
            <w:vAlign w:val="bottom"/>
          </w:tcPr>
          <w:p w14:paraId="5DEC6290"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291"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292"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293" w14:textId="77777777" w:rsidR="00B1578D" w:rsidRDefault="00B1578D">
            <w:pPr>
              <w:rPr>
                <w:rFonts w:ascii="宋体"/>
              </w:rPr>
            </w:pPr>
          </w:p>
        </w:tc>
        <w:tc>
          <w:tcPr>
            <w:tcW w:w="0" w:type="auto"/>
            <w:shd w:val="clear" w:color="auto" w:fill="auto"/>
            <w:vAlign w:val="bottom"/>
          </w:tcPr>
          <w:p w14:paraId="5DEC6294" w14:textId="77777777" w:rsidR="00B1578D" w:rsidRDefault="00B1578D">
            <w:pPr>
              <w:rPr>
                <w:rFonts w:ascii="宋体"/>
                <w:vanish/>
              </w:rPr>
            </w:pPr>
          </w:p>
        </w:tc>
        <w:tc>
          <w:tcPr>
            <w:tcW w:w="0" w:type="auto"/>
            <w:shd w:val="clear" w:color="auto" w:fill="auto"/>
            <w:vAlign w:val="bottom"/>
          </w:tcPr>
          <w:p w14:paraId="5DEC6295" w14:textId="77777777" w:rsidR="00B1578D" w:rsidRDefault="00B1578D">
            <w:pPr>
              <w:rPr>
                <w:rFonts w:ascii="宋体"/>
                <w:vanish/>
              </w:rPr>
            </w:pPr>
          </w:p>
        </w:tc>
        <w:tc>
          <w:tcPr>
            <w:tcW w:w="0" w:type="auto"/>
            <w:gridSpan w:val="3"/>
            <w:shd w:val="clear" w:color="auto" w:fill="auto"/>
            <w:vAlign w:val="bottom"/>
          </w:tcPr>
          <w:p w14:paraId="5DEC6296" w14:textId="77777777" w:rsidR="00B1578D" w:rsidRDefault="00B1578D">
            <w:pPr>
              <w:rPr>
                <w:rFonts w:ascii="宋体"/>
                <w:vanish/>
              </w:rPr>
            </w:pPr>
          </w:p>
        </w:tc>
        <w:tc>
          <w:tcPr>
            <w:tcW w:w="0" w:type="auto"/>
            <w:gridSpan w:val="3"/>
            <w:shd w:val="clear" w:color="auto" w:fill="auto"/>
            <w:vAlign w:val="bottom"/>
          </w:tcPr>
          <w:p w14:paraId="5DEC6297" w14:textId="77777777" w:rsidR="00B1578D" w:rsidRDefault="00B1578D">
            <w:pPr>
              <w:rPr>
                <w:rFonts w:ascii="宋体"/>
                <w:vanish/>
              </w:rPr>
            </w:pPr>
          </w:p>
        </w:tc>
      </w:tr>
      <w:tr w:rsidR="00B1578D" w14:paraId="5DEC62A6" w14:textId="77777777">
        <w:tc>
          <w:tcPr>
            <w:tcW w:w="0" w:type="auto"/>
            <w:gridSpan w:val="3"/>
            <w:shd w:val="clear" w:color="auto" w:fill="CCEEFF"/>
            <w:tcMar>
              <w:top w:w="40" w:type="dxa"/>
              <w:left w:w="380" w:type="dxa"/>
              <w:bottom w:w="40" w:type="dxa"/>
              <w:right w:w="20" w:type="dxa"/>
            </w:tcMar>
            <w:vAlign w:val="center"/>
          </w:tcPr>
          <w:p w14:paraId="5DEC6299" w14:textId="77777777" w:rsidR="00B1578D" w:rsidRDefault="004D2C04">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5DEC629A"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29B"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29C" w14:textId="77777777" w:rsidR="00B1578D" w:rsidRDefault="004D2C04">
            <w:pPr>
              <w:jc w:val="right"/>
              <w:textAlignment w:val="center"/>
            </w:pPr>
            <w:r>
              <w:rPr>
                <w:rFonts w:ascii="Times New Roman" w:eastAsia="宋体" w:hAnsi="Times New Roman"/>
                <w:color w:val="000000"/>
                <w:sz w:val="16"/>
                <w:szCs w:val="16"/>
              </w:rPr>
              <w:t>96,904 </w:t>
            </w:r>
          </w:p>
        </w:tc>
        <w:tc>
          <w:tcPr>
            <w:tcW w:w="0" w:type="auto"/>
            <w:shd w:val="clear" w:color="auto" w:fill="CCEEFF"/>
            <w:tcMar>
              <w:top w:w="40" w:type="dxa"/>
              <w:left w:w="0" w:type="dxa"/>
              <w:bottom w:w="40" w:type="dxa"/>
              <w:right w:w="20" w:type="dxa"/>
            </w:tcMar>
            <w:vAlign w:val="center"/>
          </w:tcPr>
          <w:p w14:paraId="5DEC629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29E"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29F"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2A0" w14:textId="77777777" w:rsidR="00B1578D" w:rsidRDefault="004D2C04">
            <w:pPr>
              <w:jc w:val="right"/>
              <w:textAlignment w:val="center"/>
            </w:pPr>
            <w:r>
              <w:rPr>
                <w:rFonts w:ascii="Times New Roman" w:eastAsia="宋体" w:hAnsi="Times New Roman"/>
                <w:color w:val="000000"/>
                <w:sz w:val="16"/>
                <w:szCs w:val="16"/>
              </w:rPr>
              <w:t>93,167 </w:t>
            </w:r>
          </w:p>
        </w:tc>
        <w:tc>
          <w:tcPr>
            <w:tcW w:w="0" w:type="auto"/>
            <w:shd w:val="clear" w:color="auto" w:fill="CCEEFF"/>
            <w:tcMar>
              <w:top w:w="40" w:type="dxa"/>
              <w:left w:w="0" w:type="dxa"/>
              <w:bottom w:w="40" w:type="dxa"/>
              <w:right w:w="20" w:type="dxa"/>
            </w:tcMar>
            <w:vAlign w:val="center"/>
          </w:tcPr>
          <w:p w14:paraId="5DEC62A1" w14:textId="77777777" w:rsidR="00B1578D" w:rsidRDefault="00B1578D">
            <w:pPr>
              <w:jc w:val="right"/>
              <w:rPr>
                <w:rFonts w:ascii="宋体"/>
              </w:rPr>
            </w:pPr>
          </w:p>
        </w:tc>
        <w:tc>
          <w:tcPr>
            <w:tcW w:w="0" w:type="auto"/>
            <w:shd w:val="clear" w:color="auto" w:fill="auto"/>
            <w:vAlign w:val="bottom"/>
          </w:tcPr>
          <w:p w14:paraId="5DEC62A2" w14:textId="77777777" w:rsidR="00B1578D" w:rsidRDefault="00B1578D">
            <w:pPr>
              <w:rPr>
                <w:rFonts w:ascii="宋体"/>
                <w:vanish/>
              </w:rPr>
            </w:pPr>
          </w:p>
        </w:tc>
        <w:tc>
          <w:tcPr>
            <w:tcW w:w="0" w:type="auto"/>
            <w:shd w:val="clear" w:color="auto" w:fill="auto"/>
            <w:vAlign w:val="bottom"/>
          </w:tcPr>
          <w:p w14:paraId="5DEC62A3" w14:textId="77777777" w:rsidR="00B1578D" w:rsidRDefault="00B1578D">
            <w:pPr>
              <w:rPr>
                <w:rFonts w:ascii="宋体"/>
                <w:vanish/>
              </w:rPr>
            </w:pPr>
          </w:p>
        </w:tc>
        <w:tc>
          <w:tcPr>
            <w:tcW w:w="0" w:type="auto"/>
            <w:gridSpan w:val="3"/>
            <w:shd w:val="clear" w:color="auto" w:fill="auto"/>
            <w:vAlign w:val="bottom"/>
          </w:tcPr>
          <w:p w14:paraId="5DEC62A4" w14:textId="77777777" w:rsidR="00B1578D" w:rsidRDefault="00B1578D">
            <w:pPr>
              <w:rPr>
                <w:rFonts w:ascii="宋体"/>
                <w:vanish/>
              </w:rPr>
            </w:pPr>
          </w:p>
        </w:tc>
        <w:tc>
          <w:tcPr>
            <w:tcW w:w="0" w:type="auto"/>
            <w:gridSpan w:val="3"/>
            <w:shd w:val="clear" w:color="auto" w:fill="auto"/>
            <w:vAlign w:val="bottom"/>
          </w:tcPr>
          <w:p w14:paraId="5DEC62A5" w14:textId="77777777" w:rsidR="00B1578D" w:rsidRDefault="00B1578D">
            <w:pPr>
              <w:rPr>
                <w:rFonts w:ascii="宋体"/>
                <w:vanish/>
              </w:rPr>
            </w:pPr>
          </w:p>
        </w:tc>
      </w:tr>
      <w:tr w:rsidR="00B1578D" w14:paraId="5DEC62B2" w14:textId="77777777">
        <w:tc>
          <w:tcPr>
            <w:tcW w:w="0" w:type="auto"/>
            <w:gridSpan w:val="3"/>
            <w:shd w:val="clear" w:color="auto" w:fill="FFFFFF"/>
            <w:tcMar>
              <w:top w:w="40" w:type="dxa"/>
              <w:left w:w="380" w:type="dxa"/>
              <w:bottom w:w="40" w:type="dxa"/>
              <w:right w:w="20" w:type="dxa"/>
            </w:tcMar>
            <w:vAlign w:val="center"/>
          </w:tcPr>
          <w:p w14:paraId="5DEC62A7" w14:textId="77777777" w:rsidR="00B1578D" w:rsidRDefault="004D2C04">
            <w:pPr>
              <w:textAlignment w:val="center"/>
            </w:pPr>
            <w:r>
              <w:rPr>
                <w:rFonts w:ascii="Times New Roman" w:eastAsia="宋体" w:hAnsi="Times New Roman"/>
                <w:color w:val="000000"/>
                <w:sz w:val="16"/>
                <w:szCs w:val="16"/>
              </w:rPr>
              <w:t>Walma</w:t>
            </w:r>
            <w:r>
              <w:rPr>
                <w:rFonts w:ascii="Times New Roman" w:eastAsia="宋体" w:hAnsi="Times New Roman"/>
                <w:color w:val="000000"/>
                <w:sz w:val="16"/>
                <w:szCs w:val="16"/>
              </w:rPr>
              <w:t>rt International</w:t>
            </w:r>
          </w:p>
        </w:tc>
        <w:tc>
          <w:tcPr>
            <w:tcW w:w="0" w:type="auto"/>
            <w:gridSpan w:val="3"/>
            <w:shd w:val="clear" w:color="auto" w:fill="FFFFFF"/>
            <w:tcMar>
              <w:top w:w="0" w:type="dxa"/>
              <w:left w:w="20" w:type="dxa"/>
              <w:bottom w:w="0" w:type="dxa"/>
              <w:right w:w="20" w:type="dxa"/>
            </w:tcMar>
            <w:vAlign w:val="bottom"/>
          </w:tcPr>
          <w:p w14:paraId="5DEC62A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2A9" w14:textId="77777777" w:rsidR="00B1578D" w:rsidRDefault="004D2C04">
            <w:pPr>
              <w:jc w:val="right"/>
              <w:textAlignment w:val="center"/>
            </w:pPr>
            <w:r>
              <w:rPr>
                <w:rFonts w:ascii="Times New Roman" w:eastAsia="宋体" w:hAnsi="Times New Roman"/>
                <w:color w:val="000000"/>
                <w:sz w:val="16"/>
                <w:szCs w:val="16"/>
              </w:rPr>
              <w:t>23,763 </w:t>
            </w:r>
          </w:p>
        </w:tc>
        <w:tc>
          <w:tcPr>
            <w:tcW w:w="0" w:type="auto"/>
            <w:shd w:val="clear" w:color="auto" w:fill="FFFFFF"/>
            <w:tcMar>
              <w:top w:w="40" w:type="dxa"/>
              <w:left w:w="0" w:type="dxa"/>
              <w:bottom w:w="40" w:type="dxa"/>
              <w:right w:w="20" w:type="dxa"/>
            </w:tcMar>
            <w:vAlign w:val="center"/>
          </w:tcPr>
          <w:p w14:paraId="5DEC62A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2A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2AC" w14:textId="77777777" w:rsidR="00B1578D" w:rsidRDefault="004D2C04">
            <w:pPr>
              <w:jc w:val="right"/>
              <w:textAlignment w:val="center"/>
            </w:pPr>
            <w:r>
              <w:rPr>
                <w:rFonts w:ascii="Times New Roman" w:eastAsia="宋体" w:hAnsi="Times New Roman"/>
                <w:color w:val="000000"/>
                <w:sz w:val="16"/>
                <w:szCs w:val="16"/>
              </w:rPr>
              <w:t>27,300 </w:t>
            </w:r>
          </w:p>
        </w:tc>
        <w:tc>
          <w:tcPr>
            <w:tcW w:w="0" w:type="auto"/>
            <w:shd w:val="clear" w:color="auto" w:fill="FFFFFF"/>
            <w:tcMar>
              <w:top w:w="40" w:type="dxa"/>
              <w:left w:w="0" w:type="dxa"/>
              <w:bottom w:w="40" w:type="dxa"/>
              <w:right w:w="20" w:type="dxa"/>
            </w:tcMar>
            <w:vAlign w:val="center"/>
          </w:tcPr>
          <w:p w14:paraId="5DEC62AD" w14:textId="77777777" w:rsidR="00B1578D" w:rsidRDefault="00B1578D">
            <w:pPr>
              <w:jc w:val="right"/>
              <w:rPr>
                <w:rFonts w:ascii="宋体"/>
              </w:rPr>
            </w:pPr>
          </w:p>
        </w:tc>
        <w:tc>
          <w:tcPr>
            <w:tcW w:w="0" w:type="auto"/>
            <w:shd w:val="clear" w:color="auto" w:fill="auto"/>
            <w:vAlign w:val="bottom"/>
          </w:tcPr>
          <w:p w14:paraId="5DEC62AE" w14:textId="77777777" w:rsidR="00B1578D" w:rsidRDefault="00B1578D">
            <w:pPr>
              <w:rPr>
                <w:rFonts w:ascii="宋体"/>
                <w:vanish/>
              </w:rPr>
            </w:pPr>
          </w:p>
        </w:tc>
        <w:tc>
          <w:tcPr>
            <w:tcW w:w="0" w:type="auto"/>
            <w:shd w:val="clear" w:color="auto" w:fill="auto"/>
            <w:vAlign w:val="bottom"/>
          </w:tcPr>
          <w:p w14:paraId="5DEC62AF" w14:textId="77777777" w:rsidR="00B1578D" w:rsidRDefault="00B1578D">
            <w:pPr>
              <w:rPr>
                <w:rFonts w:ascii="宋体"/>
                <w:vanish/>
              </w:rPr>
            </w:pPr>
          </w:p>
        </w:tc>
        <w:tc>
          <w:tcPr>
            <w:tcW w:w="0" w:type="auto"/>
            <w:gridSpan w:val="3"/>
            <w:shd w:val="clear" w:color="auto" w:fill="auto"/>
            <w:vAlign w:val="bottom"/>
          </w:tcPr>
          <w:p w14:paraId="5DEC62B0" w14:textId="77777777" w:rsidR="00B1578D" w:rsidRDefault="00B1578D">
            <w:pPr>
              <w:rPr>
                <w:rFonts w:ascii="宋体"/>
                <w:vanish/>
              </w:rPr>
            </w:pPr>
          </w:p>
        </w:tc>
        <w:tc>
          <w:tcPr>
            <w:tcW w:w="0" w:type="auto"/>
            <w:gridSpan w:val="3"/>
            <w:shd w:val="clear" w:color="auto" w:fill="auto"/>
            <w:vAlign w:val="bottom"/>
          </w:tcPr>
          <w:p w14:paraId="5DEC62B1" w14:textId="77777777" w:rsidR="00B1578D" w:rsidRDefault="00B1578D">
            <w:pPr>
              <w:rPr>
                <w:rFonts w:ascii="宋体"/>
                <w:vanish/>
              </w:rPr>
            </w:pPr>
          </w:p>
        </w:tc>
      </w:tr>
      <w:tr w:rsidR="00B1578D" w14:paraId="5DEC62BE" w14:textId="77777777">
        <w:tc>
          <w:tcPr>
            <w:tcW w:w="0" w:type="auto"/>
            <w:gridSpan w:val="3"/>
            <w:shd w:val="clear" w:color="auto" w:fill="CCEEFF"/>
            <w:tcMar>
              <w:top w:w="40" w:type="dxa"/>
              <w:left w:w="380" w:type="dxa"/>
              <w:bottom w:w="40" w:type="dxa"/>
              <w:right w:w="20" w:type="dxa"/>
            </w:tcMar>
            <w:vAlign w:val="center"/>
          </w:tcPr>
          <w:p w14:paraId="5DEC62B3" w14:textId="77777777" w:rsidR="00B1578D" w:rsidRDefault="004D2C04">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5DEC62B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2B5" w14:textId="77777777" w:rsidR="00B1578D" w:rsidRDefault="004D2C04">
            <w:pPr>
              <w:jc w:val="right"/>
              <w:textAlignment w:val="center"/>
            </w:pPr>
            <w:r>
              <w:rPr>
                <w:rFonts w:ascii="Times New Roman" w:eastAsia="宋体" w:hAnsi="Times New Roman"/>
                <w:color w:val="000000"/>
                <w:sz w:val="16"/>
                <w:szCs w:val="16"/>
              </w:rPr>
              <w:t>19,621 </w:t>
            </w:r>
          </w:p>
        </w:tc>
        <w:tc>
          <w:tcPr>
            <w:tcW w:w="0" w:type="auto"/>
            <w:shd w:val="clear" w:color="auto" w:fill="CCEEFF"/>
            <w:tcMar>
              <w:top w:w="40" w:type="dxa"/>
              <w:left w:w="0" w:type="dxa"/>
              <w:bottom w:w="40" w:type="dxa"/>
              <w:right w:w="20" w:type="dxa"/>
            </w:tcMar>
            <w:vAlign w:val="center"/>
          </w:tcPr>
          <w:p w14:paraId="5DEC62B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2B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2B8" w14:textId="77777777" w:rsidR="00B1578D" w:rsidRDefault="004D2C04">
            <w:pPr>
              <w:jc w:val="right"/>
              <w:textAlignment w:val="center"/>
            </w:pPr>
            <w:r>
              <w:rPr>
                <w:rFonts w:ascii="Times New Roman" w:eastAsia="宋体" w:hAnsi="Times New Roman"/>
                <w:color w:val="000000"/>
                <w:sz w:val="16"/>
                <w:szCs w:val="16"/>
              </w:rPr>
              <w:t>16,692 </w:t>
            </w:r>
          </w:p>
        </w:tc>
        <w:tc>
          <w:tcPr>
            <w:tcW w:w="0" w:type="auto"/>
            <w:shd w:val="clear" w:color="auto" w:fill="CCEEFF"/>
            <w:tcMar>
              <w:top w:w="40" w:type="dxa"/>
              <w:left w:w="0" w:type="dxa"/>
              <w:bottom w:w="40" w:type="dxa"/>
              <w:right w:w="20" w:type="dxa"/>
            </w:tcMar>
            <w:vAlign w:val="center"/>
          </w:tcPr>
          <w:p w14:paraId="5DEC62B9" w14:textId="77777777" w:rsidR="00B1578D" w:rsidRDefault="00B1578D">
            <w:pPr>
              <w:jc w:val="right"/>
              <w:rPr>
                <w:rFonts w:ascii="宋体"/>
              </w:rPr>
            </w:pPr>
          </w:p>
        </w:tc>
        <w:tc>
          <w:tcPr>
            <w:tcW w:w="0" w:type="auto"/>
            <w:shd w:val="clear" w:color="auto" w:fill="auto"/>
            <w:vAlign w:val="bottom"/>
          </w:tcPr>
          <w:p w14:paraId="5DEC62BA" w14:textId="77777777" w:rsidR="00B1578D" w:rsidRDefault="00B1578D">
            <w:pPr>
              <w:rPr>
                <w:rFonts w:ascii="宋体"/>
                <w:vanish/>
              </w:rPr>
            </w:pPr>
          </w:p>
        </w:tc>
        <w:tc>
          <w:tcPr>
            <w:tcW w:w="0" w:type="auto"/>
            <w:shd w:val="clear" w:color="auto" w:fill="auto"/>
            <w:vAlign w:val="bottom"/>
          </w:tcPr>
          <w:p w14:paraId="5DEC62BB" w14:textId="77777777" w:rsidR="00B1578D" w:rsidRDefault="00B1578D">
            <w:pPr>
              <w:rPr>
                <w:rFonts w:ascii="宋体"/>
                <w:vanish/>
              </w:rPr>
            </w:pPr>
          </w:p>
        </w:tc>
        <w:tc>
          <w:tcPr>
            <w:tcW w:w="0" w:type="auto"/>
            <w:gridSpan w:val="3"/>
            <w:shd w:val="clear" w:color="auto" w:fill="auto"/>
            <w:vAlign w:val="bottom"/>
          </w:tcPr>
          <w:p w14:paraId="5DEC62BC" w14:textId="77777777" w:rsidR="00B1578D" w:rsidRDefault="00B1578D">
            <w:pPr>
              <w:rPr>
                <w:rFonts w:ascii="宋体"/>
                <w:vanish/>
              </w:rPr>
            </w:pPr>
          </w:p>
        </w:tc>
        <w:tc>
          <w:tcPr>
            <w:tcW w:w="0" w:type="auto"/>
            <w:gridSpan w:val="3"/>
            <w:shd w:val="clear" w:color="auto" w:fill="auto"/>
            <w:vAlign w:val="bottom"/>
          </w:tcPr>
          <w:p w14:paraId="5DEC62BD" w14:textId="77777777" w:rsidR="00B1578D" w:rsidRDefault="00B1578D">
            <w:pPr>
              <w:rPr>
                <w:rFonts w:ascii="宋体"/>
                <w:vanish/>
              </w:rPr>
            </w:pPr>
          </w:p>
        </w:tc>
      </w:tr>
      <w:tr w:rsidR="00B1578D" w14:paraId="5DEC62CC" w14:textId="77777777">
        <w:tc>
          <w:tcPr>
            <w:tcW w:w="0" w:type="auto"/>
            <w:gridSpan w:val="3"/>
            <w:shd w:val="clear" w:color="auto" w:fill="FFFFFF"/>
            <w:tcMar>
              <w:top w:w="40" w:type="dxa"/>
              <w:left w:w="20" w:type="dxa"/>
              <w:bottom w:w="40" w:type="dxa"/>
              <w:right w:w="20" w:type="dxa"/>
            </w:tcMar>
            <w:vAlign w:val="center"/>
          </w:tcPr>
          <w:p w14:paraId="5DEC62BF" w14:textId="77777777" w:rsidR="00B1578D" w:rsidRDefault="004D2C04">
            <w:pPr>
              <w:textAlignment w:val="center"/>
            </w:pPr>
            <w:r>
              <w:rPr>
                <w:rFonts w:ascii="Times New Roman" w:eastAsia="宋体" w:hAnsi="Times New Roman"/>
                <w:b/>
                <w:bCs/>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5DEC62C0"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2C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2C2" w14:textId="77777777" w:rsidR="00B1578D" w:rsidRDefault="004D2C04">
            <w:pPr>
              <w:jc w:val="right"/>
              <w:textAlignment w:val="center"/>
            </w:pPr>
            <w:r>
              <w:rPr>
                <w:rFonts w:ascii="Times New Roman" w:eastAsia="宋体" w:hAnsi="Times New Roman"/>
                <w:color w:val="000000"/>
                <w:sz w:val="16"/>
                <w:szCs w:val="16"/>
              </w:rPr>
              <w:t>140,288 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2C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2C4"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2C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2C6" w14:textId="77777777" w:rsidR="00B1578D" w:rsidRDefault="004D2C04">
            <w:pPr>
              <w:jc w:val="right"/>
              <w:textAlignment w:val="center"/>
            </w:pPr>
            <w:r>
              <w:rPr>
                <w:rFonts w:ascii="Times New Roman" w:eastAsia="宋体" w:hAnsi="Times New Roman"/>
                <w:color w:val="000000"/>
                <w:sz w:val="16"/>
                <w:szCs w:val="16"/>
              </w:rPr>
              <w:t>137,159 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2C7" w14:textId="77777777" w:rsidR="00B1578D" w:rsidRDefault="00B1578D">
            <w:pPr>
              <w:jc w:val="right"/>
              <w:rPr>
                <w:rFonts w:ascii="宋体"/>
              </w:rPr>
            </w:pPr>
          </w:p>
        </w:tc>
        <w:tc>
          <w:tcPr>
            <w:tcW w:w="0" w:type="auto"/>
            <w:shd w:val="clear" w:color="auto" w:fill="auto"/>
            <w:vAlign w:val="bottom"/>
          </w:tcPr>
          <w:p w14:paraId="5DEC62C8" w14:textId="77777777" w:rsidR="00B1578D" w:rsidRDefault="00B1578D">
            <w:pPr>
              <w:rPr>
                <w:rFonts w:ascii="宋体"/>
                <w:vanish/>
              </w:rPr>
            </w:pPr>
          </w:p>
        </w:tc>
        <w:tc>
          <w:tcPr>
            <w:tcW w:w="0" w:type="auto"/>
            <w:shd w:val="clear" w:color="auto" w:fill="auto"/>
            <w:vAlign w:val="bottom"/>
          </w:tcPr>
          <w:p w14:paraId="5DEC62C9" w14:textId="77777777" w:rsidR="00B1578D" w:rsidRDefault="00B1578D">
            <w:pPr>
              <w:rPr>
                <w:rFonts w:ascii="宋体"/>
                <w:vanish/>
              </w:rPr>
            </w:pPr>
          </w:p>
        </w:tc>
        <w:tc>
          <w:tcPr>
            <w:tcW w:w="0" w:type="auto"/>
            <w:gridSpan w:val="3"/>
            <w:shd w:val="clear" w:color="auto" w:fill="auto"/>
            <w:vAlign w:val="bottom"/>
          </w:tcPr>
          <w:p w14:paraId="5DEC62CA" w14:textId="77777777" w:rsidR="00B1578D" w:rsidRDefault="00B1578D">
            <w:pPr>
              <w:rPr>
                <w:rFonts w:ascii="宋体"/>
                <w:vanish/>
              </w:rPr>
            </w:pPr>
          </w:p>
        </w:tc>
        <w:tc>
          <w:tcPr>
            <w:tcW w:w="0" w:type="auto"/>
            <w:gridSpan w:val="3"/>
            <w:shd w:val="clear" w:color="auto" w:fill="auto"/>
            <w:vAlign w:val="bottom"/>
          </w:tcPr>
          <w:p w14:paraId="5DEC62CB" w14:textId="77777777" w:rsidR="00B1578D" w:rsidRDefault="00B1578D">
            <w:pPr>
              <w:rPr>
                <w:rFonts w:ascii="宋体"/>
                <w:vanish/>
              </w:rPr>
            </w:pPr>
          </w:p>
        </w:tc>
      </w:tr>
    </w:tbl>
    <w:p w14:paraId="5DEC62CD" w14:textId="77777777" w:rsidR="00B1578D" w:rsidRDefault="004D2C04">
      <w:pPr>
        <w:spacing w:before="100"/>
      </w:pPr>
      <w:r>
        <w:rPr>
          <w:rFonts w:ascii="Times New Roman" w:eastAsia="宋体" w:hAnsi="Times New Roman"/>
          <w:color w:val="000000"/>
          <w:sz w:val="20"/>
          <w:szCs w:val="20"/>
        </w:rPr>
        <w:t>Operating income by segment, as well as unallocated operating expenses for corporate and support, interest, net, and other gains and losses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51"/>
        <w:gridCol w:w="38"/>
        <w:gridCol w:w="36"/>
        <w:gridCol w:w="36"/>
        <w:gridCol w:w="36"/>
        <w:gridCol w:w="100"/>
        <w:gridCol w:w="732"/>
        <w:gridCol w:w="36"/>
        <w:gridCol w:w="36"/>
        <w:gridCol w:w="36"/>
        <w:gridCol w:w="36"/>
        <w:gridCol w:w="100"/>
        <w:gridCol w:w="712"/>
        <w:gridCol w:w="36"/>
        <w:gridCol w:w="36"/>
        <w:gridCol w:w="36"/>
        <w:gridCol w:w="36"/>
        <w:gridCol w:w="36"/>
        <w:gridCol w:w="36"/>
        <w:gridCol w:w="36"/>
        <w:gridCol w:w="36"/>
        <w:gridCol w:w="36"/>
        <w:gridCol w:w="36"/>
        <w:gridCol w:w="36"/>
        <w:gridCol w:w="36"/>
        <w:gridCol w:w="36"/>
        <w:gridCol w:w="36"/>
        <w:gridCol w:w="36"/>
        <w:gridCol w:w="36"/>
        <w:gridCol w:w="36"/>
      </w:tblGrid>
      <w:tr w:rsidR="00B1578D" w14:paraId="5DEC62E5" w14:textId="77777777">
        <w:tc>
          <w:tcPr>
            <w:tcW w:w="50" w:type="pct"/>
            <w:shd w:val="clear" w:color="auto" w:fill="auto"/>
            <w:vAlign w:val="bottom"/>
          </w:tcPr>
          <w:p w14:paraId="5DEC62CE" w14:textId="77777777" w:rsidR="00B1578D" w:rsidRDefault="00B1578D">
            <w:pPr>
              <w:rPr>
                <w:rFonts w:ascii="宋体"/>
              </w:rPr>
            </w:pPr>
          </w:p>
        </w:tc>
        <w:tc>
          <w:tcPr>
            <w:tcW w:w="3731" w:type="pct"/>
            <w:shd w:val="clear" w:color="auto" w:fill="auto"/>
            <w:vAlign w:val="bottom"/>
          </w:tcPr>
          <w:p w14:paraId="5DEC62CF" w14:textId="77777777" w:rsidR="00B1578D" w:rsidRDefault="00B1578D">
            <w:pPr>
              <w:rPr>
                <w:rFonts w:ascii="宋体"/>
              </w:rPr>
            </w:pPr>
          </w:p>
        </w:tc>
        <w:tc>
          <w:tcPr>
            <w:tcW w:w="5" w:type="pct"/>
            <w:shd w:val="clear" w:color="auto" w:fill="auto"/>
            <w:vAlign w:val="bottom"/>
          </w:tcPr>
          <w:p w14:paraId="5DEC62D0" w14:textId="77777777" w:rsidR="00B1578D" w:rsidRDefault="00B1578D">
            <w:pPr>
              <w:rPr>
                <w:rFonts w:ascii="宋体"/>
              </w:rPr>
            </w:pPr>
          </w:p>
        </w:tc>
        <w:tc>
          <w:tcPr>
            <w:tcW w:w="5" w:type="pct"/>
            <w:shd w:val="clear" w:color="auto" w:fill="auto"/>
            <w:vAlign w:val="bottom"/>
          </w:tcPr>
          <w:p w14:paraId="5DEC62D1" w14:textId="77777777" w:rsidR="00B1578D" w:rsidRDefault="00B1578D">
            <w:pPr>
              <w:rPr>
                <w:rFonts w:ascii="宋体"/>
              </w:rPr>
            </w:pPr>
          </w:p>
        </w:tc>
        <w:tc>
          <w:tcPr>
            <w:tcW w:w="26" w:type="pct"/>
            <w:shd w:val="clear" w:color="auto" w:fill="auto"/>
            <w:vAlign w:val="bottom"/>
          </w:tcPr>
          <w:p w14:paraId="5DEC62D2" w14:textId="77777777" w:rsidR="00B1578D" w:rsidRDefault="00B1578D">
            <w:pPr>
              <w:rPr>
                <w:rFonts w:ascii="宋体"/>
              </w:rPr>
            </w:pPr>
          </w:p>
        </w:tc>
        <w:tc>
          <w:tcPr>
            <w:tcW w:w="5" w:type="pct"/>
            <w:shd w:val="clear" w:color="auto" w:fill="auto"/>
            <w:vAlign w:val="bottom"/>
          </w:tcPr>
          <w:p w14:paraId="5DEC62D3" w14:textId="77777777" w:rsidR="00B1578D" w:rsidRDefault="00B1578D">
            <w:pPr>
              <w:rPr>
                <w:rFonts w:ascii="宋体"/>
              </w:rPr>
            </w:pPr>
          </w:p>
        </w:tc>
        <w:tc>
          <w:tcPr>
            <w:tcW w:w="50" w:type="pct"/>
            <w:shd w:val="clear" w:color="auto" w:fill="auto"/>
            <w:vAlign w:val="bottom"/>
          </w:tcPr>
          <w:p w14:paraId="5DEC62D4" w14:textId="77777777" w:rsidR="00B1578D" w:rsidRDefault="00B1578D">
            <w:pPr>
              <w:rPr>
                <w:rFonts w:ascii="宋体"/>
              </w:rPr>
            </w:pPr>
          </w:p>
        </w:tc>
        <w:tc>
          <w:tcPr>
            <w:tcW w:w="522" w:type="pct"/>
            <w:shd w:val="clear" w:color="auto" w:fill="auto"/>
            <w:vAlign w:val="bottom"/>
          </w:tcPr>
          <w:p w14:paraId="5DEC62D5" w14:textId="77777777" w:rsidR="00B1578D" w:rsidRDefault="00B1578D">
            <w:pPr>
              <w:rPr>
                <w:rFonts w:ascii="宋体"/>
              </w:rPr>
            </w:pPr>
          </w:p>
        </w:tc>
        <w:tc>
          <w:tcPr>
            <w:tcW w:w="5" w:type="pct"/>
            <w:shd w:val="clear" w:color="auto" w:fill="auto"/>
            <w:vAlign w:val="bottom"/>
          </w:tcPr>
          <w:p w14:paraId="5DEC62D6" w14:textId="77777777" w:rsidR="00B1578D" w:rsidRDefault="00B1578D">
            <w:pPr>
              <w:rPr>
                <w:rFonts w:ascii="宋体"/>
              </w:rPr>
            </w:pPr>
          </w:p>
        </w:tc>
        <w:tc>
          <w:tcPr>
            <w:tcW w:w="5" w:type="pct"/>
            <w:shd w:val="clear" w:color="auto" w:fill="auto"/>
            <w:vAlign w:val="bottom"/>
          </w:tcPr>
          <w:p w14:paraId="5DEC62D7" w14:textId="77777777" w:rsidR="00B1578D" w:rsidRDefault="00B1578D">
            <w:pPr>
              <w:rPr>
                <w:rFonts w:ascii="宋体"/>
              </w:rPr>
            </w:pPr>
          </w:p>
        </w:tc>
        <w:tc>
          <w:tcPr>
            <w:tcW w:w="26" w:type="pct"/>
            <w:shd w:val="clear" w:color="auto" w:fill="auto"/>
            <w:vAlign w:val="bottom"/>
          </w:tcPr>
          <w:p w14:paraId="5DEC62D8" w14:textId="77777777" w:rsidR="00B1578D" w:rsidRDefault="00B1578D">
            <w:pPr>
              <w:rPr>
                <w:rFonts w:ascii="宋体"/>
              </w:rPr>
            </w:pPr>
          </w:p>
        </w:tc>
        <w:tc>
          <w:tcPr>
            <w:tcW w:w="5" w:type="pct"/>
            <w:shd w:val="clear" w:color="auto" w:fill="auto"/>
            <w:vAlign w:val="bottom"/>
          </w:tcPr>
          <w:p w14:paraId="5DEC62D9" w14:textId="77777777" w:rsidR="00B1578D" w:rsidRDefault="00B1578D">
            <w:pPr>
              <w:rPr>
                <w:rFonts w:ascii="宋体"/>
              </w:rPr>
            </w:pPr>
          </w:p>
        </w:tc>
        <w:tc>
          <w:tcPr>
            <w:tcW w:w="50" w:type="pct"/>
            <w:shd w:val="clear" w:color="auto" w:fill="auto"/>
            <w:vAlign w:val="bottom"/>
          </w:tcPr>
          <w:p w14:paraId="5DEC62DA" w14:textId="77777777" w:rsidR="00B1578D" w:rsidRDefault="00B1578D">
            <w:pPr>
              <w:rPr>
                <w:rFonts w:ascii="宋体"/>
              </w:rPr>
            </w:pPr>
          </w:p>
        </w:tc>
        <w:tc>
          <w:tcPr>
            <w:tcW w:w="508" w:type="pct"/>
            <w:shd w:val="clear" w:color="auto" w:fill="auto"/>
            <w:vAlign w:val="bottom"/>
          </w:tcPr>
          <w:p w14:paraId="5DEC62DB" w14:textId="77777777" w:rsidR="00B1578D" w:rsidRDefault="00B1578D">
            <w:pPr>
              <w:rPr>
                <w:rFonts w:ascii="宋体"/>
              </w:rPr>
            </w:pPr>
          </w:p>
        </w:tc>
        <w:tc>
          <w:tcPr>
            <w:tcW w:w="5" w:type="pct"/>
            <w:shd w:val="clear" w:color="auto" w:fill="auto"/>
            <w:vAlign w:val="bottom"/>
          </w:tcPr>
          <w:p w14:paraId="5DEC62DC" w14:textId="77777777" w:rsidR="00B1578D" w:rsidRDefault="00B1578D">
            <w:pPr>
              <w:rPr>
                <w:rFonts w:ascii="宋体"/>
              </w:rPr>
            </w:pPr>
          </w:p>
        </w:tc>
        <w:tc>
          <w:tcPr>
            <w:tcW w:w="0" w:type="auto"/>
            <w:shd w:val="clear" w:color="auto" w:fill="auto"/>
            <w:vAlign w:val="bottom"/>
          </w:tcPr>
          <w:p w14:paraId="5DEC62DD" w14:textId="77777777" w:rsidR="00B1578D" w:rsidRDefault="00B1578D">
            <w:pPr>
              <w:rPr>
                <w:rFonts w:ascii="宋体"/>
                <w:vanish/>
              </w:rPr>
            </w:pPr>
          </w:p>
        </w:tc>
        <w:tc>
          <w:tcPr>
            <w:tcW w:w="0" w:type="auto"/>
            <w:shd w:val="clear" w:color="auto" w:fill="auto"/>
            <w:vAlign w:val="bottom"/>
          </w:tcPr>
          <w:p w14:paraId="5DEC62DE" w14:textId="77777777" w:rsidR="00B1578D" w:rsidRDefault="00B1578D">
            <w:pPr>
              <w:rPr>
                <w:rFonts w:ascii="宋体"/>
                <w:vanish/>
              </w:rPr>
            </w:pPr>
          </w:p>
        </w:tc>
        <w:tc>
          <w:tcPr>
            <w:tcW w:w="0" w:type="auto"/>
            <w:shd w:val="clear" w:color="auto" w:fill="auto"/>
            <w:vAlign w:val="bottom"/>
          </w:tcPr>
          <w:p w14:paraId="5DEC62DF" w14:textId="77777777" w:rsidR="00B1578D" w:rsidRDefault="00B1578D">
            <w:pPr>
              <w:rPr>
                <w:rFonts w:ascii="宋体"/>
                <w:vanish/>
              </w:rPr>
            </w:pPr>
          </w:p>
        </w:tc>
        <w:tc>
          <w:tcPr>
            <w:tcW w:w="0" w:type="auto"/>
            <w:shd w:val="clear" w:color="auto" w:fill="auto"/>
            <w:vAlign w:val="bottom"/>
          </w:tcPr>
          <w:p w14:paraId="5DEC62E0" w14:textId="77777777" w:rsidR="00B1578D" w:rsidRDefault="00B1578D">
            <w:pPr>
              <w:rPr>
                <w:rFonts w:ascii="宋体"/>
                <w:vanish/>
              </w:rPr>
            </w:pPr>
          </w:p>
        </w:tc>
        <w:tc>
          <w:tcPr>
            <w:tcW w:w="0" w:type="auto"/>
            <w:gridSpan w:val="3"/>
            <w:shd w:val="clear" w:color="auto" w:fill="auto"/>
            <w:vAlign w:val="bottom"/>
          </w:tcPr>
          <w:p w14:paraId="5DEC62E1" w14:textId="77777777" w:rsidR="00B1578D" w:rsidRDefault="00B1578D">
            <w:pPr>
              <w:rPr>
                <w:rFonts w:ascii="宋体"/>
                <w:vanish/>
              </w:rPr>
            </w:pPr>
          </w:p>
        </w:tc>
        <w:tc>
          <w:tcPr>
            <w:tcW w:w="0" w:type="auto"/>
            <w:gridSpan w:val="3"/>
            <w:shd w:val="clear" w:color="auto" w:fill="auto"/>
            <w:vAlign w:val="bottom"/>
          </w:tcPr>
          <w:p w14:paraId="5DEC62E2" w14:textId="77777777" w:rsidR="00B1578D" w:rsidRDefault="00B1578D">
            <w:pPr>
              <w:rPr>
                <w:rFonts w:ascii="宋体"/>
                <w:vanish/>
              </w:rPr>
            </w:pPr>
          </w:p>
        </w:tc>
        <w:tc>
          <w:tcPr>
            <w:tcW w:w="0" w:type="auto"/>
            <w:gridSpan w:val="3"/>
            <w:shd w:val="clear" w:color="auto" w:fill="auto"/>
            <w:vAlign w:val="bottom"/>
          </w:tcPr>
          <w:p w14:paraId="5DEC62E3" w14:textId="77777777" w:rsidR="00B1578D" w:rsidRDefault="00B1578D">
            <w:pPr>
              <w:rPr>
                <w:rFonts w:ascii="宋体"/>
                <w:vanish/>
              </w:rPr>
            </w:pPr>
          </w:p>
        </w:tc>
        <w:tc>
          <w:tcPr>
            <w:tcW w:w="0" w:type="auto"/>
            <w:gridSpan w:val="3"/>
            <w:shd w:val="clear" w:color="auto" w:fill="auto"/>
            <w:vAlign w:val="bottom"/>
          </w:tcPr>
          <w:p w14:paraId="5DEC62E4" w14:textId="77777777" w:rsidR="00B1578D" w:rsidRDefault="00B1578D">
            <w:pPr>
              <w:rPr>
                <w:rFonts w:ascii="宋体"/>
                <w:vanish/>
              </w:rPr>
            </w:pPr>
          </w:p>
        </w:tc>
      </w:tr>
      <w:tr w:rsidR="00B1578D" w14:paraId="5DEC62F9" w14:textId="77777777">
        <w:tc>
          <w:tcPr>
            <w:tcW w:w="0" w:type="auto"/>
            <w:gridSpan w:val="3"/>
            <w:shd w:val="clear" w:color="auto" w:fill="auto"/>
            <w:tcMar>
              <w:top w:w="40" w:type="dxa"/>
              <w:left w:w="20" w:type="dxa"/>
              <w:bottom w:w="40" w:type="dxa"/>
              <w:right w:w="20" w:type="dxa"/>
            </w:tcMar>
            <w:vAlign w:val="bottom"/>
          </w:tcPr>
          <w:p w14:paraId="5DEC62E6"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2E7"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2E8"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2E9" w14:textId="77777777" w:rsidR="00B1578D" w:rsidRDefault="00B1578D">
            <w:pPr>
              <w:rPr>
                <w:rFonts w:ascii="宋体"/>
                <w:vanish/>
              </w:rPr>
            </w:pPr>
          </w:p>
        </w:tc>
        <w:tc>
          <w:tcPr>
            <w:tcW w:w="0" w:type="auto"/>
            <w:shd w:val="clear" w:color="auto" w:fill="auto"/>
            <w:vAlign w:val="bottom"/>
          </w:tcPr>
          <w:p w14:paraId="5DEC62EA" w14:textId="77777777" w:rsidR="00B1578D" w:rsidRDefault="00B1578D">
            <w:pPr>
              <w:rPr>
                <w:rFonts w:ascii="宋体"/>
                <w:vanish/>
              </w:rPr>
            </w:pPr>
          </w:p>
        </w:tc>
        <w:tc>
          <w:tcPr>
            <w:tcW w:w="0" w:type="auto"/>
            <w:shd w:val="clear" w:color="auto" w:fill="auto"/>
            <w:vAlign w:val="bottom"/>
          </w:tcPr>
          <w:p w14:paraId="5DEC62EB" w14:textId="77777777" w:rsidR="00B1578D" w:rsidRDefault="00B1578D">
            <w:pPr>
              <w:rPr>
                <w:rFonts w:ascii="宋体"/>
                <w:vanish/>
              </w:rPr>
            </w:pPr>
          </w:p>
        </w:tc>
        <w:tc>
          <w:tcPr>
            <w:tcW w:w="0" w:type="auto"/>
            <w:shd w:val="clear" w:color="auto" w:fill="auto"/>
            <w:vAlign w:val="bottom"/>
          </w:tcPr>
          <w:p w14:paraId="5DEC62EC" w14:textId="77777777" w:rsidR="00B1578D" w:rsidRDefault="00B1578D">
            <w:pPr>
              <w:rPr>
                <w:rFonts w:ascii="宋体"/>
                <w:vanish/>
              </w:rPr>
            </w:pPr>
          </w:p>
        </w:tc>
        <w:tc>
          <w:tcPr>
            <w:tcW w:w="0" w:type="auto"/>
            <w:shd w:val="clear" w:color="auto" w:fill="auto"/>
            <w:vAlign w:val="bottom"/>
          </w:tcPr>
          <w:p w14:paraId="5DEC62ED" w14:textId="77777777" w:rsidR="00B1578D" w:rsidRDefault="00B1578D">
            <w:pPr>
              <w:rPr>
                <w:rFonts w:ascii="宋体"/>
              </w:rPr>
            </w:pPr>
          </w:p>
        </w:tc>
        <w:tc>
          <w:tcPr>
            <w:tcW w:w="0" w:type="auto"/>
            <w:shd w:val="clear" w:color="auto" w:fill="auto"/>
            <w:vAlign w:val="bottom"/>
          </w:tcPr>
          <w:p w14:paraId="5DEC62EE" w14:textId="77777777" w:rsidR="00B1578D" w:rsidRDefault="00B1578D">
            <w:pPr>
              <w:rPr>
                <w:rFonts w:ascii="宋体"/>
              </w:rPr>
            </w:pPr>
          </w:p>
        </w:tc>
        <w:tc>
          <w:tcPr>
            <w:tcW w:w="0" w:type="auto"/>
            <w:shd w:val="clear" w:color="auto" w:fill="auto"/>
            <w:vAlign w:val="bottom"/>
          </w:tcPr>
          <w:p w14:paraId="5DEC62EF" w14:textId="77777777" w:rsidR="00B1578D" w:rsidRDefault="00B1578D">
            <w:pPr>
              <w:rPr>
                <w:rFonts w:ascii="宋体"/>
              </w:rPr>
            </w:pPr>
          </w:p>
        </w:tc>
        <w:tc>
          <w:tcPr>
            <w:tcW w:w="0" w:type="auto"/>
            <w:shd w:val="clear" w:color="auto" w:fill="auto"/>
            <w:vAlign w:val="bottom"/>
          </w:tcPr>
          <w:p w14:paraId="5DEC62F0" w14:textId="77777777" w:rsidR="00B1578D" w:rsidRDefault="00B1578D">
            <w:pPr>
              <w:rPr>
                <w:rFonts w:ascii="宋体"/>
              </w:rPr>
            </w:pPr>
          </w:p>
        </w:tc>
        <w:tc>
          <w:tcPr>
            <w:tcW w:w="0" w:type="auto"/>
            <w:shd w:val="clear" w:color="auto" w:fill="auto"/>
            <w:vAlign w:val="bottom"/>
          </w:tcPr>
          <w:p w14:paraId="5DEC62F1" w14:textId="77777777" w:rsidR="00B1578D" w:rsidRDefault="00B1578D">
            <w:pPr>
              <w:rPr>
                <w:rFonts w:ascii="宋体"/>
              </w:rPr>
            </w:pPr>
          </w:p>
        </w:tc>
        <w:tc>
          <w:tcPr>
            <w:tcW w:w="0" w:type="auto"/>
            <w:shd w:val="clear" w:color="auto" w:fill="auto"/>
            <w:vAlign w:val="bottom"/>
          </w:tcPr>
          <w:p w14:paraId="5DEC62F2" w14:textId="77777777" w:rsidR="00B1578D" w:rsidRDefault="00B1578D">
            <w:pPr>
              <w:rPr>
                <w:rFonts w:ascii="宋体"/>
              </w:rPr>
            </w:pPr>
          </w:p>
        </w:tc>
        <w:tc>
          <w:tcPr>
            <w:tcW w:w="0" w:type="auto"/>
            <w:shd w:val="clear" w:color="auto" w:fill="auto"/>
            <w:vAlign w:val="bottom"/>
          </w:tcPr>
          <w:p w14:paraId="5DEC62F3" w14:textId="77777777" w:rsidR="00B1578D" w:rsidRDefault="00B1578D">
            <w:pPr>
              <w:rPr>
                <w:rFonts w:ascii="宋体"/>
              </w:rPr>
            </w:pPr>
          </w:p>
        </w:tc>
        <w:tc>
          <w:tcPr>
            <w:tcW w:w="0" w:type="auto"/>
            <w:shd w:val="clear" w:color="auto" w:fill="auto"/>
            <w:vAlign w:val="bottom"/>
          </w:tcPr>
          <w:p w14:paraId="5DEC62F4" w14:textId="77777777" w:rsidR="00B1578D" w:rsidRDefault="00B1578D">
            <w:pPr>
              <w:rPr>
                <w:rFonts w:ascii="宋体"/>
              </w:rPr>
            </w:pPr>
          </w:p>
        </w:tc>
        <w:tc>
          <w:tcPr>
            <w:tcW w:w="0" w:type="auto"/>
            <w:shd w:val="clear" w:color="auto" w:fill="auto"/>
            <w:vAlign w:val="bottom"/>
          </w:tcPr>
          <w:p w14:paraId="5DEC62F5" w14:textId="77777777" w:rsidR="00B1578D" w:rsidRDefault="00B1578D">
            <w:pPr>
              <w:rPr>
                <w:rFonts w:ascii="宋体"/>
              </w:rPr>
            </w:pPr>
          </w:p>
        </w:tc>
        <w:tc>
          <w:tcPr>
            <w:tcW w:w="0" w:type="auto"/>
            <w:shd w:val="clear" w:color="auto" w:fill="auto"/>
            <w:vAlign w:val="bottom"/>
          </w:tcPr>
          <w:p w14:paraId="5DEC62F6" w14:textId="77777777" w:rsidR="00B1578D" w:rsidRDefault="00B1578D">
            <w:pPr>
              <w:rPr>
                <w:rFonts w:ascii="宋体"/>
              </w:rPr>
            </w:pPr>
          </w:p>
        </w:tc>
        <w:tc>
          <w:tcPr>
            <w:tcW w:w="0" w:type="auto"/>
            <w:shd w:val="clear" w:color="auto" w:fill="auto"/>
            <w:vAlign w:val="bottom"/>
          </w:tcPr>
          <w:p w14:paraId="5DEC62F7" w14:textId="77777777" w:rsidR="00B1578D" w:rsidRDefault="00B1578D">
            <w:pPr>
              <w:rPr>
                <w:rFonts w:ascii="宋体"/>
              </w:rPr>
            </w:pPr>
          </w:p>
        </w:tc>
        <w:tc>
          <w:tcPr>
            <w:tcW w:w="0" w:type="auto"/>
            <w:shd w:val="clear" w:color="auto" w:fill="auto"/>
            <w:vAlign w:val="bottom"/>
          </w:tcPr>
          <w:p w14:paraId="5DEC62F8" w14:textId="77777777" w:rsidR="00B1578D" w:rsidRDefault="00B1578D">
            <w:pPr>
              <w:rPr>
                <w:rFonts w:ascii="宋体"/>
              </w:rPr>
            </w:pPr>
          </w:p>
        </w:tc>
      </w:tr>
      <w:tr w:rsidR="00B1578D" w14:paraId="5DEC6307" w14:textId="77777777">
        <w:tc>
          <w:tcPr>
            <w:tcW w:w="0" w:type="auto"/>
            <w:gridSpan w:val="3"/>
            <w:shd w:val="clear" w:color="auto" w:fill="auto"/>
            <w:tcMar>
              <w:top w:w="40" w:type="dxa"/>
              <w:left w:w="20" w:type="dxa"/>
              <w:bottom w:w="40" w:type="dxa"/>
              <w:right w:w="20" w:type="dxa"/>
            </w:tcMar>
            <w:vAlign w:val="bottom"/>
          </w:tcPr>
          <w:p w14:paraId="5DEC62FA" w14:textId="77777777" w:rsidR="00B1578D" w:rsidRDefault="004D2C04">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2FB"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2FC"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62FD"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2FE"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2FF" w14:textId="77777777" w:rsidR="00B1578D" w:rsidRDefault="00B1578D">
            <w:pPr>
              <w:rPr>
                <w:rFonts w:ascii="宋体"/>
                <w:vanish/>
              </w:rPr>
            </w:pPr>
          </w:p>
        </w:tc>
        <w:tc>
          <w:tcPr>
            <w:tcW w:w="0" w:type="auto"/>
            <w:shd w:val="clear" w:color="auto" w:fill="auto"/>
            <w:vAlign w:val="bottom"/>
          </w:tcPr>
          <w:p w14:paraId="5DEC6300" w14:textId="77777777" w:rsidR="00B1578D" w:rsidRDefault="00B1578D">
            <w:pPr>
              <w:rPr>
                <w:rFonts w:ascii="宋体"/>
                <w:vanish/>
              </w:rPr>
            </w:pPr>
          </w:p>
        </w:tc>
        <w:tc>
          <w:tcPr>
            <w:tcW w:w="0" w:type="auto"/>
            <w:shd w:val="clear" w:color="auto" w:fill="auto"/>
            <w:vAlign w:val="bottom"/>
          </w:tcPr>
          <w:p w14:paraId="5DEC6301" w14:textId="77777777" w:rsidR="00B1578D" w:rsidRDefault="00B1578D">
            <w:pPr>
              <w:rPr>
                <w:rFonts w:ascii="宋体"/>
                <w:vanish/>
              </w:rPr>
            </w:pPr>
          </w:p>
        </w:tc>
        <w:tc>
          <w:tcPr>
            <w:tcW w:w="0" w:type="auto"/>
            <w:shd w:val="clear" w:color="auto" w:fill="auto"/>
            <w:vAlign w:val="bottom"/>
          </w:tcPr>
          <w:p w14:paraId="5DEC6302" w14:textId="77777777" w:rsidR="00B1578D" w:rsidRDefault="00B1578D">
            <w:pPr>
              <w:rPr>
                <w:rFonts w:ascii="宋体"/>
                <w:vanish/>
              </w:rPr>
            </w:pPr>
          </w:p>
        </w:tc>
        <w:tc>
          <w:tcPr>
            <w:tcW w:w="0" w:type="auto"/>
            <w:gridSpan w:val="3"/>
            <w:shd w:val="clear" w:color="auto" w:fill="auto"/>
            <w:vAlign w:val="bottom"/>
          </w:tcPr>
          <w:p w14:paraId="5DEC6303" w14:textId="77777777" w:rsidR="00B1578D" w:rsidRDefault="00B1578D">
            <w:pPr>
              <w:rPr>
                <w:rFonts w:ascii="宋体"/>
                <w:vanish/>
              </w:rPr>
            </w:pPr>
          </w:p>
        </w:tc>
        <w:tc>
          <w:tcPr>
            <w:tcW w:w="0" w:type="auto"/>
            <w:gridSpan w:val="3"/>
            <w:shd w:val="clear" w:color="auto" w:fill="auto"/>
            <w:vAlign w:val="bottom"/>
          </w:tcPr>
          <w:p w14:paraId="5DEC6304" w14:textId="77777777" w:rsidR="00B1578D" w:rsidRDefault="00B1578D">
            <w:pPr>
              <w:rPr>
                <w:rFonts w:ascii="宋体"/>
                <w:vanish/>
              </w:rPr>
            </w:pPr>
          </w:p>
        </w:tc>
        <w:tc>
          <w:tcPr>
            <w:tcW w:w="0" w:type="auto"/>
            <w:gridSpan w:val="3"/>
            <w:shd w:val="clear" w:color="auto" w:fill="auto"/>
            <w:vAlign w:val="bottom"/>
          </w:tcPr>
          <w:p w14:paraId="5DEC6305" w14:textId="77777777" w:rsidR="00B1578D" w:rsidRDefault="00B1578D">
            <w:pPr>
              <w:rPr>
                <w:rFonts w:ascii="宋体"/>
                <w:vanish/>
              </w:rPr>
            </w:pPr>
          </w:p>
        </w:tc>
        <w:tc>
          <w:tcPr>
            <w:tcW w:w="0" w:type="auto"/>
            <w:gridSpan w:val="3"/>
            <w:shd w:val="clear" w:color="auto" w:fill="auto"/>
            <w:vAlign w:val="bottom"/>
          </w:tcPr>
          <w:p w14:paraId="5DEC6306" w14:textId="77777777" w:rsidR="00B1578D" w:rsidRDefault="00B1578D">
            <w:pPr>
              <w:rPr>
                <w:rFonts w:ascii="宋体"/>
                <w:vanish/>
              </w:rPr>
            </w:pPr>
          </w:p>
        </w:tc>
      </w:tr>
      <w:tr w:rsidR="00B1578D" w14:paraId="5DEC6315" w14:textId="77777777">
        <w:tc>
          <w:tcPr>
            <w:tcW w:w="0" w:type="auto"/>
            <w:gridSpan w:val="3"/>
            <w:shd w:val="clear" w:color="auto" w:fill="auto"/>
            <w:tcMar>
              <w:top w:w="40" w:type="dxa"/>
              <w:left w:w="20" w:type="dxa"/>
              <w:bottom w:w="40" w:type="dxa"/>
              <w:right w:w="20" w:type="dxa"/>
            </w:tcMar>
            <w:vAlign w:val="center"/>
          </w:tcPr>
          <w:p w14:paraId="5DEC6308" w14:textId="77777777" w:rsidR="00B1578D" w:rsidRDefault="004D2C04">
            <w:pPr>
              <w:textAlignment w:val="center"/>
            </w:pPr>
            <w:r>
              <w:rPr>
                <w:rFonts w:ascii="Times New Roman" w:eastAsia="宋体" w:hAnsi="Times New Roman"/>
                <w:color w:val="000000"/>
                <w:sz w:val="16"/>
                <w:szCs w:val="16"/>
              </w:rPr>
              <w:t>Operating income (loss):</w:t>
            </w:r>
          </w:p>
        </w:tc>
        <w:tc>
          <w:tcPr>
            <w:tcW w:w="0" w:type="auto"/>
            <w:gridSpan w:val="3"/>
            <w:shd w:val="clear" w:color="auto" w:fill="auto"/>
            <w:tcMar>
              <w:top w:w="0" w:type="dxa"/>
              <w:left w:w="20" w:type="dxa"/>
              <w:bottom w:w="0" w:type="dxa"/>
              <w:right w:w="20" w:type="dxa"/>
            </w:tcMar>
            <w:vAlign w:val="bottom"/>
          </w:tcPr>
          <w:p w14:paraId="5DEC6309"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30A"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30B"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30C" w14:textId="77777777" w:rsidR="00B1578D" w:rsidRDefault="00B1578D">
            <w:pPr>
              <w:rPr>
                <w:rFonts w:ascii="宋体"/>
              </w:rPr>
            </w:pPr>
          </w:p>
        </w:tc>
        <w:tc>
          <w:tcPr>
            <w:tcW w:w="0" w:type="auto"/>
            <w:shd w:val="clear" w:color="auto" w:fill="auto"/>
            <w:vAlign w:val="bottom"/>
          </w:tcPr>
          <w:p w14:paraId="5DEC630D" w14:textId="77777777" w:rsidR="00B1578D" w:rsidRDefault="00B1578D">
            <w:pPr>
              <w:rPr>
                <w:rFonts w:ascii="宋体"/>
                <w:vanish/>
              </w:rPr>
            </w:pPr>
          </w:p>
        </w:tc>
        <w:tc>
          <w:tcPr>
            <w:tcW w:w="0" w:type="auto"/>
            <w:shd w:val="clear" w:color="auto" w:fill="auto"/>
            <w:vAlign w:val="bottom"/>
          </w:tcPr>
          <w:p w14:paraId="5DEC630E" w14:textId="77777777" w:rsidR="00B1578D" w:rsidRDefault="00B1578D">
            <w:pPr>
              <w:rPr>
                <w:rFonts w:ascii="宋体"/>
                <w:vanish/>
              </w:rPr>
            </w:pPr>
          </w:p>
        </w:tc>
        <w:tc>
          <w:tcPr>
            <w:tcW w:w="0" w:type="auto"/>
            <w:shd w:val="clear" w:color="auto" w:fill="auto"/>
            <w:vAlign w:val="bottom"/>
          </w:tcPr>
          <w:p w14:paraId="5DEC630F" w14:textId="77777777" w:rsidR="00B1578D" w:rsidRDefault="00B1578D">
            <w:pPr>
              <w:rPr>
                <w:rFonts w:ascii="宋体"/>
                <w:vanish/>
              </w:rPr>
            </w:pPr>
          </w:p>
        </w:tc>
        <w:tc>
          <w:tcPr>
            <w:tcW w:w="0" w:type="auto"/>
            <w:shd w:val="clear" w:color="auto" w:fill="auto"/>
            <w:vAlign w:val="bottom"/>
          </w:tcPr>
          <w:p w14:paraId="5DEC6310" w14:textId="77777777" w:rsidR="00B1578D" w:rsidRDefault="00B1578D">
            <w:pPr>
              <w:rPr>
                <w:rFonts w:ascii="宋体"/>
                <w:vanish/>
              </w:rPr>
            </w:pPr>
          </w:p>
        </w:tc>
        <w:tc>
          <w:tcPr>
            <w:tcW w:w="0" w:type="auto"/>
            <w:gridSpan w:val="3"/>
            <w:shd w:val="clear" w:color="auto" w:fill="auto"/>
            <w:vAlign w:val="bottom"/>
          </w:tcPr>
          <w:p w14:paraId="5DEC6311" w14:textId="77777777" w:rsidR="00B1578D" w:rsidRDefault="00B1578D">
            <w:pPr>
              <w:rPr>
                <w:rFonts w:ascii="宋体"/>
                <w:vanish/>
              </w:rPr>
            </w:pPr>
          </w:p>
        </w:tc>
        <w:tc>
          <w:tcPr>
            <w:tcW w:w="0" w:type="auto"/>
            <w:gridSpan w:val="3"/>
            <w:shd w:val="clear" w:color="auto" w:fill="auto"/>
            <w:vAlign w:val="bottom"/>
          </w:tcPr>
          <w:p w14:paraId="5DEC6312" w14:textId="77777777" w:rsidR="00B1578D" w:rsidRDefault="00B1578D">
            <w:pPr>
              <w:rPr>
                <w:rFonts w:ascii="宋体"/>
                <w:vanish/>
              </w:rPr>
            </w:pPr>
          </w:p>
        </w:tc>
        <w:tc>
          <w:tcPr>
            <w:tcW w:w="0" w:type="auto"/>
            <w:gridSpan w:val="3"/>
            <w:shd w:val="clear" w:color="auto" w:fill="auto"/>
            <w:vAlign w:val="bottom"/>
          </w:tcPr>
          <w:p w14:paraId="5DEC6313" w14:textId="77777777" w:rsidR="00B1578D" w:rsidRDefault="00B1578D">
            <w:pPr>
              <w:rPr>
                <w:rFonts w:ascii="宋体"/>
                <w:vanish/>
              </w:rPr>
            </w:pPr>
          </w:p>
        </w:tc>
        <w:tc>
          <w:tcPr>
            <w:tcW w:w="0" w:type="auto"/>
            <w:gridSpan w:val="3"/>
            <w:shd w:val="clear" w:color="auto" w:fill="auto"/>
            <w:vAlign w:val="bottom"/>
          </w:tcPr>
          <w:p w14:paraId="5DEC6314" w14:textId="77777777" w:rsidR="00B1578D" w:rsidRDefault="00B1578D">
            <w:pPr>
              <w:rPr>
                <w:rFonts w:ascii="宋体"/>
                <w:vanish/>
              </w:rPr>
            </w:pPr>
          </w:p>
        </w:tc>
      </w:tr>
      <w:tr w:rsidR="00B1578D" w14:paraId="5DEC6327" w14:textId="77777777">
        <w:tc>
          <w:tcPr>
            <w:tcW w:w="0" w:type="auto"/>
            <w:gridSpan w:val="3"/>
            <w:shd w:val="clear" w:color="auto" w:fill="CCEEFF"/>
            <w:tcMar>
              <w:top w:w="40" w:type="dxa"/>
              <w:left w:w="380" w:type="dxa"/>
              <w:bottom w:w="40" w:type="dxa"/>
              <w:right w:w="20" w:type="dxa"/>
            </w:tcMar>
            <w:vAlign w:val="center"/>
          </w:tcPr>
          <w:p w14:paraId="5DEC6316" w14:textId="77777777" w:rsidR="00B1578D" w:rsidRDefault="004D2C04">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5DEC6317"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318"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319" w14:textId="77777777" w:rsidR="00B1578D" w:rsidRDefault="004D2C04">
            <w:pPr>
              <w:jc w:val="right"/>
              <w:textAlignment w:val="center"/>
            </w:pPr>
            <w:r>
              <w:rPr>
                <w:rFonts w:ascii="Times New Roman" w:eastAsia="宋体" w:hAnsi="Times New Roman"/>
                <w:color w:val="000000"/>
                <w:sz w:val="16"/>
                <w:szCs w:val="16"/>
              </w:rPr>
              <w:t>4,462 </w:t>
            </w:r>
          </w:p>
        </w:tc>
        <w:tc>
          <w:tcPr>
            <w:tcW w:w="0" w:type="auto"/>
            <w:shd w:val="clear" w:color="auto" w:fill="CCEEFF"/>
            <w:tcMar>
              <w:top w:w="40" w:type="dxa"/>
              <w:left w:w="0" w:type="dxa"/>
              <w:bottom w:w="40" w:type="dxa"/>
              <w:right w:w="20" w:type="dxa"/>
            </w:tcMar>
            <w:vAlign w:val="center"/>
          </w:tcPr>
          <w:p w14:paraId="5DEC631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31B"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31C"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31D" w14:textId="77777777" w:rsidR="00B1578D" w:rsidRDefault="004D2C04">
            <w:pPr>
              <w:jc w:val="right"/>
              <w:textAlignment w:val="center"/>
            </w:pPr>
            <w:r>
              <w:rPr>
                <w:rFonts w:ascii="Times New Roman" w:eastAsia="宋体" w:hAnsi="Times New Roman"/>
                <w:color w:val="000000"/>
                <w:sz w:val="16"/>
                <w:szCs w:val="16"/>
              </w:rPr>
              <w:t>5,455 </w:t>
            </w:r>
          </w:p>
        </w:tc>
        <w:tc>
          <w:tcPr>
            <w:tcW w:w="0" w:type="auto"/>
            <w:shd w:val="clear" w:color="auto" w:fill="CCEEFF"/>
            <w:tcMar>
              <w:top w:w="40" w:type="dxa"/>
              <w:left w:w="0" w:type="dxa"/>
              <w:bottom w:w="40" w:type="dxa"/>
              <w:right w:w="20" w:type="dxa"/>
            </w:tcMar>
            <w:vAlign w:val="center"/>
          </w:tcPr>
          <w:p w14:paraId="5DEC631E" w14:textId="77777777" w:rsidR="00B1578D" w:rsidRDefault="00B1578D">
            <w:pPr>
              <w:jc w:val="right"/>
              <w:rPr>
                <w:rFonts w:ascii="宋体"/>
              </w:rPr>
            </w:pPr>
          </w:p>
        </w:tc>
        <w:tc>
          <w:tcPr>
            <w:tcW w:w="0" w:type="auto"/>
            <w:shd w:val="clear" w:color="auto" w:fill="auto"/>
            <w:vAlign w:val="bottom"/>
          </w:tcPr>
          <w:p w14:paraId="5DEC631F" w14:textId="77777777" w:rsidR="00B1578D" w:rsidRDefault="00B1578D">
            <w:pPr>
              <w:rPr>
                <w:rFonts w:ascii="宋体"/>
                <w:vanish/>
              </w:rPr>
            </w:pPr>
          </w:p>
        </w:tc>
        <w:tc>
          <w:tcPr>
            <w:tcW w:w="0" w:type="auto"/>
            <w:shd w:val="clear" w:color="auto" w:fill="auto"/>
            <w:vAlign w:val="bottom"/>
          </w:tcPr>
          <w:p w14:paraId="5DEC6320" w14:textId="77777777" w:rsidR="00B1578D" w:rsidRDefault="00B1578D">
            <w:pPr>
              <w:rPr>
                <w:rFonts w:ascii="宋体"/>
                <w:vanish/>
              </w:rPr>
            </w:pPr>
          </w:p>
        </w:tc>
        <w:tc>
          <w:tcPr>
            <w:tcW w:w="0" w:type="auto"/>
            <w:shd w:val="clear" w:color="auto" w:fill="auto"/>
            <w:vAlign w:val="bottom"/>
          </w:tcPr>
          <w:p w14:paraId="5DEC6321" w14:textId="77777777" w:rsidR="00B1578D" w:rsidRDefault="00B1578D">
            <w:pPr>
              <w:rPr>
                <w:rFonts w:ascii="宋体"/>
                <w:vanish/>
              </w:rPr>
            </w:pPr>
          </w:p>
        </w:tc>
        <w:tc>
          <w:tcPr>
            <w:tcW w:w="0" w:type="auto"/>
            <w:shd w:val="clear" w:color="auto" w:fill="auto"/>
            <w:vAlign w:val="bottom"/>
          </w:tcPr>
          <w:p w14:paraId="5DEC6322" w14:textId="77777777" w:rsidR="00B1578D" w:rsidRDefault="00B1578D">
            <w:pPr>
              <w:rPr>
                <w:rFonts w:ascii="宋体"/>
                <w:vanish/>
              </w:rPr>
            </w:pPr>
          </w:p>
        </w:tc>
        <w:tc>
          <w:tcPr>
            <w:tcW w:w="0" w:type="auto"/>
            <w:gridSpan w:val="3"/>
            <w:shd w:val="clear" w:color="auto" w:fill="auto"/>
            <w:vAlign w:val="bottom"/>
          </w:tcPr>
          <w:p w14:paraId="5DEC6323" w14:textId="77777777" w:rsidR="00B1578D" w:rsidRDefault="00B1578D">
            <w:pPr>
              <w:rPr>
                <w:rFonts w:ascii="宋体"/>
                <w:vanish/>
              </w:rPr>
            </w:pPr>
          </w:p>
        </w:tc>
        <w:tc>
          <w:tcPr>
            <w:tcW w:w="0" w:type="auto"/>
            <w:gridSpan w:val="3"/>
            <w:shd w:val="clear" w:color="auto" w:fill="auto"/>
            <w:vAlign w:val="bottom"/>
          </w:tcPr>
          <w:p w14:paraId="5DEC6324" w14:textId="77777777" w:rsidR="00B1578D" w:rsidRDefault="00B1578D">
            <w:pPr>
              <w:rPr>
                <w:rFonts w:ascii="宋体"/>
                <w:vanish/>
              </w:rPr>
            </w:pPr>
          </w:p>
        </w:tc>
        <w:tc>
          <w:tcPr>
            <w:tcW w:w="0" w:type="auto"/>
            <w:gridSpan w:val="3"/>
            <w:shd w:val="clear" w:color="auto" w:fill="auto"/>
            <w:vAlign w:val="bottom"/>
          </w:tcPr>
          <w:p w14:paraId="5DEC6325" w14:textId="77777777" w:rsidR="00B1578D" w:rsidRDefault="00B1578D">
            <w:pPr>
              <w:rPr>
                <w:rFonts w:ascii="宋体"/>
                <w:vanish/>
              </w:rPr>
            </w:pPr>
          </w:p>
        </w:tc>
        <w:tc>
          <w:tcPr>
            <w:tcW w:w="0" w:type="auto"/>
            <w:gridSpan w:val="3"/>
            <w:shd w:val="clear" w:color="auto" w:fill="auto"/>
            <w:vAlign w:val="bottom"/>
          </w:tcPr>
          <w:p w14:paraId="5DEC6326" w14:textId="77777777" w:rsidR="00B1578D" w:rsidRDefault="00B1578D">
            <w:pPr>
              <w:rPr>
                <w:rFonts w:ascii="宋体"/>
                <w:vanish/>
              </w:rPr>
            </w:pPr>
          </w:p>
        </w:tc>
      </w:tr>
      <w:tr w:rsidR="00B1578D" w14:paraId="5DEC6337" w14:textId="77777777">
        <w:tc>
          <w:tcPr>
            <w:tcW w:w="0" w:type="auto"/>
            <w:gridSpan w:val="3"/>
            <w:shd w:val="clear" w:color="auto" w:fill="FFFFFF"/>
            <w:tcMar>
              <w:top w:w="40" w:type="dxa"/>
              <w:left w:w="380" w:type="dxa"/>
              <w:bottom w:w="40" w:type="dxa"/>
              <w:right w:w="20" w:type="dxa"/>
            </w:tcMar>
            <w:vAlign w:val="center"/>
          </w:tcPr>
          <w:p w14:paraId="5DEC6328" w14:textId="77777777" w:rsidR="00B1578D" w:rsidRDefault="004D2C04">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5DEC632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32A" w14:textId="77777777" w:rsidR="00B1578D" w:rsidRDefault="004D2C04">
            <w:pPr>
              <w:jc w:val="right"/>
              <w:textAlignment w:val="center"/>
            </w:pPr>
            <w:r>
              <w:rPr>
                <w:rFonts w:ascii="Times New Roman" w:eastAsia="宋体" w:hAnsi="Times New Roman"/>
                <w:color w:val="000000"/>
                <w:sz w:val="16"/>
                <w:szCs w:val="16"/>
              </w:rPr>
              <w:t>772 </w:t>
            </w:r>
          </w:p>
        </w:tc>
        <w:tc>
          <w:tcPr>
            <w:tcW w:w="0" w:type="auto"/>
            <w:shd w:val="clear" w:color="auto" w:fill="FFFFFF"/>
            <w:tcMar>
              <w:top w:w="40" w:type="dxa"/>
              <w:left w:w="0" w:type="dxa"/>
              <w:bottom w:w="40" w:type="dxa"/>
              <w:right w:w="20" w:type="dxa"/>
            </w:tcMar>
            <w:vAlign w:val="center"/>
          </w:tcPr>
          <w:p w14:paraId="5DEC632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32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32D" w14:textId="77777777" w:rsidR="00B1578D" w:rsidRDefault="004D2C04">
            <w:pPr>
              <w:jc w:val="right"/>
              <w:textAlignment w:val="center"/>
            </w:pPr>
            <w:r>
              <w:rPr>
                <w:rFonts w:ascii="Times New Roman" w:eastAsia="宋体" w:hAnsi="Times New Roman"/>
                <w:color w:val="000000"/>
                <w:sz w:val="16"/>
                <w:szCs w:val="16"/>
              </w:rPr>
              <w:t>1,194 </w:t>
            </w:r>
          </w:p>
        </w:tc>
        <w:tc>
          <w:tcPr>
            <w:tcW w:w="0" w:type="auto"/>
            <w:shd w:val="clear" w:color="auto" w:fill="FFFFFF"/>
            <w:tcMar>
              <w:top w:w="40" w:type="dxa"/>
              <w:left w:w="0" w:type="dxa"/>
              <w:bottom w:w="40" w:type="dxa"/>
              <w:right w:w="20" w:type="dxa"/>
            </w:tcMar>
            <w:vAlign w:val="center"/>
          </w:tcPr>
          <w:p w14:paraId="5DEC632E" w14:textId="77777777" w:rsidR="00B1578D" w:rsidRDefault="00B1578D">
            <w:pPr>
              <w:jc w:val="right"/>
              <w:rPr>
                <w:rFonts w:ascii="宋体"/>
              </w:rPr>
            </w:pPr>
          </w:p>
        </w:tc>
        <w:tc>
          <w:tcPr>
            <w:tcW w:w="0" w:type="auto"/>
            <w:shd w:val="clear" w:color="auto" w:fill="auto"/>
            <w:vAlign w:val="bottom"/>
          </w:tcPr>
          <w:p w14:paraId="5DEC632F" w14:textId="77777777" w:rsidR="00B1578D" w:rsidRDefault="00B1578D">
            <w:pPr>
              <w:rPr>
                <w:rFonts w:ascii="宋体"/>
                <w:vanish/>
              </w:rPr>
            </w:pPr>
          </w:p>
        </w:tc>
        <w:tc>
          <w:tcPr>
            <w:tcW w:w="0" w:type="auto"/>
            <w:shd w:val="clear" w:color="auto" w:fill="auto"/>
            <w:vAlign w:val="bottom"/>
          </w:tcPr>
          <w:p w14:paraId="5DEC6330" w14:textId="77777777" w:rsidR="00B1578D" w:rsidRDefault="00B1578D">
            <w:pPr>
              <w:rPr>
                <w:rFonts w:ascii="宋体"/>
                <w:vanish/>
              </w:rPr>
            </w:pPr>
          </w:p>
        </w:tc>
        <w:tc>
          <w:tcPr>
            <w:tcW w:w="0" w:type="auto"/>
            <w:shd w:val="clear" w:color="auto" w:fill="auto"/>
            <w:vAlign w:val="bottom"/>
          </w:tcPr>
          <w:p w14:paraId="5DEC6331" w14:textId="77777777" w:rsidR="00B1578D" w:rsidRDefault="00B1578D">
            <w:pPr>
              <w:rPr>
                <w:rFonts w:ascii="宋体"/>
                <w:vanish/>
              </w:rPr>
            </w:pPr>
          </w:p>
        </w:tc>
        <w:tc>
          <w:tcPr>
            <w:tcW w:w="0" w:type="auto"/>
            <w:shd w:val="clear" w:color="auto" w:fill="auto"/>
            <w:vAlign w:val="bottom"/>
          </w:tcPr>
          <w:p w14:paraId="5DEC6332" w14:textId="77777777" w:rsidR="00B1578D" w:rsidRDefault="00B1578D">
            <w:pPr>
              <w:rPr>
                <w:rFonts w:ascii="宋体"/>
                <w:vanish/>
              </w:rPr>
            </w:pPr>
          </w:p>
        </w:tc>
        <w:tc>
          <w:tcPr>
            <w:tcW w:w="0" w:type="auto"/>
            <w:gridSpan w:val="3"/>
            <w:shd w:val="clear" w:color="auto" w:fill="auto"/>
            <w:vAlign w:val="bottom"/>
          </w:tcPr>
          <w:p w14:paraId="5DEC6333" w14:textId="77777777" w:rsidR="00B1578D" w:rsidRDefault="00B1578D">
            <w:pPr>
              <w:rPr>
                <w:rFonts w:ascii="宋体"/>
                <w:vanish/>
              </w:rPr>
            </w:pPr>
          </w:p>
        </w:tc>
        <w:tc>
          <w:tcPr>
            <w:tcW w:w="0" w:type="auto"/>
            <w:gridSpan w:val="3"/>
            <w:shd w:val="clear" w:color="auto" w:fill="auto"/>
            <w:vAlign w:val="bottom"/>
          </w:tcPr>
          <w:p w14:paraId="5DEC6334" w14:textId="77777777" w:rsidR="00B1578D" w:rsidRDefault="00B1578D">
            <w:pPr>
              <w:rPr>
                <w:rFonts w:ascii="宋体"/>
                <w:vanish/>
              </w:rPr>
            </w:pPr>
          </w:p>
        </w:tc>
        <w:tc>
          <w:tcPr>
            <w:tcW w:w="0" w:type="auto"/>
            <w:gridSpan w:val="3"/>
            <w:shd w:val="clear" w:color="auto" w:fill="auto"/>
            <w:vAlign w:val="bottom"/>
          </w:tcPr>
          <w:p w14:paraId="5DEC6335" w14:textId="77777777" w:rsidR="00B1578D" w:rsidRDefault="00B1578D">
            <w:pPr>
              <w:rPr>
                <w:rFonts w:ascii="宋体"/>
                <w:vanish/>
              </w:rPr>
            </w:pPr>
          </w:p>
        </w:tc>
        <w:tc>
          <w:tcPr>
            <w:tcW w:w="0" w:type="auto"/>
            <w:gridSpan w:val="3"/>
            <w:shd w:val="clear" w:color="auto" w:fill="auto"/>
            <w:vAlign w:val="bottom"/>
          </w:tcPr>
          <w:p w14:paraId="5DEC6336" w14:textId="77777777" w:rsidR="00B1578D" w:rsidRDefault="00B1578D">
            <w:pPr>
              <w:rPr>
                <w:rFonts w:ascii="宋体"/>
                <w:vanish/>
              </w:rPr>
            </w:pPr>
          </w:p>
        </w:tc>
      </w:tr>
      <w:tr w:rsidR="00B1578D" w14:paraId="5DEC6347" w14:textId="77777777">
        <w:tc>
          <w:tcPr>
            <w:tcW w:w="0" w:type="auto"/>
            <w:gridSpan w:val="3"/>
            <w:shd w:val="clear" w:color="auto" w:fill="CCEEFF"/>
            <w:tcMar>
              <w:top w:w="40" w:type="dxa"/>
              <w:left w:w="380" w:type="dxa"/>
              <w:bottom w:w="40" w:type="dxa"/>
              <w:right w:w="20" w:type="dxa"/>
            </w:tcMar>
            <w:vAlign w:val="center"/>
          </w:tcPr>
          <w:p w14:paraId="5DEC6338" w14:textId="77777777" w:rsidR="00B1578D" w:rsidRDefault="004D2C04">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5DEC633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33A" w14:textId="77777777" w:rsidR="00B1578D" w:rsidRDefault="004D2C04">
            <w:pPr>
              <w:jc w:val="right"/>
              <w:textAlignment w:val="center"/>
            </w:pPr>
            <w:r>
              <w:rPr>
                <w:rFonts w:ascii="Times New Roman" w:eastAsia="宋体" w:hAnsi="Times New Roman"/>
                <w:color w:val="000000"/>
                <w:sz w:val="16"/>
                <w:szCs w:val="16"/>
              </w:rPr>
              <w:t>460 </w:t>
            </w:r>
          </w:p>
        </w:tc>
        <w:tc>
          <w:tcPr>
            <w:tcW w:w="0" w:type="auto"/>
            <w:shd w:val="clear" w:color="auto" w:fill="CCEEFF"/>
            <w:tcMar>
              <w:top w:w="40" w:type="dxa"/>
              <w:left w:w="0" w:type="dxa"/>
              <w:bottom w:w="40" w:type="dxa"/>
              <w:right w:w="20" w:type="dxa"/>
            </w:tcMar>
            <w:vAlign w:val="center"/>
          </w:tcPr>
          <w:p w14:paraId="5DEC633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33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33D" w14:textId="77777777" w:rsidR="00B1578D" w:rsidRDefault="004D2C04">
            <w:pPr>
              <w:jc w:val="right"/>
              <w:textAlignment w:val="center"/>
            </w:pPr>
            <w:r>
              <w:rPr>
                <w:rFonts w:ascii="Times New Roman" w:eastAsia="宋体" w:hAnsi="Times New Roman"/>
                <w:color w:val="000000"/>
                <w:sz w:val="16"/>
                <w:szCs w:val="16"/>
              </w:rPr>
              <w:t>575 </w:t>
            </w:r>
          </w:p>
        </w:tc>
        <w:tc>
          <w:tcPr>
            <w:tcW w:w="0" w:type="auto"/>
            <w:shd w:val="clear" w:color="auto" w:fill="CCEEFF"/>
            <w:tcMar>
              <w:top w:w="40" w:type="dxa"/>
              <w:left w:w="0" w:type="dxa"/>
              <w:bottom w:w="40" w:type="dxa"/>
              <w:right w:w="20" w:type="dxa"/>
            </w:tcMar>
            <w:vAlign w:val="center"/>
          </w:tcPr>
          <w:p w14:paraId="5DEC633E" w14:textId="77777777" w:rsidR="00B1578D" w:rsidRDefault="00B1578D">
            <w:pPr>
              <w:jc w:val="right"/>
              <w:rPr>
                <w:rFonts w:ascii="宋体"/>
              </w:rPr>
            </w:pPr>
          </w:p>
        </w:tc>
        <w:tc>
          <w:tcPr>
            <w:tcW w:w="0" w:type="auto"/>
            <w:shd w:val="clear" w:color="auto" w:fill="auto"/>
            <w:vAlign w:val="bottom"/>
          </w:tcPr>
          <w:p w14:paraId="5DEC633F" w14:textId="77777777" w:rsidR="00B1578D" w:rsidRDefault="00B1578D">
            <w:pPr>
              <w:rPr>
                <w:rFonts w:ascii="宋体"/>
                <w:vanish/>
              </w:rPr>
            </w:pPr>
          </w:p>
        </w:tc>
        <w:tc>
          <w:tcPr>
            <w:tcW w:w="0" w:type="auto"/>
            <w:shd w:val="clear" w:color="auto" w:fill="auto"/>
            <w:vAlign w:val="bottom"/>
          </w:tcPr>
          <w:p w14:paraId="5DEC6340" w14:textId="77777777" w:rsidR="00B1578D" w:rsidRDefault="00B1578D">
            <w:pPr>
              <w:rPr>
                <w:rFonts w:ascii="宋体"/>
                <w:vanish/>
              </w:rPr>
            </w:pPr>
          </w:p>
        </w:tc>
        <w:tc>
          <w:tcPr>
            <w:tcW w:w="0" w:type="auto"/>
            <w:shd w:val="clear" w:color="auto" w:fill="auto"/>
            <w:vAlign w:val="bottom"/>
          </w:tcPr>
          <w:p w14:paraId="5DEC6341" w14:textId="77777777" w:rsidR="00B1578D" w:rsidRDefault="00B1578D">
            <w:pPr>
              <w:rPr>
                <w:rFonts w:ascii="宋体"/>
                <w:vanish/>
              </w:rPr>
            </w:pPr>
          </w:p>
        </w:tc>
        <w:tc>
          <w:tcPr>
            <w:tcW w:w="0" w:type="auto"/>
            <w:shd w:val="clear" w:color="auto" w:fill="auto"/>
            <w:vAlign w:val="bottom"/>
          </w:tcPr>
          <w:p w14:paraId="5DEC6342" w14:textId="77777777" w:rsidR="00B1578D" w:rsidRDefault="00B1578D">
            <w:pPr>
              <w:rPr>
                <w:rFonts w:ascii="宋体"/>
                <w:vanish/>
              </w:rPr>
            </w:pPr>
          </w:p>
        </w:tc>
        <w:tc>
          <w:tcPr>
            <w:tcW w:w="0" w:type="auto"/>
            <w:gridSpan w:val="3"/>
            <w:shd w:val="clear" w:color="auto" w:fill="auto"/>
            <w:vAlign w:val="bottom"/>
          </w:tcPr>
          <w:p w14:paraId="5DEC6343" w14:textId="77777777" w:rsidR="00B1578D" w:rsidRDefault="00B1578D">
            <w:pPr>
              <w:rPr>
                <w:rFonts w:ascii="宋体"/>
                <w:vanish/>
              </w:rPr>
            </w:pPr>
          </w:p>
        </w:tc>
        <w:tc>
          <w:tcPr>
            <w:tcW w:w="0" w:type="auto"/>
            <w:gridSpan w:val="3"/>
            <w:shd w:val="clear" w:color="auto" w:fill="auto"/>
            <w:vAlign w:val="bottom"/>
          </w:tcPr>
          <w:p w14:paraId="5DEC6344" w14:textId="77777777" w:rsidR="00B1578D" w:rsidRDefault="00B1578D">
            <w:pPr>
              <w:rPr>
                <w:rFonts w:ascii="宋体"/>
                <w:vanish/>
              </w:rPr>
            </w:pPr>
          </w:p>
        </w:tc>
        <w:tc>
          <w:tcPr>
            <w:tcW w:w="0" w:type="auto"/>
            <w:gridSpan w:val="3"/>
            <w:shd w:val="clear" w:color="auto" w:fill="auto"/>
            <w:vAlign w:val="bottom"/>
          </w:tcPr>
          <w:p w14:paraId="5DEC6345" w14:textId="77777777" w:rsidR="00B1578D" w:rsidRDefault="00B1578D">
            <w:pPr>
              <w:rPr>
                <w:rFonts w:ascii="宋体"/>
                <w:vanish/>
              </w:rPr>
            </w:pPr>
          </w:p>
        </w:tc>
        <w:tc>
          <w:tcPr>
            <w:tcW w:w="0" w:type="auto"/>
            <w:gridSpan w:val="3"/>
            <w:shd w:val="clear" w:color="auto" w:fill="auto"/>
            <w:vAlign w:val="bottom"/>
          </w:tcPr>
          <w:p w14:paraId="5DEC6346" w14:textId="77777777" w:rsidR="00B1578D" w:rsidRDefault="00B1578D">
            <w:pPr>
              <w:rPr>
                <w:rFonts w:ascii="宋体"/>
                <w:vanish/>
              </w:rPr>
            </w:pPr>
          </w:p>
        </w:tc>
      </w:tr>
      <w:tr w:rsidR="00B1578D" w14:paraId="5DEC6357" w14:textId="77777777">
        <w:tc>
          <w:tcPr>
            <w:tcW w:w="0" w:type="auto"/>
            <w:gridSpan w:val="3"/>
            <w:shd w:val="clear" w:color="auto" w:fill="FFFFFF"/>
            <w:tcMar>
              <w:top w:w="40" w:type="dxa"/>
              <w:left w:w="380" w:type="dxa"/>
              <w:bottom w:w="40" w:type="dxa"/>
              <w:right w:w="20" w:type="dxa"/>
            </w:tcMar>
            <w:vAlign w:val="center"/>
          </w:tcPr>
          <w:p w14:paraId="5DEC6348" w14:textId="77777777" w:rsidR="00B1578D" w:rsidRDefault="004D2C04">
            <w:pPr>
              <w:textAlignment w:val="center"/>
            </w:pPr>
            <w:r>
              <w:rPr>
                <w:rFonts w:ascii="Times New Roman" w:eastAsia="宋体" w:hAnsi="Times New Roman"/>
                <w:color w:val="000000"/>
                <w:sz w:val="16"/>
                <w:szCs w:val="16"/>
              </w:rPr>
              <w:t>Corporate and support</w:t>
            </w:r>
          </w:p>
        </w:tc>
        <w:tc>
          <w:tcPr>
            <w:tcW w:w="0" w:type="auto"/>
            <w:gridSpan w:val="3"/>
            <w:shd w:val="clear" w:color="auto" w:fill="FFFFFF"/>
            <w:tcMar>
              <w:top w:w="0" w:type="dxa"/>
              <w:left w:w="20" w:type="dxa"/>
              <w:bottom w:w="0" w:type="dxa"/>
              <w:right w:w="20" w:type="dxa"/>
            </w:tcMar>
            <w:vAlign w:val="bottom"/>
          </w:tcPr>
          <w:p w14:paraId="5DEC634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34A" w14:textId="77777777" w:rsidR="00B1578D" w:rsidRDefault="004D2C04">
            <w:pPr>
              <w:jc w:val="right"/>
              <w:textAlignment w:val="center"/>
            </w:pPr>
            <w:r>
              <w:rPr>
                <w:rFonts w:ascii="Times New Roman" w:eastAsia="宋体" w:hAnsi="Times New Roman"/>
                <w:color w:val="000000"/>
                <w:sz w:val="16"/>
                <w:szCs w:val="16"/>
              </w:rPr>
              <w:t>(376)</w:t>
            </w:r>
          </w:p>
        </w:tc>
        <w:tc>
          <w:tcPr>
            <w:tcW w:w="0" w:type="auto"/>
            <w:shd w:val="clear" w:color="auto" w:fill="FFFFFF"/>
            <w:tcMar>
              <w:top w:w="40" w:type="dxa"/>
              <w:left w:w="0" w:type="dxa"/>
              <w:bottom w:w="40" w:type="dxa"/>
              <w:right w:w="20" w:type="dxa"/>
            </w:tcMar>
            <w:vAlign w:val="center"/>
          </w:tcPr>
          <w:p w14:paraId="5DEC634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34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34D" w14:textId="77777777" w:rsidR="00B1578D" w:rsidRDefault="004D2C04">
            <w:pPr>
              <w:jc w:val="right"/>
              <w:textAlignment w:val="center"/>
            </w:pPr>
            <w:r>
              <w:rPr>
                <w:rFonts w:ascii="Times New Roman" w:eastAsia="宋体" w:hAnsi="Times New Roman"/>
                <w:color w:val="000000"/>
                <w:sz w:val="16"/>
                <w:szCs w:val="16"/>
              </w:rPr>
              <w:t>(315)</w:t>
            </w:r>
          </w:p>
        </w:tc>
        <w:tc>
          <w:tcPr>
            <w:tcW w:w="0" w:type="auto"/>
            <w:shd w:val="clear" w:color="auto" w:fill="FFFFFF"/>
            <w:tcMar>
              <w:top w:w="40" w:type="dxa"/>
              <w:left w:w="0" w:type="dxa"/>
              <w:bottom w:w="40" w:type="dxa"/>
              <w:right w:w="20" w:type="dxa"/>
            </w:tcMar>
            <w:vAlign w:val="center"/>
          </w:tcPr>
          <w:p w14:paraId="5DEC634E" w14:textId="77777777" w:rsidR="00B1578D" w:rsidRDefault="00B1578D">
            <w:pPr>
              <w:jc w:val="right"/>
              <w:rPr>
                <w:rFonts w:ascii="宋体"/>
              </w:rPr>
            </w:pPr>
          </w:p>
        </w:tc>
        <w:tc>
          <w:tcPr>
            <w:tcW w:w="0" w:type="auto"/>
            <w:shd w:val="clear" w:color="auto" w:fill="auto"/>
            <w:vAlign w:val="bottom"/>
          </w:tcPr>
          <w:p w14:paraId="5DEC634F" w14:textId="77777777" w:rsidR="00B1578D" w:rsidRDefault="00B1578D">
            <w:pPr>
              <w:rPr>
                <w:rFonts w:ascii="宋体"/>
                <w:vanish/>
              </w:rPr>
            </w:pPr>
          </w:p>
        </w:tc>
        <w:tc>
          <w:tcPr>
            <w:tcW w:w="0" w:type="auto"/>
            <w:shd w:val="clear" w:color="auto" w:fill="auto"/>
            <w:vAlign w:val="bottom"/>
          </w:tcPr>
          <w:p w14:paraId="5DEC6350" w14:textId="77777777" w:rsidR="00B1578D" w:rsidRDefault="00B1578D">
            <w:pPr>
              <w:rPr>
                <w:rFonts w:ascii="宋体"/>
                <w:vanish/>
              </w:rPr>
            </w:pPr>
          </w:p>
        </w:tc>
        <w:tc>
          <w:tcPr>
            <w:tcW w:w="0" w:type="auto"/>
            <w:shd w:val="clear" w:color="auto" w:fill="auto"/>
            <w:vAlign w:val="bottom"/>
          </w:tcPr>
          <w:p w14:paraId="5DEC6351" w14:textId="77777777" w:rsidR="00B1578D" w:rsidRDefault="00B1578D">
            <w:pPr>
              <w:rPr>
                <w:rFonts w:ascii="宋体"/>
                <w:vanish/>
              </w:rPr>
            </w:pPr>
          </w:p>
        </w:tc>
        <w:tc>
          <w:tcPr>
            <w:tcW w:w="0" w:type="auto"/>
            <w:shd w:val="clear" w:color="auto" w:fill="auto"/>
            <w:vAlign w:val="bottom"/>
          </w:tcPr>
          <w:p w14:paraId="5DEC6352" w14:textId="77777777" w:rsidR="00B1578D" w:rsidRDefault="00B1578D">
            <w:pPr>
              <w:rPr>
                <w:rFonts w:ascii="宋体"/>
                <w:vanish/>
              </w:rPr>
            </w:pPr>
          </w:p>
        </w:tc>
        <w:tc>
          <w:tcPr>
            <w:tcW w:w="0" w:type="auto"/>
            <w:gridSpan w:val="3"/>
            <w:shd w:val="clear" w:color="auto" w:fill="auto"/>
            <w:vAlign w:val="bottom"/>
          </w:tcPr>
          <w:p w14:paraId="5DEC6353" w14:textId="77777777" w:rsidR="00B1578D" w:rsidRDefault="00B1578D">
            <w:pPr>
              <w:rPr>
                <w:rFonts w:ascii="宋体"/>
                <w:vanish/>
              </w:rPr>
            </w:pPr>
          </w:p>
        </w:tc>
        <w:tc>
          <w:tcPr>
            <w:tcW w:w="0" w:type="auto"/>
            <w:gridSpan w:val="3"/>
            <w:shd w:val="clear" w:color="auto" w:fill="auto"/>
            <w:vAlign w:val="bottom"/>
          </w:tcPr>
          <w:p w14:paraId="5DEC6354" w14:textId="77777777" w:rsidR="00B1578D" w:rsidRDefault="00B1578D">
            <w:pPr>
              <w:rPr>
                <w:rFonts w:ascii="宋体"/>
                <w:vanish/>
              </w:rPr>
            </w:pPr>
          </w:p>
        </w:tc>
        <w:tc>
          <w:tcPr>
            <w:tcW w:w="0" w:type="auto"/>
            <w:gridSpan w:val="3"/>
            <w:shd w:val="clear" w:color="auto" w:fill="auto"/>
            <w:vAlign w:val="bottom"/>
          </w:tcPr>
          <w:p w14:paraId="5DEC6355" w14:textId="77777777" w:rsidR="00B1578D" w:rsidRDefault="00B1578D">
            <w:pPr>
              <w:rPr>
                <w:rFonts w:ascii="宋体"/>
                <w:vanish/>
              </w:rPr>
            </w:pPr>
          </w:p>
        </w:tc>
        <w:tc>
          <w:tcPr>
            <w:tcW w:w="0" w:type="auto"/>
            <w:gridSpan w:val="3"/>
            <w:shd w:val="clear" w:color="auto" w:fill="auto"/>
            <w:vAlign w:val="bottom"/>
          </w:tcPr>
          <w:p w14:paraId="5DEC6356" w14:textId="77777777" w:rsidR="00B1578D" w:rsidRDefault="00B1578D">
            <w:pPr>
              <w:rPr>
                <w:rFonts w:ascii="宋体"/>
                <w:vanish/>
              </w:rPr>
            </w:pPr>
          </w:p>
        </w:tc>
      </w:tr>
      <w:tr w:rsidR="00B1578D" w14:paraId="5DEC6367" w14:textId="77777777">
        <w:tc>
          <w:tcPr>
            <w:tcW w:w="0" w:type="auto"/>
            <w:gridSpan w:val="3"/>
            <w:shd w:val="clear" w:color="auto" w:fill="CCEEFF"/>
            <w:tcMar>
              <w:top w:w="40" w:type="dxa"/>
              <w:left w:w="20" w:type="dxa"/>
              <w:bottom w:w="40" w:type="dxa"/>
              <w:right w:w="20" w:type="dxa"/>
            </w:tcMar>
            <w:vAlign w:val="center"/>
          </w:tcPr>
          <w:p w14:paraId="5DEC6358" w14:textId="77777777" w:rsidR="00B1578D" w:rsidRDefault="004D2C04">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5DEC6359"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35A" w14:textId="77777777" w:rsidR="00B1578D" w:rsidRDefault="004D2C04">
            <w:pPr>
              <w:jc w:val="right"/>
              <w:textAlignment w:val="center"/>
            </w:pPr>
            <w:r>
              <w:rPr>
                <w:rFonts w:ascii="Times New Roman" w:eastAsia="宋体" w:hAnsi="Times New Roman"/>
                <w:color w:val="000000"/>
                <w:sz w:val="16"/>
                <w:szCs w:val="16"/>
              </w:rPr>
              <w:t>5,318 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35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35C"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35D" w14:textId="77777777" w:rsidR="00B1578D" w:rsidRDefault="004D2C04">
            <w:pPr>
              <w:jc w:val="right"/>
              <w:textAlignment w:val="center"/>
            </w:pPr>
            <w:r>
              <w:rPr>
                <w:rFonts w:ascii="Times New Roman" w:eastAsia="宋体" w:hAnsi="Times New Roman"/>
                <w:color w:val="000000"/>
                <w:sz w:val="16"/>
                <w:szCs w:val="16"/>
              </w:rPr>
              <w:t>6,909 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35E" w14:textId="77777777" w:rsidR="00B1578D" w:rsidRDefault="00B1578D">
            <w:pPr>
              <w:jc w:val="right"/>
              <w:rPr>
                <w:rFonts w:ascii="宋体"/>
              </w:rPr>
            </w:pPr>
          </w:p>
        </w:tc>
        <w:tc>
          <w:tcPr>
            <w:tcW w:w="0" w:type="auto"/>
            <w:shd w:val="clear" w:color="auto" w:fill="auto"/>
            <w:vAlign w:val="bottom"/>
          </w:tcPr>
          <w:p w14:paraId="5DEC635F" w14:textId="77777777" w:rsidR="00B1578D" w:rsidRDefault="00B1578D">
            <w:pPr>
              <w:rPr>
                <w:rFonts w:ascii="宋体"/>
                <w:vanish/>
              </w:rPr>
            </w:pPr>
          </w:p>
        </w:tc>
        <w:tc>
          <w:tcPr>
            <w:tcW w:w="0" w:type="auto"/>
            <w:shd w:val="clear" w:color="auto" w:fill="auto"/>
            <w:vAlign w:val="bottom"/>
          </w:tcPr>
          <w:p w14:paraId="5DEC6360" w14:textId="77777777" w:rsidR="00B1578D" w:rsidRDefault="00B1578D">
            <w:pPr>
              <w:rPr>
                <w:rFonts w:ascii="宋体"/>
                <w:vanish/>
              </w:rPr>
            </w:pPr>
          </w:p>
        </w:tc>
        <w:tc>
          <w:tcPr>
            <w:tcW w:w="0" w:type="auto"/>
            <w:shd w:val="clear" w:color="auto" w:fill="auto"/>
            <w:vAlign w:val="bottom"/>
          </w:tcPr>
          <w:p w14:paraId="5DEC6361" w14:textId="77777777" w:rsidR="00B1578D" w:rsidRDefault="00B1578D">
            <w:pPr>
              <w:rPr>
                <w:rFonts w:ascii="宋体"/>
                <w:vanish/>
              </w:rPr>
            </w:pPr>
          </w:p>
        </w:tc>
        <w:tc>
          <w:tcPr>
            <w:tcW w:w="0" w:type="auto"/>
            <w:shd w:val="clear" w:color="auto" w:fill="auto"/>
            <w:vAlign w:val="bottom"/>
          </w:tcPr>
          <w:p w14:paraId="5DEC6362" w14:textId="77777777" w:rsidR="00B1578D" w:rsidRDefault="00B1578D">
            <w:pPr>
              <w:rPr>
                <w:rFonts w:ascii="宋体"/>
                <w:vanish/>
              </w:rPr>
            </w:pPr>
          </w:p>
        </w:tc>
        <w:tc>
          <w:tcPr>
            <w:tcW w:w="0" w:type="auto"/>
            <w:gridSpan w:val="3"/>
            <w:shd w:val="clear" w:color="auto" w:fill="auto"/>
            <w:vAlign w:val="bottom"/>
          </w:tcPr>
          <w:p w14:paraId="5DEC6363" w14:textId="77777777" w:rsidR="00B1578D" w:rsidRDefault="00B1578D">
            <w:pPr>
              <w:rPr>
                <w:rFonts w:ascii="宋体"/>
                <w:vanish/>
              </w:rPr>
            </w:pPr>
          </w:p>
        </w:tc>
        <w:tc>
          <w:tcPr>
            <w:tcW w:w="0" w:type="auto"/>
            <w:gridSpan w:val="3"/>
            <w:shd w:val="clear" w:color="auto" w:fill="auto"/>
            <w:vAlign w:val="bottom"/>
          </w:tcPr>
          <w:p w14:paraId="5DEC6364" w14:textId="77777777" w:rsidR="00B1578D" w:rsidRDefault="00B1578D">
            <w:pPr>
              <w:rPr>
                <w:rFonts w:ascii="宋体"/>
                <w:vanish/>
              </w:rPr>
            </w:pPr>
          </w:p>
        </w:tc>
        <w:tc>
          <w:tcPr>
            <w:tcW w:w="0" w:type="auto"/>
            <w:gridSpan w:val="3"/>
            <w:shd w:val="clear" w:color="auto" w:fill="auto"/>
            <w:vAlign w:val="bottom"/>
          </w:tcPr>
          <w:p w14:paraId="5DEC6365" w14:textId="77777777" w:rsidR="00B1578D" w:rsidRDefault="00B1578D">
            <w:pPr>
              <w:rPr>
                <w:rFonts w:ascii="宋体"/>
                <w:vanish/>
              </w:rPr>
            </w:pPr>
          </w:p>
        </w:tc>
        <w:tc>
          <w:tcPr>
            <w:tcW w:w="0" w:type="auto"/>
            <w:gridSpan w:val="3"/>
            <w:shd w:val="clear" w:color="auto" w:fill="auto"/>
            <w:vAlign w:val="bottom"/>
          </w:tcPr>
          <w:p w14:paraId="5DEC6366" w14:textId="77777777" w:rsidR="00B1578D" w:rsidRDefault="00B1578D">
            <w:pPr>
              <w:rPr>
                <w:rFonts w:ascii="宋体"/>
                <w:vanish/>
              </w:rPr>
            </w:pPr>
          </w:p>
        </w:tc>
      </w:tr>
      <w:tr w:rsidR="00B1578D" w14:paraId="5DEC6377" w14:textId="77777777">
        <w:tc>
          <w:tcPr>
            <w:tcW w:w="0" w:type="auto"/>
            <w:gridSpan w:val="3"/>
            <w:shd w:val="clear" w:color="auto" w:fill="FFFFFF"/>
            <w:tcMar>
              <w:top w:w="40" w:type="dxa"/>
              <w:left w:w="380" w:type="dxa"/>
              <w:bottom w:w="40" w:type="dxa"/>
              <w:right w:w="20" w:type="dxa"/>
            </w:tcMar>
            <w:vAlign w:val="center"/>
          </w:tcPr>
          <w:p w14:paraId="5DEC6368" w14:textId="77777777" w:rsidR="00B1578D" w:rsidRDefault="004D2C04">
            <w:pPr>
              <w:textAlignment w:val="center"/>
            </w:pPr>
            <w:r>
              <w:rPr>
                <w:rFonts w:ascii="Times New Roman" w:eastAsia="宋体" w:hAnsi="Times New Roman"/>
                <w:color w:val="000000"/>
                <w:sz w:val="16"/>
                <w:szCs w:val="16"/>
              </w:rPr>
              <w:t xml:space="preserve">Interest, </w:t>
            </w:r>
            <w:r>
              <w:rPr>
                <w:rFonts w:ascii="Times New Roman" w:eastAsia="宋体" w:hAnsi="Times New Roman"/>
                <w:color w:val="000000"/>
                <w:sz w:val="16"/>
                <w:szCs w:val="16"/>
              </w:rPr>
              <w:t>net</w:t>
            </w:r>
          </w:p>
        </w:tc>
        <w:tc>
          <w:tcPr>
            <w:tcW w:w="0" w:type="auto"/>
            <w:gridSpan w:val="3"/>
            <w:shd w:val="clear" w:color="auto" w:fill="FFFFFF"/>
            <w:tcMar>
              <w:top w:w="0" w:type="dxa"/>
              <w:left w:w="20" w:type="dxa"/>
              <w:bottom w:w="0" w:type="dxa"/>
              <w:right w:w="20" w:type="dxa"/>
            </w:tcMar>
            <w:vAlign w:val="bottom"/>
          </w:tcPr>
          <w:p w14:paraId="5DEC636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36A" w14:textId="77777777" w:rsidR="00B1578D" w:rsidRDefault="004D2C04">
            <w:pPr>
              <w:jc w:val="right"/>
              <w:textAlignment w:val="center"/>
            </w:pPr>
            <w:r>
              <w:rPr>
                <w:rFonts w:ascii="Times New Roman" w:eastAsia="宋体" w:hAnsi="Times New Roman"/>
                <w:color w:val="000000"/>
                <w:sz w:val="16"/>
                <w:szCs w:val="16"/>
              </w:rPr>
              <w:t>419 </w:t>
            </w:r>
          </w:p>
        </w:tc>
        <w:tc>
          <w:tcPr>
            <w:tcW w:w="0" w:type="auto"/>
            <w:shd w:val="clear" w:color="auto" w:fill="FFFFFF"/>
            <w:tcMar>
              <w:top w:w="40" w:type="dxa"/>
              <w:left w:w="0" w:type="dxa"/>
              <w:bottom w:w="40" w:type="dxa"/>
              <w:right w:w="20" w:type="dxa"/>
            </w:tcMar>
            <w:vAlign w:val="center"/>
          </w:tcPr>
          <w:p w14:paraId="5DEC636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36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36D" w14:textId="77777777" w:rsidR="00B1578D" w:rsidRDefault="004D2C04">
            <w:pPr>
              <w:jc w:val="right"/>
              <w:textAlignment w:val="center"/>
            </w:pPr>
            <w:r>
              <w:rPr>
                <w:rFonts w:ascii="Times New Roman" w:eastAsia="宋体" w:hAnsi="Times New Roman"/>
                <w:color w:val="000000"/>
                <w:sz w:val="16"/>
                <w:szCs w:val="16"/>
              </w:rPr>
              <w:t>536 </w:t>
            </w:r>
          </w:p>
        </w:tc>
        <w:tc>
          <w:tcPr>
            <w:tcW w:w="0" w:type="auto"/>
            <w:shd w:val="clear" w:color="auto" w:fill="FFFFFF"/>
            <w:tcMar>
              <w:top w:w="40" w:type="dxa"/>
              <w:left w:w="0" w:type="dxa"/>
              <w:bottom w:w="40" w:type="dxa"/>
              <w:right w:w="20" w:type="dxa"/>
            </w:tcMar>
            <w:vAlign w:val="center"/>
          </w:tcPr>
          <w:p w14:paraId="5DEC636E" w14:textId="77777777" w:rsidR="00B1578D" w:rsidRDefault="00B1578D">
            <w:pPr>
              <w:jc w:val="right"/>
              <w:rPr>
                <w:rFonts w:ascii="宋体"/>
              </w:rPr>
            </w:pPr>
          </w:p>
        </w:tc>
        <w:tc>
          <w:tcPr>
            <w:tcW w:w="0" w:type="auto"/>
            <w:shd w:val="clear" w:color="auto" w:fill="auto"/>
            <w:vAlign w:val="bottom"/>
          </w:tcPr>
          <w:p w14:paraId="5DEC636F" w14:textId="77777777" w:rsidR="00B1578D" w:rsidRDefault="00B1578D">
            <w:pPr>
              <w:rPr>
                <w:rFonts w:ascii="宋体"/>
                <w:vanish/>
              </w:rPr>
            </w:pPr>
          </w:p>
        </w:tc>
        <w:tc>
          <w:tcPr>
            <w:tcW w:w="0" w:type="auto"/>
            <w:shd w:val="clear" w:color="auto" w:fill="auto"/>
            <w:vAlign w:val="bottom"/>
          </w:tcPr>
          <w:p w14:paraId="5DEC6370" w14:textId="77777777" w:rsidR="00B1578D" w:rsidRDefault="00B1578D">
            <w:pPr>
              <w:rPr>
                <w:rFonts w:ascii="宋体"/>
                <w:vanish/>
              </w:rPr>
            </w:pPr>
          </w:p>
        </w:tc>
        <w:tc>
          <w:tcPr>
            <w:tcW w:w="0" w:type="auto"/>
            <w:shd w:val="clear" w:color="auto" w:fill="auto"/>
            <w:vAlign w:val="bottom"/>
          </w:tcPr>
          <w:p w14:paraId="5DEC6371" w14:textId="77777777" w:rsidR="00B1578D" w:rsidRDefault="00B1578D">
            <w:pPr>
              <w:rPr>
                <w:rFonts w:ascii="宋体"/>
                <w:vanish/>
              </w:rPr>
            </w:pPr>
          </w:p>
        </w:tc>
        <w:tc>
          <w:tcPr>
            <w:tcW w:w="0" w:type="auto"/>
            <w:shd w:val="clear" w:color="auto" w:fill="auto"/>
            <w:vAlign w:val="bottom"/>
          </w:tcPr>
          <w:p w14:paraId="5DEC6372" w14:textId="77777777" w:rsidR="00B1578D" w:rsidRDefault="00B1578D">
            <w:pPr>
              <w:rPr>
                <w:rFonts w:ascii="宋体"/>
                <w:vanish/>
              </w:rPr>
            </w:pPr>
          </w:p>
        </w:tc>
        <w:tc>
          <w:tcPr>
            <w:tcW w:w="0" w:type="auto"/>
            <w:gridSpan w:val="3"/>
            <w:shd w:val="clear" w:color="auto" w:fill="auto"/>
            <w:vAlign w:val="bottom"/>
          </w:tcPr>
          <w:p w14:paraId="5DEC6373" w14:textId="77777777" w:rsidR="00B1578D" w:rsidRDefault="00B1578D">
            <w:pPr>
              <w:rPr>
                <w:rFonts w:ascii="宋体"/>
                <w:vanish/>
              </w:rPr>
            </w:pPr>
          </w:p>
        </w:tc>
        <w:tc>
          <w:tcPr>
            <w:tcW w:w="0" w:type="auto"/>
            <w:gridSpan w:val="3"/>
            <w:shd w:val="clear" w:color="auto" w:fill="auto"/>
            <w:vAlign w:val="bottom"/>
          </w:tcPr>
          <w:p w14:paraId="5DEC6374" w14:textId="77777777" w:rsidR="00B1578D" w:rsidRDefault="00B1578D">
            <w:pPr>
              <w:rPr>
                <w:rFonts w:ascii="宋体"/>
                <w:vanish/>
              </w:rPr>
            </w:pPr>
          </w:p>
        </w:tc>
        <w:tc>
          <w:tcPr>
            <w:tcW w:w="0" w:type="auto"/>
            <w:gridSpan w:val="3"/>
            <w:shd w:val="clear" w:color="auto" w:fill="auto"/>
            <w:vAlign w:val="bottom"/>
          </w:tcPr>
          <w:p w14:paraId="5DEC6375" w14:textId="77777777" w:rsidR="00B1578D" w:rsidRDefault="00B1578D">
            <w:pPr>
              <w:rPr>
                <w:rFonts w:ascii="宋体"/>
                <w:vanish/>
              </w:rPr>
            </w:pPr>
          </w:p>
        </w:tc>
        <w:tc>
          <w:tcPr>
            <w:tcW w:w="0" w:type="auto"/>
            <w:gridSpan w:val="3"/>
            <w:shd w:val="clear" w:color="auto" w:fill="auto"/>
            <w:vAlign w:val="bottom"/>
          </w:tcPr>
          <w:p w14:paraId="5DEC6376" w14:textId="77777777" w:rsidR="00B1578D" w:rsidRDefault="00B1578D">
            <w:pPr>
              <w:rPr>
                <w:rFonts w:ascii="宋体"/>
                <w:vanish/>
              </w:rPr>
            </w:pPr>
          </w:p>
        </w:tc>
      </w:tr>
      <w:tr w:rsidR="00B1578D" w14:paraId="5DEC6385" w14:textId="77777777">
        <w:trPr>
          <w:hidden/>
        </w:trPr>
        <w:tc>
          <w:tcPr>
            <w:tcW w:w="0" w:type="auto"/>
            <w:gridSpan w:val="3"/>
            <w:shd w:val="clear" w:color="auto" w:fill="auto"/>
            <w:vAlign w:val="bottom"/>
          </w:tcPr>
          <w:p w14:paraId="5DEC6378" w14:textId="77777777" w:rsidR="00B1578D" w:rsidRDefault="00B1578D">
            <w:pPr>
              <w:rPr>
                <w:rFonts w:ascii="宋体"/>
                <w:vanish/>
              </w:rPr>
            </w:pPr>
          </w:p>
        </w:tc>
        <w:tc>
          <w:tcPr>
            <w:tcW w:w="0" w:type="auto"/>
            <w:gridSpan w:val="3"/>
            <w:shd w:val="clear" w:color="auto" w:fill="auto"/>
            <w:vAlign w:val="bottom"/>
          </w:tcPr>
          <w:p w14:paraId="5DEC6379" w14:textId="77777777" w:rsidR="00B1578D" w:rsidRDefault="00B1578D">
            <w:pPr>
              <w:rPr>
                <w:rFonts w:ascii="宋体"/>
                <w:vanish/>
              </w:rPr>
            </w:pPr>
          </w:p>
        </w:tc>
        <w:tc>
          <w:tcPr>
            <w:tcW w:w="0" w:type="auto"/>
            <w:gridSpan w:val="3"/>
            <w:shd w:val="clear" w:color="auto" w:fill="auto"/>
            <w:vAlign w:val="bottom"/>
          </w:tcPr>
          <w:p w14:paraId="5DEC637A" w14:textId="77777777" w:rsidR="00B1578D" w:rsidRDefault="00B1578D">
            <w:pPr>
              <w:rPr>
                <w:rFonts w:ascii="宋体"/>
                <w:vanish/>
              </w:rPr>
            </w:pPr>
          </w:p>
        </w:tc>
        <w:tc>
          <w:tcPr>
            <w:tcW w:w="0" w:type="auto"/>
            <w:gridSpan w:val="3"/>
            <w:shd w:val="clear" w:color="auto" w:fill="auto"/>
            <w:vAlign w:val="bottom"/>
          </w:tcPr>
          <w:p w14:paraId="5DEC637B" w14:textId="77777777" w:rsidR="00B1578D" w:rsidRDefault="00B1578D">
            <w:pPr>
              <w:rPr>
                <w:rFonts w:ascii="宋体"/>
                <w:vanish/>
              </w:rPr>
            </w:pPr>
          </w:p>
        </w:tc>
        <w:tc>
          <w:tcPr>
            <w:tcW w:w="0" w:type="auto"/>
            <w:gridSpan w:val="3"/>
            <w:shd w:val="clear" w:color="auto" w:fill="auto"/>
            <w:vAlign w:val="bottom"/>
          </w:tcPr>
          <w:p w14:paraId="5DEC637C" w14:textId="77777777" w:rsidR="00B1578D" w:rsidRDefault="00B1578D">
            <w:pPr>
              <w:rPr>
                <w:rFonts w:ascii="宋体"/>
                <w:vanish/>
              </w:rPr>
            </w:pPr>
          </w:p>
        </w:tc>
        <w:tc>
          <w:tcPr>
            <w:tcW w:w="0" w:type="auto"/>
            <w:shd w:val="clear" w:color="auto" w:fill="auto"/>
            <w:vAlign w:val="bottom"/>
          </w:tcPr>
          <w:p w14:paraId="5DEC637D" w14:textId="77777777" w:rsidR="00B1578D" w:rsidRDefault="00B1578D">
            <w:pPr>
              <w:rPr>
                <w:rFonts w:ascii="宋体"/>
                <w:vanish/>
              </w:rPr>
            </w:pPr>
          </w:p>
        </w:tc>
        <w:tc>
          <w:tcPr>
            <w:tcW w:w="0" w:type="auto"/>
            <w:shd w:val="clear" w:color="auto" w:fill="auto"/>
            <w:vAlign w:val="bottom"/>
          </w:tcPr>
          <w:p w14:paraId="5DEC637E" w14:textId="77777777" w:rsidR="00B1578D" w:rsidRDefault="00B1578D">
            <w:pPr>
              <w:rPr>
                <w:rFonts w:ascii="宋体"/>
                <w:vanish/>
              </w:rPr>
            </w:pPr>
          </w:p>
        </w:tc>
        <w:tc>
          <w:tcPr>
            <w:tcW w:w="0" w:type="auto"/>
            <w:shd w:val="clear" w:color="auto" w:fill="auto"/>
            <w:vAlign w:val="bottom"/>
          </w:tcPr>
          <w:p w14:paraId="5DEC637F" w14:textId="77777777" w:rsidR="00B1578D" w:rsidRDefault="00B1578D">
            <w:pPr>
              <w:rPr>
                <w:rFonts w:ascii="宋体"/>
                <w:vanish/>
              </w:rPr>
            </w:pPr>
          </w:p>
        </w:tc>
        <w:tc>
          <w:tcPr>
            <w:tcW w:w="0" w:type="auto"/>
            <w:shd w:val="clear" w:color="auto" w:fill="auto"/>
            <w:vAlign w:val="bottom"/>
          </w:tcPr>
          <w:p w14:paraId="5DEC6380" w14:textId="77777777" w:rsidR="00B1578D" w:rsidRDefault="00B1578D">
            <w:pPr>
              <w:rPr>
                <w:rFonts w:ascii="宋体"/>
                <w:vanish/>
              </w:rPr>
            </w:pPr>
          </w:p>
        </w:tc>
        <w:tc>
          <w:tcPr>
            <w:tcW w:w="0" w:type="auto"/>
            <w:gridSpan w:val="3"/>
            <w:shd w:val="clear" w:color="auto" w:fill="auto"/>
            <w:vAlign w:val="bottom"/>
          </w:tcPr>
          <w:p w14:paraId="5DEC6381" w14:textId="77777777" w:rsidR="00B1578D" w:rsidRDefault="00B1578D">
            <w:pPr>
              <w:rPr>
                <w:rFonts w:ascii="宋体"/>
                <w:vanish/>
              </w:rPr>
            </w:pPr>
          </w:p>
        </w:tc>
        <w:tc>
          <w:tcPr>
            <w:tcW w:w="0" w:type="auto"/>
            <w:gridSpan w:val="3"/>
            <w:shd w:val="clear" w:color="auto" w:fill="auto"/>
            <w:vAlign w:val="bottom"/>
          </w:tcPr>
          <w:p w14:paraId="5DEC6382" w14:textId="77777777" w:rsidR="00B1578D" w:rsidRDefault="00B1578D">
            <w:pPr>
              <w:rPr>
                <w:rFonts w:ascii="宋体"/>
                <w:vanish/>
              </w:rPr>
            </w:pPr>
          </w:p>
        </w:tc>
        <w:tc>
          <w:tcPr>
            <w:tcW w:w="0" w:type="auto"/>
            <w:gridSpan w:val="3"/>
            <w:shd w:val="clear" w:color="auto" w:fill="auto"/>
            <w:vAlign w:val="bottom"/>
          </w:tcPr>
          <w:p w14:paraId="5DEC6383" w14:textId="77777777" w:rsidR="00B1578D" w:rsidRDefault="00B1578D">
            <w:pPr>
              <w:rPr>
                <w:rFonts w:ascii="宋体"/>
                <w:vanish/>
              </w:rPr>
            </w:pPr>
          </w:p>
        </w:tc>
        <w:tc>
          <w:tcPr>
            <w:tcW w:w="0" w:type="auto"/>
            <w:gridSpan w:val="3"/>
            <w:shd w:val="clear" w:color="auto" w:fill="auto"/>
            <w:vAlign w:val="bottom"/>
          </w:tcPr>
          <w:p w14:paraId="5DEC6384" w14:textId="77777777" w:rsidR="00B1578D" w:rsidRDefault="00B1578D">
            <w:pPr>
              <w:rPr>
                <w:rFonts w:ascii="宋体"/>
                <w:vanish/>
              </w:rPr>
            </w:pPr>
          </w:p>
        </w:tc>
      </w:tr>
      <w:tr w:rsidR="00B1578D" w14:paraId="5DEC6395" w14:textId="77777777">
        <w:tc>
          <w:tcPr>
            <w:tcW w:w="0" w:type="auto"/>
            <w:gridSpan w:val="3"/>
            <w:shd w:val="clear" w:color="auto" w:fill="CCEEFF"/>
            <w:tcMar>
              <w:top w:w="40" w:type="dxa"/>
              <w:left w:w="380" w:type="dxa"/>
              <w:bottom w:w="40" w:type="dxa"/>
              <w:right w:w="20" w:type="dxa"/>
            </w:tcMar>
            <w:vAlign w:val="center"/>
          </w:tcPr>
          <w:p w14:paraId="5DEC6386" w14:textId="77777777" w:rsidR="00B1578D" w:rsidRDefault="004D2C04">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5DEC638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388" w14:textId="77777777" w:rsidR="00B1578D" w:rsidRDefault="004D2C04">
            <w:pPr>
              <w:jc w:val="right"/>
              <w:textAlignment w:val="center"/>
            </w:pPr>
            <w:r>
              <w:rPr>
                <w:rFonts w:ascii="Times New Roman" w:eastAsia="宋体" w:hAnsi="Times New Roman"/>
                <w:color w:val="000000"/>
                <w:sz w:val="16"/>
                <w:szCs w:val="16"/>
              </w:rPr>
              <w:t>1,998 </w:t>
            </w:r>
          </w:p>
        </w:tc>
        <w:tc>
          <w:tcPr>
            <w:tcW w:w="0" w:type="auto"/>
            <w:shd w:val="clear" w:color="auto" w:fill="CCEEFF"/>
            <w:tcMar>
              <w:top w:w="40" w:type="dxa"/>
              <w:left w:w="0" w:type="dxa"/>
              <w:bottom w:w="40" w:type="dxa"/>
              <w:right w:w="20" w:type="dxa"/>
            </w:tcMar>
            <w:vAlign w:val="center"/>
          </w:tcPr>
          <w:p w14:paraId="5DEC638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38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38B" w14:textId="77777777" w:rsidR="00B1578D" w:rsidRDefault="004D2C04">
            <w:pPr>
              <w:jc w:val="right"/>
              <w:textAlignment w:val="center"/>
            </w:pPr>
            <w:r>
              <w:rPr>
                <w:rFonts w:ascii="Times New Roman" w:eastAsia="宋体" w:hAnsi="Times New Roman"/>
                <w:color w:val="000000"/>
                <w:sz w:val="16"/>
                <w:szCs w:val="16"/>
              </w:rPr>
              <w:t>2,529 </w:t>
            </w:r>
          </w:p>
        </w:tc>
        <w:tc>
          <w:tcPr>
            <w:tcW w:w="0" w:type="auto"/>
            <w:shd w:val="clear" w:color="auto" w:fill="CCEEFF"/>
            <w:tcMar>
              <w:top w:w="40" w:type="dxa"/>
              <w:left w:w="0" w:type="dxa"/>
              <w:bottom w:w="40" w:type="dxa"/>
              <w:right w:w="20" w:type="dxa"/>
            </w:tcMar>
            <w:vAlign w:val="center"/>
          </w:tcPr>
          <w:p w14:paraId="5DEC638C" w14:textId="77777777" w:rsidR="00B1578D" w:rsidRDefault="00B1578D">
            <w:pPr>
              <w:jc w:val="right"/>
              <w:rPr>
                <w:rFonts w:ascii="宋体"/>
              </w:rPr>
            </w:pPr>
          </w:p>
        </w:tc>
        <w:tc>
          <w:tcPr>
            <w:tcW w:w="0" w:type="auto"/>
            <w:shd w:val="clear" w:color="auto" w:fill="auto"/>
            <w:vAlign w:val="bottom"/>
          </w:tcPr>
          <w:p w14:paraId="5DEC638D" w14:textId="77777777" w:rsidR="00B1578D" w:rsidRDefault="00B1578D">
            <w:pPr>
              <w:rPr>
                <w:rFonts w:ascii="宋体"/>
                <w:vanish/>
              </w:rPr>
            </w:pPr>
          </w:p>
        </w:tc>
        <w:tc>
          <w:tcPr>
            <w:tcW w:w="0" w:type="auto"/>
            <w:shd w:val="clear" w:color="auto" w:fill="auto"/>
            <w:vAlign w:val="bottom"/>
          </w:tcPr>
          <w:p w14:paraId="5DEC638E" w14:textId="77777777" w:rsidR="00B1578D" w:rsidRDefault="00B1578D">
            <w:pPr>
              <w:rPr>
                <w:rFonts w:ascii="宋体"/>
                <w:vanish/>
              </w:rPr>
            </w:pPr>
          </w:p>
        </w:tc>
        <w:tc>
          <w:tcPr>
            <w:tcW w:w="0" w:type="auto"/>
            <w:shd w:val="clear" w:color="auto" w:fill="auto"/>
            <w:vAlign w:val="bottom"/>
          </w:tcPr>
          <w:p w14:paraId="5DEC638F" w14:textId="77777777" w:rsidR="00B1578D" w:rsidRDefault="00B1578D">
            <w:pPr>
              <w:rPr>
                <w:rFonts w:ascii="宋体"/>
                <w:vanish/>
              </w:rPr>
            </w:pPr>
          </w:p>
        </w:tc>
        <w:tc>
          <w:tcPr>
            <w:tcW w:w="0" w:type="auto"/>
            <w:shd w:val="clear" w:color="auto" w:fill="auto"/>
            <w:vAlign w:val="bottom"/>
          </w:tcPr>
          <w:p w14:paraId="5DEC6390" w14:textId="77777777" w:rsidR="00B1578D" w:rsidRDefault="00B1578D">
            <w:pPr>
              <w:rPr>
                <w:rFonts w:ascii="宋体"/>
                <w:vanish/>
              </w:rPr>
            </w:pPr>
          </w:p>
        </w:tc>
        <w:tc>
          <w:tcPr>
            <w:tcW w:w="0" w:type="auto"/>
            <w:gridSpan w:val="3"/>
            <w:shd w:val="clear" w:color="auto" w:fill="auto"/>
            <w:vAlign w:val="bottom"/>
          </w:tcPr>
          <w:p w14:paraId="5DEC6391" w14:textId="77777777" w:rsidR="00B1578D" w:rsidRDefault="00B1578D">
            <w:pPr>
              <w:rPr>
                <w:rFonts w:ascii="宋体"/>
                <w:vanish/>
              </w:rPr>
            </w:pPr>
          </w:p>
        </w:tc>
        <w:tc>
          <w:tcPr>
            <w:tcW w:w="0" w:type="auto"/>
            <w:gridSpan w:val="3"/>
            <w:shd w:val="clear" w:color="auto" w:fill="auto"/>
            <w:vAlign w:val="bottom"/>
          </w:tcPr>
          <w:p w14:paraId="5DEC6392" w14:textId="77777777" w:rsidR="00B1578D" w:rsidRDefault="00B1578D">
            <w:pPr>
              <w:rPr>
                <w:rFonts w:ascii="宋体"/>
                <w:vanish/>
              </w:rPr>
            </w:pPr>
          </w:p>
        </w:tc>
        <w:tc>
          <w:tcPr>
            <w:tcW w:w="0" w:type="auto"/>
            <w:gridSpan w:val="3"/>
            <w:shd w:val="clear" w:color="auto" w:fill="auto"/>
            <w:vAlign w:val="bottom"/>
          </w:tcPr>
          <w:p w14:paraId="5DEC6393" w14:textId="77777777" w:rsidR="00B1578D" w:rsidRDefault="00B1578D">
            <w:pPr>
              <w:rPr>
                <w:rFonts w:ascii="宋体"/>
                <w:vanish/>
              </w:rPr>
            </w:pPr>
          </w:p>
        </w:tc>
        <w:tc>
          <w:tcPr>
            <w:tcW w:w="0" w:type="auto"/>
            <w:gridSpan w:val="3"/>
            <w:shd w:val="clear" w:color="auto" w:fill="auto"/>
            <w:vAlign w:val="bottom"/>
          </w:tcPr>
          <w:p w14:paraId="5DEC6394" w14:textId="77777777" w:rsidR="00B1578D" w:rsidRDefault="00B1578D">
            <w:pPr>
              <w:rPr>
                <w:rFonts w:ascii="宋体"/>
                <w:vanish/>
              </w:rPr>
            </w:pPr>
          </w:p>
        </w:tc>
      </w:tr>
      <w:tr w:rsidR="00B1578D" w14:paraId="5DEC63A7" w14:textId="77777777">
        <w:tc>
          <w:tcPr>
            <w:tcW w:w="0" w:type="auto"/>
            <w:gridSpan w:val="3"/>
            <w:shd w:val="clear" w:color="auto" w:fill="FFFFFF"/>
            <w:tcMar>
              <w:top w:w="40" w:type="dxa"/>
              <w:left w:w="20" w:type="dxa"/>
              <w:bottom w:w="40" w:type="dxa"/>
              <w:right w:w="20" w:type="dxa"/>
            </w:tcMar>
            <w:vAlign w:val="center"/>
          </w:tcPr>
          <w:p w14:paraId="5DEC6396" w14:textId="77777777" w:rsidR="00B1578D" w:rsidRDefault="004D2C04">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vAlign w:val="bottom"/>
          </w:tcPr>
          <w:p w14:paraId="5DEC6397"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398"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399" w14:textId="77777777" w:rsidR="00B1578D" w:rsidRDefault="004D2C04">
            <w:pPr>
              <w:jc w:val="right"/>
              <w:textAlignment w:val="center"/>
            </w:pPr>
            <w:r>
              <w:rPr>
                <w:rFonts w:ascii="Times New Roman" w:eastAsia="宋体" w:hAnsi="Times New Roman"/>
                <w:color w:val="000000"/>
                <w:sz w:val="16"/>
                <w:szCs w:val="16"/>
              </w:rPr>
              <w:t>2,901 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39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39B"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39C"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39D" w14:textId="77777777" w:rsidR="00B1578D" w:rsidRDefault="004D2C04">
            <w:pPr>
              <w:jc w:val="right"/>
              <w:textAlignment w:val="center"/>
            </w:pPr>
            <w:r>
              <w:rPr>
                <w:rFonts w:ascii="Times New Roman" w:eastAsia="宋体" w:hAnsi="Times New Roman"/>
                <w:color w:val="000000"/>
                <w:sz w:val="16"/>
                <w:szCs w:val="16"/>
              </w:rPr>
              <w:t>3,844 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39E" w14:textId="77777777" w:rsidR="00B1578D" w:rsidRDefault="00B1578D">
            <w:pPr>
              <w:jc w:val="right"/>
              <w:rPr>
                <w:rFonts w:ascii="宋体"/>
              </w:rPr>
            </w:pPr>
          </w:p>
        </w:tc>
        <w:tc>
          <w:tcPr>
            <w:tcW w:w="0" w:type="auto"/>
            <w:shd w:val="clear" w:color="auto" w:fill="auto"/>
            <w:vAlign w:val="bottom"/>
          </w:tcPr>
          <w:p w14:paraId="5DEC639F" w14:textId="77777777" w:rsidR="00B1578D" w:rsidRDefault="00B1578D">
            <w:pPr>
              <w:rPr>
                <w:rFonts w:ascii="宋体"/>
                <w:vanish/>
              </w:rPr>
            </w:pPr>
          </w:p>
        </w:tc>
        <w:tc>
          <w:tcPr>
            <w:tcW w:w="0" w:type="auto"/>
            <w:shd w:val="clear" w:color="auto" w:fill="auto"/>
            <w:vAlign w:val="bottom"/>
          </w:tcPr>
          <w:p w14:paraId="5DEC63A0" w14:textId="77777777" w:rsidR="00B1578D" w:rsidRDefault="00B1578D">
            <w:pPr>
              <w:rPr>
                <w:rFonts w:ascii="宋体"/>
                <w:vanish/>
              </w:rPr>
            </w:pPr>
          </w:p>
        </w:tc>
        <w:tc>
          <w:tcPr>
            <w:tcW w:w="0" w:type="auto"/>
            <w:shd w:val="clear" w:color="auto" w:fill="auto"/>
            <w:vAlign w:val="bottom"/>
          </w:tcPr>
          <w:p w14:paraId="5DEC63A1" w14:textId="77777777" w:rsidR="00B1578D" w:rsidRDefault="00B1578D">
            <w:pPr>
              <w:rPr>
                <w:rFonts w:ascii="宋体"/>
                <w:vanish/>
              </w:rPr>
            </w:pPr>
          </w:p>
        </w:tc>
        <w:tc>
          <w:tcPr>
            <w:tcW w:w="0" w:type="auto"/>
            <w:shd w:val="clear" w:color="auto" w:fill="auto"/>
            <w:vAlign w:val="bottom"/>
          </w:tcPr>
          <w:p w14:paraId="5DEC63A2" w14:textId="77777777" w:rsidR="00B1578D" w:rsidRDefault="00B1578D">
            <w:pPr>
              <w:rPr>
                <w:rFonts w:ascii="宋体"/>
                <w:vanish/>
              </w:rPr>
            </w:pPr>
          </w:p>
        </w:tc>
        <w:tc>
          <w:tcPr>
            <w:tcW w:w="0" w:type="auto"/>
            <w:gridSpan w:val="3"/>
            <w:shd w:val="clear" w:color="auto" w:fill="auto"/>
            <w:vAlign w:val="bottom"/>
          </w:tcPr>
          <w:p w14:paraId="5DEC63A3" w14:textId="77777777" w:rsidR="00B1578D" w:rsidRDefault="00B1578D">
            <w:pPr>
              <w:rPr>
                <w:rFonts w:ascii="宋体"/>
                <w:vanish/>
              </w:rPr>
            </w:pPr>
          </w:p>
        </w:tc>
        <w:tc>
          <w:tcPr>
            <w:tcW w:w="0" w:type="auto"/>
            <w:gridSpan w:val="3"/>
            <w:shd w:val="clear" w:color="auto" w:fill="auto"/>
            <w:vAlign w:val="bottom"/>
          </w:tcPr>
          <w:p w14:paraId="5DEC63A4" w14:textId="77777777" w:rsidR="00B1578D" w:rsidRDefault="00B1578D">
            <w:pPr>
              <w:rPr>
                <w:rFonts w:ascii="宋体"/>
                <w:vanish/>
              </w:rPr>
            </w:pPr>
          </w:p>
        </w:tc>
        <w:tc>
          <w:tcPr>
            <w:tcW w:w="0" w:type="auto"/>
            <w:gridSpan w:val="3"/>
            <w:shd w:val="clear" w:color="auto" w:fill="auto"/>
            <w:vAlign w:val="bottom"/>
          </w:tcPr>
          <w:p w14:paraId="5DEC63A5" w14:textId="77777777" w:rsidR="00B1578D" w:rsidRDefault="00B1578D">
            <w:pPr>
              <w:rPr>
                <w:rFonts w:ascii="宋体"/>
                <w:vanish/>
              </w:rPr>
            </w:pPr>
          </w:p>
        </w:tc>
        <w:tc>
          <w:tcPr>
            <w:tcW w:w="0" w:type="auto"/>
            <w:gridSpan w:val="3"/>
            <w:shd w:val="clear" w:color="auto" w:fill="auto"/>
            <w:vAlign w:val="bottom"/>
          </w:tcPr>
          <w:p w14:paraId="5DEC63A6" w14:textId="77777777" w:rsidR="00B1578D" w:rsidRDefault="00B1578D">
            <w:pPr>
              <w:rPr>
                <w:rFonts w:ascii="宋体"/>
                <w:vanish/>
              </w:rPr>
            </w:pPr>
          </w:p>
        </w:tc>
      </w:tr>
    </w:tbl>
    <w:p w14:paraId="5DEC63A8" w14:textId="77777777" w:rsidR="00B1578D" w:rsidRDefault="004D2C04">
      <w:pPr>
        <w:spacing w:before="80"/>
      </w:pPr>
      <w:r>
        <w:rPr>
          <w:rFonts w:ascii="Times New Roman" w:eastAsia="宋体" w:hAnsi="Times New Roman"/>
          <w:i/>
          <w:iCs/>
          <w:color w:val="000000"/>
          <w:sz w:val="20"/>
          <w:szCs w:val="20"/>
        </w:rPr>
        <w:t>Disaggregated Revenues</w:t>
      </w:r>
    </w:p>
    <w:p w14:paraId="5DEC63A9" w14:textId="77777777" w:rsidR="00B1578D" w:rsidRDefault="004D2C04">
      <w:pPr>
        <w:spacing w:before="100"/>
      </w:pPr>
      <w:r>
        <w:rPr>
          <w:rFonts w:ascii="Times New Roman" w:eastAsia="宋体" w:hAnsi="Times New Roman"/>
          <w:color w:val="000000"/>
          <w:sz w:val="20"/>
          <w:szCs w:val="20"/>
        </w:rPr>
        <w:t>In the following tables, segment net sales are disaggregated by either merchandise category or by market. From time to time, the Company revises the assignment of net sales of a particular item t</w:t>
      </w:r>
      <w:r>
        <w:rPr>
          <w:rFonts w:ascii="Times New Roman" w:eastAsia="宋体" w:hAnsi="Times New Roman"/>
          <w:color w:val="000000"/>
          <w:sz w:val="20"/>
          <w:szCs w:val="20"/>
        </w:rPr>
        <w:t>o a merchandise category. When the assignment changes, previous period amounts are reclassified to be comparable to the current period's presentation.</w:t>
      </w:r>
    </w:p>
    <w:p w14:paraId="5DEC63AA" w14:textId="77777777" w:rsidR="00B1578D" w:rsidRDefault="004D2C04">
      <w:pPr>
        <w:spacing w:before="100"/>
      </w:pPr>
      <w:r>
        <w:rPr>
          <w:rFonts w:ascii="Times New Roman" w:eastAsia="宋体" w:hAnsi="Times New Roman"/>
          <w:color w:val="000000"/>
          <w:sz w:val="20"/>
          <w:szCs w:val="20"/>
        </w:rPr>
        <w:t>In addition, net sales related to eCommerce are provided for each segment, which include omni-channel sal</w:t>
      </w:r>
      <w:r>
        <w:rPr>
          <w:rFonts w:ascii="Times New Roman" w:eastAsia="宋体" w:hAnsi="Times New Roman"/>
          <w:color w:val="000000"/>
          <w:sz w:val="20"/>
          <w:szCs w:val="20"/>
        </w:rPr>
        <w:t xml:space="preserve">es, where a customer initiates an order digitally and the order is fulfilled through a store or club.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46"/>
        <w:gridCol w:w="38"/>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B1578D" w14:paraId="5DEC63BE" w14:textId="77777777">
        <w:trPr>
          <w:jc w:val="center"/>
        </w:trPr>
        <w:tc>
          <w:tcPr>
            <w:tcW w:w="50" w:type="pct"/>
            <w:shd w:val="clear" w:color="auto" w:fill="auto"/>
            <w:vAlign w:val="bottom"/>
          </w:tcPr>
          <w:p w14:paraId="5DEC63AB" w14:textId="77777777" w:rsidR="00B1578D" w:rsidRDefault="00B1578D">
            <w:pPr>
              <w:rPr>
                <w:rFonts w:ascii="宋体"/>
              </w:rPr>
            </w:pPr>
          </w:p>
        </w:tc>
        <w:tc>
          <w:tcPr>
            <w:tcW w:w="3716" w:type="pct"/>
            <w:shd w:val="clear" w:color="auto" w:fill="auto"/>
            <w:vAlign w:val="bottom"/>
          </w:tcPr>
          <w:p w14:paraId="5DEC63AC" w14:textId="77777777" w:rsidR="00B1578D" w:rsidRDefault="00B1578D">
            <w:pPr>
              <w:rPr>
                <w:rFonts w:ascii="宋体"/>
              </w:rPr>
            </w:pPr>
          </w:p>
        </w:tc>
        <w:tc>
          <w:tcPr>
            <w:tcW w:w="5" w:type="pct"/>
            <w:shd w:val="clear" w:color="auto" w:fill="auto"/>
            <w:vAlign w:val="bottom"/>
          </w:tcPr>
          <w:p w14:paraId="5DEC63AD" w14:textId="77777777" w:rsidR="00B1578D" w:rsidRDefault="00B1578D">
            <w:pPr>
              <w:rPr>
                <w:rFonts w:ascii="宋体"/>
              </w:rPr>
            </w:pPr>
          </w:p>
        </w:tc>
        <w:tc>
          <w:tcPr>
            <w:tcW w:w="5" w:type="pct"/>
            <w:shd w:val="clear" w:color="auto" w:fill="auto"/>
            <w:vAlign w:val="bottom"/>
          </w:tcPr>
          <w:p w14:paraId="5DEC63AE" w14:textId="77777777" w:rsidR="00B1578D" w:rsidRDefault="00B1578D">
            <w:pPr>
              <w:rPr>
                <w:rFonts w:ascii="宋体"/>
              </w:rPr>
            </w:pPr>
          </w:p>
        </w:tc>
        <w:tc>
          <w:tcPr>
            <w:tcW w:w="26" w:type="pct"/>
            <w:shd w:val="clear" w:color="auto" w:fill="auto"/>
            <w:vAlign w:val="bottom"/>
          </w:tcPr>
          <w:p w14:paraId="5DEC63AF" w14:textId="77777777" w:rsidR="00B1578D" w:rsidRDefault="00B1578D">
            <w:pPr>
              <w:rPr>
                <w:rFonts w:ascii="宋体"/>
              </w:rPr>
            </w:pPr>
          </w:p>
        </w:tc>
        <w:tc>
          <w:tcPr>
            <w:tcW w:w="5" w:type="pct"/>
            <w:shd w:val="clear" w:color="auto" w:fill="auto"/>
            <w:vAlign w:val="bottom"/>
          </w:tcPr>
          <w:p w14:paraId="5DEC63B0" w14:textId="77777777" w:rsidR="00B1578D" w:rsidRDefault="00B1578D">
            <w:pPr>
              <w:rPr>
                <w:rFonts w:ascii="宋体"/>
              </w:rPr>
            </w:pPr>
          </w:p>
        </w:tc>
        <w:tc>
          <w:tcPr>
            <w:tcW w:w="50" w:type="pct"/>
            <w:shd w:val="clear" w:color="auto" w:fill="auto"/>
            <w:vAlign w:val="bottom"/>
          </w:tcPr>
          <w:p w14:paraId="5DEC63B1" w14:textId="77777777" w:rsidR="00B1578D" w:rsidRDefault="00B1578D">
            <w:pPr>
              <w:rPr>
                <w:rFonts w:ascii="宋体"/>
              </w:rPr>
            </w:pPr>
          </w:p>
        </w:tc>
        <w:tc>
          <w:tcPr>
            <w:tcW w:w="522" w:type="pct"/>
            <w:shd w:val="clear" w:color="auto" w:fill="auto"/>
            <w:vAlign w:val="bottom"/>
          </w:tcPr>
          <w:p w14:paraId="5DEC63B2" w14:textId="77777777" w:rsidR="00B1578D" w:rsidRDefault="00B1578D">
            <w:pPr>
              <w:rPr>
                <w:rFonts w:ascii="宋体"/>
              </w:rPr>
            </w:pPr>
          </w:p>
        </w:tc>
        <w:tc>
          <w:tcPr>
            <w:tcW w:w="5" w:type="pct"/>
            <w:shd w:val="clear" w:color="auto" w:fill="auto"/>
            <w:vAlign w:val="bottom"/>
          </w:tcPr>
          <w:p w14:paraId="5DEC63B3" w14:textId="77777777" w:rsidR="00B1578D" w:rsidRDefault="00B1578D">
            <w:pPr>
              <w:rPr>
                <w:rFonts w:ascii="宋体"/>
              </w:rPr>
            </w:pPr>
          </w:p>
        </w:tc>
        <w:tc>
          <w:tcPr>
            <w:tcW w:w="5" w:type="pct"/>
            <w:shd w:val="clear" w:color="auto" w:fill="auto"/>
            <w:vAlign w:val="bottom"/>
          </w:tcPr>
          <w:p w14:paraId="5DEC63B4" w14:textId="77777777" w:rsidR="00B1578D" w:rsidRDefault="00B1578D">
            <w:pPr>
              <w:rPr>
                <w:rFonts w:ascii="宋体"/>
              </w:rPr>
            </w:pPr>
          </w:p>
        </w:tc>
        <w:tc>
          <w:tcPr>
            <w:tcW w:w="26" w:type="pct"/>
            <w:shd w:val="clear" w:color="auto" w:fill="auto"/>
            <w:vAlign w:val="bottom"/>
          </w:tcPr>
          <w:p w14:paraId="5DEC63B5" w14:textId="77777777" w:rsidR="00B1578D" w:rsidRDefault="00B1578D">
            <w:pPr>
              <w:rPr>
                <w:rFonts w:ascii="宋体"/>
              </w:rPr>
            </w:pPr>
          </w:p>
        </w:tc>
        <w:tc>
          <w:tcPr>
            <w:tcW w:w="5" w:type="pct"/>
            <w:shd w:val="clear" w:color="auto" w:fill="auto"/>
            <w:vAlign w:val="bottom"/>
          </w:tcPr>
          <w:p w14:paraId="5DEC63B6" w14:textId="77777777" w:rsidR="00B1578D" w:rsidRDefault="00B1578D">
            <w:pPr>
              <w:rPr>
                <w:rFonts w:ascii="宋体"/>
              </w:rPr>
            </w:pPr>
          </w:p>
        </w:tc>
        <w:tc>
          <w:tcPr>
            <w:tcW w:w="50" w:type="pct"/>
            <w:shd w:val="clear" w:color="auto" w:fill="auto"/>
            <w:vAlign w:val="bottom"/>
          </w:tcPr>
          <w:p w14:paraId="5DEC63B7" w14:textId="77777777" w:rsidR="00B1578D" w:rsidRDefault="00B1578D">
            <w:pPr>
              <w:rPr>
                <w:rFonts w:ascii="宋体"/>
              </w:rPr>
            </w:pPr>
          </w:p>
        </w:tc>
        <w:tc>
          <w:tcPr>
            <w:tcW w:w="522" w:type="pct"/>
            <w:shd w:val="clear" w:color="auto" w:fill="auto"/>
            <w:vAlign w:val="bottom"/>
          </w:tcPr>
          <w:p w14:paraId="5DEC63B8" w14:textId="77777777" w:rsidR="00B1578D" w:rsidRDefault="00B1578D">
            <w:pPr>
              <w:rPr>
                <w:rFonts w:ascii="宋体"/>
              </w:rPr>
            </w:pPr>
          </w:p>
        </w:tc>
        <w:tc>
          <w:tcPr>
            <w:tcW w:w="5" w:type="pct"/>
            <w:shd w:val="clear" w:color="auto" w:fill="auto"/>
            <w:vAlign w:val="bottom"/>
          </w:tcPr>
          <w:p w14:paraId="5DEC63B9" w14:textId="77777777" w:rsidR="00B1578D" w:rsidRDefault="00B1578D">
            <w:pPr>
              <w:rPr>
                <w:rFonts w:ascii="宋体"/>
              </w:rPr>
            </w:pPr>
          </w:p>
        </w:tc>
        <w:tc>
          <w:tcPr>
            <w:tcW w:w="0" w:type="auto"/>
            <w:shd w:val="clear" w:color="auto" w:fill="auto"/>
            <w:vAlign w:val="bottom"/>
          </w:tcPr>
          <w:p w14:paraId="5DEC63BA" w14:textId="77777777" w:rsidR="00B1578D" w:rsidRDefault="00B1578D">
            <w:pPr>
              <w:rPr>
                <w:rFonts w:ascii="宋体"/>
                <w:vanish/>
              </w:rPr>
            </w:pPr>
          </w:p>
        </w:tc>
        <w:tc>
          <w:tcPr>
            <w:tcW w:w="0" w:type="auto"/>
            <w:shd w:val="clear" w:color="auto" w:fill="auto"/>
            <w:vAlign w:val="bottom"/>
          </w:tcPr>
          <w:p w14:paraId="5DEC63BB" w14:textId="77777777" w:rsidR="00B1578D" w:rsidRDefault="00B1578D">
            <w:pPr>
              <w:rPr>
                <w:rFonts w:ascii="宋体"/>
                <w:vanish/>
              </w:rPr>
            </w:pPr>
          </w:p>
        </w:tc>
        <w:tc>
          <w:tcPr>
            <w:tcW w:w="0" w:type="auto"/>
            <w:gridSpan w:val="3"/>
            <w:shd w:val="clear" w:color="auto" w:fill="auto"/>
            <w:vAlign w:val="bottom"/>
          </w:tcPr>
          <w:p w14:paraId="5DEC63BC" w14:textId="77777777" w:rsidR="00B1578D" w:rsidRDefault="00B1578D">
            <w:pPr>
              <w:rPr>
                <w:rFonts w:ascii="宋体"/>
                <w:vanish/>
              </w:rPr>
            </w:pPr>
          </w:p>
        </w:tc>
        <w:tc>
          <w:tcPr>
            <w:tcW w:w="0" w:type="auto"/>
            <w:gridSpan w:val="3"/>
            <w:shd w:val="clear" w:color="auto" w:fill="auto"/>
            <w:vAlign w:val="bottom"/>
          </w:tcPr>
          <w:p w14:paraId="5DEC63BD" w14:textId="77777777" w:rsidR="00B1578D" w:rsidRDefault="00B1578D">
            <w:pPr>
              <w:rPr>
                <w:rFonts w:ascii="宋体"/>
                <w:vanish/>
              </w:rPr>
            </w:pPr>
          </w:p>
        </w:tc>
      </w:tr>
      <w:tr w:rsidR="00B1578D" w14:paraId="5DEC63CA" w14:textId="77777777">
        <w:trPr>
          <w:jc w:val="center"/>
        </w:trPr>
        <w:tc>
          <w:tcPr>
            <w:tcW w:w="0" w:type="auto"/>
            <w:gridSpan w:val="3"/>
            <w:shd w:val="clear" w:color="auto" w:fill="auto"/>
            <w:tcMar>
              <w:top w:w="40" w:type="dxa"/>
              <w:left w:w="20" w:type="dxa"/>
              <w:bottom w:w="40" w:type="dxa"/>
              <w:right w:w="20" w:type="dxa"/>
            </w:tcMar>
            <w:vAlign w:val="bottom"/>
          </w:tcPr>
          <w:p w14:paraId="5DEC63BF"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3C0"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3C1"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3C2" w14:textId="77777777" w:rsidR="00B1578D" w:rsidRDefault="00B1578D">
            <w:pPr>
              <w:rPr>
                <w:rFonts w:ascii="宋体"/>
                <w:vanish/>
              </w:rPr>
            </w:pPr>
          </w:p>
        </w:tc>
        <w:tc>
          <w:tcPr>
            <w:tcW w:w="0" w:type="auto"/>
            <w:shd w:val="clear" w:color="auto" w:fill="auto"/>
            <w:vAlign w:val="bottom"/>
          </w:tcPr>
          <w:p w14:paraId="5DEC63C3" w14:textId="77777777" w:rsidR="00B1578D" w:rsidRDefault="00B1578D">
            <w:pPr>
              <w:rPr>
                <w:rFonts w:ascii="宋体"/>
                <w:vanish/>
              </w:rPr>
            </w:pPr>
          </w:p>
        </w:tc>
        <w:tc>
          <w:tcPr>
            <w:tcW w:w="0" w:type="auto"/>
            <w:shd w:val="clear" w:color="auto" w:fill="auto"/>
            <w:vAlign w:val="bottom"/>
          </w:tcPr>
          <w:p w14:paraId="5DEC63C4" w14:textId="77777777" w:rsidR="00B1578D" w:rsidRDefault="00B1578D">
            <w:pPr>
              <w:rPr>
                <w:rFonts w:ascii="宋体"/>
              </w:rPr>
            </w:pPr>
          </w:p>
        </w:tc>
        <w:tc>
          <w:tcPr>
            <w:tcW w:w="0" w:type="auto"/>
            <w:shd w:val="clear" w:color="auto" w:fill="auto"/>
            <w:vAlign w:val="bottom"/>
          </w:tcPr>
          <w:p w14:paraId="5DEC63C5" w14:textId="77777777" w:rsidR="00B1578D" w:rsidRDefault="00B1578D">
            <w:pPr>
              <w:rPr>
                <w:rFonts w:ascii="宋体"/>
              </w:rPr>
            </w:pPr>
          </w:p>
        </w:tc>
        <w:tc>
          <w:tcPr>
            <w:tcW w:w="0" w:type="auto"/>
            <w:shd w:val="clear" w:color="auto" w:fill="auto"/>
            <w:vAlign w:val="bottom"/>
          </w:tcPr>
          <w:p w14:paraId="5DEC63C6" w14:textId="77777777" w:rsidR="00B1578D" w:rsidRDefault="00B1578D">
            <w:pPr>
              <w:rPr>
                <w:rFonts w:ascii="宋体"/>
              </w:rPr>
            </w:pPr>
          </w:p>
        </w:tc>
        <w:tc>
          <w:tcPr>
            <w:tcW w:w="0" w:type="auto"/>
            <w:shd w:val="clear" w:color="auto" w:fill="auto"/>
            <w:vAlign w:val="bottom"/>
          </w:tcPr>
          <w:p w14:paraId="5DEC63C7" w14:textId="77777777" w:rsidR="00B1578D" w:rsidRDefault="00B1578D">
            <w:pPr>
              <w:rPr>
                <w:rFonts w:ascii="宋体"/>
              </w:rPr>
            </w:pPr>
          </w:p>
        </w:tc>
        <w:tc>
          <w:tcPr>
            <w:tcW w:w="0" w:type="auto"/>
            <w:shd w:val="clear" w:color="auto" w:fill="auto"/>
            <w:vAlign w:val="bottom"/>
          </w:tcPr>
          <w:p w14:paraId="5DEC63C8" w14:textId="77777777" w:rsidR="00B1578D" w:rsidRDefault="00B1578D">
            <w:pPr>
              <w:rPr>
                <w:rFonts w:ascii="宋体"/>
              </w:rPr>
            </w:pPr>
          </w:p>
        </w:tc>
        <w:tc>
          <w:tcPr>
            <w:tcW w:w="0" w:type="auto"/>
            <w:shd w:val="clear" w:color="auto" w:fill="auto"/>
            <w:vAlign w:val="bottom"/>
          </w:tcPr>
          <w:p w14:paraId="5DEC63C9" w14:textId="77777777" w:rsidR="00B1578D" w:rsidRDefault="00B1578D">
            <w:pPr>
              <w:rPr>
                <w:rFonts w:ascii="宋体"/>
              </w:rPr>
            </w:pPr>
          </w:p>
        </w:tc>
      </w:tr>
      <w:tr w:rsidR="00B1578D" w14:paraId="5DEC63D4" w14:textId="77777777">
        <w:trPr>
          <w:jc w:val="center"/>
        </w:trPr>
        <w:tc>
          <w:tcPr>
            <w:tcW w:w="0" w:type="auto"/>
            <w:gridSpan w:val="3"/>
            <w:shd w:val="clear" w:color="auto" w:fill="auto"/>
            <w:tcMar>
              <w:top w:w="40" w:type="dxa"/>
              <w:left w:w="20" w:type="dxa"/>
              <w:bottom w:w="40" w:type="dxa"/>
              <w:right w:w="20" w:type="dxa"/>
            </w:tcMar>
            <w:vAlign w:val="bottom"/>
          </w:tcPr>
          <w:p w14:paraId="5DEC63CB" w14:textId="77777777" w:rsidR="00B1578D" w:rsidRDefault="004D2C04">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vAlign w:val="bottom"/>
          </w:tcPr>
          <w:p w14:paraId="5DEC63C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3CD"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63C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3CF"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3D0" w14:textId="77777777" w:rsidR="00B1578D" w:rsidRDefault="00B1578D">
            <w:pPr>
              <w:rPr>
                <w:rFonts w:ascii="宋体"/>
                <w:vanish/>
              </w:rPr>
            </w:pPr>
          </w:p>
        </w:tc>
        <w:tc>
          <w:tcPr>
            <w:tcW w:w="0" w:type="auto"/>
            <w:shd w:val="clear" w:color="auto" w:fill="auto"/>
            <w:vAlign w:val="bottom"/>
          </w:tcPr>
          <w:p w14:paraId="5DEC63D1" w14:textId="77777777" w:rsidR="00B1578D" w:rsidRDefault="00B1578D">
            <w:pPr>
              <w:rPr>
                <w:rFonts w:ascii="宋体"/>
                <w:vanish/>
              </w:rPr>
            </w:pPr>
          </w:p>
        </w:tc>
        <w:tc>
          <w:tcPr>
            <w:tcW w:w="0" w:type="auto"/>
            <w:gridSpan w:val="3"/>
            <w:shd w:val="clear" w:color="auto" w:fill="auto"/>
            <w:vAlign w:val="bottom"/>
          </w:tcPr>
          <w:p w14:paraId="5DEC63D2" w14:textId="77777777" w:rsidR="00B1578D" w:rsidRDefault="00B1578D">
            <w:pPr>
              <w:rPr>
                <w:rFonts w:ascii="宋体"/>
                <w:vanish/>
              </w:rPr>
            </w:pPr>
          </w:p>
        </w:tc>
        <w:tc>
          <w:tcPr>
            <w:tcW w:w="0" w:type="auto"/>
            <w:gridSpan w:val="3"/>
            <w:shd w:val="clear" w:color="auto" w:fill="auto"/>
            <w:vAlign w:val="bottom"/>
          </w:tcPr>
          <w:p w14:paraId="5DEC63D3" w14:textId="77777777" w:rsidR="00B1578D" w:rsidRDefault="00B1578D">
            <w:pPr>
              <w:rPr>
                <w:rFonts w:ascii="宋体"/>
                <w:vanish/>
              </w:rPr>
            </w:pPr>
          </w:p>
        </w:tc>
      </w:tr>
      <w:tr w:rsidR="00B1578D" w14:paraId="5DEC63E2" w14:textId="77777777">
        <w:trPr>
          <w:jc w:val="center"/>
        </w:trPr>
        <w:tc>
          <w:tcPr>
            <w:tcW w:w="0" w:type="auto"/>
            <w:gridSpan w:val="3"/>
            <w:shd w:val="clear" w:color="auto" w:fill="CCEEFF"/>
            <w:tcMar>
              <w:top w:w="40" w:type="dxa"/>
              <w:left w:w="380" w:type="dxa"/>
              <w:bottom w:w="40" w:type="dxa"/>
              <w:right w:w="20" w:type="dxa"/>
            </w:tcMar>
            <w:vAlign w:val="center"/>
          </w:tcPr>
          <w:p w14:paraId="5DEC63D5" w14:textId="77777777" w:rsidR="00B1578D" w:rsidRDefault="004D2C04">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vAlign w:val="bottom"/>
          </w:tcPr>
          <w:p w14:paraId="5DEC63D6"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3D7"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3D8" w14:textId="77777777" w:rsidR="00B1578D" w:rsidRDefault="004D2C04">
            <w:pPr>
              <w:jc w:val="right"/>
              <w:textAlignment w:val="bottom"/>
            </w:pPr>
            <w:r>
              <w:rPr>
                <w:rFonts w:ascii="Times New Roman" w:eastAsia="宋体" w:hAnsi="Times New Roman"/>
                <w:color w:val="000000"/>
                <w:sz w:val="16"/>
                <w:szCs w:val="16"/>
              </w:rPr>
              <w:t>56,764 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3D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3DA"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3DB"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3DC" w14:textId="77777777" w:rsidR="00B1578D" w:rsidRDefault="004D2C04">
            <w:pPr>
              <w:jc w:val="right"/>
              <w:textAlignment w:val="bottom"/>
            </w:pPr>
            <w:r>
              <w:rPr>
                <w:rFonts w:ascii="Times New Roman" w:eastAsia="宋体" w:hAnsi="Times New Roman"/>
                <w:color w:val="000000"/>
                <w:sz w:val="16"/>
                <w:szCs w:val="16"/>
              </w:rPr>
              <w:t>51,391 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3DD" w14:textId="77777777" w:rsidR="00B1578D" w:rsidRDefault="00B1578D">
            <w:pPr>
              <w:jc w:val="right"/>
              <w:rPr>
                <w:rFonts w:ascii="宋体"/>
              </w:rPr>
            </w:pPr>
          </w:p>
        </w:tc>
        <w:tc>
          <w:tcPr>
            <w:tcW w:w="0" w:type="auto"/>
            <w:shd w:val="clear" w:color="auto" w:fill="auto"/>
            <w:vAlign w:val="bottom"/>
          </w:tcPr>
          <w:p w14:paraId="5DEC63DE" w14:textId="77777777" w:rsidR="00B1578D" w:rsidRDefault="00B1578D">
            <w:pPr>
              <w:rPr>
                <w:rFonts w:ascii="宋体"/>
                <w:vanish/>
              </w:rPr>
            </w:pPr>
          </w:p>
        </w:tc>
        <w:tc>
          <w:tcPr>
            <w:tcW w:w="0" w:type="auto"/>
            <w:shd w:val="clear" w:color="auto" w:fill="auto"/>
            <w:vAlign w:val="bottom"/>
          </w:tcPr>
          <w:p w14:paraId="5DEC63DF" w14:textId="77777777" w:rsidR="00B1578D" w:rsidRDefault="00B1578D">
            <w:pPr>
              <w:rPr>
                <w:rFonts w:ascii="宋体"/>
                <w:vanish/>
              </w:rPr>
            </w:pPr>
          </w:p>
        </w:tc>
        <w:tc>
          <w:tcPr>
            <w:tcW w:w="0" w:type="auto"/>
            <w:gridSpan w:val="3"/>
            <w:shd w:val="clear" w:color="auto" w:fill="auto"/>
            <w:vAlign w:val="bottom"/>
          </w:tcPr>
          <w:p w14:paraId="5DEC63E0" w14:textId="77777777" w:rsidR="00B1578D" w:rsidRDefault="00B1578D">
            <w:pPr>
              <w:rPr>
                <w:rFonts w:ascii="宋体"/>
                <w:vanish/>
              </w:rPr>
            </w:pPr>
          </w:p>
        </w:tc>
        <w:tc>
          <w:tcPr>
            <w:tcW w:w="0" w:type="auto"/>
            <w:gridSpan w:val="3"/>
            <w:shd w:val="clear" w:color="auto" w:fill="auto"/>
            <w:vAlign w:val="bottom"/>
          </w:tcPr>
          <w:p w14:paraId="5DEC63E1" w14:textId="77777777" w:rsidR="00B1578D" w:rsidRDefault="00B1578D">
            <w:pPr>
              <w:rPr>
                <w:rFonts w:ascii="宋体"/>
                <w:vanish/>
              </w:rPr>
            </w:pPr>
          </w:p>
        </w:tc>
      </w:tr>
      <w:tr w:rsidR="00B1578D" w14:paraId="5DEC63EE" w14:textId="77777777">
        <w:trPr>
          <w:jc w:val="center"/>
        </w:trPr>
        <w:tc>
          <w:tcPr>
            <w:tcW w:w="0" w:type="auto"/>
            <w:gridSpan w:val="3"/>
            <w:shd w:val="clear" w:color="auto" w:fill="FFFFFF"/>
            <w:tcMar>
              <w:top w:w="40" w:type="dxa"/>
              <w:left w:w="380" w:type="dxa"/>
              <w:bottom w:w="40" w:type="dxa"/>
              <w:right w:w="20" w:type="dxa"/>
            </w:tcMar>
            <w:vAlign w:val="bottom"/>
          </w:tcPr>
          <w:p w14:paraId="5DEC63E3" w14:textId="77777777" w:rsidR="00B1578D" w:rsidRDefault="004D2C04">
            <w:pPr>
              <w:textAlignment w:val="bottom"/>
            </w:pPr>
            <w:r>
              <w:rPr>
                <w:rFonts w:ascii="Times New Roman" w:eastAsia="宋体" w:hAnsi="Times New Roman"/>
                <w:color w:val="000000"/>
                <w:sz w:val="16"/>
                <w:szCs w:val="16"/>
              </w:rPr>
              <w:t>G</w:t>
            </w:r>
            <w:r>
              <w:rPr>
                <w:rFonts w:ascii="Times New Roman" w:eastAsia="宋体" w:hAnsi="Times New Roman"/>
                <w:color w:val="000000"/>
                <w:sz w:val="16"/>
                <w:szCs w:val="16"/>
              </w:rPr>
              <w:t>eneral merchandise</w:t>
            </w:r>
          </w:p>
        </w:tc>
        <w:tc>
          <w:tcPr>
            <w:tcW w:w="0" w:type="auto"/>
            <w:gridSpan w:val="3"/>
            <w:shd w:val="clear" w:color="auto" w:fill="FFFFFF"/>
            <w:tcMar>
              <w:top w:w="0" w:type="dxa"/>
              <w:left w:w="20" w:type="dxa"/>
              <w:bottom w:w="0" w:type="dxa"/>
              <w:right w:w="20" w:type="dxa"/>
            </w:tcMar>
            <w:vAlign w:val="bottom"/>
          </w:tcPr>
          <w:p w14:paraId="5DEC63E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3E5" w14:textId="77777777" w:rsidR="00B1578D" w:rsidRDefault="004D2C04">
            <w:pPr>
              <w:jc w:val="right"/>
              <w:textAlignment w:val="bottom"/>
            </w:pPr>
            <w:r>
              <w:rPr>
                <w:rFonts w:ascii="Times New Roman" w:eastAsia="宋体" w:hAnsi="Times New Roman"/>
                <w:color w:val="000000"/>
                <w:sz w:val="16"/>
                <w:szCs w:val="16"/>
              </w:rPr>
              <w:t>27,379 </w:t>
            </w:r>
          </w:p>
        </w:tc>
        <w:tc>
          <w:tcPr>
            <w:tcW w:w="0" w:type="auto"/>
            <w:shd w:val="clear" w:color="auto" w:fill="FFFFFF"/>
            <w:tcMar>
              <w:top w:w="40" w:type="dxa"/>
              <w:left w:w="0" w:type="dxa"/>
              <w:bottom w:w="40" w:type="dxa"/>
              <w:right w:w="20" w:type="dxa"/>
            </w:tcMar>
            <w:vAlign w:val="bottom"/>
          </w:tcPr>
          <w:p w14:paraId="5DEC63E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3E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3E8" w14:textId="77777777" w:rsidR="00B1578D" w:rsidRDefault="004D2C04">
            <w:pPr>
              <w:jc w:val="right"/>
              <w:textAlignment w:val="bottom"/>
            </w:pPr>
            <w:r>
              <w:rPr>
                <w:rFonts w:ascii="Times New Roman" w:eastAsia="宋体" w:hAnsi="Times New Roman"/>
                <w:color w:val="000000"/>
                <w:sz w:val="16"/>
                <w:szCs w:val="16"/>
              </w:rPr>
              <w:t>30,607 </w:t>
            </w:r>
          </w:p>
        </w:tc>
        <w:tc>
          <w:tcPr>
            <w:tcW w:w="0" w:type="auto"/>
            <w:shd w:val="clear" w:color="auto" w:fill="FFFFFF"/>
            <w:tcMar>
              <w:top w:w="40" w:type="dxa"/>
              <w:left w:w="0" w:type="dxa"/>
              <w:bottom w:w="40" w:type="dxa"/>
              <w:right w:w="20" w:type="dxa"/>
            </w:tcMar>
            <w:vAlign w:val="bottom"/>
          </w:tcPr>
          <w:p w14:paraId="5DEC63E9" w14:textId="77777777" w:rsidR="00B1578D" w:rsidRDefault="00B1578D">
            <w:pPr>
              <w:jc w:val="right"/>
              <w:rPr>
                <w:rFonts w:ascii="宋体"/>
              </w:rPr>
            </w:pPr>
          </w:p>
        </w:tc>
        <w:tc>
          <w:tcPr>
            <w:tcW w:w="0" w:type="auto"/>
            <w:shd w:val="clear" w:color="auto" w:fill="auto"/>
            <w:vAlign w:val="bottom"/>
          </w:tcPr>
          <w:p w14:paraId="5DEC63EA" w14:textId="77777777" w:rsidR="00B1578D" w:rsidRDefault="00B1578D">
            <w:pPr>
              <w:rPr>
                <w:rFonts w:ascii="宋体"/>
                <w:vanish/>
              </w:rPr>
            </w:pPr>
          </w:p>
        </w:tc>
        <w:tc>
          <w:tcPr>
            <w:tcW w:w="0" w:type="auto"/>
            <w:shd w:val="clear" w:color="auto" w:fill="auto"/>
            <w:vAlign w:val="bottom"/>
          </w:tcPr>
          <w:p w14:paraId="5DEC63EB" w14:textId="77777777" w:rsidR="00B1578D" w:rsidRDefault="00B1578D">
            <w:pPr>
              <w:rPr>
                <w:rFonts w:ascii="宋体"/>
                <w:vanish/>
              </w:rPr>
            </w:pPr>
          </w:p>
        </w:tc>
        <w:tc>
          <w:tcPr>
            <w:tcW w:w="0" w:type="auto"/>
            <w:gridSpan w:val="3"/>
            <w:shd w:val="clear" w:color="auto" w:fill="auto"/>
            <w:vAlign w:val="bottom"/>
          </w:tcPr>
          <w:p w14:paraId="5DEC63EC" w14:textId="77777777" w:rsidR="00B1578D" w:rsidRDefault="00B1578D">
            <w:pPr>
              <w:rPr>
                <w:rFonts w:ascii="宋体"/>
                <w:vanish/>
              </w:rPr>
            </w:pPr>
          </w:p>
        </w:tc>
        <w:tc>
          <w:tcPr>
            <w:tcW w:w="0" w:type="auto"/>
            <w:gridSpan w:val="3"/>
            <w:shd w:val="clear" w:color="auto" w:fill="auto"/>
            <w:vAlign w:val="bottom"/>
          </w:tcPr>
          <w:p w14:paraId="5DEC63ED" w14:textId="77777777" w:rsidR="00B1578D" w:rsidRDefault="00B1578D">
            <w:pPr>
              <w:rPr>
                <w:rFonts w:ascii="宋体"/>
                <w:vanish/>
              </w:rPr>
            </w:pPr>
          </w:p>
        </w:tc>
      </w:tr>
      <w:tr w:rsidR="00B1578D" w14:paraId="5DEC63FA" w14:textId="77777777">
        <w:trPr>
          <w:jc w:val="center"/>
        </w:trPr>
        <w:tc>
          <w:tcPr>
            <w:tcW w:w="0" w:type="auto"/>
            <w:gridSpan w:val="3"/>
            <w:shd w:val="clear" w:color="auto" w:fill="CCEEFF"/>
            <w:tcMar>
              <w:top w:w="40" w:type="dxa"/>
              <w:left w:w="380" w:type="dxa"/>
              <w:bottom w:w="40" w:type="dxa"/>
              <w:right w:w="20" w:type="dxa"/>
            </w:tcMar>
            <w:vAlign w:val="bottom"/>
          </w:tcPr>
          <w:p w14:paraId="5DEC63EF" w14:textId="77777777" w:rsidR="00B1578D" w:rsidRDefault="004D2C04">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vAlign w:val="bottom"/>
          </w:tcPr>
          <w:p w14:paraId="5DEC63F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bottom"/>
          </w:tcPr>
          <w:p w14:paraId="5DEC63F1" w14:textId="77777777" w:rsidR="00B1578D" w:rsidRDefault="004D2C04">
            <w:pPr>
              <w:jc w:val="right"/>
              <w:textAlignment w:val="bottom"/>
            </w:pPr>
            <w:r>
              <w:rPr>
                <w:rFonts w:ascii="Times New Roman" w:eastAsia="宋体" w:hAnsi="Times New Roman"/>
                <w:color w:val="000000"/>
                <w:sz w:val="16"/>
                <w:szCs w:val="16"/>
              </w:rPr>
              <w:t>10,894 </w:t>
            </w:r>
          </w:p>
        </w:tc>
        <w:tc>
          <w:tcPr>
            <w:tcW w:w="0" w:type="auto"/>
            <w:shd w:val="clear" w:color="auto" w:fill="CCEEFF"/>
            <w:tcMar>
              <w:top w:w="40" w:type="dxa"/>
              <w:left w:w="0" w:type="dxa"/>
              <w:bottom w:w="40" w:type="dxa"/>
              <w:right w:w="20" w:type="dxa"/>
            </w:tcMar>
            <w:vAlign w:val="bottom"/>
          </w:tcPr>
          <w:p w14:paraId="5DEC63F2"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3F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bottom"/>
          </w:tcPr>
          <w:p w14:paraId="5DEC63F4" w14:textId="77777777" w:rsidR="00B1578D" w:rsidRDefault="004D2C04">
            <w:pPr>
              <w:jc w:val="right"/>
              <w:textAlignment w:val="bottom"/>
            </w:pPr>
            <w:r>
              <w:rPr>
                <w:rFonts w:ascii="Times New Roman" w:eastAsia="宋体" w:hAnsi="Times New Roman"/>
                <w:color w:val="000000"/>
                <w:sz w:val="16"/>
                <w:szCs w:val="16"/>
              </w:rPr>
              <w:t>9,970 </w:t>
            </w:r>
          </w:p>
        </w:tc>
        <w:tc>
          <w:tcPr>
            <w:tcW w:w="0" w:type="auto"/>
            <w:shd w:val="clear" w:color="auto" w:fill="CCEEFF"/>
            <w:tcMar>
              <w:top w:w="40" w:type="dxa"/>
              <w:left w:w="0" w:type="dxa"/>
              <w:bottom w:w="40" w:type="dxa"/>
              <w:right w:w="20" w:type="dxa"/>
            </w:tcMar>
            <w:vAlign w:val="bottom"/>
          </w:tcPr>
          <w:p w14:paraId="5DEC63F5" w14:textId="77777777" w:rsidR="00B1578D" w:rsidRDefault="00B1578D">
            <w:pPr>
              <w:jc w:val="right"/>
              <w:rPr>
                <w:rFonts w:ascii="宋体"/>
              </w:rPr>
            </w:pPr>
          </w:p>
        </w:tc>
        <w:tc>
          <w:tcPr>
            <w:tcW w:w="0" w:type="auto"/>
            <w:shd w:val="clear" w:color="auto" w:fill="auto"/>
            <w:vAlign w:val="bottom"/>
          </w:tcPr>
          <w:p w14:paraId="5DEC63F6" w14:textId="77777777" w:rsidR="00B1578D" w:rsidRDefault="00B1578D">
            <w:pPr>
              <w:rPr>
                <w:rFonts w:ascii="宋体"/>
                <w:vanish/>
              </w:rPr>
            </w:pPr>
          </w:p>
        </w:tc>
        <w:tc>
          <w:tcPr>
            <w:tcW w:w="0" w:type="auto"/>
            <w:shd w:val="clear" w:color="auto" w:fill="auto"/>
            <w:vAlign w:val="bottom"/>
          </w:tcPr>
          <w:p w14:paraId="5DEC63F7" w14:textId="77777777" w:rsidR="00B1578D" w:rsidRDefault="00B1578D">
            <w:pPr>
              <w:rPr>
                <w:rFonts w:ascii="宋体"/>
                <w:vanish/>
              </w:rPr>
            </w:pPr>
          </w:p>
        </w:tc>
        <w:tc>
          <w:tcPr>
            <w:tcW w:w="0" w:type="auto"/>
            <w:gridSpan w:val="3"/>
            <w:shd w:val="clear" w:color="auto" w:fill="auto"/>
            <w:vAlign w:val="bottom"/>
          </w:tcPr>
          <w:p w14:paraId="5DEC63F8" w14:textId="77777777" w:rsidR="00B1578D" w:rsidRDefault="00B1578D">
            <w:pPr>
              <w:rPr>
                <w:rFonts w:ascii="宋体"/>
                <w:vanish/>
              </w:rPr>
            </w:pPr>
          </w:p>
        </w:tc>
        <w:tc>
          <w:tcPr>
            <w:tcW w:w="0" w:type="auto"/>
            <w:gridSpan w:val="3"/>
            <w:shd w:val="clear" w:color="auto" w:fill="auto"/>
            <w:vAlign w:val="bottom"/>
          </w:tcPr>
          <w:p w14:paraId="5DEC63F9" w14:textId="77777777" w:rsidR="00B1578D" w:rsidRDefault="00B1578D">
            <w:pPr>
              <w:rPr>
                <w:rFonts w:ascii="宋体"/>
                <w:vanish/>
              </w:rPr>
            </w:pPr>
          </w:p>
        </w:tc>
      </w:tr>
      <w:tr w:rsidR="00B1578D" w14:paraId="5DEC6406" w14:textId="77777777">
        <w:trPr>
          <w:jc w:val="center"/>
        </w:trPr>
        <w:tc>
          <w:tcPr>
            <w:tcW w:w="0" w:type="auto"/>
            <w:gridSpan w:val="3"/>
            <w:shd w:val="clear" w:color="auto" w:fill="FFFFFF"/>
            <w:tcMar>
              <w:top w:w="40" w:type="dxa"/>
              <w:left w:w="380" w:type="dxa"/>
              <w:bottom w:w="40" w:type="dxa"/>
              <w:right w:w="20" w:type="dxa"/>
            </w:tcMar>
            <w:vAlign w:val="bottom"/>
          </w:tcPr>
          <w:p w14:paraId="5DEC63FB" w14:textId="77777777" w:rsidR="00B1578D" w:rsidRDefault="004D2C04">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vAlign w:val="bottom"/>
          </w:tcPr>
          <w:p w14:paraId="5DEC63F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3FD" w14:textId="77777777" w:rsidR="00B1578D" w:rsidRDefault="004D2C04">
            <w:pPr>
              <w:jc w:val="right"/>
              <w:textAlignment w:val="bottom"/>
            </w:pPr>
            <w:r>
              <w:rPr>
                <w:rFonts w:ascii="Times New Roman" w:eastAsia="宋体" w:hAnsi="Times New Roman"/>
                <w:color w:val="000000"/>
                <w:sz w:val="16"/>
                <w:szCs w:val="16"/>
              </w:rPr>
              <w:t>1,867 </w:t>
            </w:r>
          </w:p>
        </w:tc>
        <w:tc>
          <w:tcPr>
            <w:tcW w:w="0" w:type="auto"/>
            <w:shd w:val="clear" w:color="auto" w:fill="FFFFFF"/>
            <w:tcMar>
              <w:top w:w="40" w:type="dxa"/>
              <w:left w:w="0" w:type="dxa"/>
              <w:bottom w:w="40" w:type="dxa"/>
              <w:right w:w="20" w:type="dxa"/>
            </w:tcMar>
            <w:vAlign w:val="bottom"/>
          </w:tcPr>
          <w:p w14:paraId="5DEC63F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3F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400" w14:textId="77777777" w:rsidR="00B1578D" w:rsidRDefault="004D2C04">
            <w:pPr>
              <w:jc w:val="right"/>
              <w:textAlignment w:val="bottom"/>
            </w:pPr>
            <w:r>
              <w:rPr>
                <w:rFonts w:ascii="Times New Roman" w:eastAsia="宋体" w:hAnsi="Times New Roman"/>
                <w:color w:val="000000"/>
                <w:sz w:val="16"/>
                <w:szCs w:val="16"/>
              </w:rPr>
              <w:t>1,199 </w:t>
            </w:r>
          </w:p>
        </w:tc>
        <w:tc>
          <w:tcPr>
            <w:tcW w:w="0" w:type="auto"/>
            <w:shd w:val="clear" w:color="auto" w:fill="FFFFFF"/>
            <w:tcMar>
              <w:top w:w="40" w:type="dxa"/>
              <w:left w:w="0" w:type="dxa"/>
              <w:bottom w:w="40" w:type="dxa"/>
              <w:right w:w="20" w:type="dxa"/>
            </w:tcMar>
            <w:vAlign w:val="bottom"/>
          </w:tcPr>
          <w:p w14:paraId="5DEC6401" w14:textId="77777777" w:rsidR="00B1578D" w:rsidRDefault="00B1578D">
            <w:pPr>
              <w:jc w:val="right"/>
              <w:rPr>
                <w:rFonts w:ascii="宋体"/>
              </w:rPr>
            </w:pPr>
          </w:p>
        </w:tc>
        <w:tc>
          <w:tcPr>
            <w:tcW w:w="0" w:type="auto"/>
            <w:shd w:val="clear" w:color="auto" w:fill="auto"/>
            <w:vAlign w:val="bottom"/>
          </w:tcPr>
          <w:p w14:paraId="5DEC6402" w14:textId="77777777" w:rsidR="00B1578D" w:rsidRDefault="00B1578D">
            <w:pPr>
              <w:rPr>
                <w:rFonts w:ascii="宋体"/>
                <w:vanish/>
              </w:rPr>
            </w:pPr>
          </w:p>
        </w:tc>
        <w:tc>
          <w:tcPr>
            <w:tcW w:w="0" w:type="auto"/>
            <w:shd w:val="clear" w:color="auto" w:fill="auto"/>
            <w:vAlign w:val="bottom"/>
          </w:tcPr>
          <w:p w14:paraId="5DEC6403" w14:textId="77777777" w:rsidR="00B1578D" w:rsidRDefault="00B1578D">
            <w:pPr>
              <w:rPr>
                <w:rFonts w:ascii="宋体"/>
                <w:vanish/>
              </w:rPr>
            </w:pPr>
          </w:p>
        </w:tc>
        <w:tc>
          <w:tcPr>
            <w:tcW w:w="0" w:type="auto"/>
            <w:gridSpan w:val="3"/>
            <w:shd w:val="clear" w:color="auto" w:fill="auto"/>
            <w:vAlign w:val="bottom"/>
          </w:tcPr>
          <w:p w14:paraId="5DEC6404" w14:textId="77777777" w:rsidR="00B1578D" w:rsidRDefault="00B1578D">
            <w:pPr>
              <w:rPr>
                <w:rFonts w:ascii="宋体"/>
                <w:vanish/>
              </w:rPr>
            </w:pPr>
          </w:p>
        </w:tc>
        <w:tc>
          <w:tcPr>
            <w:tcW w:w="0" w:type="auto"/>
            <w:gridSpan w:val="3"/>
            <w:shd w:val="clear" w:color="auto" w:fill="auto"/>
            <w:vAlign w:val="bottom"/>
          </w:tcPr>
          <w:p w14:paraId="5DEC6405" w14:textId="77777777" w:rsidR="00B1578D" w:rsidRDefault="00B1578D">
            <w:pPr>
              <w:rPr>
                <w:rFonts w:ascii="宋体"/>
                <w:vanish/>
              </w:rPr>
            </w:pPr>
          </w:p>
        </w:tc>
      </w:tr>
      <w:tr w:rsidR="00B1578D" w14:paraId="5DEC6414" w14:textId="77777777">
        <w:trPr>
          <w:jc w:val="center"/>
        </w:trPr>
        <w:tc>
          <w:tcPr>
            <w:tcW w:w="0" w:type="auto"/>
            <w:gridSpan w:val="3"/>
            <w:shd w:val="clear" w:color="auto" w:fill="CCEEFF"/>
            <w:tcMar>
              <w:top w:w="40" w:type="dxa"/>
              <w:left w:w="20" w:type="dxa"/>
              <w:bottom w:w="40" w:type="dxa"/>
              <w:right w:w="20" w:type="dxa"/>
            </w:tcMar>
            <w:vAlign w:val="bottom"/>
          </w:tcPr>
          <w:p w14:paraId="5DEC6407" w14:textId="77777777" w:rsidR="00B1578D" w:rsidRDefault="004D2C04">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5DEC6408"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DEC6409"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DEC640A" w14:textId="77777777" w:rsidR="00B1578D" w:rsidRDefault="004D2C04">
            <w:pPr>
              <w:jc w:val="right"/>
              <w:textAlignment w:val="bottom"/>
            </w:pPr>
            <w:r>
              <w:rPr>
                <w:rFonts w:ascii="Times New Roman" w:eastAsia="宋体" w:hAnsi="Times New Roman"/>
                <w:color w:val="000000"/>
                <w:sz w:val="16"/>
                <w:szCs w:val="16"/>
              </w:rPr>
              <w:t>96,904 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DEC640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40C"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DEC640D"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DEC640E" w14:textId="77777777" w:rsidR="00B1578D" w:rsidRDefault="004D2C04">
            <w:pPr>
              <w:jc w:val="right"/>
              <w:textAlignment w:val="bottom"/>
            </w:pPr>
            <w:r>
              <w:rPr>
                <w:rFonts w:ascii="Times New Roman" w:eastAsia="宋体" w:hAnsi="Times New Roman"/>
                <w:color w:val="000000"/>
                <w:sz w:val="16"/>
                <w:szCs w:val="16"/>
              </w:rPr>
              <w:t>93,167 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DEC640F" w14:textId="77777777" w:rsidR="00B1578D" w:rsidRDefault="00B1578D">
            <w:pPr>
              <w:jc w:val="right"/>
              <w:rPr>
                <w:rFonts w:ascii="宋体"/>
              </w:rPr>
            </w:pPr>
          </w:p>
        </w:tc>
        <w:tc>
          <w:tcPr>
            <w:tcW w:w="0" w:type="auto"/>
            <w:shd w:val="clear" w:color="auto" w:fill="auto"/>
            <w:vAlign w:val="bottom"/>
          </w:tcPr>
          <w:p w14:paraId="5DEC6410" w14:textId="77777777" w:rsidR="00B1578D" w:rsidRDefault="00B1578D">
            <w:pPr>
              <w:rPr>
                <w:rFonts w:ascii="宋体"/>
                <w:vanish/>
              </w:rPr>
            </w:pPr>
          </w:p>
        </w:tc>
        <w:tc>
          <w:tcPr>
            <w:tcW w:w="0" w:type="auto"/>
            <w:shd w:val="clear" w:color="auto" w:fill="auto"/>
            <w:vAlign w:val="bottom"/>
          </w:tcPr>
          <w:p w14:paraId="5DEC6411" w14:textId="77777777" w:rsidR="00B1578D" w:rsidRDefault="00B1578D">
            <w:pPr>
              <w:rPr>
                <w:rFonts w:ascii="宋体"/>
                <w:vanish/>
              </w:rPr>
            </w:pPr>
          </w:p>
        </w:tc>
        <w:tc>
          <w:tcPr>
            <w:tcW w:w="0" w:type="auto"/>
            <w:gridSpan w:val="3"/>
            <w:shd w:val="clear" w:color="auto" w:fill="auto"/>
            <w:vAlign w:val="bottom"/>
          </w:tcPr>
          <w:p w14:paraId="5DEC6412" w14:textId="77777777" w:rsidR="00B1578D" w:rsidRDefault="00B1578D">
            <w:pPr>
              <w:rPr>
                <w:rFonts w:ascii="宋体"/>
                <w:vanish/>
              </w:rPr>
            </w:pPr>
          </w:p>
        </w:tc>
        <w:tc>
          <w:tcPr>
            <w:tcW w:w="0" w:type="auto"/>
            <w:gridSpan w:val="3"/>
            <w:shd w:val="clear" w:color="auto" w:fill="auto"/>
            <w:vAlign w:val="bottom"/>
          </w:tcPr>
          <w:p w14:paraId="5DEC6413" w14:textId="77777777" w:rsidR="00B1578D" w:rsidRDefault="00B1578D">
            <w:pPr>
              <w:rPr>
                <w:rFonts w:ascii="宋体"/>
                <w:vanish/>
              </w:rPr>
            </w:pPr>
          </w:p>
        </w:tc>
      </w:tr>
    </w:tbl>
    <w:p w14:paraId="5DEC6415" w14:textId="77777777" w:rsidR="00B1578D" w:rsidRDefault="004D2C04">
      <w:pPr>
        <w:spacing w:before="80"/>
      </w:pPr>
      <w:r>
        <w:rPr>
          <w:rFonts w:ascii="Times New Roman" w:eastAsia="宋体" w:hAnsi="Times New Roman"/>
          <w:color w:val="000000"/>
          <w:sz w:val="20"/>
          <w:szCs w:val="20"/>
        </w:rPr>
        <w:t>Of Walmart U.S.'s total net sales, approximately $11.4 billion and $11.3 billion related to eCommerce for the three months ended April 30,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1"/>
        <w:gridCol w:w="5946"/>
        <w:gridCol w:w="37"/>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B1578D" w14:paraId="5DEC6429" w14:textId="77777777">
        <w:tc>
          <w:tcPr>
            <w:tcW w:w="50" w:type="pct"/>
            <w:shd w:val="clear" w:color="auto" w:fill="auto"/>
            <w:vAlign w:val="bottom"/>
          </w:tcPr>
          <w:p w14:paraId="5DEC6416" w14:textId="77777777" w:rsidR="00B1578D" w:rsidRDefault="00B1578D">
            <w:pPr>
              <w:rPr>
                <w:rFonts w:ascii="宋体"/>
              </w:rPr>
            </w:pPr>
          </w:p>
        </w:tc>
        <w:tc>
          <w:tcPr>
            <w:tcW w:w="3716" w:type="pct"/>
            <w:shd w:val="clear" w:color="auto" w:fill="auto"/>
            <w:vAlign w:val="bottom"/>
          </w:tcPr>
          <w:p w14:paraId="5DEC6417" w14:textId="77777777" w:rsidR="00B1578D" w:rsidRDefault="00B1578D">
            <w:pPr>
              <w:rPr>
                <w:rFonts w:ascii="宋体"/>
              </w:rPr>
            </w:pPr>
          </w:p>
        </w:tc>
        <w:tc>
          <w:tcPr>
            <w:tcW w:w="5" w:type="pct"/>
            <w:shd w:val="clear" w:color="auto" w:fill="auto"/>
            <w:vAlign w:val="bottom"/>
          </w:tcPr>
          <w:p w14:paraId="5DEC6418" w14:textId="77777777" w:rsidR="00B1578D" w:rsidRDefault="00B1578D">
            <w:pPr>
              <w:rPr>
                <w:rFonts w:ascii="宋体"/>
              </w:rPr>
            </w:pPr>
          </w:p>
        </w:tc>
        <w:tc>
          <w:tcPr>
            <w:tcW w:w="5" w:type="pct"/>
            <w:shd w:val="clear" w:color="auto" w:fill="auto"/>
            <w:vAlign w:val="bottom"/>
          </w:tcPr>
          <w:p w14:paraId="5DEC6419" w14:textId="77777777" w:rsidR="00B1578D" w:rsidRDefault="00B1578D">
            <w:pPr>
              <w:rPr>
                <w:rFonts w:ascii="宋体"/>
              </w:rPr>
            </w:pPr>
          </w:p>
        </w:tc>
        <w:tc>
          <w:tcPr>
            <w:tcW w:w="26" w:type="pct"/>
            <w:shd w:val="clear" w:color="auto" w:fill="auto"/>
            <w:vAlign w:val="bottom"/>
          </w:tcPr>
          <w:p w14:paraId="5DEC641A" w14:textId="77777777" w:rsidR="00B1578D" w:rsidRDefault="00B1578D">
            <w:pPr>
              <w:rPr>
                <w:rFonts w:ascii="宋体"/>
              </w:rPr>
            </w:pPr>
          </w:p>
        </w:tc>
        <w:tc>
          <w:tcPr>
            <w:tcW w:w="5" w:type="pct"/>
            <w:shd w:val="clear" w:color="auto" w:fill="auto"/>
            <w:vAlign w:val="bottom"/>
          </w:tcPr>
          <w:p w14:paraId="5DEC641B" w14:textId="77777777" w:rsidR="00B1578D" w:rsidRDefault="00B1578D">
            <w:pPr>
              <w:rPr>
                <w:rFonts w:ascii="宋体"/>
              </w:rPr>
            </w:pPr>
          </w:p>
        </w:tc>
        <w:tc>
          <w:tcPr>
            <w:tcW w:w="50" w:type="pct"/>
            <w:shd w:val="clear" w:color="auto" w:fill="auto"/>
            <w:vAlign w:val="bottom"/>
          </w:tcPr>
          <w:p w14:paraId="5DEC641C" w14:textId="77777777" w:rsidR="00B1578D" w:rsidRDefault="00B1578D">
            <w:pPr>
              <w:rPr>
                <w:rFonts w:ascii="宋体"/>
              </w:rPr>
            </w:pPr>
          </w:p>
        </w:tc>
        <w:tc>
          <w:tcPr>
            <w:tcW w:w="522" w:type="pct"/>
            <w:shd w:val="clear" w:color="auto" w:fill="auto"/>
            <w:vAlign w:val="bottom"/>
          </w:tcPr>
          <w:p w14:paraId="5DEC641D" w14:textId="77777777" w:rsidR="00B1578D" w:rsidRDefault="00B1578D">
            <w:pPr>
              <w:rPr>
                <w:rFonts w:ascii="宋体"/>
              </w:rPr>
            </w:pPr>
          </w:p>
        </w:tc>
        <w:tc>
          <w:tcPr>
            <w:tcW w:w="5" w:type="pct"/>
            <w:shd w:val="clear" w:color="auto" w:fill="auto"/>
            <w:vAlign w:val="bottom"/>
          </w:tcPr>
          <w:p w14:paraId="5DEC641E" w14:textId="77777777" w:rsidR="00B1578D" w:rsidRDefault="00B1578D">
            <w:pPr>
              <w:rPr>
                <w:rFonts w:ascii="宋体"/>
              </w:rPr>
            </w:pPr>
          </w:p>
        </w:tc>
        <w:tc>
          <w:tcPr>
            <w:tcW w:w="5" w:type="pct"/>
            <w:shd w:val="clear" w:color="auto" w:fill="auto"/>
            <w:vAlign w:val="bottom"/>
          </w:tcPr>
          <w:p w14:paraId="5DEC641F" w14:textId="77777777" w:rsidR="00B1578D" w:rsidRDefault="00B1578D">
            <w:pPr>
              <w:rPr>
                <w:rFonts w:ascii="宋体"/>
              </w:rPr>
            </w:pPr>
          </w:p>
        </w:tc>
        <w:tc>
          <w:tcPr>
            <w:tcW w:w="26" w:type="pct"/>
            <w:shd w:val="clear" w:color="auto" w:fill="auto"/>
            <w:vAlign w:val="bottom"/>
          </w:tcPr>
          <w:p w14:paraId="5DEC6420" w14:textId="77777777" w:rsidR="00B1578D" w:rsidRDefault="00B1578D">
            <w:pPr>
              <w:rPr>
                <w:rFonts w:ascii="宋体"/>
              </w:rPr>
            </w:pPr>
          </w:p>
        </w:tc>
        <w:tc>
          <w:tcPr>
            <w:tcW w:w="5" w:type="pct"/>
            <w:shd w:val="clear" w:color="auto" w:fill="auto"/>
            <w:vAlign w:val="bottom"/>
          </w:tcPr>
          <w:p w14:paraId="5DEC6421" w14:textId="77777777" w:rsidR="00B1578D" w:rsidRDefault="00B1578D">
            <w:pPr>
              <w:rPr>
                <w:rFonts w:ascii="宋体"/>
              </w:rPr>
            </w:pPr>
          </w:p>
        </w:tc>
        <w:tc>
          <w:tcPr>
            <w:tcW w:w="50" w:type="pct"/>
            <w:shd w:val="clear" w:color="auto" w:fill="auto"/>
            <w:vAlign w:val="bottom"/>
          </w:tcPr>
          <w:p w14:paraId="5DEC6422" w14:textId="77777777" w:rsidR="00B1578D" w:rsidRDefault="00B1578D">
            <w:pPr>
              <w:rPr>
                <w:rFonts w:ascii="宋体"/>
              </w:rPr>
            </w:pPr>
          </w:p>
        </w:tc>
        <w:tc>
          <w:tcPr>
            <w:tcW w:w="522" w:type="pct"/>
            <w:shd w:val="clear" w:color="auto" w:fill="auto"/>
            <w:vAlign w:val="bottom"/>
          </w:tcPr>
          <w:p w14:paraId="5DEC6423" w14:textId="77777777" w:rsidR="00B1578D" w:rsidRDefault="00B1578D">
            <w:pPr>
              <w:rPr>
                <w:rFonts w:ascii="宋体"/>
              </w:rPr>
            </w:pPr>
          </w:p>
        </w:tc>
        <w:tc>
          <w:tcPr>
            <w:tcW w:w="5" w:type="pct"/>
            <w:shd w:val="clear" w:color="auto" w:fill="auto"/>
            <w:vAlign w:val="bottom"/>
          </w:tcPr>
          <w:p w14:paraId="5DEC6424" w14:textId="77777777" w:rsidR="00B1578D" w:rsidRDefault="00B1578D">
            <w:pPr>
              <w:rPr>
                <w:rFonts w:ascii="宋体"/>
              </w:rPr>
            </w:pPr>
          </w:p>
        </w:tc>
        <w:tc>
          <w:tcPr>
            <w:tcW w:w="0" w:type="auto"/>
            <w:shd w:val="clear" w:color="auto" w:fill="auto"/>
            <w:vAlign w:val="bottom"/>
          </w:tcPr>
          <w:p w14:paraId="5DEC6425" w14:textId="77777777" w:rsidR="00B1578D" w:rsidRDefault="00B1578D">
            <w:pPr>
              <w:rPr>
                <w:rFonts w:ascii="宋体"/>
                <w:vanish/>
              </w:rPr>
            </w:pPr>
          </w:p>
        </w:tc>
        <w:tc>
          <w:tcPr>
            <w:tcW w:w="0" w:type="auto"/>
            <w:shd w:val="clear" w:color="auto" w:fill="auto"/>
            <w:vAlign w:val="bottom"/>
          </w:tcPr>
          <w:p w14:paraId="5DEC6426" w14:textId="77777777" w:rsidR="00B1578D" w:rsidRDefault="00B1578D">
            <w:pPr>
              <w:rPr>
                <w:rFonts w:ascii="宋体"/>
                <w:vanish/>
              </w:rPr>
            </w:pPr>
          </w:p>
        </w:tc>
        <w:tc>
          <w:tcPr>
            <w:tcW w:w="0" w:type="auto"/>
            <w:gridSpan w:val="3"/>
            <w:shd w:val="clear" w:color="auto" w:fill="auto"/>
            <w:vAlign w:val="bottom"/>
          </w:tcPr>
          <w:p w14:paraId="5DEC6427" w14:textId="77777777" w:rsidR="00B1578D" w:rsidRDefault="00B1578D">
            <w:pPr>
              <w:rPr>
                <w:rFonts w:ascii="宋体"/>
                <w:vanish/>
              </w:rPr>
            </w:pPr>
          </w:p>
        </w:tc>
        <w:tc>
          <w:tcPr>
            <w:tcW w:w="0" w:type="auto"/>
            <w:gridSpan w:val="3"/>
            <w:shd w:val="clear" w:color="auto" w:fill="auto"/>
            <w:vAlign w:val="bottom"/>
          </w:tcPr>
          <w:p w14:paraId="5DEC6428" w14:textId="77777777" w:rsidR="00B1578D" w:rsidRDefault="00B1578D">
            <w:pPr>
              <w:rPr>
                <w:rFonts w:ascii="宋体"/>
                <w:vanish/>
              </w:rPr>
            </w:pPr>
          </w:p>
        </w:tc>
      </w:tr>
      <w:tr w:rsidR="00B1578D" w14:paraId="5DEC6435" w14:textId="77777777">
        <w:tc>
          <w:tcPr>
            <w:tcW w:w="0" w:type="auto"/>
            <w:gridSpan w:val="3"/>
            <w:shd w:val="clear" w:color="auto" w:fill="auto"/>
            <w:tcMar>
              <w:top w:w="40" w:type="dxa"/>
              <w:left w:w="20" w:type="dxa"/>
              <w:bottom w:w="40" w:type="dxa"/>
              <w:right w:w="20" w:type="dxa"/>
            </w:tcMar>
            <w:vAlign w:val="bottom"/>
          </w:tcPr>
          <w:p w14:paraId="5DEC642A"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42B"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42C"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42D" w14:textId="77777777" w:rsidR="00B1578D" w:rsidRDefault="00B1578D">
            <w:pPr>
              <w:rPr>
                <w:rFonts w:ascii="宋体"/>
                <w:vanish/>
              </w:rPr>
            </w:pPr>
          </w:p>
        </w:tc>
        <w:tc>
          <w:tcPr>
            <w:tcW w:w="0" w:type="auto"/>
            <w:shd w:val="clear" w:color="auto" w:fill="auto"/>
            <w:vAlign w:val="bottom"/>
          </w:tcPr>
          <w:p w14:paraId="5DEC642E" w14:textId="77777777" w:rsidR="00B1578D" w:rsidRDefault="00B1578D">
            <w:pPr>
              <w:rPr>
                <w:rFonts w:ascii="宋体"/>
                <w:vanish/>
              </w:rPr>
            </w:pPr>
          </w:p>
        </w:tc>
        <w:tc>
          <w:tcPr>
            <w:tcW w:w="0" w:type="auto"/>
            <w:shd w:val="clear" w:color="auto" w:fill="auto"/>
            <w:vAlign w:val="bottom"/>
          </w:tcPr>
          <w:p w14:paraId="5DEC642F" w14:textId="77777777" w:rsidR="00B1578D" w:rsidRDefault="00B1578D">
            <w:pPr>
              <w:rPr>
                <w:rFonts w:ascii="宋体"/>
              </w:rPr>
            </w:pPr>
          </w:p>
        </w:tc>
        <w:tc>
          <w:tcPr>
            <w:tcW w:w="0" w:type="auto"/>
            <w:shd w:val="clear" w:color="auto" w:fill="auto"/>
            <w:vAlign w:val="bottom"/>
          </w:tcPr>
          <w:p w14:paraId="5DEC6430" w14:textId="77777777" w:rsidR="00B1578D" w:rsidRDefault="00B1578D">
            <w:pPr>
              <w:rPr>
                <w:rFonts w:ascii="宋体"/>
              </w:rPr>
            </w:pPr>
          </w:p>
        </w:tc>
        <w:tc>
          <w:tcPr>
            <w:tcW w:w="0" w:type="auto"/>
            <w:shd w:val="clear" w:color="auto" w:fill="auto"/>
            <w:vAlign w:val="bottom"/>
          </w:tcPr>
          <w:p w14:paraId="5DEC6431" w14:textId="77777777" w:rsidR="00B1578D" w:rsidRDefault="00B1578D">
            <w:pPr>
              <w:rPr>
                <w:rFonts w:ascii="宋体"/>
              </w:rPr>
            </w:pPr>
          </w:p>
        </w:tc>
        <w:tc>
          <w:tcPr>
            <w:tcW w:w="0" w:type="auto"/>
            <w:shd w:val="clear" w:color="auto" w:fill="auto"/>
            <w:vAlign w:val="bottom"/>
          </w:tcPr>
          <w:p w14:paraId="5DEC6432" w14:textId="77777777" w:rsidR="00B1578D" w:rsidRDefault="00B1578D">
            <w:pPr>
              <w:rPr>
                <w:rFonts w:ascii="宋体"/>
              </w:rPr>
            </w:pPr>
          </w:p>
        </w:tc>
        <w:tc>
          <w:tcPr>
            <w:tcW w:w="0" w:type="auto"/>
            <w:shd w:val="clear" w:color="auto" w:fill="auto"/>
            <w:vAlign w:val="bottom"/>
          </w:tcPr>
          <w:p w14:paraId="5DEC6433" w14:textId="77777777" w:rsidR="00B1578D" w:rsidRDefault="00B1578D">
            <w:pPr>
              <w:rPr>
                <w:rFonts w:ascii="宋体"/>
              </w:rPr>
            </w:pPr>
          </w:p>
        </w:tc>
        <w:tc>
          <w:tcPr>
            <w:tcW w:w="0" w:type="auto"/>
            <w:shd w:val="clear" w:color="auto" w:fill="auto"/>
            <w:vAlign w:val="bottom"/>
          </w:tcPr>
          <w:p w14:paraId="5DEC6434" w14:textId="77777777" w:rsidR="00B1578D" w:rsidRDefault="00B1578D">
            <w:pPr>
              <w:rPr>
                <w:rFonts w:ascii="宋体"/>
              </w:rPr>
            </w:pPr>
          </w:p>
        </w:tc>
      </w:tr>
      <w:tr w:rsidR="00B1578D" w14:paraId="5DEC643F" w14:textId="77777777">
        <w:tc>
          <w:tcPr>
            <w:tcW w:w="0" w:type="auto"/>
            <w:gridSpan w:val="3"/>
            <w:shd w:val="clear" w:color="auto" w:fill="auto"/>
            <w:tcMar>
              <w:top w:w="40" w:type="dxa"/>
              <w:left w:w="20" w:type="dxa"/>
              <w:bottom w:w="40" w:type="dxa"/>
              <w:right w:w="20" w:type="dxa"/>
            </w:tcMar>
            <w:vAlign w:val="bottom"/>
          </w:tcPr>
          <w:p w14:paraId="5DEC6436" w14:textId="77777777" w:rsidR="00B1578D" w:rsidRDefault="004D2C04">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vAlign w:val="bottom"/>
          </w:tcPr>
          <w:p w14:paraId="5DEC6437"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438"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6439"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43A"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43B" w14:textId="77777777" w:rsidR="00B1578D" w:rsidRDefault="00B1578D">
            <w:pPr>
              <w:rPr>
                <w:rFonts w:ascii="宋体"/>
                <w:vanish/>
              </w:rPr>
            </w:pPr>
          </w:p>
        </w:tc>
        <w:tc>
          <w:tcPr>
            <w:tcW w:w="0" w:type="auto"/>
            <w:shd w:val="clear" w:color="auto" w:fill="auto"/>
            <w:vAlign w:val="bottom"/>
          </w:tcPr>
          <w:p w14:paraId="5DEC643C" w14:textId="77777777" w:rsidR="00B1578D" w:rsidRDefault="00B1578D">
            <w:pPr>
              <w:rPr>
                <w:rFonts w:ascii="宋体"/>
                <w:vanish/>
              </w:rPr>
            </w:pPr>
          </w:p>
        </w:tc>
        <w:tc>
          <w:tcPr>
            <w:tcW w:w="0" w:type="auto"/>
            <w:gridSpan w:val="3"/>
            <w:shd w:val="clear" w:color="auto" w:fill="auto"/>
            <w:vAlign w:val="bottom"/>
          </w:tcPr>
          <w:p w14:paraId="5DEC643D" w14:textId="77777777" w:rsidR="00B1578D" w:rsidRDefault="00B1578D">
            <w:pPr>
              <w:rPr>
                <w:rFonts w:ascii="宋体"/>
                <w:vanish/>
              </w:rPr>
            </w:pPr>
          </w:p>
        </w:tc>
        <w:tc>
          <w:tcPr>
            <w:tcW w:w="0" w:type="auto"/>
            <w:gridSpan w:val="3"/>
            <w:shd w:val="clear" w:color="auto" w:fill="auto"/>
            <w:vAlign w:val="bottom"/>
          </w:tcPr>
          <w:p w14:paraId="5DEC643E" w14:textId="77777777" w:rsidR="00B1578D" w:rsidRDefault="00B1578D">
            <w:pPr>
              <w:rPr>
                <w:rFonts w:ascii="宋体"/>
                <w:vanish/>
              </w:rPr>
            </w:pPr>
          </w:p>
        </w:tc>
      </w:tr>
      <w:tr w:rsidR="00B1578D" w14:paraId="5DEC644D" w14:textId="77777777">
        <w:tc>
          <w:tcPr>
            <w:tcW w:w="0" w:type="auto"/>
            <w:gridSpan w:val="3"/>
            <w:shd w:val="clear" w:color="auto" w:fill="CCEEFF"/>
            <w:tcMar>
              <w:top w:w="40" w:type="dxa"/>
              <w:left w:w="380" w:type="dxa"/>
              <w:bottom w:w="40" w:type="dxa"/>
              <w:right w:w="20" w:type="dxa"/>
            </w:tcMar>
            <w:vAlign w:val="bottom"/>
          </w:tcPr>
          <w:p w14:paraId="5DEC6440" w14:textId="77777777" w:rsidR="00B1578D" w:rsidRDefault="004D2C04">
            <w:pPr>
              <w:textAlignment w:val="bottom"/>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vAlign w:val="bottom"/>
          </w:tcPr>
          <w:p w14:paraId="5DEC6441"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442"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443" w14:textId="77777777" w:rsidR="00B1578D" w:rsidRDefault="004D2C04">
            <w:pPr>
              <w:jc w:val="right"/>
              <w:textAlignment w:val="bottom"/>
            </w:pPr>
            <w:r>
              <w:rPr>
                <w:rFonts w:ascii="Times New Roman" w:eastAsia="宋体" w:hAnsi="Times New Roman"/>
                <w:color w:val="000000"/>
                <w:sz w:val="16"/>
                <w:szCs w:val="16"/>
              </w:rPr>
              <w:t>9,088 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44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445"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446"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447" w14:textId="77777777" w:rsidR="00B1578D" w:rsidRDefault="004D2C04">
            <w:pPr>
              <w:jc w:val="right"/>
              <w:textAlignment w:val="bottom"/>
            </w:pPr>
            <w:r>
              <w:rPr>
                <w:rFonts w:ascii="Times New Roman" w:eastAsia="宋体" w:hAnsi="Times New Roman"/>
                <w:color w:val="000000"/>
                <w:sz w:val="16"/>
                <w:szCs w:val="16"/>
              </w:rPr>
              <w:t>8,330 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448" w14:textId="77777777" w:rsidR="00B1578D" w:rsidRDefault="00B1578D">
            <w:pPr>
              <w:jc w:val="right"/>
              <w:rPr>
                <w:rFonts w:ascii="宋体"/>
              </w:rPr>
            </w:pPr>
          </w:p>
        </w:tc>
        <w:tc>
          <w:tcPr>
            <w:tcW w:w="0" w:type="auto"/>
            <w:shd w:val="clear" w:color="auto" w:fill="auto"/>
            <w:vAlign w:val="bottom"/>
          </w:tcPr>
          <w:p w14:paraId="5DEC6449" w14:textId="77777777" w:rsidR="00B1578D" w:rsidRDefault="00B1578D">
            <w:pPr>
              <w:rPr>
                <w:rFonts w:ascii="宋体"/>
                <w:vanish/>
              </w:rPr>
            </w:pPr>
          </w:p>
        </w:tc>
        <w:tc>
          <w:tcPr>
            <w:tcW w:w="0" w:type="auto"/>
            <w:shd w:val="clear" w:color="auto" w:fill="auto"/>
            <w:vAlign w:val="bottom"/>
          </w:tcPr>
          <w:p w14:paraId="5DEC644A" w14:textId="77777777" w:rsidR="00B1578D" w:rsidRDefault="00B1578D">
            <w:pPr>
              <w:rPr>
                <w:rFonts w:ascii="宋体"/>
                <w:vanish/>
              </w:rPr>
            </w:pPr>
          </w:p>
        </w:tc>
        <w:tc>
          <w:tcPr>
            <w:tcW w:w="0" w:type="auto"/>
            <w:gridSpan w:val="3"/>
            <w:shd w:val="clear" w:color="auto" w:fill="auto"/>
            <w:vAlign w:val="bottom"/>
          </w:tcPr>
          <w:p w14:paraId="5DEC644B" w14:textId="77777777" w:rsidR="00B1578D" w:rsidRDefault="00B1578D">
            <w:pPr>
              <w:rPr>
                <w:rFonts w:ascii="宋体"/>
                <w:vanish/>
              </w:rPr>
            </w:pPr>
          </w:p>
        </w:tc>
        <w:tc>
          <w:tcPr>
            <w:tcW w:w="0" w:type="auto"/>
            <w:gridSpan w:val="3"/>
            <w:shd w:val="clear" w:color="auto" w:fill="auto"/>
            <w:vAlign w:val="bottom"/>
          </w:tcPr>
          <w:p w14:paraId="5DEC644C" w14:textId="77777777" w:rsidR="00B1578D" w:rsidRDefault="00B1578D">
            <w:pPr>
              <w:rPr>
                <w:rFonts w:ascii="宋体"/>
                <w:vanish/>
              </w:rPr>
            </w:pPr>
          </w:p>
        </w:tc>
      </w:tr>
      <w:tr w:rsidR="00B1578D" w14:paraId="5DEC6459" w14:textId="77777777">
        <w:tc>
          <w:tcPr>
            <w:tcW w:w="0" w:type="auto"/>
            <w:gridSpan w:val="3"/>
            <w:shd w:val="clear" w:color="auto" w:fill="FFFFFF"/>
            <w:tcMar>
              <w:top w:w="40" w:type="dxa"/>
              <w:left w:w="380" w:type="dxa"/>
              <w:bottom w:w="40" w:type="dxa"/>
              <w:right w:w="20" w:type="dxa"/>
            </w:tcMar>
            <w:vAlign w:val="bottom"/>
          </w:tcPr>
          <w:p w14:paraId="5DEC644E" w14:textId="77777777" w:rsidR="00B1578D" w:rsidRDefault="004D2C04">
            <w:pPr>
              <w:textAlignment w:val="bottom"/>
            </w:pPr>
            <w:r>
              <w:rPr>
                <w:rFonts w:ascii="Times New Roman" w:eastAsia="宋体" w:hAnsi="Times New Roman"/>
                <w:color w:val="000000"/>
                <w:sz w:val="16"/>
                <w:szCs w:val="16"/>
              </w:rPr>
              <w:t>Canada</w:t>
            </w:r>
          </w:p>
        </w:tc>
        <w:tc>
          <w:tcPr>
            <w:tcW w:w="0" w:type="auto"/>
            <w:gridSpan w:val="3"/>
            <w:shd w:val="clear" w:color="auto" w:fill="FFFFFF"/>
            <w:tcMar>
              <w:top w:w="0" w:type="dxa"/>
              <w:left w:w="20" w:type="dxa"/>
              <w:bottom w:w="0" w:type="dxa"/>
              <w:right w:w="20" w:type="dxa"/>
            </w:tcMar>
            <w:vAlign w:val="bottom"/>
          </w:tcPr>
          <w:p w14:paraId="5DEC644F"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450" w14:textId="77777777" w:rsidR="00B1578D" w:rsidRDefault="004D2C04">
            <w:pPr>
              <w:jc w:val="right"/>
              <w:textAlignment w:val="bottom"/>
            </w:pPr>
            <w:r>
              <w:rPr>
                <w:rFonts w:ascii="Times New Roman" w:eastAsia="宋体" w:hAnsi="Times New Roman"/>
                <w:color w:val="000000"/>
                <w:sz w:val="16"/>
                <w:szCs w:val="16"/>
              </w:rPr>
              <w:t>5,150 </w:t>
            </w:r>
          </w:p>
        </w:tc>
        <w:tc>
          <w:tcPr>
            <w:tcW w:w="0" w:type="auto"/>
            <w:shd w:val="clear" w:color="auto" w:fill="FFFFFF"/>
            <w:tcMar>
              <w:top w:w="40" w:type="dxa"/>
              <w:left w:w="0" w:type="dxa"/>
              <w:bottom w:w="40" w:type="dxa"/>
              <w:right w:w="20" w:type="dxa"/>
            </w:tcMar>
            <w:vAlign w:val="bottom"/>
          </w:tcPr>
          <w:p w14:paraId="5DEC645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452"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453" w14:textId="77777777" w:rsidR="00B1578D" w:rsidRDefault="004D2C04">
            <w:pPr>
              <w:jc w:val="right"/>
              <w:textAlignment w:val="bottom"/>
            </w:pPr>
            <w:r>
              <w:rPr>
                <w:rFonts w:ascii="Times New Roman" w:eastAsia="宋体" w:hAnsi="Times New Roman"/>
                <w:color w:val="000000"/>
                <w:sz w:val="16"/>
                <w:szCs w:val="16"/>
              </w:rPr>
              <w:t>4,848 </w:t>
            </w:r>
          </w:p>
        </w:tc>
        <w:tc>
          <w:tcPr>
            <w:tcW w:w="0" w:type="auto"/>
            <w:shd w:val="clear" w:color="auto" w:fill="FFFFFF"/>
            <w:tcMar>
              <w:top w:w="40" w:type="dxa"/>
              <w:left w:w="0" w:type="dxa"/>
              <w:bottom w:w="40" w:type="dxa"/>
              <w:right w:w="20" w:type="dxa"/>
            </w:tcMar>
            <w:vAlign w:val="bottom"/>
          </w:tcPr>
          <w:p w14:paraId="5DEC6454" w14:textId="77777777" w:rsidR="00B1578D" w:rsidRDefault="00B1578D">
            <w:pPr>
              <w:jc w:val="right"/>
              <w:rPr>
                <w:rFonts w:ascii="宋体"/>
              </w:rPr>
            </w:pPr>
          </w:p>
        </w:tc>
        <w:tc>
          <w:tcPr>
            <w:tcW w:w="0" w:type="auto"/>
            <w:shd w:val="clear" w:color="auto" w:fill="auto"/>
            <w:vAlign w:val="bottom"/>
          </w:tcPr>
          <w:p w14:paraId="5DEC6455" w14:textId="77777777" w:rsidR="00B1578D" w:rsidRDefault="00B1578D">
            <w:pPr>
              <w:rPr>
                <w:rFonts w:ascii="宋体"/>
                <w:vanish/>
              </w:rPr>
            </w:pPr>
          </w:p>
        </w:tc>
        <w:tc>
          <w:tcPr>
            <w:tcW w:w="0" w:type="auto"/>
            <w:shd w:val="clear" w:color="auto" w:fill="auto"/>
            <w:vAlign w:val="bottom"/>
          </w:tcPr>
          <w:p w14:paraId="5DEC6456" w14:textId="77777777" w:rsidR="00B1578D" w:rsidRDefault="00B1578D">
            <w:pPr>
              <w:rPr>
                <w:rFonts w:ascii="宋体"/>
                <w:vanish/>
              </w:rPr>
            </w:pPr>
          </w:p>
        </w:tc>
        <w:tc>
          <w:tcPr>
            <w:tcW w:w="0" w:type="auto"/>
            <w:gridSpan w:val="3"/>
            <w:shd w:val="clear" w:color="auto" w:fill="auto"/>
            <w:vAlign w:val="bottom"/>
          </w:tcPr>
          <w:p w14:paraId="5DEC6457" w14:textId="77777777" w:rsidR="00B1578D" w:rsidRDefault="00B1578D">
            <w:pPr>
              <w:rPr>
                <w:rFonts w:ascii="宋体"/>
                <w:vanish/>
              </w:rPr>
            </w:pPr>
          </w:p>
        </w:tc>
        <w:tc>
          <w:tcPr>
            <w:tcW w:w="0" w:type="auto"/>
            <w:gridSpan w:val="3"/>
            <w:shd w:val="clear" w:color="auto" w:fill="auto"/>
            <w:vAlign w:val="bottom"/>
          </w:tcPr>
          <w:p w14:paraId="5DEC6458" w14:textId="77777777" w:rsidR="00B1578D" w:rsidRDefault="00B1578D">
            <w:pPr>
              <w:rPr>
                <w:rFonts w:ascii="宋体"/>
                <w:vanish/>
              </w:rPr>
            </w:pPr>
          </w:p>
        </w:tc>
      </w:tr>
      <w:tr w:rsidR="00B1578D" w14:paraId="5DEC6465" w14:textId="77777777">
        <w:tc>
          <w:tcPr>
            <w:tcW w:w="0" w:type="auto"/>
            <w:gridSpan w:val="3"/>
            <w:shd w:val="clear" w:color="auto" w:fill="CCEEFF"/>
            <w:tcMar>
              <w:top w:w="40" w:type="dxa"/>
              <w:left w:w="380" w:type="dxa"/>
              <w:bottom w:w="40" w:type="dxa"/>
              <w:right w:w="20" w:type="dxa"/>
            </w:tcMar>
            <w:vAlign w:val="bottom"/>
          </w:tcPr>
          <w:p w14:paraId="5DEC645A" w14:textId="77777777" w:rsidR="00B1578D" w:rsidRDefault="004D2C04">
            <w:pPr>
              <w:textAlignment w:val="bottom"/>
            </w:pPr>
            <w:r>
              <w:rPr>
                <w:rFonts w:ascii="Times New Roman" w:eastAsia="宋体" w:hAnsi="Times New Roman"/>
                <w:color w:val="000000"/>
                <w:sz w:val="16"/>
                <w:szCs w:val="16"/>
              </w:rPr>
              <w:t>China</w:t>
            </w:r>
          </w:p>
        </w:tc>
        <w:tc>
          <w:tcPr>
            <w:tcW w:w="0" w:type="auto"/>
            <w:gridSpan w:val="3"/>
            <w:shd w:val="clear" w:color="auto" w:fill="CCEEFF"/>
            <w:tcMar>
              <w:top w:w="0" w:type="dxa"/>
              <w:left w:w="20" w:type="dxa"/>
              <w:bottom w:w="0" w:type="dxa"/>
              <w:right w:w="20" w:type="dxa"/>
            </w:tcMar>
            <w:vAlign w:val="bottom"/>
          </w:tcPr>
          <w:p w14:paraId="5DEC645B"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bottom"/>
          </w:tcPr>
          <w:p w14:paraId="5DEC645C" w14:textId="77777777" w:rsidR="00B1578D" w:rsidRDefault="004D2C04">
            <w:pPr>
              <w:jc w:val="right"/>
              <w:textAlignment w:val="bottom"/>
            </w:pPr>
            <w:r>
              <w:rPr>
                <w:rFonts w:ascii="Times New Roman" w:eastAsia="宋体" w:hAnsi="Times New Roman"/>
                <w:color w:val="000000"/>
                <w:sz w:val="16"/>
                <w:szCs w:val="16"/>
              </w:rPr>
              <w:t>4,127 </w:t>
            </w:r>
          </w:p>
        </w:tc>
        <w:tc>
          <w:tcPr>
            <w:tcW w:w="0" w:type="auto"/>
            <w:shd w:val="clear" w:color="auto" w:fill="CCEEFF"/>
            <w:tcMar>
              <w:top w:w="40" w:type="dxa"/>
              <w:left w:w="0" w:type="dxa"/>
              <w:bottom w:w="40" w:type="dxa"/>
              <w:right w:w="20" w:type="dxa"/>
            </w:tcMar>
            <w:vAlign w:val="bottom"/>
          </w:tcPr>
          <w:p w14:paraId="5DEC645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45E"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bottom"/>
          </w:tcPr>
          <w:p w14:paraId="5DEC645F" w14:textId="77777777" w:rsidR="00B1578D" w:rsidRDefault="004D2C04">
            <w:pPr>
              <w:jc w:val="right"/>
              <w:textAlignment w:val="bottom"/>
            </w:pPr>
            <w:r>
              <w:rPr>
                <w:rFonts w:ascii="Times New Roman" w:eastAsia="宋体" w:hAnsi="Times New Roman"/>
                <w:color w:val="000000"/>
                <w:sz w:val="16"/>
                <w:szCs w:val="16"/>
              </w:rPr>
              <w:t>3,773 </w:t>
            </w:r>
          </w:p>
        </w:tc>
        <w:tc>
          <w:tcPr>
            <w:tcW w:w="0" w:type="auto"/>
            <w:shd w:val="clear" w:color="auto" w:fill="CCEEFF"/>
            <w:tcMar>
              <w:top w:w="40" w:type="dxa"/>
              <w:left w:w="0" w:type="dxa"/>
              <w:bottom w:w="40" w:type="dxa"/>
              <w:right w:w="20" w:type="dxa"/>
            </w:tcMar>
            <w:vAlign w:val="bottom"/>
          </w:tcPr>
          <w:p w14:paraId="5DEC6460" w14:textId="77777777" w:rsidR="00B1578D" w:rsidRDefault="00B1578D">
            <w:pPr>
              <w:jc w:val="right"/>
              <w:rPr>
                <w:rFonts w:ascii="宋体"/>
              </w:rPr>
            </w:pPr>
          </w:p>
        </w:tc>
        <w:tc>
          <w:tcPr>
            <w:tcW w:w="0" w:type="auto"/>
            <w:shd w:val="clear" w:color="auto" w:fill="auto"/>
            <w:vAlign w:val="bottom"/>
          </w:tcPr>
          <w:p w14:paraId="5DEC6461" w14:textId="77777777" w:rsidR="00B1578D" w:rsidRDefault="00B1578D">
            <w:pPr>
              <w:rPr>
                <w:rFonts w:ascii="宋体"/>
                <w:vanish/>
              </w:rPr>
            </w:pPr>
          </w:p>
        </w:tc>
        <w:tc>
          <w:tcPr>
            <w:tcW w:w="0" w:type="auto"/>
            <w:shd w:val="clear" w:color="auto" w:fill="auto"/>
            <w:vAlign w:val="bottom"/>
          </w:tcPr>
          <w:p w14:paraId="5DEC6462" w14:textId="77777777" w:rsidR="00B1578D" w:rsidRDefault="00B1578D">
            <w:pPr>
              <w:rPr>
                <w:rFonts w:ascii="宋体"/>
                <w:vanish/>
              </w:rPr>
            </w:pPr>
          </w:p>
        </w:tc>
        <w:tc>
          <w:tcPr>
            <w:tcW w:w="0" w:type="auto"/>
            <w:gridSpan w:val="3"/>
            <w:shd w:val="clear" w:color="auto" w:fill="auto"/>
            <w:vAlign w:val="bottom"/>
          </w:tcPr>
          <w:p w14:paraId="5DEC6463" w14:textId="77777777" w:rsidR="00B1578D" w:rsidRDefault="00B1578D">
            <w:pPr>
              <w:rPr>
                <w:rFonts w:ascii="宋体"/>
                <w:vanish/>
              </w:rPr>
            </w:pPr>
          </w:p>
        </w:tc>
        <w:tc>
          <w:tcPr>
            <w:tcW w:w="0" w:type="auto"/>
            <w:gridSpan w:val="3"/>
            <w:shd w:val="clear" w:color="auto" w:fill="auto"/>
            <w:vAlign w:val="bottom"/>
          </w:tcPr>
          <w:p w14:paraId="5DEC6464" w14:textId="77777777" w:rsidR="00B1578D" w:rsidRDefault="00B1578D">
            <w:pPr>
              <w:rPr>
                <w:rFonts w:ascii="宋体"/>
                <w:vanish/>
              </w:rPr>
            </w:pPr>
          </w:p>
        </w:tc>
      </w:tr>
      <w:tr w:rsidR="00B1578D" w14:paraId="5DEC6471" w14:textId="77777777">
        <w:tc>
          <w:tcPr>
            <w:tcW w:w="0" w:type="auto"/>
            <w:gridSpan w:val="3"/>
            <w:shd w:val="clear" w:color="auto" w:fill="FFFFFF"/>
            <w:tcMar>
              <w:top w:w="40" w:type="dxa"/>
              <w:left w:w="380" w:type="dxa"/>
              <w:bottom w:w="40" w:type="dxa"/>
              <w:right w:w="20" w:type="dxa"/>
            </w:tcMar>
            <w:vAlign w:val="bottom"/>
          </w:tcPr>
          <w:p w14:paraId="5DEC6466" w14:textId="77777777" w:rsidR="00B1578D" w:rsidRDefault="004D2C04">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vAlign w:val="bottom"/>
          </w:tcPr>
          <w:p w14:paraId="5DEC646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468" w14:textId="77777777" w:rsidR="00B1578D" w:rsidRDefault="004D2C04">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5DEC646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46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bottom"/>
          </w:tcPr>
          <w:p w14:paraId="5DEC646B" w14:textId="77777777" w:rsidR="00B1578D" w:rsidRDefault="004D2C04">
            <w:pPr>
              <w:jc w:val="right"/>
              <w:textAlignment w:val="bottom"/>
            </w:pPr>
            <w:r>
              <w:rPr>
                <w:rFonts w:ascii="Times New Roman" w:eastAsia="宋体" w:hAnsi="Times New Roman"/>
                <w:color w:val="000000"/>
                <w:sz w:val="16"/>
                <w:szCs w:val="16"/>
              </w:rPr>
              <w:t>3,811 </w:t>
            </w:r>
          </w:p>
        </w:tc>
        <w:tc>
          <w:tcPr>
            <w:tcW w:w="0" w:type="auto"/>
            <w:shd w:val="clear" w:color="auto" w:fill="FFFFFF"/>
            <w:tcMar>
              <w:top w:w="40" w:type="dxa"/>
              <w:left w:w="0" w:type="dxa"/>
              <w:bottom w:w="40" w:type="dxa"/>
              <w:right w:w="20" w:type="dxa"/>
            </w:tcMar>
            <w:vAlign w:val="bottom"/>
          </w:tcPr>
          <w:p w14:paraId="5DEC646C" w14:textId="77777777" w:rsidR="00B1578D" w:rsidRDefault="00B1578D">
            <w:pPr>
              <w:jc w:val="right"/>
              <w:rPr>
                <w:rFonts w:ascii="宋体"/>
              </w:rPr>
            </w:pPr>
          </w:p>
        </w:tc>
        <w:tc>
          <w:tcPr>
            <w:tcW w:w="0" w:type="auto"/>
            <w:shd w:val="clear" w:color="auto" w:fill="auto"/>
            <w:vAlign w:val="bottom"/>
          </w:tcPr>
          <w:p w14:paraId="5DEC646D" w14:textId="77777777" w:rsidR="00B1578D" w:rsidRDefault="00B1578D">
            <w:pPr>
              <w:rPr>
                <w:rFonts w:ascii="宋体"/>
                <w:vanish/>
              </w:rPr>
            </w:pPr>
          </w:p>
        </w:tc>
        <w:tc>
          <w:tcPr>
            <w:tcW w:w="0" w:type="auto"/>
            <w:shd w:val="clear" w:color="auto" w:fill="auto"/>
            <w:vAlign w:val="bottom"/>
          </w:tcPr>
          <w:p w14:paraId="5DEC646E" w14:textId="77777777" w:rsidR="00B1578D" w:rsidRDefault="00B1578D">
            <w:pPr>
              <w:rPr>
                <w:rFonts w:ascii="宋体"/>
                <w:vanish/>
              </w:rPr>
            </w:pPr>
          </w:p>
        </w:tc>
        <w:tc>
          <w:tcPr>
            <w:tcW w:w="0" w:type="auto"/>
            <w:gridSpan w:val="3"/>
            <w:shd w:val="clear" w:color="auto" w:fill="auto"/>
            <w:vAlign w:val="bottom"/>
          </w:tcPr>
          <w:p w14:paraId="5DEC646F" w14:textId="77777777" w:rsidR="00B1578D" w:rsidRDefault="00B1578D">
            <w:pPr>
              <w:rPr>
                <w:rFonts w:ascii="宋体"/>
                <w:vanish/>
              </w:rPr>
            </w:pPr>
          </w:p>
        </w:tc>
        <w:tc>
          <w:tcPr>
            <w:tcW w:w="0" w:type="auto"/>
            <w:gridSpan w:val="3"/>
            <w:shd w:val="clear" w:color="auto" w:fill="auto"/>
            <w:vAlign w:val="bottom"/>
          </w:tcPr>
          <w:p w14:paraId="5DEC6470" w14:textId="77777777" w:rsidR="00B1578D" w:rsidRDefault="00B1578D">
            <w:pPr>
              <w:rPr>
                <w:rFonts w:ascii="宋体"/>
                <w:vanish/>
              </w:rPr>
            </w:pPr>
          </w:p>
        </w:tc>
      </w:tr>
      <w:tr w:rsidR="00B1578D" w14:paraId="5DEC647D" w14:textId="77777777">
        <w:tc>
          <w:tcPr>
            <w:tcW w:w="0" w:type="auto"/>
            <w:gridSpan w:val="3"/>
            <w:shd w:val="clear" w:color="auto" w:fill="CCEEFF"/>
            <w:tcMar>
              <w:top w:w="40" w:type="dxa"/>
              <w:left w:w="380" w:type="dxa"/>
              <w:bottom w:w="40" w:type="dxa"/>
              <w:right w:w="20" w:type="dxa"/>
            </w:tcMar>
            <w:vAlign w:val="bottom"/>
          </w:tcPr>
          <w:p w14:paraId="5DEC6472" w14:textId="77777777" w:rsidR="00B1578D" w:rsidRDefault="004D2C04">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5DEC6473"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bottom"/>
          </w:tcPr>
          <w:p w14:paraId="5DEC6474" w14:textId="77777777" w:rsidR="00B1578D" w:rsidRDefault="004D2C04">
            <w:pPr>
              <w:jc w:val="right"/>
              <w:textAlignment w:val="bottom"/>
            </w:pPr>
            <w:r>
              <w:rPr>
                <w:rFonts w:ascii="Times New Roman" w:eastAsia="宋体" w:hAnsi="Times New Roman"/>
                <w:color w:val="000000"/>
                <w:sz w:val="16"/>
                <w:szCs w:val="16"/>
              </w:rPr>
              <w:t>5,398 </w:t>
            </w:r>
          </w:p>
        </w:tc>
        <w:tc>
          <w:tcPr>
            <w:tcW w:w="0" w:type="auto"/>
            <w:shd w:val="clear" w:color="auto" w:fill="CCEEFF"/>
            <w:tcMar>
              <w:top w:w="40" w:type="dxa"/>
              <w:left w:w="0" w:type="dxa"/>
              <w:bottom w:w="40" w:type="dxa"/>
              <w:right w:w="20" w:type="dxa"/>
            </w:tcMar>
            <w:vAlign w:val="bottom"/>
          </w:tcPr>
          <w:p w14:paraId="5DEC647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47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bottom"/>
          </w:tcPr>
          <w:p w14:paraId="5DEC6477" w14:textId="77777777" w:rsidR="00B1578D" w:rsidRDefault="004D2C04">
            <w:pPr>
              <w:jc w:val="right"/>
              <w:textAlignment w:val="bottom"/>
            </w:pPr>
            <w:r>
              <w:rPr>
                <w:rFonts w:ascii="Times New Roman" w:eastAsia="宋体" w:hAnsi="Times New Roman"/>
                <w:color w:val="000000"/>
                <w:sz w:val="16"/>
                <w:szCs w:val="16"/>
              </w:rPr>
              <w:t>6,538 </w:t>
            </w:r>
          </w:p>
        </w:tc>
        <w:tc>
          <w:tcPr>
            <w:tcW w:w="0" w:type="auto"/>
            <w:shd w:val="clear" w:color="auto" w:fill="CCEEFF"/>
            <w:tcMar>
              <w:top w:w="40" w:type="dxa"/>
              <w:left w:w="0" w:type="dxa"/>
              <w:bottom w:w="40" w:type="dxa"/>
              <w:right w:w="20" w:type="dxa"/>
            </w:tcMar>
            <w:vAlign w:val="bottom"/>
          </w:tcPr>
          <w:p w14:paraId="5DEC6478" w14:textId="77777777" w:rsidR="00B1578D" w:rsidRDefault="00B1578D">
            <w:pPr>
              <w:jc w:val="right"/>
              <w:rPr>
                <w:rFonts w:ascii="宋体"/>
              </w:rPr>
            </w:pPr>
          </w:p>
        </w:tc>
        <w:tc>
          <w:tcPr>
            <w:tcW w:w="0" w:type="auto"/>
            <w:shd w:val="clear" w:color="auto" w:fill="auto"/>
            <w:vAlign w:val="bottom"/>
          </w:tcPr>
          <w:p w14:paraId="5DEC6479" w14:textId="77777777" w:rsidR="00B1578D" w:rsidRDefault="00B1578D">
            <w:pPr>
              <w:rPr>
                <w:rFonts w:ascii="宋体"/>
                <w:vanish/>
              </w:rPr>
            </w:pPr>
          </w:p>
        </w:tc>
        <w:tc>
          <w:tcPr>
            <w:tcW w:w="0" w:type="auto"/>
            <w:shd w:val="clear" w:color="auto" w:fill="auto"/>
            <w:vAlign w:val="bottom"/>
          </w:tcPr>
          <w:p w14:paraId="5DEC647A" w14:textId="77777777" w:rsidR="00B1578D" w:rsidRDefault="00B1578D">
            <w:pPr>
              <w:rPr>
                <w:rFonts w:ascii="宋体"/>
                <w:vanish/>
              </w:rPr>
            </w:pPr>
          </w:p>
        </w:tc>
        <w:tc>
          <w:tcPr>
            <w:tcW w:w="0" w:type="auto"/>
            <w:gridSpan w:val="3"/>
            <w:shd w:val="clear" w:color="auto" w:fill="auto"/>
            <w:vAlign w:val="bottom"/>
          </w:tcPr>
          <w:p w14:paraId="5DEC647B" w14:textId="77777777" w:rsidR="00B1578D" w:rsidRDefault="00B1578D">
            <w:pPr>
              <w:rPr>
                <w:rFonts w:ascii="宋体"/>
                <w:vanish/>
              </w:rPr>
            </w:pPr>
          </w:p>
        </w:tc>
        <w:tc>
          <w:tcPr>
            <w:tcW w:w="0" w:type="auto"/>
            <w:gridSpan w:val="3"/>
            <w:shd w:val="clear" w:color="auto" w:fill="auto"/>
            <w:vAlign w:val="bottom"/>
          </w:tcPr>
          <w:p w14:paraId="5DEC647C" w14:textId="77777777" w:rsidR="00B1578D" w:rsidRDefault="00B1578D">
            <w:pPr>
              <w:rPr>
                <w:rFonts w:ascii="宋体"/>
                <w:vanish/>
              </w:rPr>
            </w:pPr>
          </w:p>
        </w:tc>
      </w:tr>
      <w:tr w:rsidR="00B1578D" w14:paraId="5DEC648B" w14:textId="77777777">
        <w:tc>
          <w:tcPr>
            <w:tcW w:w="0" w:type="auto"/>
            <w:gridSpan w:val="3"/>
            <w:shd w:val="clear" w:color="auto" w:fill="FFFFFF"/>
            <w:tcMar>
              <w:top w:w="40" w:type="dxa"/>
              <w:left w:w="20" w:type="dxa"/>
              <w:bottom w:w="40" w:type="dxa"/>
              <w:right w:w="20" w:type="dxa"/>
            </w:tcMar>
            <w:vAlign w:val="bottom"/>
          </w:tcPr>
          <w:p w14:paraId="5DEC647E" w14:textId="77777777" w:rsidR="00B1578D" w:rsidRDefault="004D2C04">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5DEC647F"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EC6480"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EC6481" w14:textId="77777777" w:rsidR="00B1578D" w:rsidRDefault="004D2C04">
            <w:pPr>
              <w:jc w:val="right"/>
              <w:textAlignment w:val="bottom"/>
            </w:pPr>
            <w:r>
              <w:rPr>
                <w:rFonts w:ascii="Times New Roman" w:eastAsia="宋体" w:hAnsi="Times New Roman"/>
                <w:color w:val="000000"/>
                <w:sz w:val="16"/>
                <w:szCs w:val="16"/>
              </w:rPr>
              <w:t>23,763 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EC648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483"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DEC6484"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DEC6485" w14:textId="77777777" w:rsidR="00B1578D" w:rsidRDefault="004D2C04">
            <w:pPr>
              <w:jc w:val="right"/>
              <w:textAlignment w:val="bottom"/>
            </w:pPr>
            <w:r>
              <w:rPr>
                <w:rFonts w:ascii="Times New Roman" w:eastAsia="宋体" w:hAnsi="Times New Roman"/>
                <w:color w:val="000000"/>
                <w:sz w:val="16"/>
                <w:szCs w:val="16"/>
              </w:rPr>
              <w:t>27,300 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DEC6486" w14:textId="77777777" w:rsidR="00B1578D" w:rsidRDefault="00B1578D">
            <w:pPr>
              <w:jc w:val="right"/>
              <w:rPr>
                <w:rFonts w:ascii="宋体"/>
              </w:rPr>
            </w:pPr>
          </w:p>
        </w:tc>
        <w:tc>
          <w:tcPr>
            <w:tcW w:w="0" w:type="auto"/>
            <w:shd w:val="clear" w:color="auto" w:fill="auto"/>
            <w:vAlign w:val="bottom"/>
          </w:tcPr>
          <w:p w14:paraId="5DEC6487" w14:textId="77777777" w:rsidR="00B1578D" w:rsidRDefault="00B1578D">
            <w:pPr>
              <w:rPr>
                <w:rFonts w:ascii="宋体"/>
                <w:vanish/>
              </w:rPr>
            </w:pPr>
          </w:p>
        </w:tc>
        <w:tc>
          <w:tcPr>
            <w:tcW w:w="0" w:type="auto"/>
            <w:shd w:val="clear" w:color="auto" w:fill="auto"/>
            <w:vAlign w:val="bottom"/>
          </w:tcPr>
          <w:p w14:paraId="5DEC6488" w14:textId="77777777" w:rsidR="00B1578D" w:rsidRDefault="00B1578D">
            <w:pPr>
              <w:rPr>
                <w:rFonts w:ascii="宋体"/>
                <w:vanish/>
              </w:rPr>
            </w:pPr>
          </w:p>
        </w:tc>
        <w:tc>
          <w:tcPr>
            <w:tcW w:w="0" w:type="auto"/>
            <w:gridSpan w:val="3"/>
            <w:shd w:val="clear" w:color="auto" w:fill="auto"/>
            <w:vAlign w:val="bottom"/>
          </w:tcPr>
          <w:p w14:paraId="5DEC6489" w14:textId="77777777" w:rsidR="00B1578D" w:rsidRDefault="00B1578D">
            <w:pPr>
              <w:rPr>
                <w:rFonts w:ascii="宋体"/>
                <w:vanish/>
              </w:rPr>
            </w:pPr>
          </w:p>
        </w:tc>
        <w:tc>
          <w:tcPr>
            <w:tcW w:w="0" w:type="auto"/>
            <w:gridSpan w:val="3"/>
            <w:shd w:val="clear" w:color="auto" w:fill="auto"/>
            <w:vAlign w:val="bottom"/>
          </w:tcPr>
          <w:p w14:paraId="5DEC648A" w14:textId="77777777" w:rsidR="00B1578D" w:rsidRDefault="00B1578D">
            <w:pPr>
              <w:rPr>
                <w:rFonts w:ascii="宋体"/>
                <w:vanish/>
              </w:rPr>
            </w:pPr>
          </w:p>
        </w:tc>
      </w:tr>
    </w:tbl>
    <w:p w14:paraId="5DEC648C" w14:textId="77777777" w:rsidR="00B1578D" w:rsidRDefault="004D2C04">
      <w:pPr>
        <w:spacing w:before="80"/>
      </w:pPr>
      <w:r>
        <w:rPr>
          <w:rFonts w:ascii="Times New Roman" w:eastAsia="宋体" w:hAnsi="Times New Roman"/>
          <w:color w:val="000000"/>
          <w:sz w:val="20"/>
          <w:szCs w:val="20"/>
        </w:rPr>
        <w:t>Of Walmart International's total net sales, approximately $4.3 billion related to eCommerce for both the three months ended April 30, 2022 and 2021.</w:t>
      </w:r>
    </w:p>
    <w:p w14:paraId="5DEC648D" w14:textId="77777777" w:rsidR="00B1578D" w:rsidRDefault="004D2C04">
      <w:pPr>
        <w:jc w:val="center"/>
      </w:pPr>
      <w:r>
        <w:rPr>
          <w:rFonts w:ascii="Times New Roman" w:eastAsia="宋体" w:hAnsi="Times New Roman"/>
          <w:color w:val="000000"/>
          <w:sz w:val="20"/>
          <w:szCs w:val="20"/>
        </w:rPr>
        <w:t>13</w:t>
      </w:r>
    </w:p>
    <w:p w14:paraId="5DEC648E" w14:textId="77777777" w:rsidR="00B1578D" w:rsidRDefault="004D2C04">
      <w:r>
        <w:pict w14:anchorId="5DEC6F32">
          <v:rect id="_x0000_i1037" style="width:415.3pt;height:1.5pt" o:hralign="center" o:hrstd="t" o:hr="t" fillcolor="#a0a0a0" stroked="f"/>
        </w:pict>
      </w:r>
    </w:p>
    <w:p w14:paraId="5DEC648F" w14:textId="77777777" w:rsidR="00B1578D" w:rsidRDefault="004D2C04">
      <w:hyperlink r:id="rId52" w:anchor="ia92fe4e1fa654d85928fb72942eadb02_7"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46"/>
        <w:gridCol w:w="38"/>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B1578D" w14:paraId="5DEC64A3" w14:textId="77777777">
        <w:trPr>
          <w:jc w:val="center"/>
        </w:trPr>
        <w:tc>
          <w:tcPr>
            <w:tcW w:w="50" w:type="pct"/>
            <w:shd w:val="clear" w:color="auto" w:fill="auto"/>
            <w:vAlign w:val="bottom"/>
          </w:tcPr>
          <w:p w14:paraId="5DEC6490" w14:textId="77777777" w:rsidR="00B1578D" w:rsidRDefault="00B1578D">
            <w:pPr>
              <w:rPr>
                <w:rFonts w:ascii="宋体"/>
              </w:rPr>
            </w:pPr>
          </w:p>
        </w:tc>
        <w:tc>
          <w:tcPr>
            <w:tcW w:w="3716" w:type="pct"/>
            <w:shd w:val="clear" w:color="auto" w:fill="auto"/>
            <w:vAlign w:val="bottom"/>
          </w:tcPr>
          <w:p w14:paraId="5DEC6491" w14:textId="77777777" w:rsidR="00B1578D" w:rsidRDefault="00B1578D">
            <w:pPr>
              <w:rPr>
                <w:rFonts w:ascii="宋体"/>
              </w:rPr>
            </w:pPr>
          </w:p>
        </w:tc>
        <w:tc>
          <w:tcPr>
            <w:tcW w:w="5" w:type="pct"/>
            <w:shd w:val="clear" w:color="auto" w:fill="auto"/>
            <w:vAlign w:val="bottom"/>
          </w:tcPr>
          <w:p w14:paraId="5DEC6492" w14:textId="77777777" w:rsidR="00B1578D" w:rsidRDefault="00B1578D">
            <w:pPr>
              <w:rPr>
                <w:rFonts w:ascii="宋体"/>
              </w:rPr>
            </w:pPr>
          </w:p>
        </w:tc>
        <w:tc>
          <w:tcPr>
            <w:tcW w:w="5" w:type="pct"/>
            <w:shd w:val="clear" w:color="auto" w:fill="auto"/>
            <w:vAlign w:val="bottom"/>
          </w:tcPr>
          <w:p w14:paraId="5DEC6493" w14:textId="77777777" w:rsidR="00B1578D" w:rsidRDefault="00B1578D">
            <w:pPr>
              <w:rPr>
                <w:rFonts w:ascii="宋体"/>
              </w:rPr>
            </w:pPr>
          </w:p>
        </w:tc>
        <w:tc>
          <w:tcPr>
            <w:tcW w:w="26" w:type="pct"/>
            <w:shd w:val="clear" w:color="auto" w:fill="auto"/>
            <w:vAlign w:val="bottom"/>
          </w:tcPr>
          <w:p w14:paraId="5DEC6494" w14:textId="77777777" w:rsidR="00B1578D" w:rsidRDefault="00B1578D">
            <w:pPr>
              <w:rPr>
                <w:rFonts w:ascii="宋体"/>
              </w:rPr>
            </w:pPr>
          </w:p>
        </w:tc>
        <w:tc>
          <w:tcPr>
            <w:tcW w:w="5" w:type="pct"/>
            <w:shd w:val="clear" w:color="auto" w:fill="auto"/>
            <w:vAlign w:val="bottom"/>
          </w:tcPr>
          <w:p w14:paraId="5DEC6495" w14:textId="77777777" w:rsidR="00B1578D" w:rsidRDefault="00B1578D">
            <w:pPr>
              <w:rPr>
                <w:rFonts w:ascii="宋体"/>
              </w:rPr>
            </w:pPr>
          </w:p>
        </w:tc>
        <w:tc>
          <w:tcPr>
            <w:tcW w:w="50" w:type="pct"/>
            <w:shd w:val="clear" w:color="auto" w:fill="auto"/>
            <w:vAlign w:val="bottom"/>
          </w:tcPr>
          <w:p w14:paraId="5DEC6496" w14:textId="77777777" w:rsidR="00B1578D" w:rsidRDefault="00B1578D">
            <w:pPr>
              <w:rPr>
                <w:rFonts w:ascii="宋体"/>
              </w:rPr>
            </w:pPr>
          </w:p>
        </w:tc>
        <w:tc>
          <w:tcPr>
            <w:tcW w:w="522" w:type="pct"/>
            <w:shd w:val="clear" w:color="auto" w:fill="auto"/>
            <w:vAlign w:val="bottom"/>
          </w:tcPr>
          <w:p w14:paraId="5DEC6497" w14:textId="77777777" w:rsidR="00B1578D" w:rsidRDefault="00B1578D">
            <w:pPr>
              <w:rPr>
                <w:rFonts w:ascii="宋体"/>
              </w:rPr>
            </w:pPr>
          </w:p>
        </w:tc>
        <w:tc>
          <w:tcPr>
            <w:tcW w:w="5" w:type="pct"/>
            <w:shd w:val="clear" w:color="auto" w:fill="auto"/>
            <w:vAlign w:val="bottom"/>
          </w:tcPr>
          <w:p w14:paraId="5DEC6498" w14:textId="77777777" w:rsidR="00B1578D" w:rsidRDefault="00B1578D">
            <w:pPr>
              <w:rPr>
                <w:rFonts w:ascii="宋体"/>
              </w:rPr>
            </w:pPr>
          </w:p>
        </w:tc>
        <w:tc>
          <w:tcPr>
            <w:tcW w:w="5" w:type="pct"/>
            <w:shd w:val="clear" w:color="auto" w:fill="auto"/>
            <w:vAlign w:val="bottom"/>
          </w:tcPr>
          <w:p w14:paraId="5DEC6499" w14:textId="77777777" w:rsidR="00B1578D" w:rsidRDefault="00B1578D">
            <w:pPr>
              <w:rPr>
                <w:rFonts w:ascii="宋体"/>
              </w:rPr>
            </w:pPr>
          </w:p>
        </w:tc>
        <w:tc>
          <w:tcPr>
            <w:tcW w:w="26" w:type="pct"/>
            <w:shd w:val="clear" w:color="auto" w:fill="auto"/>
            <w:vAlign w:val="bottom"/>
          </w:tcPr>
          <w:p w14:paraId="5DEC649A" w14:textId="77777777" w:rsidR="00B1578D" w:rsidRDefault="00B1578D">
            <w:pPr>
              <w:rPr>
                <w:rFonts w:ascii="宋体"/>
              </w:rPr>
            </w:pPr>
          </w:p>
        </w:tc>
        <w:tc>
          <w:tcPr>
            <w:tcW w:w="5" w:type="pct"/>
            <w:shd w:val="clear" w:color="auto" w:fill="auto"/>
            <w:vAlign w:val="bottom"/>
          </w:tcPr>
          <w:p w14:paraId="5DEC649B" w14:textId="77777777" w:rsidR="00B1578D" w:rsidRDefault="00B1578D">
            <w:pPr>
              <w:rPr>
                <w:rFonts w:ascii="宋体"/>
              </w:rPr>
            </w:pPr>
          </w:p>
        </w:tc>
        <w:tc>
          <w:tcPr>
            <w:tcW w:w="50" w:type="pct"/>
            <w:shd w:val="clear" w:color="auto" w:fill="auto"/>
            <w:vAlign w:val="bottom"/>
          </w:tcPr>
          <w:p w14:paraId="5DEC649C" w14:textId="77777777" w:rsidR="00B1578D" w:rsidRDefault="00B1578D">
            <w:pPr>
              <w:rPr>
                <w:rFonts w:ascii="宋体"/>
              </w:rPr>
            </w:pPr>
          </w:p>
        </w:tc>
        <w:tc>
          <w:tcPr>
            <w:tcW w:w="522" w:type="pct"/>
            <w:shd w:val="clear" w:color="auto" w:fill="auto"/>
            <w:vAlign w:val="bottom"/>
          </w:tcPr>
          <w:p w14:paraId="5DEC649D" w14:textId="77777777" w:rsidR="00B1578D" w:rsidRDefault="00B1578D">
            <w:pPr>
              <w:rPr>
                <w:rFonts w:ascii="宋体"/>
              </w:rPr>
            </w:pPr>
          </w:p>
        </w:tc>
        <w:tc>
          <w:tcPr>
            <w:tcW w:w="5" w:type="pct"/>
            <w:shd w:val="clear" w:color="auto" w:fill="auto"/>
            <w:vAlign w:val="bottom"/>
          </w:tcPr>
          <w:p w14:paraId="5DEC649E" w14:textId="77777777" w:rsidR="00B1578D" w:rsidRDefault="00B1578D">
            <w:pPr>
              <w:rPr>
                <w:rFonts w:ascii="宋体"/>
              </w:rPr>
            </w:pPr>
          </w:p>
        </w:tc>
        <w:tc>
          <w:tcPr>
            <w:tcW w:w="0" w:type="auto"/>
            <w:shd w:val="clear" w:color="auto" w:fill="auto"/>
            <w:vAlign w:val="bottom"/>
          </w:tcPr>
          <w:p w14:paraId="5DEC649F" w14:textId="77777777" w:rsidR="00B1578D" w:rsidRDefault="00B1578D">
            <w:pPr>
              <w:rPr>
                <w:rFonts w:ascii="宋体"/>
                <w:vanish/>
              </w:rPr>
            </w:pPr>
          </w:p>
        </w:tc>
        <w:tc>
          <w:tcPr>
            <w:tcW w:w="0" w:type="auto"/>
            <w:shd w:val="clear" w:color="auto" w:fill="auto"/>
            <w:vAlign w:val="bottom"/>
          </w:tcPr>
          <w:p w14:paraId="5DEC64A0" w14:textId="77777777" w:rsidR="00B1578D" w:rsidRDefault="00B1578D">
            <w:pPr>
              <w:rPr>
                <w:rFonts w:ascii="宋体"/>
                <w:vanish/>
              </w:rPr>
            </w:pPr>
          </w:p>
        </w:tc>
        <w:tc>
          <w:tcPr>
            <w:tcW w:w="0" w:type="auto"/>
            <w:gridSpan w:val="3"/>
            <w:shd w:val="clear" w:color="auto" w:fill="auto"/>
            <w:vAlign w:val="bottom"/>
          </w:tcPr>
          <w:p w14:paraId="5DEC64A1" w14:textId="77777777" w:rsidR="00B1578D" w:rsidRDefault="00B1578D">
            <w:pPr>
              <w:rPr>
                <w:rFonts w:ascii="宋体"/>
                <w:vanish/>
              </w:rPr>
            </w:pPr>
          </w:p>
        </w:tc>
        <w:tc>
          <w:tcPr>
            <w:tcW w:w="0" w:type="auto"/>
            <w:gridSpan w:val="3"/>
            <w:shd w:val="clear" w:color="auto" w:fill="auto"/>
            <w:vAlign w:val="bottom"/>
          </w:tcPr>
          <w:p w14:paraId="5DEC64A2" w14:textId="77777777" w:rsidR="00B1578D" w:rsidRDefault="00B1578D">
            <w:pPr>
              <w:rPr>
                <w:rFonts w:ascii="宋体"/>
                <w:vanish/>
              </w:rPr>
            </w:pPr>
          </w:p>
        </w:tc>
      </w:tr>
      <w:tr w:rsidR="00B1578D" w14:paraId="5DEC64AF" w14:textId="77777777">
        <w:trPr>
          <w:jc w:val="center"/>
        </w:trPr>
        <w:tc>
          <w:tcPr>
            <w:tcW w:w="0" w:type="auto"/>
            <w:gridSpan w:val="3"/>
            <w:shd w:val="clear" w:color="auto" w:fill="auto"/>
            <w:tcMar>
              <w:top w:w="40" w:type="dxa"/>
              <w:left w:w="20" w:type="dxa"/>
              <w:bottom w:w="40" w:type="dxa"/>
              <w:right w:w="20" w:type="dxa"/>
            </w:tcMar>
            <w:vAlign w:val="bottom"/>
          </w:tcPr>
          <w:p w14:paraId="5DEC64A4"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4A5"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4A6"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4A7" w14:textId="77777777" w:rsidR="00B1578D" w:rsidRDefault="00B1578D">
            <w:pPr>
              <w:rPr>
                <w:rFonts w:ascii="宋体"/>
                <w:vanish/>
              </w:rPr>
            </w:pPr>
          </w:p>
        </w:tc>
        <w:tc>
          <w:tcPr>
            <w:tcW w:w="0" w:type="auto"/>
            <w:shd w:val="clear" w:color="auto" w:fill="auto"/>
            <w:vAlign w:val="bottom"/>
          </w:tcPr>
          <w:p w14:paraId="5DEC64A8" w14:textId="77777777" w:rsidR="00B1578D" w:rsidRDefault="00B1578D">
            <w:pPr>
              <w:rPr>
                <w:rFonts w:ascii="宋体"/>
                <w:vanish/>
              </w:rPr>
            </w:pPr>
          </w:p>
        </w:tc>
        <w:tc>
          <w:tcPr>
            <w:tcW w:w="0" w:type="auto"/>
            <w:shd w:val="clear" w:color="auto" w:fill="auto"/>
            <w:vAlign w:val="bottom"/>
          </w:tcPr>
          <w:p w14:paraId="5DEC64A9" w14:textId="77777777" w:rsidR="00B1578D" w:rsidRDefault="00B1578D">
            <w:pPr>
              <w:rPr>
                <w:rFonts w:ascii="宋体"/>
              </w:rPr>
            </w:pPr>
          </w:p>
        </w:tc>
        <w:tc>
          <w:tcPr>
            <w:tcW w:w="0" w:type="auto"/>
            <w:shd w:val="clear" w:color="auto" w:fill="auto"/>
            <w:vAlign w:val="bottom"/>
          </w:tcPr>
          <w:p w14:paraId="5DEC64AA" w14:textId="77777777" w:rsidR="00B1578D" w:rsidRDefault="00B1578D">
            <w:pPr>
              <w:rPr>
                <w:rFonts w:ascii="宋体"/>
              </w:rPr>
            </w:pPr>
          </w:p>
        </w:tc>
        <w:tc>
          <w:tcPr>
            <w:tcW w:w="0" w:type="auto"/>
            <w:shd w:val="clear" w:color="auto" w:fill="auto"/>
            <w:vAlign w:val="bottom"/>
          </w:tcPr>
          <w:p w14:paraId="5DEC64AB" w14:textId="77777777" w:rsidR="00B1578D" w:rsidRDefault="00B1578D">
            <w:pPr>
              <w:rPr>
                <w:rFonts w:ascii="宋体"/>
              </w:rPr>
            </w:pPr>
          </w:p>
        </w:tc>
        <w:tc>
          <w:tcPr>
            <w:tcW w:w="0" w:type="auto"/>
            <w:shd w:val="clear" w:color="auto" w:fill="auto"/>
            <w:vAlign w:val="bottom"/>
          </w:tcPr>
          <w:p w14:paraId="5DEC64AC" w14:textId="77777777" w:rsidR="00B1578D" w:rsidRDefault="00B1578D">
            <w:pPr>
              <w:rPr>
                <w:rFonts w:ascii="宋体"/>
              </w:rPr>
            </w:pPr>
          </w:p>
        </w:tc>
        <w:tc>
          <w:tcPr>
            <w:tcW w:w="0" w:type="auto"/>
            <w:shd w:val="clear" w:color="auto" w:fill="auto"/>
            <w:vAlign w:val="bottom"/>
          </w:tcPr>
          <w:p w14:paraId="5DEC64AD" w14:textId="77777777" w:rsidR="00B1578D" w:rsidRDefault="00B1578D">
            <w:pPr>
              <w:rPr>
                <w:rFonts w:ascii="宋体"/>
              </w:rPr>
            </w:pPr>
          </w:p>
        </w:tc>
        <w:tc>
          <w:tcPr>
            <w:tcW w:w="0" w:type="auto"/>
            <w:shd w:val="clear" w:color="auto" w:fill="auto"/>
            <w:vAlign w:val="bottom"/>
          </w:tcPr>
          <w:p w14:paraId="5DEC64AE" w14:textId="77777777" w:rsidR="00B1578D" w:rsidRDefault="00B1578D">
            <w:pPr>
              <w:rPr>
                <w:rFonts w:ascii="宋体"/>
              </w:rPr>
            </w:pPr>
          </w:p>
        </w:tc>
      </w:tr>
      <w:tr w:rsidR="00B1578D" w14:paraId="5DEC64B9" w14:textId="77777777">
        <w:trPr>
          <w:jc w:val="center"/>
        </w:trPr>
        <w:tc>
          <w:tcPr>
            <w:tcW w:w="0" w:type="auto"/>
            <w:gridSpan w:val="3"/>
            <w:shd w:val="clear" w:color="auto" w:fill="auto"/>
            <w:tcMar>
              <w:top w:w="40" w:type="dxa"/>
              <w:left w:w="20" w:type="dxa"/>
              <w:bottom w:w="40" w:type="dxa"/>
              <w:right w:w="20" w:type="dxa"/>
            </w:tcMar>
            <w:vAlign w:val="bottom"/>
          </w:tcPr>
          <w:p w14:paraId="5DEC64B0" w14:textId="77777777" w:rsidR="00B1578D" w:rsidRDefault="004D2C04">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vAlign w:val="bottom"/>
          </w:tcPr>
          <w:p w14:paraId="5DEC64B1"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4B2"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64B3"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4B4"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4B5" w14:textId="77777777" w:rsidR="00B1578D" w:rsidRDefault="00B1578D">
            <w:pPr>
              <w:rPr>
                <w:rFonts w:ascii="宋体"/>
                <w:vanish/>
              </w:rPr>
            </w:pPr>
          </w:p>
        </w:tc>
        <w:tc>
          <w:tcPr>
            <w:tcW w:w="0" w:type="auto"/>
            <w:shd w:val="clear" w:color="auto" w:fill="auto"/>
            <w:vAlign w:val="bottom"/>
          </w:tcPr>
          <w:p w14:paraId="5DEC64B6" w14:textId="77777777" w:rsidR="00B1578D" w:rsidRDefault="00B1578D">
            <w:pPr>
              <w:rPr>
                <w:rFonts w:ascii="宋体"/>
                <w:vanish/>
              </w:rPr>
            </w:pPr>
          </w:p>
        </w:tc>
        <w:tc>
          <w:tcPr>
            <w:tcW w:w="0" w:type="auto"/>
            <w:gridSpan w:val="3"/>
            <w:shd w:val="clear" w:color="auto" w:fill="auto"/>
            <w:vAlign w:val="bottom"/>
          </w:tcPr>
          <w:p w14:paraId="5DEC64B7" w14:textId="77777777" w:rsidR="00B1578D" w:rsidRDefault="00B1578D">
            <w:pPr>
              <w:rPr>
                <w:rFonts w:ascii="宋体"/>
                <w:vanish/>
              </w:rPr>
            </w:pPr>
          </w:p>
        </w:tc>
        <w:tc>
          <w:tcPr>
            <w:tcW w:w="0" w:type="auto"/>
            <w:gridSpan w:val="3"/>
            <w:shd w:val="clear" w:color="auto" w:fill="auto"/>
            <w:vAlign w:val="bottom"/>
          </w:tcPr>
          <w:p w14:paraId="5DEC64B8" w14:textId="77777777" w:rsidR="00B1578D" w:rsidRDefault="00B1578D">
            <w:pPr>
              <w:rPr>
                <w:rFonts w:ascii="宋体"/>
                <w:vanish/>
              </w:rPr>
            </w:pPr>
          </w:p>
        </w:tc>
      </w:tr>
      <w:tr w:rsidR="00B1578D" w14:paraId="5DEC64C7" w14:textId="77777777">
        <w:trPr>
          <w:jc w:val="center"/>
        </w:trPr>
        <w:tc>
          <w:tcPr>
            <w:tcW w:w="0" w:type="auto"/>
            <w:gridSpan w:val="3"/>
            <w:shd w:val="clear" w:color="auto" w:fill="CCEEFF"/>
            <w:tcMar>
              <w:top w:w="40" w:type="dxa"/>
              <w:left w:w="380" w:type="dxa"/>
              <w:bottom w:w="40" w:type="dxa"/>
              <w:right w:w="20" w:type="dxa"/>
            </w:tcMar>
            <w:vAlign w:val="center"/>
          </w:tcPr>
          <w:p w14:paraId="5DEC64BA" w14:textId="77777777" w:rsidR="00B1578D" w:rsidRDefault="004D2C04">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vAlign w:val="bottom"/>
          </w:tcPr>
          <w:p w14:paraId="5DEC64BB"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4BC"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4BD" w14:textId="77777777" w:rsidR="00B1578D" w:rsidRDefault="004D2C04">
            <w:pPr>
              <w:jc w:val="right"/>
              <w:textAlignment w:val="bottom"/>
            </w:pPr>
            <w:r>
              <w:rPr>
                <w:rFonts w:ascii="Times New Roman" w:eastAsia="宋体" w:hAnsi="Times New Roman"/>
                <w:color w:val="000000"/>
                <w:sz w:val="16"/>
                <w:szCs w:val="16"/>
              </w:rPr>
              <w:t>12,301 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4B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4BF"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DEC64C0" w14:textId="77777777" w:rsidR="00B1578D" w:rsidRDefault="004D2C0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DEC64C1" w14:textId="77777777" w:rsidR="00B1578D" w:rsidRDefault="004D2C04">
            <w:pPr>
              <w:jc w:val="right"/>
              <w:textAlignment w:val="bottom"/>
            </w:pPr>
            <w:r>
              <w:rPr>
                <w:rFonts w:ascii="Times New Roman" w:eastAsia="宋体" w:hAnsi="Times New Roman"/>
                <w:color w:val="000000"/>
                <w:sz w:val="16"/>
                <w:szCs w:val="16"/>
              </w:rPr>
              <w:t>10,669 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DEC64C2" w14:textId="77777777" w:rsidR="00B1578D" w:rsidRDefault="00B1578D">
            <w:pPr>
              <w:jc w:val="right"/>
              <w:rPr>
                <w:rFonts w:ascii="宋体"/>
              </w:rPr>
            </w:pPr>
          </w:p>
        </w:tc>
        <w:tc>
          <w:tcPr>
            <w:tcW w:w="0" w:type="auto"/>
            <w:shd w:val="clear" w:color="auto" w:fill="auto"/>
            <w:vAlign w:val="bottom"/>
          </w:tcPr>
          <w:p w14:paraId="5DEC64C3" w14:textId="77777777" w:rsidR="00B1578D" w:rsidRDefault="00B1578D">
            <w:pPr>
              <w:rPr>
                <w:rFonts w:ascii="宋体"/>
                <w:vanish/>
              </w:rPr>
            </w:pPr>
          </w:p>
        </w:tc>
        <w:tc>
          <w:tcPr>
            <w:tcW w:w="0" w:type="auto"/>
            <w:shd w:val="clear" w:color="auto" w:fill="auto"/>
            <w:vAlign w:val="bottom"/>
          </w:tcPr>
          <w:p w14:paraId="5DEC64C4" w14:textId="77777777" w:rsidR="00B1578D" w:rsidRDefault="00B1578D">
            <w:pPr>
              <w:rPr>
                <w:rFonts w:ascii="宋体"/>
                <w:vanish/>
              </w:rPr>
            </w:pPr>
          </w:p>
        </w:tc>
        <w:tc>
          <w:tcPr>
            <w:tcW w:w="0" w:type="auto"/>
            <w:gridSpan w:val="3"/>
            <w:shd w:val="clear" w:color="auto" w:fill="auto"/>
            <w:vAlign w:val="bottom"/>
          </w:tcPr>
          <w:p w14:paraId="5DEC64C5" w14:textId="77777777" w:rsidR="00B1578D" w:rsidRDefault="00B1578D">
            <w:pPr>
              <w:rPr>
                <w:rFonts w:ascii="宋体"/>
                <w:vanish/>
              </w:rPr>
            </w:pPr>
          </w:p>
        </w:tc>
        <w:tc>
          <w:tcPr>
            <w:tcW w:w="0" w:type="auto"/>
            <w:gridSpan w:val="3"/>
            <w:shd w:val="clear" w:color="auto" w:fill="auto"/>
            <w:vAlign w:val="bottom"/>
          </w:tcPr>
          <w:p w14:paraId="5DEC64C6" w14:textId="77777777" w:rsidR="00B1578D" w:rsidRDefault="00B1578D">
            <w:pPr>
              <w:rPr>
                <w:rFonts w:ascii="宋体"/>
                <w:vanish/>
              </w:rPr>
            </w:pPr>
          </w:p>
        </w:tc>
      </w:tr>
      <w:tr w:rsidR="00B1578D" w14:paraId="5DEC64D3" w14:textId="77777777">
        <w:trPr>
          <w:jc w:val="center"/>
        </w:trPr>
        <w:tc>
          <w:tcPr>
            <w:tcW w:w="0" w:type="auto"/>
            <w:gridSpan w:val="3"/>
            <w:shd w:val="clear" w:color="auto" w:fill="FFFFFF"/>
            <w:tcMar>
              <w:top w:w="40" w:type="dxa"/>
              <w:left w:w="380" w:type="dxa"/>
              <w:bottom w:w="40" w:type="dxa"/>
              <w:right w:w="20" w:type="dxa"/>
            </w:tcMar>
            <w:vAlign w:val="center"/>
          </w:tcPr>
          <w:p w14:paraId="5DEC64C8" w14:textId="77777777" w:rsidR="00B1578D" w:rsidRDefault="004D2C04">
            <w:pPr>
              <w:textAlignment w:val="center"/>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vAlign w:val="bottom"/>
          </w:tcPr>
          <w:p w14:paraId="5DEC64C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4CA" w14:textId="77777777" w:rsidR="00B1578D" w:rsidRDefault="004D2C04">
            <w:pPr>
              <w:jc w:val="right"/>
              <w:textAlignment w:val="center"/>
            </w:pPr>
            <w:r>
              <w:rPr>
                <w:rFonts w:ascii="Times New Roman" w:eastAsia="宋体" w:hAnsi="Times New Roman"/>
                <w:color w:val="000000"/>
                <w:sz w:val="16"/>
                <w:szCs w:val="16"/>
              </w:rPr>
              <w:t>3,623 </w:t>
            </w:r>
          </w:p>
        </w:tc>
        <w:tc>
          <w:tcPr>
            <w:tcW w:w="0" w:type="auto"/>
            <w:shd w:val="clear" w:color="auto" w:fill="FFFFFF"/>
            <w:tcMar>
              <w:top w:w="40" w:type="dxa"/>
              <w:left w:w="0" w:type="dxa"/>
              <w:bottom w:w="40" w:type="dxa"/>
              <w:right w:w="20" w:type="dxa"/>
            </w:tcMar>
            <w:vAlign w:val="center"/>
          </w:tcPr>
          <w:p w14:paraId="5DEC64CB"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4C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4CD" w14:textId="77777777" w:rsidR="00B1578D" w:rsidRDefault="004D2C04">
            <w:pPr>
              <w:jc w:val="right"/>
              <w:textAlignment w:val="center"/>
            </w:pPr>
            <w:r>
              <w:rPr>
                <w:rFonts w:ascii="Times New Roman" w:eastAsia="宋体" w:hAnsi="Times New Roman"/>
                <w:color w:val="000000"/>
                <w:sz w:val="16"/>
                <w:szCs w:val="16"/>
              </w:rPr>
              <w:t>2,299 </w:t>
            </w:r>
          </w:p>
        </w:tc>
        <w:tc>
          <w:tcPr>
            <w:tcW w:w="0" w:type="auto"/>
            <w:shd w:val="clear" w:color="auto" w:fill="FFFFFF"/>
            <w:tcMar>
              <w:top w:w="40" w:type="dxa"/>
              <w:left w:w="0" w:type="dxa"/>
              <w:bottom w:w="40" w:type="dxa"/>
              <w:right w:w="20" w:type="dxa"/>
            </w:tcMar>
            <w:vAlign w:val="center"/>
          </w:tcPr>
          <w:p w14:paraId="5DEC64CE" w14:textId="77777777" w:rsidR="00B1578D" w:rsidRDefault="00B1578D">
            <w:pPr>
              <w:jc w:val="right"/>
              <w:rPr>
                <w:rFonts w:ascii="宋体"/>
              </w:rPr>
            </w:pPr>
          </w:p>
        </w:tc>
        <w:tc>
          <w:tcPr>
            <w:tcW w:w="0" w:type="auto"/>
            <w:shd w:val="clear" w:color="auto" w:fill="auto"/>
            <w:vAlign w:val="bottom"/>
          </w:tcPr>
          <w:p w14:paraId="5DEC64CF" w14:textId="77777777" w:rsidR="00B1578D" w:rsidRDefault="00B1578D">
            <w:pPr>
              <w:rPr>
                <w:rFonts w:ascii="宋体"/>
                <w:vanish/>
              </w:rPr>
            </w:pPr>
          </w:p>
        </w:tc>
        <w:tc>
          <w:tcPr>
            <w:tcW w:w="0" w:type="auto"/>
            <w:shd w:val="clear" w:color="auto" w:fill="auto"/>
            <w:vAlign w:val="bottom"/>
          </w:tcPr>
          <w:p w14:paraId="5DEC64D0" w14:textId="77777777" w:rsidR="00B1578D" w:rsidRDefault="00B1578D">
            <w:pPr>
              <w:rPr>
                <w:rFonts w:ascii="宋体"/>
                <w:vanish/>
              </w:rPr>
            </w:pPr>
          </w:p>
        </w:tc>
        <w:tc>
          <w:tcPr>
            <w:tcW w:w="0" w:type="auto"/>
            <w:gridSpan w:val="3"/>
            <w:shd w:val="clear" w:color="auto" w:fill="auto"/>
            <w:vAlign w:val="bottom"/>
          </w:tcPr>
          <w:p w14:paraId="5DEC64D1" w14:textId="77777777" w:rsidR="00B1578D" w:rsidRDefault="00B1578D">
            <w:pPr>
              <w:rPr>
                <w:rFonts w:ascii="宋体"/>
                <w:vanish/>
              </w:rPr>
            </w:pPr>
          </w:p>
        </w:tc>
        <w:tc>
          <w:tcPr>
            <w:tcW w:w="0" w:type="auto"/>
            <w:gridSpan w:val="3"/>
            <w:shd w:val="clear" w:color="auto" w:fill="auto"/>
            <w:vAlign w:val="bottom"/>
          </w:tcPr>
          <w:p w14:paraId="5DEC64D2" w14:textId="77777777" w:rsidR="00B1578D" w:rsidRDefault="00B1578D">
            <w:pPr>
              <w:rPr>
                <w:rFonts w:ascii="宋体"/>
                <w:vanish/>
              </w:rPr>
            </w:pPr>
          </w:p>
        </w:tc>
      </w:tr>
      <w:tr w:rsidR="00B1578D" w14:paraId="5DEC64DF" w14:textId="77777777">
        <w:trPr>
          <w:jc w:val="center"/>
        </w:trPr>
        <w:tc>
          <w:tcPr>
            <w:tcW w:w="0" w:type="auto"/>
            <w:gridSpan w:val="3"/>
            <w:shd w:val="clear" w:color="auto" w:fill="CCEEFF"/>
            <w:tcMar>
              <w:top w:w="40" w:type="dxa"/>
              <w:left w:w="380" w:type="dxa"/>
              <w:bottom w:w="40" w:type="dxa"/>
              <w:right w:w="20" w:type="dxa"/>
            </w:tcMar>
            <w:vAlign w:val="center"/>
          </w:tcPr>
          <w:p w14:paraId="5DEC64D4" w14:textId="77777777" w:rsidR="00B1578D" w:rsidRDefault="004D2C04">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vAlign w:val="bottom"/>
          </w:tcPr>
          <w:p w14:paraId="5DEC64D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4D6" w14:textId="77777777" w:rsidR="00B1578D" w:rsidRDefault="004D2C04">
            <w:pPr>
              <w:jc w:val="right"/>
              <w:textAlignment w:val="center"/>
            </w:pPr>
            <w:r>
              <w:rPr>
                <w:rFonts w:ascii="Times New Roman" w:eastAsia="宋体" w:hAnsi="Times New Roman"/>
                <w:color w:val="000000"/>
                <w:sz w:val="16"/>
                <w:szCs w:val="16"/>
              </w:rPr>
              <w:t>2,050 </w:t>
            </w:r>
          </w:p>
        </w:tc>
        <w:tc>
          <w:tcPr>
            <w:tcW w:w="0" w:type="auto"/>
            <w:shd w:val="clear" w:color="auto" w:fill="CCEEFF"/>
            <w:tcMar>
              <w:top w:w="40" w:type="dxa"/>
              <w:left w:w="0" w:type="dxa"/>
              <w:bottom w:w="40" w:type="dxa"/>
              <w:right w:w="20" w:type="dxa"/>
            </w:tcMar>
            <w:vAlign w:val="center"/>
          </w:tcPr>
          <w:p w14:paraId="5DEC64D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4D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4D9" w14:textId="77777777" w:rsidR="00B1578D" w:rsidRDefault="004D2C04">
            <w:pPr>
              <w:jc w:val="right"/>
              <w:textAlignment w:val="center"/>
            </w:pPr>
            <w:r>
              <w:rPr>
                <w:rFonts w:ascii="Times New Roman" w:eastAsia="宋体" w:hAnsi="Times New Roman"/>
                <w:color w:val="000000"/>
                <w:sz w:val="16"/>
                <w:szCs w:val="16"/>
              </w:rPr>
              <w:t>2,082 </w:t>
            </w:r>
          </w:p>
        </w:tc>
        <w:tc>
          <w:tcPr>
            <w:tcW w:w="0" w:type="auto"/>
            <w:shd w:val="clear" w:color="auto" w:fill="CCEEFF"/>
            <w:tcMar>
              <w:top w:w="40" w:type="dxa"/>
              <w:left w:w="0" w:type="dxa"/>
              <w:bottom w:w="40" w:type="dxa"/>
              <w:right w:w="20" w:type="dxa"/>
            </w:tcMar>
            <w:vAlign w:val="center"/>
          </w:tcPr>
          <w:p w14:paraId="5DEC64DA" w14:textId="77777777" w:rsidR="00B1578D" w:rsidRDefault="00B1578D">
            <w:pPr>
              <w:jc w:val="right"/>
              <w:rPr>
                <w:rFonts w:ascii="宋体"/>
              </w:rPr>
            </w:pPr>
          </w:p>
        </w:tc>
        <w:tc>
          <w:tcPr>
            <w:tcW w:w="0" w:type="auto"/>
            <w:shd w:val="clear" w:color="auto" w:fill="auto"/>
            <w:vAlign w:val="bottom"/>
          </w:tcPr>
          <w:p w14:paraId="5DEC64DB" w14:textId="77777777" w:rsidR="00B1578D" w:rsidRDefault="00B1578D">
            <w:pPr>
              <w:rPr>
                <w:rFonts w:ascii="宋体"/>
                <w:vanish/>
              </w:rPr>
            </w:pPr>
          </w:p>
        </w:tc>
        <w:tc>
          <w:tcPr>
            <w:tcW w:w="0" w:type="auto"/>
            <w:shd w:val="clear" w:color="auto" w:fill="auto"/>
            <w:vAlign w:val="bottom"/>
          </w:tcPr>
          <w:p w14:paraId="5DEC64DC" w14:textId="77777777" w:rsidR="00B1578D" w:rsidRDefault="00B1578D">
            <w:pPr>
              <w:rPr>
                <w:rFonts w:ascii="宋体"/>
                <w:vanish/>
              </w:rPr>
            </w:pPr>
          </w:p>
        </w:tc>
        <w:tc>
          <w:tcPr>
            <w:tcW w:w="0" w:type="auto"/>
            <w:gridSpan w:val="3"/>
            <w:shd w:val="clear" w:color="auto" w:fill="auto"/>
            <w:vAlign w:val="bottom"/>
          </w:tcPr>
          <w:p w14:paraId="5DEC64DD" w14:textId="77777777" w:rsidR="00B1578D" w:rsidRDefault="00B1578D">
            <w:pPr>
              <w:rPr>
                <w:rFonts w:ascii="宋体"/>
                <w:vanish/>
              </w:rPr>
            </w:pPr>
          </w:p>
        </w:tc>
        <w:tc>
          <w:tcPr>
            <w:tcW w:w="0" w:type="auto"/>
            <w:gridSpan w:val="3"/>
            <w:shd w:val="clear" w:color="auto" w:fill="auto"/>
            <w:vAlign w:val="bottom"/>
          </w:tcPr>
          <w:p w14:paraId="5DEC64DE" w14:textId="77777777" w:rsidR="00B1578D" w:rsidRDefault="00B1578D">
            <w:pPr>
              <w:rPr>
                <w:rFonts w:ascii="宋体"/>
                <w:vanish/>
              </w:rPr>
            </w:pPr>
          </w:p>
        </w:tc>
      </w:tr>
      <w:tr w:rsidR="00B1578D" w14:paraId="5DEC64EB" w14:textId="77777777">
        <w:trPr>
          <w:jc w:val="center"/>
        </w:trPr>
        <w:tc>
          <w:tcPr>
            <w:tcW w:w="0" w:type="auto"/>
            <w:gridSpan w:val="3"/>
            <w:shd w:val="clear" w:color="auto" w:fill="FFFFFF"/>
            <w:tcMar>
              <w:top w:w="40" w:type="dxa"/>
              <w:left w:w="380" w:type="dxa"/>
              <w:bottom w:w="40" w:type="dxa"/>
              <w:right w:w="20" w:type="dxa"/>
            </w:tcMar>
            <w:vAlign w:val="center"/>
          </w:tcPr>
          <w:p w14:paraId="5DEC64E0" w14:textId="77777777" w:rsidR="00B1578D" w:rsidRDefault="004D2C04">
            <w:pPr>
              <w:textAlignment w:val="center"/>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vAlign w:val="bottom"/>
          </w:tcPr>
          <w:p w14:paraId="5DEC64E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4E2" w14:textId="77777777" w:rsidR="00B1578D" w:rsidRDefault="004D2C04">
            <w:pPr>
              <w:jc w:val="right"/>
              <w:textAlignment w:val="center"/>
            </w:pPr>
            <w:r>
              <w:rPr>
                <w:rFonts w:ascii="Times New Roman" w:eastAsia="宋体" w:hAnsi="Times New Roman"/>
                <w:color w:val="000000"/>
                <w:sz w:val="16"/>
                <w:szCs w:val="16"/>
              </w:rPr>
              <w:t>1,010 </w:t>
            </w:r>
          </w:p>
        </w:tc>
        <w:tc>
          <w:tcPr>
            <w:tcW w:w="0" w:type="auto"/>
            <w:shd w:val="clear" w:color="auto" w:fill="FFFFFF"/>
            <w:tcMar>
              <w:top w:w="40" w:type="dxa"/>
              <w:left w:w="0" w:type="dxa"/>
              <w:bottom w:w="40" w:type="dxa"/>
              <w:right w:w="20" w:type="dxa"/>
            </w:tcMar>
            <w:vAlign w:val="center"/>
          </w:tcPr>
          <w:p w14:paraId="5DEC64E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4E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4E5" w14:textId="77777777" w:rsidR="00B1578D" w:rsidRDefault="004D2C04">
            <w:pPr>
              <w:jc w:val="right"/>
              <w:textAlignment w:val="center"/>
            </w:pPr>
            <w:r>
              <w:rPr>
                <w:rFonts w:ascii="Times New Roman" w:eastAsia="宋体" w:hAnsi="Times New Roman"/>
                <w:color w:val="000000"/>
                <w:sz w:val="16"/>
                <w:szCs w:val="16"/>
              </w:rPr>
              <w:t>941 </w:t>
            </w:r>
          </w:p>
        </w:tc>
        <w:tc>
          <w:tcPr>
            <w:tcW w:w="0" w:type="auto"/>
            <w:shd w:val="clear" w:color="auto" w:fill="FFFFFF"/>
            <w:tcMar>
              <w:top w:w="40" w:type="dxa"/>
              <w:left w:w="0" w:type="dxa"/>
              <w:bottom w:w="40" w:type="dxa"/>
              <w:right w:w="20" w:type="dxa"/>
            </w:tcMar>
            <w:vAlign w:val="center"/>
          </w:tcPr>
          <w:p w14:paraId="5DEC64E6" w14:textId="77777777" w:rsidR="00B1578D" w:rsidRDefault="00B1578D">
            <w:pPr>
              <w:jc w:val="right"/>
              <w:rPr>
                <w:rFonts w:ascii="宋体"/>
              </w:rPr>
            </w:pPr>
          </w:p>
        </w:tc>
        <w:tc>
          <w:tcPr>
            <w:tcW w:w="0" w:type="auto"/>
            <w:shd w:val="clear" w:color="auto" w:fill="auto"/>
            <w:vAlign w:val="bottom"/>
          </w:tcPr>
          <w:p w14:paraId="5DEC64E7" w14:textId="77777777" w:rsidR="00B1578D" w:rsidRDefault="00B1578D">
            <w:pPr>
              <w:rPr>
                <w:rFonts w:ascii="宋体"/>
                <w:vanish/>
              </w:rPr>
            </w:pPr>
          </w:p>
        </w:tc>
        <w:tc>
          <w:tcPr>
            <w:tcW w:w="0" w:type="auto"/>
            <w:shd w:val="clear" w:color="auto" w:fill="auto"/>
            <w:vAlign w:val="bottom"/>
          </w:tcPr>
          <w:p w14:paraId="5DEC64E8" w14:textId="77777777" w:rsidR="00B1578D" w:rsidRDefault="00B1578D">
            <w:pPr>
              <w:rPr>
                <w:rFonts w:ascii="宋体"/>
                <w:vanish/>
              </w:rPr>
            </w:pPr>
          </w:p>
        </w:tc>
        <w:tc>
          <w:tcPr>
            <w:tcW w:w="0" w:type="auto"/>
            <w:gridSpan w:val="3"/>
            <w:shd w:val="clear" w:color="auto" w:fill="auto"/>
            <w:vAlign w:val="bottom"/>
          </w:tcPr>
          <w:p w14:paraId="5DEC64E9" w14:textId="77777777" w:rsidR="00B1578D" w:rsidRDefault="00B1578D">
            <w:pPr>
              <w:rPr>
                <w:rFonts w:ascii="宋体"/>
                <w:vanish/>
              </w:rPr>
            </w:pPr>
          </w:p>
        </w:tc>
        <w:tc>
          <w:tcPr>
            <w:tcW w:w="0" w:type="auto"/>
            <w:gridSpan w:val="3"/>
            <w:shd w:val="clear" w:color="auto" w:fill="auto"/>
            <w:vAlign w:val="bottom"/>
          </w:tcPr>
          <w:p w14:paraId="5DEC64EA" w14:textId="77777777" w:rsidR="00B1578D" w:rsidRDefault="00B1578D">
            <w:pPr>
              <w:rPr>
                <w:rFonts w:ascii="宋体"/>
                <w:vanish/>
              </w:rPr>
            </w:pPr>
          </w:p>
        </w:tc>
      </w:tr>
      <w:tr w:rsidR="00B1578D" w14:paraId="5DEC64F7" w14:textId="77777777">
        <w:trPr>
          <w:jc w:val="center"/>
        </w:trPr>
        <w:tc>
          <w:tcPr>
            <w:tcW w:w="0" w:type="auto"/>
            <w:gridSpan w:val="3"/>
            <w:shd w:val="clear" w:color="auto" w:fill="CCEEFF"/>
            <w:tcMar>
              <w:top w:w="40" w:type="dxa"/>
              <w:left w:w="380" w:type="dxa"/>
              <w:bottom w:w="40" w:type="dxa"/>
              <w:right w:w="20" w:type="dxa"/>
            </w:tcMar>
            <w:vAlign w:val="center"/>
          </w:tcPr>
          <w:p w14:paraId="5DEC64EC" w14:textId="77777777" w:rsidR="00B1578D" w:rsidRDefault="004D2C04">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vAlign w:val="bottom"/>
          </w:tcPr>
          <w:p w14:paraId="5DEC64ED"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4EE" w14:textId="77777777" w:rsidR="00B1578D" w:rsidRDefault="004D2C04">
            <w:pPr>
              <w:jc w:val="right"/>
              <w:textAlignment w:val="center"/>
            </w:pPr>
            <w:r>
              <w:rPr>
                <w:rFonts w:ascii="Times New Roman" w:eastAsia="宋体" w:hAnsi="Times New Roman"/>
                <w:color w:val="000000"/>
                <w:sz w:val="16"/>
                <w:szCs w:val="16"/>
              </w:rPr>
              <w:t>637 </w:t>
            </w:r>
          </w:p>
        </w:tc>
        <w:tc>
          <w:tcPr>
            <w:tcW w:w="0" w:type="auto"/>
            <w:shd w:val="clear" w:color="auto" w:fill="CCEEFF"/>
            <w:tcMar>
              <w:top w:w="40" w:type="dxa"/>
              <w:left w:w="0" w:type="dxa"/>
              <w:bottom w:w="40" w:type="dxa"/>
              <w:right w:w="20" w:type="dxa"/>
            </w:tcMar>
            <w:vAlign w:val="center"/>
          </w:tcPr>
          <w:p w14:paraId="5DEC64E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4F0"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4F1" w14:textId="77777777" w:rsidR="00B1578D" w:rsidRDefault="004D2C04">
            <w:pPr>
              <w:jc w:val="right"/>
              <w:textAlignment w:val="center"/>
            </w:pPr>
            <w:r>
              <w:rPr>
                <w:rFonts w:ascii="Times New Roman" w:eastAsia="宋体" w:hAnsi="Times New Roman"/>
                <w:color w:val="000000"/>
                <w:sz w:val="16"/>
                <w:szCs w:val="16"/>
              </w:rPr>
              <w:t>701 </w:t>
            </w:r>
          </w:p>
        </w:tc>
        <w:tc>
          <w:tcPr>
            <w:tcW w:w="0" w:type="auto"/>
            <w:shd w:val="clear" w:color="auto" w:fill="CCEEFF"/>
            <w:tcMar>
              <w:top w:w="40" w:type="dxa"/>
              <w:left w:w="0" w:type="dxa"/>
              <w:bottom w:w="40" w:type="dxa"/>
              <w:right w:w="20" w:type="dxa"/>
            </w:tcMar>
            <w:vAlign w:val="center"/>
          </w:tcPr>
          <w:p w14:paraId="5DEC64F2" w14:textId="77777777" w:rsidR="00B1578D" w:rsidRDefault="00B1578D">
            <w:pPr>
              <w:jc w:val="right"/>
              <w:rPr>
                <w:rFonts w:ascii="宋体"/>
              </w:rPr>
            </w:pPr>
          </w:p>
        </w:tc>
        <w:tc>
          <w:tcPr>
            <w:tcW w:w="0" w:type="auto"/>
            <w:shd w:val="clear" w:color="auto" w:fill="auto"/>
            <w:vAlign w:val="bottom"/>
          </w:tcPr>
          <w:p w14:paraId="5DEC64F3" w14:textId="77777777" w:rsidR="00B1578D" w:rsidRDefault="00B1578D">
            <w:pPr>
              <w:rPr>
                <w:rFonts w:ascii="宋体"/>
                <w:vanish/>
              </w:rPr>
            </w:pPr>
          </w:p>
        </w:tc>
        <w:tc>
          <w:tcPr>
            <w:tcW w:w="0" w:type="auto"/>
            <w:shd w:val="clear" w:color="auto" w:fill="auto"/>
            <w:vAlign w:val="bottom"/>
          </w:tcPr>
          <w:p w14:paraId="5DEC64F4" w14:textId="77777777" w:rsidR="00B1578D" w:rsidRDefault="00B1578D">
            <w:pPr>
              <w:rPr>
                <w:rFonts w:ascii="宋体"/>
                <w:vanish/>
              </w:rPr>
            </w:pPr>
          </w:p>
        </w:tc>
        <w:tc>
          <w:tcPr>
            <w:tcW w:w="0" w:type="auto"/>
            <w:gridSpan w:val="3"/>
            <w:shd w:val="clear" w:color="auto" w:fill="auto"/>
            <w:vAlign w:val="bottom"/>
          </w:tcPr>
          <w:p w14:paraId="5DEC64F5" w14:textId="77777777" w:rsidR="00B1578D" w:rsidRDefault="00B1578D">
            <w:pPr>
              <w:rPr>
                <w:rFonts w:ascii="宋体"/>
                <w:vanish/>
              </w:rPr>
            </w:pPr>
          </w:p>
        </w:tc>
        <w:tc>
          <w:tcPr>
            <w:tcW w:w="0" w:type="auto"/>
            <w:gridSpan w:val="3"/>
            <w:shd w:val="clear" w:color="auto" w:fill="auto"/>
            <w:vAlign w:val="bottom"/>
          </w:tcPr>
          <w:p w14:paraId="5DEC64F6" w14:textId="77777777" w:rsidR="00B1578D" w:rsidRDefault="00B1578D">
            <w:pPr>
              <w:rPr>
                <w:rFonts w:ascii="宋体"/>
                <w:vanish/>
              </w:rPr>
            </w:pPr>
          </w:p>
        </w:tc>
      </w:tr>
      <w:tr w:rsidR="00B1578D" w14:paraId="5DEC6505" w14:textId="77777777">
        <w:trPr>
          <w:jc w:val="center"/>
        </w:trPr>
        <w:tc>
          <w:tcPr>
            <w:tcW w:w="0" w:type="auto"/>
            <w:gridSpan w:val="3"/>
            <w:shd w:val="clear" w:color="auto" w:fill="FFFFFF"/>
            <w:tcMar>
              <w:top w:w="40" w:type="dxa"/>
              <w:left w:w="20" w:type="dxa"/>
              <w:bottom w:w="40" w:type="dxa"/>
              <w:right w:w="20" w:type="dxa"/>
            </w:tcMar>
            <w:vAlign w:val="center"/>
          </w:tcPr>
          <w:p w14:paraId="5DEC64F8" w14:textId="77777777" w:rsidR="00B1578D" w:rsidRDefault="004D2C04">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5DEC64F9"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4F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4FB" w14:textId="77777777" w:rsidR="00B1578D" w:rsidRDefault="004D2C04">
            <w:pPr>
              <w:jc w:val="right"/>
              <w:textAlignment w:val="center"/>
            </w:pPr>
            <w:r>
              <w:rPr>
                <w:rFonts w:ascii="Times New Roman" w:eastAsia="宋体" w:hAnsi="Times New Roman"/>
                <w:color w:val="000000"/>
                <w:sz w:val="16"/>
                <w:szCs w:val="16"/>
              </w:rPr>
              <w:t>19,621 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4F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4FD"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4F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4FF" w14:textId="77777777" w:rsidR="00B1578D" w:rsidRDefault="004D2C04">
            <w:pPr>
              <w:jc w:val="right"/>
              <w:textAlignment w:val="center"/>
            </w:pPr>
            <w:r>
              <w:rPr>
                <w:rFonts w:ascii="Times New Roman" w:eastAsia="宋体" w:hAnsi="Times New Roman"/>
                <w:color w:val="000000"/>
                <w:sz w:val="16"/>
                <w:szCs w:val="16"/>
              </w:rPr>
              <w:t>16,692 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500" w14:textId="77777777" w:rsidR="00B1578D" w:rsidRDefault="00B1578D">
            <w:pPr>
              <w:jc w:val="right"/>
              <w:rPr>
                <w:rFonts w:ascii="宋体"/>
              </w:rPr>
            </w:pPr>
          </w:p>
        </w:tc>
        <w:tc>
          <w:tcPr>
            <w:tcW w:w="0" w:type="auto"/>
            <w:shd w:val="clear" w:color="auto" w:fill="auto"/>
            <w:vAlign w:val="bottom"/>
          </w:tcPr>
          <w:p w14:paraId="5DEC6501" w14:textId="77777777" w:rsidR="00B1578D" w:rsidRDefault="00B1578D">
            <w:pPr>
              <w:rPr>
                <w:rFonts w:ascii="宋体"/>
                <w:vanish/>
              </w:rPr>
            </w:pPr>
          </w:p>
        </w:tc>
        <w:tc>
          <w:tcPr>
            <w:tcW w:w="0" w:type="auto"/>
            <w:shd w:val="clear" w:color="auto" w:fill="auto"/>
            <w:vAlign w:val="bottom"/>
          </w:tcPr>
          <w:p w14:paraId="5DEC6502" w14:textId="77777777" w:rsidR="00B1578D" w:rsidRDefault="00B1578D">
            <w:pPr>
              <w:rPr>
                <w:rFonts w:ascii="宋体"/>
                <w:vanish/>
              </w:rPr>
            </w:pPr>
          </w:p>
        </w:tc>
        <w:tc>
          <w:tcPr>
            <w:tcW w:w="0" w:type="auto"/>
            <w:gridSpan w:val="3"/>
            <w:shd w:val="clear" w:color="auto" w:fill="auto"/>
            <w:vAlign w:val="bottom"/>
          </w:tcPr>
          <w:p w14:paraId="5DEC6503" w14:textId="77777777" w:rsidR="00B1578D" w:rsidRDefault="00B1578D">
            <w:pPr>
              <w:rPr>
                <w:rFonts w:ascii="宋体"/>
                <w:vanish/>
              </w:rPr>
            </w:pPr>
          </w:p>
        </w:tc>
        <w:tc>
          <w:tcPr>
            <w:tcW w:w="0" w:type="auto"/>
            <w:gridSpan w:val="3"/>
            <w:shd w:val="clear" w:color="auto" w:fill="auto"/>
            <w:vAlign w:val="bottom"/>
          </w:tcPr>
          <w:p w14:paraId="5DEC6504" w14:textId="77777777" w:rsidR="00B1578D" w:rsidRDefault="00B1578D">
            <w:pPr>
              <w:rPr>
                <w:rFonts w:ascii="宋体"/>
                <w:vanish/>
              </w:rPr>
            </w:pPr>
          </w:p>
        </w:tc>
      </w:tr>
    </w:tbl>
    <w:p w14:paraId="5DEC6506" w14:textId="77777777" w:rsidR="00B1578D" w:rsidRDefault="004D2C04">
      <w:pPr>
        <w:spacing w:before="80"/>
      </w:pPr>
      <w:r>
        <w:rPr>
          <w:rFonts w:ascii="Times New Roman" w:eastAsia="宋体" w:hAnsi="Times New Roman"/>
          <w:color w:val="000000"/>
          <w:sz w:val="20"/>
          <w:szCs w:val="20"/>
        </w:rPr>
        <w:t>Of Sam's Club's total net sales, approximately $1.9 billion and $1.5 billion related to eCommerce for the three months ended April 30, 2022 and 2021, respectively.</w:t>
      </w:r>
    </w:p>
    <w:p w14:paraId="5DEC6507" w14:textId="77777777" w:rsidR="00B1578D" w:rsidRDefault="00B1578D">
      <w:pPr>
        <w:spacing w:before="180"/>
      </w:pPr>
    </w:p>
    <w:p w14:paraId="5DEC6508" w14:textId="77777777" w:rsidR="00B1578D" w:rsidRDefault="004D2C04">
      <w:pPr>
        <w:jc w:val="center"/>
      </w:pPr>
      <w:r>
        <w:rPr>
          <w:rFonts w:ascii="Times New Roman" w:eastAsia="宋体" w:hAnsi="Times New Roman"/>
          <w:color w:val="000000"/>
          <w:sz w:val="20"/>
          <w:szCs w:val="20"/>
        </w:rPr>
        <w:t>14</w:t>
      </w:r>
    </w:p>
    <w:p w14:paraId="5DEC6509" w14:textId="77777777" w:rsidR="00B1578D" w:rsidRDefault="004D2C04">
      <w:r>
        <w:pict w14:anchorId="5DEC6F33">
          <v:rect id="_x0000_i1038" style="width:415.3pt;height:1.5pt" o:hralign="center" o:hrstd="t" o:hr="t" fillcolor="#a0a0a0" stroked="f"/>
        </w:pict>
      </w:r>
    </w:p>
    <w:p w14:paraId="5DEC650A" w14:textId="77777777" w:rsidR="00B1578D" w:rsidRDefault="004D2C04">
      <w:hyperlink r:id="rId53" w:anchor="ia92fe4e1fa654d85928fb72942eadb02_7" w:history="1">
        <w:r>
          <w:rPr>
            <w:rStyle w:val="a5"/>
            <w:rFonts w:ascii="Times New Roman" w:eastAsia="宋体" w:hAnsi="Times New Roman"/>
            <w:sz w:val="20"/>
            <w:szCs w:val="20"/>
          </w:rPr>
          <w:t>Table of Contents</w:t>
        </w:r>
      </w:hyperlink>
    </w:p>
    <w:p w14:paraId="5DEC650B" w14:textId="77777777" w:rsidR="00B1578D" w:rsidRDefault="004D2C04">
      <w:r>
        <w:rPr>
          <w:rFonts w:ascii="Times New Roman" w:eastAsia="宋体" w:hAnsi="Times New Roman"/>
          <w:b/>
          <w:bCs/>
          <w:color w:val="000000"/>
          <w:sz w:val="20"/>
          <w:szCs w:val="20"/>
        </w:rPr>
        <w:t>Item 2. Management's Discussion and Analysis of Financial Condition and Results of Operations</w:t>
      </w:r>
    </w:p>
    <w:p w14:paraId="5DEC650C" w14:textId="77777777" w:rsidR="00B1578D" w:rsidRDefault="004D2C04">
      <w:pPr>
        <w:spacing w:before="100"/>
      </w:pPr>
      <w:r>
        <w:rPr>
          <w:rFonts w:ascii="Times New Roman" w:eastAsia="宋体" w:hAnsi="Times New Roman"/>
          <w:b/>
          <w:bCs/>
          <w:color w:val="000000"/>
          <w:sz w:val="20"/>
          <w:szCs w:val="20"/>
        </w:rPr>
        <w:t>Overview</w:t>
      </w:r>
    </w:p>
    <w:p w14:paraId="5DEC650D" w14:textId="77777777" w:rsidR="00B1578D" w:rsidRDefault="004D2C04">
      <w:pPr>
        <w:spacing w:before="60"/>
      </w:pPr>
      <w:r>
        <w:rPr>
          <w:rFonts w:ascii="Times New Roman" w:eastAsia="宋体" w:hAnsi="Times New Roman"/>
          <w:color w:val="000000"/>
          <w:sz w:val="20"/>
          <w:szCs w:val="20"/>
        </w:rPr>
        <w:t>This discussion, which presents Walmart Inc.'s ("Walmart," the "Company," "our," or "we") results for periods occurring in the fiscal year ending January 31, 2023 ("fiscal 2023") and the fiscal year ended January 31, 2022 ("fiscal 2022"), should be read in</w:t>
      </w:r>
      <w:r>
        <w:rPr>
          <w:rFonts w:ascii="Times New Roman" w:eastAsia="宋体" w:hAnsi="Times New Roman"/>
          <w:color w:val="000000"/>
          <w:sz w:val="20"/>
          <w:szCs w:val="20"/>
        </w:rPr>
        <w:t xml:space="preserve"> conjunction with our Condensed Consolidated Financial Statements as of and for the three months ended April 30, 2022, and the accompanying notes included in </w:t>
      </w:r>
      <w:hyperlink r:id="rId54" w:anchor="ia92fe4e1fa654d85928fb72942eadb02_13" w:history="1">
        <w:r>
          <w:rPr>
            <w:rStyle w:val="a5"/>
            <w:rFonts w:ascii="Times New Roman" w:eastAsia="宋体" w:hAnsi="Times New Roman"/>
            <w:sz w:val="20"/>
            <w:szCs w:val="20"/>
          </w:rPr>
          <w:t>Part I, Item 1</w:t>
        </w:r>
      </w:hyperlink>
      <w:r>
        <w:rPr>
          <w:rFonts w:ascii="Times New Roman" w:eastAsia="宋体" w:hAnsi="Times New Roman"/>
          <w:color w:val="000000"/>
          <w:sz w:val="20"/>
          <w:szCs w:val="20"/>
        </w:rPr>
        <w:t xml:space="preserve"> of this Quarterly Report on Form 10-Q, as well as our Consolidated Financial Statements as of and for the year ended January 31, 2022, the accompanying notes and the related Management's</w:t>
      </w:r>
      <w:r>
        <w:rPr>
          <w:rFonts w:ascii="Times New Roman" w:eastAsia="宋体" w:hAnsi="Times New Roman"/>
          <w:color w:val="000000"/>
          <w:sz w:val="20"/>
          <w:szCs w:val="20"/>
        </w:rPr>
        <w:t xml:space="preserve"> Discussion and Analysis of Financial Condition and Results of Operations, contained in our Annual Report on Form 10-K for the year ended January 31, 2022.</w:t>
      </w:r>
    </w:p>
    <w:p w14:paraId="5DEC650E" w14:textId="77777777" w:rsidR="00B1578D" w:rsidRDefault="004D2C04">
      <w:pPr>
        <w:spacing w:before="100"/>
      </w:pPr>
      <w:r>
        <w:rPr>
          <w:rFonts w:ascii="Times New Roman" w:eastAsia="宋体" w:hAnsi="Times New Roman"/>
          <w:color w:val="000000"/>
          <w:sz w:val="20"/>
          <w:szCs w:val="20"/>
        </w:rPr>
        <w:t>We intend for this discussion to provide the reader with information that will assist in understandi</w:t>
      </w:r>
      <w:r>
        <w:rPr>
          <w:rFonts w:ascii="Times New Roman" w:eastAsia="宋体" w:hAnsi="Times New Roman"/>
          <w:color w:val="000000"/>
          <w:sz w:val="20"/>
          <w:szCs w:val="20"/>
        </w:rPr>
        <w:t>ng our financial statements, the changes in certain key items in those financial statements from period to period and the primary factors that accounted for those changes. We also discuss certain performance metrics that management uses to assess the Compa</w:t>
      </w:r>
      <w:r>
        <w:rPr>
          <w:rFonts w:ascii="Times New Roman" w:eastAsia="宋体" w:hAnsi="Times New Roman"/>
          <w:color w:val="000000"/>
          <w:sz w:val="20"/>
          <w:szCs w:val="20"/>
        </w:rPr>
        <w:t>ny's performance. Additionally, the discussion provides information about the financial results of each of the three segments of our business to provide a better understanding of how each of those segments and its results of operations affect the financial</w:t>
      </w:r>
      <w:r>
        <w:rPr>
          <w:rFonts w:ascii="Times New Roman" w:eastAsia="宋体" w:hAnsi="Times New Roman"/>
          <w:color w:val="000000"/>
          <w:sz w:val="20"/>
          <w:szCs w:val="20"/>
        </w:rPr>
        <w:t xml:space="preserve"> condition and results of operations of the Company as a whole. </w:t>
      </w:r>
    </w:p>
    <w:p w14:paraId="5DEC650F" w14:textId="77777777" w:rsidR="00B1578D" w:rsidRDefault="004D2C04">
      <w:pPr>
        <w:spacing w:before="100"/>
      </w:pPr>
      <w:r>
        <w:rPr>
          <w:rFonts w:ascii="Times New Roman" w:eastAsia="宋体" w:hAnsi="Times New Roman"/>
          <w:color w:val="000000"/>
          <w:sz w:val="20"/>
          <w:szCs w:val="20"/>
        </w:rPr>
        <w:t>Throughout this Management's Discussion and Analysis of Financial Condition and Results of Operations, we discuss segment operating income, comparable store and club sales and other measures.</w:t>
      </w:r>
      <w:r>
        <w:rPr>
          <w:rFonts w:ascii="Times New Roman" w:eastAsia="宋体" w:hAnsi="Times New Roman"/>
          <w:color w:val="000000"/>
          <w:sz w:val="20"/>
          <w:szCs w:val="20"/>
        </w:rPr>
        <w:t xml:space="preserve"> Management measures the results of the Company's segments using each segment's operating income, including certain corporate overhead allocations, as well as other measures. From time to time, we revise the measurement of each segment's operating income a</w:t>
      </w:r>
      <w:r>
        <w:rPr>
          <w:rFonts w:ascii="Times New Roman" w:eastAsia="宋体" w:hAnsi="Times New Roman"/>
          <w:color w:val="000000"/>
          <w:sz w:val="20"/>
          <w:szCs w:val="20"/>
        </w:rPr>
        <w:t xml:space="preserve">nd other measures as determined by the information regularly reviewed by our chief operating decision maker. </w:t>
      </w:r>
    </w:p>
    <w:p w14:paraId="5DEC6510" w14:textId="77777777" w:rsidR="00B1578D" w:rsidRDefault="004D2C04">
      <w:pPr>
        <w:spacing w:before="100"/>
      </w:pPr>
      <w:r>
        <w:rPr>
          <w:rFonts w:ascii="Times New Roman" w:eastAsia="宋体" w:hAnsi="Times New Roman"/>
          <w:color w:val="000000"/>
          <w:sz w:val="20"/>
          <w:szCs w:val="20"/>
        </w:rPr>
        <w:t>Comparable store and club sales, or comparable sales, is a metric that indicates the performance of our existing stores and clubs by measuring the</w:t>
      </w:r>
      <w:r>
        <w:rPr>
          <w:rFonts w:ascii="Times New Roman" w:eastAsia="宋体" w:hAnsi="Times New Roman"/>
          <w:color w:val="000000"/>
          <w:sz w:val="20"/>
          <w:szCs w:val="20"/>
        </w:rPr>
        <w:t xml:space="preserve"> change in sales for such stores and clubs, including eCommerce sales, for a particular period from the corresponding prior year period. Walmart's definition of comparable sales includes sales from stores and clubs open for the previous 12 months, includin</w:t>
      </w:r>
      <w:r>
        <w:rPr>
          <w:rFonts w:ascii="Times New Roman" w:eastAsia="宋体" w:hAnsi="Times New Roman"/>
          <w:color w:val="000000"/>
          <w:sz w:val="20"/>
          <w:szCs w:val="20"/>
        </w:rPr>
        <w:t>g remodels, relocations, expansions and conversions, as well as eCommerce sales. We measure the eCommerce sales impact by including all sales initiated digitally, including omni-channel transactions which are fulfilled through our stores and clubs. Sales a</w:t>
      </w:r>
      <w:r>
        <w:rPr>
          <w:rFonts w:ascii="Times New Roman" w:eastAsia="宋体" w:hAnsi="Times New Roman"/>
          <w:color w:val="000000"/>
          <w:sz w:val="20"/>
          <w:szCs w:val="20"/>
        </w:rPr>
        <w:t>t a store that has changed in format are excluded from comparable sales when the conversion of that store is accompanied by a relocation or expansion that results in a change in the store's retail square feet of more than five percent. Sales related to div</w:t>
      </w:r>
      <w:r>
        <w:rPr>
          <w:rFonts w:ascii="Times New Roman" w:eastAsia="宋体" w:hAnsi="Times New Roman"/>
          <w:color w:val="000000"/>
          <w:sz w:val="20"/>
          <w:szCs w:val="20"/>
        </w:rPr>
        <w:t>ested businesses are excluded from comparable sales, and sales related to acquisitions are excluded until such acquisitions have been owned for 12 months. Comparable sales are also referred to as "same-store" sales by others within the retail industry. The</w:t>
      </w:r>
      <w:r>
        <w:rPr>
          <w:rFonts w:ascii="Times New Roman" w:eastAsia="宋体" w:hAnsi="Times New Roman"/>
          <w:color w:val="000000"/>
          <w:sz w:val="20"/>
          <w:szCs w:val="20"/>
        </w:rPr>
        <w:t xml:space="preserve"> method of calculating comparable sales varies across the retail industry. As a result, our calculation of comparable sales is not necessarily comparable to similarly titled measures reported by other companies. </w:t>
      </w:r>
    </w:p>
    <w:p w14:paraId="5DEC6511" w14:textId="77777777" w:rsidR="00B1578D" w:rsidRDefault="004D2C04">
      <w:pPr>
        <w:spacing w:before="100"/>
      </w:pPr>
      <w:r>
        <w:rPr>
          <w:rFonts w:ascii="Times New Roman" w:eastAsia="宋体" w:hAnsi="Times New Roman"/>
          <w:color w:val="000000"/>
          <w:sz w:val="20"/>
          <w:szCs w:val="20"/>
        </w:rPr>
        <w:t>In discussing our operating results, the te</w:t>
      </w:r>
      <w:r>
        <w:rPr>
          <w:rFonts w:ascii="Times New Roman" w:eastAsia="宋体" w:hAnsi="Times New Roman"/>
          <w:color w:val="000000"/>
          <w:sz w:val="20"/>
          <w:szCs w:val="20"/>
        </w:rPr>
        <w:t xml:space="preserve">rm currency exchange rates refers to the currency exchange rates we use to convert the operating results for countries where the functional currency is not the U.S. dollar into U.S. dollars. We calculate the effect of changes in currency exchange rates as </w:t>
      </w:r>
      <w:r>
        <w:rPr>
          <w:rFonts w:ascii="Times New Roman" w:eastAsia="宋体" w:hAnsi="Times New Roman"/>
          <w:color w:val="000000"/>
          <w:sz w:val="20"/>
          <w:szCs w:val="20"/>
        </w:rPr>
        <w:t>the difference between current period activity translated using the current period's currency exchange rates and the comparable prior year period's currency exchange rates. Additionally, no currency exchange rate fluctuations are calculated for non-USD acq</w:t>
      </w:r>
      <w:r>
        <w:rPr>
          <w:rFonts w:ascii="Times New Roman" w:eastAsia="宋体" w:hAnsi="Times New Roman"/>
          <w:color w:val="000000"/>
          <w:sz w:val="20"/>
          <w:szCs w:val="20"/>
        </w:rPr>
        <w:t>uisitions until owned for 12 months. Throughout our discussion, we refer to the results of this calculation as the impact of currency exchange rate fluctuations. Volatility in currency exchange rates may impact the results, including net sales and operatin</w:t>
      </w:r>
      <w:r>
        <w:rPr>
          <w:rFonts w:ascii="Times New Roman" w:eastAsia="宋体" w:hAnsi="Times New Roman"/>
          <w:color w:val="000000"/>
          <w:sz w:val="20"/>
          <w:szCs w:val="20"/>
        </w:rPr>
        <w:t>g income, of the Company and the Walmart International segment in the future.</w:t>
      </w:r>
    </w:p>
    <w:p w14:paraId="5DEC6512" w14:textId="77777777" w:rsidR="00B1578D" w:rsidRDefault="004D2C04">
      <w:pPr>
        <w:spacing w:before="100"/>
      </w:pPr>
      <w:r>
        <w:rPr>
          <w:rFonts w:ascii="Times New Roman" w:eastAsia="宋体" w:hAnsi="Times New Roman"/>
          <w:color w:val="000000"/>
          <w:sz w:val="20"/>
          <w:szCs w:val="20"/>
        </w:rPr>
        <w:t>Each of our segments contributes to the Company's operating results differently. Each, however, has generally maintained a consistent contribution rate to the Company's net sales</w:t>
      </w:r>
      <w:r>
        <w:rPr>
          <w:rFonts w:ascii="Times New Roman" w:eastAsia="宋体" w:hAnsi="Times New Roman"/>
          <w:color w:val="000000"/>
          <w:sz w:val="20"/>
          <w:szCs w:val="20"/>
        </w:rPr>
        <w:t xml:space="preserve"> and operating income in recent years other than minor changes to the contribution rate for the Walmart International segment due to fluctuations in currency exchange rates. </w:t>
      </w:r>
    </w:p>
    <w:p w14:paraId="5DEC6513" w14:textId="77777777" w:rsidR="00B1578D" w:rsidRDefault="004D2C04">
      <w:pPr>
        <w:spacing w:before="100"/>
      </w:pPr>
      <w:r>
        <w:rPr>
          <w:rFonts w:ascii="Times New Roman" w:eastAsia="宋体" w:hAnsi="Times New Roman"/>
          <w:color w:val="000000"/>
          <w:sz w:val="20"/>
          <w:szCs w:val="20"/>
        </w:rPr>
        <w:t>We operate in the highly competitive omni-channel retail industry in all of the m</w:t>
      </w:r>
      <w:r>
        <w:rPr>
          <w:rFonts w:ascii="Times New Roman" w:eastAsia="宋体" w:hAnsi="Times New Roman"/>
          <w:color w:val="000000"/>
          <w:sz w:val="20"/>
          <w:szCs w:val="20"/>
        </w:rPr>
        <w:t>arkets we serve. We face strong sales competition from other discount, department, drug, dollar, variety and specialty stores, warehouse clubs and supermarkets, as well as eCommerce businesses. Many of these competitors are national, regional or internatio</w:t>
      </w:r>
      <w:r>
        <w:rPr>
          <w:rFonts w:ascii="Times New Roman" w:eastAsia="宋体" w:hAnsi="Times New Roman"/>
          <w:color w:val="000000"/>
          <w:sz w:val="20"/>
          <w:szCs w:val="20"/>
        </w:rPr>
        <w:t>nal chains or have a national or international omni-channel or eCommerce presence. We compete with a number of companies for attracting and retaining quality employees ("associates"). We, along with other retail companies, are influenced by a number of fac</w:t>
      </w:r>
      <w:r>
        <w:rPr>
          <w:rFonts w:ascii="Times New Roman" w:eastAsia="宋体" w:hAnsi="Times New Roman"/>
          <w:color w:val="000000"/>
          <w:sz w:val="20"/>
          <w:szCs w:val="20"/>
        </w:rPr>
        <w:t>tors including, but not limited to: catastrophic events, weather and other risks related to climate change, global health epidemics, including the COVID-19 pandemic, competitive pressures, consumer disposable income, consumer debt levels and buying pattern</w:t>
      </w:r>
      <w:r>
        <w:rPr>
          <w:rFonts w:ascii="Times New Roman" w:eastAsia="宋体" w:hAnsi="Times New Roman"/>
          <w:color w:val="000000"/>
          <w:sz w:val="20"/>
          <w:szCs w:val="20"/>
        </w:rPr>
        <w:t>s, consumer credit availability, supply chain disruptions, cost and availability of goods, currency exchange rate fluctuations, customer preferences, deflation, inflation, fuel and energy prices, general economic conditions, insurance costs, interest rates</w:t>
      </w:r>
      <w:r>
        <w:rPr>
          <w:rFonts w:ascii="Times New Roman" w:eastAsia="宋体" w:hAnsi="Times New Roman"/>
          <w:color w:val="000000"/>
          <w:sz w:val="20"/>
          <w:szCs w:val="20"/>
        </w:rPr>
        <w:t>, labor availability and costs, tax rates, the imposition of tariffs, cybersecurity attacks and unemployment. Further information on the factors that can affect our operating results and on certain risks to our Company and an investment in our securities c</w:t>
      </w:r>
      <w:r>
        <w:rPr>
          <w:rFonts w:ascii="Times New Roman" w:eastAsia="宋体" w:hAnsi="Times New Roman"/>
          <w:color w:val="000000"/>
          <w:sz w:val="20"/>
          <w:szCs w:val="20"/>
        </w:rPr>
        <w:t>an be found herein under "</w:t>
      </w:r>
      <w:hyperlink r:id="rId55" w:anchor="ia92fe4e1fa654d85928fb72942eadb02_124" w:history="1">
        <w:r>
          <w:rPr>
            <w:rStyle w:val="a5"/>
            <w:rFonts w:ascii="Times New Roman" w:eastAsia="宋体" w:hAnsi="Times New Roman"/>
            <w:sz w:val="20"/>
            <w:szCs w:val="20"/>
          </w:rPr>
          <w:t>Item 5. Other Information</w:t>
        </w:r>
      </w:hyperlink>
      <w:r>
        <w:rPr>
          <w:rFonts w:ascii="Times New Roman" w:eastAsia="宋体" w:hAnsi="Times New Roman"/>
          <w:color w:val="000000"/>
          <w:sz w:val="20"/>
          <w:szCs w:val="20"/>
        </w:rPr>
        <w:t xml:space="preserve">." </w:t>
      </w:r>
    </w:p>
    <w:p w14:paraId="5DEC6514" w14:textId="77777777" w:rsidR="00B1578D" w:rsidRDefault="004D2C04">
      <w:pPr>
        <w:jc w:val="center"/>
      </w:pPr>
      <w:r>
        <w:rPr>
          <w:rFonts w:ascii="Times New Roman" w:eastAsia="宋体" w:hAnsi="Times New Roman"/>
          <w:color w:val="000000"/>
          <w:sz w:val="20"/>
          <w:szCs w:val="20"/>
        </w:rPr>
        <w:t>15</w:t>
      </w:r>
    </w:p>
    <w:p w14:paraId="5DEC6515" w14:textId="77777777" w:rsidR="00B1578D" w:rsidRDefault="004D2C04">
      <w:r>
        <w:pict w14:anchorId="5DEC6F34">
          <v:rect id="_x0000_i1039" style="width:415.3pt;height:1.5pt" o:hralign="center" o:hrstd="t" o:hr="t" fillcolor="#a0a0a0" stroked="f"/>
        </w:pict>
      </w:r>
    </w:p>
    <w:p w14:paraId="5DEC6516" w14:textId="77777777" w:rsidR="00B1578D" w:rsidRDefault="004D2C04">
      <w:hyperlink r:id="rId56" w:anchor="ia92fe4e1fa654d85928fb72942eadb02_7" w:history="1">
        <w:r>
          <w:rPr>
            <w:rStyle w:val="a5"/>
            <w:rFonts w:ascii="Times New Roman" w:eastAsia="宋体" w:hAnsi="Times New Roman"/>
            <w:sz w:val="20"/>
            <w:szCs w:val="20"/>
          </w:rPr>
          <w:t>Table of Contents</w:t>
        </w:r>
      </w:hyperlink>
    </w:p>
    <w:p w14:paraId="5DEC6517" w14:textId="77777777" w:rsidR="00B1578D" w:rsidRDefault="004D2C04">
      <w:pPr>
        <w:spacing w:before="100"/>
      </w:pPr>
      <w:r>
        <w:rPr>
          <w:rFonts w:ascii="Times New Roman" w:eastAsia="宋体" w:hAnsi="Times New Roman"/>
          <w:color w:val="000000"/>
          <w:sz w:val="20"/>
          <w:szCs w:val="20"/>
        </w:rPr>
        <w:t>We expect continued uncertainty in our business and the global economy due to the duration and intensity of the COVID-19 pandemi</w:t>
      </w:r>
      <w:r>
        <w:rPr>
          <w:rFonts w:ascii="Times New Roman" w:eastAsia="宋体" w:hAnsi="Times New Roman"/>
          <w:color w:val="000000"/>
          <w:sz w:val="20"/>
          <w:szCs w:val="20"/>
        </w:rPr>
        <w:t>c; the duration and extent of economic stimulus measures; the effectiveness and extent of administration of vaccinations and medical treatment; pressure from inflation; supply chain disruptions; and volatility in employment trends and consumer confidence w</w:t>
      </w:r>
      <w:r>
        <w:rPr>
          <w:rFonts w:ascii="Times New Roman" w:eastAsia="宋体" w:hAnsi="Times New Roman"/>
          <w:color w:val="000000"/>
          <w:sz w:val="20"/>
          <w:szCs w:val="20"/>
        </w:rPr>
        <w:t>hich may impact our results. For a detailed discussion on results of operations by reportable segment, refer to "</w:t>
      </w:r>
      <w:hyperlink r:id="rId57" w:anchor="ia92fe4e1fa654d85928fb72942eadb02_88" w:history="1">
        <w:r>
          <w:rPr>
            <w:rStyle w:val="a5"/>
            <w:rFonts w:ascii="Times New Roman" w:eastAsia="宋体" w:hAnsi="Times New Roman"/>
            <w:sz w:val="20"/>
            <w:szCs w:val="20"/>
          </w:rPr>
          <w:t>Results of Operations</w:t>
        </w:r>
      </w:hyperlink>
      <w:r>
        <w:rPr>
          <w:rFonts w:ascii="Times New Roman" w:eastAsia="宋体" w:hAnsi="Times New Roman"/>
          <w:color w:val="000000"/>
          <w:sz w:val="20"/>
          <w:szCs w:val="20"/>
        </w:rPr>
        <w:t>" below.</w:t>
      </w:r>
    </w:p>
    <w:p w14:paraId="5DEC6518" w14:textId="77777777" w:rsidR="00B1578D" w:rsidRDefault="00B1578D"/>
    <w:p w14:paraId="5DEC6519" w14:textId="77777777" w:rsidR="00B1578D" w:rsidRDefault="004D2C04">
      <w:r>
        <w:rPr>
          <w:rFonts w:ascii="Times New Roman" w:eastAsia="宋体" w:hAnsi="Times New Roman"/>
          <w:b/>
          <w:bCs/>
          <w:color w:val="000000"/>
          <w:sz w:val="20"/>
          <w:szCs w:val="20"/>
        </w:rPr>
        <w:t>Company Performance Metrics</w:t>
      </w:r>
    </w:p>
    <w:p w14:paraId="5DEC651A" w14:textId="77777777" w:rsidR="00B1578D" w:rsidRDefault="004D2C04">
      <w:pPr>
        <w:spacing w:before="100"/>
      </w:pPr>
      <w:r>
        <w:rPr>
          <w:rFonts w:ascii="Times New Roman" w:eastAsia="宋体" w:hAnsi="Times New Roman"/>
          <w:color w:val="000000"/>
          <w:sz w:val="20"/>
          <w:szCs w:val="20"/>
        </w:rPr>
        <w:t>We are committed to helping customers save money and live better through everyday low prices, supported by everyday low costs.  At times, we adjust our business strategies to maintain and</w:t>
      </w:r>
      <w:r>
        <w:rPr>
          <w:rFonts w:ascii="Times New Roman" w:eastAsia="宋体" w:hAnsi="Times New Roman"/>
          <w:color w:val="000000"/>
          <w:sz w:val="20"/>
          <w:szCs w:val="20"/>
        </w:rPr>
        <w:t xml:space="preserve"> strengthen our competitive positions in the countries in which we operate.  We define our financial framework as:</w:t>
      </w:r>
    </w:p>
    <w:p w14:paraId="5DEC651B" w14:textId="77777777" w:rsidR="00B1578D" w:rsidRDefault="004D2C04">
      <w:pPr>
        <w:spacing w:before="100"/>
        <w:ind w:hanging="360"/>
      </w:pPr>
      <w:r>
        <w:rPr>
          <w:rFonts w:ascii="Times New Roman" w:eastAsia="宋体" w:hAnsi="Times New Roman"/>
          <w:color w:val="000000"/>
          <w:sz w:val="20"/>
          <w:szCs w:val="20"/>
        </w:rPr>
        <w:t>•strong, efficient growth;</w:t>
      </w:r>
    </w:p>
    <w:p w14:paraId="5DEC651C" w14:textId="77777777" w:rsidR="00B1578D" w:rsidRDefault="004D2C04">
      <w:pPr>
        <w:spacing w:before="100"/>
        <w:ind w:hanging="360"/>
      </w:pPr>
      <w:r>
        <w:rPr>
          <w:rFonts w:ascii="Times New Roman" w:eastAsia="宋体" w:hAnsi="Times New Roman"/>
          <w:color w:val="000000"/>
          <w:sz w:val="20"/>
          <w:szCs w:val="20"/>
        </w:rPr>
        <w:t>•consistent operating discipline; and</w:t>
      </w:r>
    </w:p>
    <w:p w14:paraId="5DEC651D" w14:textId="77777777" w:rsidR="00B1578D" w:rsidRDefault="004D2C04">
      <w:pPr>
        <w:spacing w:before="100"/>
        <w:ind w:hanging="360"/>
      </w:pPr>
      <w:r>
        <w:rPr>
          <w:rFonts w:ascii="Times New Roman" w:eastAsia="宋体" w:hAnsi="Times New Roman"/>
          <w:color w:val="000000"/>
          <w:sz w:val="20"/>
          <w:szCs w:val="20"/>
        </w:rPr>
        <w:t>•strategic capital allocation.</w:t>
      </w:r>
    </w:p>
    <w:p w14:paraId="5DEC651E" w14:textId="77777777" w:rsidR="00B1578D" w:rsidRDefault="004D2C04">
      <w:pPr>
        <w:spacing w:before="100"/>
      </w:pPr>
      <w:r>
        <w:rPr>
          <w:rFonts w:ascii="Times New Roman" w:eastAsia="宋体" w:hAnsi="Times New Roman"/>
          <w:color w:val="000000"/>
          <w:sz w:val="20"/>
          <w:szCs w:val="20"/>
        </w:rPr>
        <w:t>As we execute on this financial framework, we</w:t>
      </w:r>
      <w:r>
        <w:rPr>
          <w:rFonts w:ascii="Times New Roman" w:eastAsia="宋体" w:hAnsi="Times New Roman"/>
          <w:color w:val="000000"/>
          <w:sz w:val="20"/>
          <w:szCs w:val="20"/>
        </w:rPr>
        <w:t xml:space="preserve"> believe our returns on capital will improve over time. </w:t>
      </w:r>
    </w:p>
    <w:p w14:paraId="5DEC651F" w14:textId="77777777" w:rsidR="00B1578D" w:rsidRDefault="004D2C04">
      <w:pPr>
        <w:spacing w:before="180"/>
      </w:pPr>
      <w:r>
        <w:rPr>
          <w:rFonts w:ascii="Times New Roman" w:eastAsia="宋体" w:hAnsi="Times New Roman"/>
          <w:b/>
          <w:bCs/>
          <w:color w:val="000000"/>
          <w:sz w:val="20"/>
          <w:szCs w:val="20"/>
          <w:u w:val="single"/>
        </w:rPr>
        <w:t>Strong, Efficient Growth</w:t>
      </w:r>
    </w:p>
    <w:p w14:paraId="5DEC6520" w14:textId="77777777" w:rsidR="00B1578D" w:rsidRDefault="004D2C04">
      <w:pPr>
        <w:spacing w:before="100"/>
      </w:pPr>
      <w:r>
        <w:rPr>
          <w:rFonts w:ascii="Times New Roman" w:eastAsia="宋体" w:hAnsi="Times New Roman"/>
          <w:color w:val="000000"/>
          <w:sz w:val="20"/>
          <w:szCs w:val="20"/>
        </w:rPr>
        <w:t xml:space="preserve">Our objective of prioritizing strong, efficient growth means we will focus on the most productive growth opportunities, increasing comparable store and club sales, accelerating eCommerce sales growth and expansion of omni-channel initiatives while slowing </w:t>
      </w:r>
      <w:r>
        <w:rPr>
          <w:rFonts w:ascii="Times New Roman" w:eastAsia="宋体" w:hAnsi="Times New Roman"/>
          <w:color w:val="000000"/>
          <w:sz w:val="20"/>
          <w:szCs w:val="20"/>
        </w:rPr>
        <w:t xml:space="preserve">the rate of growth of new stores and clubs. At times, we make strategic investments which are focused on the long-term growth of the Company. </w:t>
      </w:r>
    </w:p>
    <w:p w14:paraId="5DEC6521" w14:textId="77777777" w:rsidR="00B1578D" w:rsidRDefault="004D2C04">
      <w:pPr>
        <w:spacing w:before="100"/>
      </w:pPr>
      <w:r>
        <w:rPr>
          <w:rFonts w:ascii="Times New Roman" w:eastAsia="宋体" w:hAnsi="Times New Roman"/>
          <w:color w:val="000000"/>
          <w:sz w:val="20"/>
          <w:szCs w:val="20"/>
        </w:rPr>
        <w:t>Comparable sales is a metric that indicates the performance of our existing stores and clubs by measuring the cha</w:t>
      </w:r>
      <w:r>
        <w:rPr>
          <w:rFonts w:ascii="Times New Roman" w:eastAsia="宋体" w:hAnsi="Times New Roman"/>
          <w:color w:val="000000"/>
          <w:sz w:val="20"/>
          <w:szCs w:val="20"/>
        </w:rPr>
        <w:t>nge in sales for such stores and clubs, including eCommerce sales, for a particular period over the corresponding period in the previous year. The retail industry generally reports comparable sales using the retail calendar (also known as the 4-5-4 calenda</w:t>
      </w:r>
      <w:r>
        <w:rPr>
          <w:rFonts w:ascii="Times New Roman" w:eastAsia="宋体" w:hAnsi="Times New Roman"/>
          <w:color w:val="000000"/>
          <w:sz w:val="20"/>
          <w:szCs w:val="20"/>
        </w:rPr>
        <w:t>r). To be consistent with the retail industry, we provide comparable sales using the retail calendar in our quarterly earnings releases. However, when we discuss our comparable sales below, we are referring to our calendar comparable sales calculated using</w:t>
      </w:r>
      <w:r>
        <w:rPr>
          <w:rFonts w:ascii="Times New Roman" w:eastAsia="宋体" w:hAnsi="Times New Roman"/>
          <w:color w:val="000000"/>
          <w:sz w:val="20"/>
          <w:szCs w:val="20"/>
        </w:rPr>
        <w:t xml:space="preserve"> our fiscal calendar, which may result in differences when compared to comparable sales using the retail calendar. </w:t>
      </w:r>
    </w:p>
    <w:p w14:paraId="5DEC6522" w14:textId="77777777" w:rsidR="00B1578D" w:rsidRDefault="004D2C04">
      <w:pPr>
        <w:spacing w:before="100"/>
      </w:pPr>
      <w:r>
        <w:rPr>
          <w:rFonts w:ascii="Times New Roman" w:eastAsia="宋体" w:hAnsi="Times New Roman"/>
          <w:color w:val="000000"/>
          <w:sz w:val="20"/>
          <w:szCs w:val="20"/>
        </w:rPr>
        <w:t>Calendar comparable sales, as well as the impact of fuel, for the three months ended April 30, 2022 and 2021,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559"/>
        <w:gridCol w:w="36"/>
        <w:gridCol w:w="36"/>
        <w:gridCol w:w="36"/>
        <w:gridCol w:w="36"/>
        <w:gridCol w:w="42"/>
        <w:gridCol w:w="440"/>
        <w:gridCol w:w="155"/>
        <w:gridCol w:w="36"/>
        <w:gridCol w:w="36"/>
        <w:gridCol w:w="36"/>
        <w:gridCol w:w="42"/>
        <w:gridCol w:w="440"/>
        <w:gridCol w:w="155"/>
        <w:gridCol w:w="36"/>
        <w:gridCol w:w="36"/>
        <w:gridCol w:w="36"/>
        <w:gridCol w:w="42"/>
        <w:gridCol w:w="441"/>
        <w:gridCol w:w="155"/>
        <w:gridCol w:w="36"/>
        <w:gridCol w:w="36"/>
        <w:gridCol w:w="36"/>
        <w:gridCol w:w="42"/>
        <w:gridCol w:w="443"/>
        <w:gridCol w:w="15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B1578D" w14:paraId="5DEC6546" w14:textId="77777777">
        <w:trPr>
          <w:jc w:val="center"/>
        </w:trPr>
        <w:tc>
          <w:tcPr>
            <w:tcW w:w="50" w:type="pct"/>
            <w:shd w:val="clear" w:color="auto" w:fill="auto"/>
            <w:vAlign w:val="bottom"/>
          </w:tcPr>
          <w:p w14:paraId="5DEC6523" w14:textId="77777777" w:rsidR="00B1578D" w:rsidRDefault="00B1578D">
            <w:pPr>
              <w:rPr>
                <w:rFonts w:ascii="宋体"/>
              </w:rPr>
            </w:pPr>
          </w:p>
        </w:tc>
        <w:tc>
          <w:tcPr>
            <w:tcW w:w="3044" w:type="pct"/>
            <w:shd w:val="clear" w:color="auto" w:fill="auto"/>
            <w:vAlign w:val="bottom"/>
          </w:tcPr>
          <w:p w14:paraId="5DEC6524" w14:textId="77777777" w:rsidR="00B1578D" w:rsidRDefault="00B1578D">
            <w:pPr>
              <w:rPr>
                <w:rFonts w:ascii="宋体"/>
              </w:rPr>
            </w:pPr>
          </w:p>
        </w:tc>
        <w:tc>
          <w:tcPr>
            <w:tcW w:w="5" w:type="pct"/>
            <w:shd w:val="clear" w:color="auto" w:fill="auto"/>
            <w:vAlign w:val="bottom"/>
          </w:tcPr>
          <w:p w14:paraId="5DEC6525" w14:textId="77777777" w:rsidR="00B1578D" w:rsidRDefault="00B1578D">
            <w:pPr>
              <w:rPr>
                <w:rFonts w:ascii="宋体"/>
              </w:rPr>
            </w:pPr>
          </w:p>
        </w:tc>
        <w:tc>
          <w:tcPr>
            <w:tcW w:w="5" w:type="pct"/>
            <w:shd w:val="clear" w:color="auto" w:fill="auto"/>
            <w:vAlign w:val="bottom"/>
          </w:tcPr>
          <w:p w14:paraId="5DEC6526" w14:textId="77777777" w:rsidR="00B1578D" w:rsidRDefault="00B1578D">
            <w:pPr>
              <w:rPr>
                <w:rFonts w:ascii="宋体"/>
              </w:rPr>
            </w:pPr>
          </w:p>
        </w:tc>
        <w:tc>
          <w:tcPr>
            <w:tcW w:w="26" w:type="pct"/>
            <w:shd w:val="clear" w:color="auto" w:fill="auto"/>
            <w:vAlign w:val="bottom"/>
          </w:tcPr>
          <w:p w14:paraId="5DEC6527" w14:textId="77777777" w:rsidR="00B1578D" w:rsidRDefault="00B1578D">
            <w:pPr>
              <w:rPr>
                <w:rFonts w:ascii="宋体"/>
              </w:rPr>
            </w:pPr>
          </w:p>
        </w:tc>
        <w:tc>
          <w:tcPr>
            <w:tcW w:w="5" w:type="pct"/>
            <w:shd w:val="clear" w:color="auto" w:fill="auto"/>
            <w:vAlign w:val="bottom"/>
          </w:tcPr>
          <w:p w14:paraId="5DEC6528" w14:textId="77777777" w:rsidR="00B1578D" w:rsidRDefault="00B1578D">
            <w:pPr>
              <w:rPr>
                <w:rFonts w:ascii="宋体"/>
              </w:rPr>
            </w:pPr>
          </w:p>
        </w:tc>
        <w:tc>
          <w:tcPr>
            <w:tcW w:w="50" w:type="pct"/>
            <w:shd w:val="clear" w:color="auto" w:fill="auto"/>
            <w:vAlign w:val="bottom"/>
          </w:tcPr>
          <w:p w14:paraId="5DEC6529" w14:textId="77777777" w:rsidR="00B1578D" w:rsidRDefault="00B1578D">
            <w:pPr>
              <w:rPr>
                <w:rFonts w:ascii="宋体"/>
              </w:rPr>
            </w:pPr>
          </w:p>
        </w:tc>
        <w:tc>
          <w:tcPr>
            <w:tcW w:w="383" w:type="pct"/>
            <w:shd w:val="clear" w:color="auto" w:fill="auto"/>
            <w:vAlign w:val="bottom"/>
          </w:tcPr>
          <w:p w14:paraId="5DEC652A" w14:textId="77777777" w:rsidR="00B1578D" w:rsidRDefault="00B1578D">
            <w:pPr>
              <w:rPr>
                <w:rFonts w:ascii="宋体"/>
              </w:rPr>
            </w:pPr>
          </w:p>
        </w:tc>
        <w:tc>
          <w:tcPr>
            <w:tcW w:w="5" w:type="pct"/>
            <w:shd w:val="clear" w:color="auto" w:fill="auto"/>
            <w:vAlign w:val="bottom"/>
          </w:tcPr>
          <w:p w14:paraId="5DEC652B" w14:textId="77777777" w:rsidR="00B1578D" w:rsidRDefault="00B1578D">
            <w:pPr>
              <w:rPr>
                <w:rFonts w:ascii="宋体"/>
              </w:rPr>
            </w:pPr>
          </w:p>
        </w:tc>
        <w:tc>
          <w:tcPr>
            <w:tcW w:w="5" w:type="pct"/>
            <w:shd w:val="clear" w:color="auto" w:fill="auto"/>
            <w:vAlign w:val="bottom"/>
          </w:tcPr>
          <w:p w14:paraId="5DEC652C" w14:textId="77777777" w:rsidR="00B1578D" w:rsidRDefault="00B1578D">
            <w:pPr>
              <w:rPr>
                <w:rFonts w:ascii="宋体"/>
              </w:rPr>
            </w:pPr>
          </w:p>
        </w:tc>
        <w:tc>
          <w:tcPr>
            <w:tcW w:w="26" w:type="pct"/>
            <w:shd w:val="clear" w:color="auto" w:fill="auto"/>
            <w:vAlign w:val="bottom"/>
          </w:tcPr>
          <w:p w14:paraId="5DEC652D" w14:textId="77777777" w:rsidR="00B1578D" w:rsidRDefault="00B1578D">
            <w:pPr>
              <w:rPr>
                <w:rFonts w:ascii="宋体"/>
              </w:rPr>
            </w:pPr>
          </w:p>
        </w:tc>
        <w:tc>
          <w:tcPr>
            <w:tcW w:w="5" w:type="pct"/>
            <w:shd w:val="clear" w:color="auto" w:fill="auto"/>
            <w:vAlign w:val="bottom"/>
          </w:tcPr>
          <w:p w14:paraId="5DEC652E" w14:textId="77777777" w:rsidR="00B1578D" w:rsidRDefault="00B1578D">
            <w:pPr>
              <w:rPr>
                <w:rFonts w:ascii="宋体"/>
              </w:rPr>
            </w:pPr>
          </w:p>
        </w:tc>
        <w:tc>
          <w:tcPr>
            <w:tcW w:w="50" w:type="pct"/>
            <w:shd w:val="clear" w:color="auto" w:fill="auto"/>
            <w:vAlign w:val="bottom"/>
          </w:tcPr>
          <w:p w14:paraId="5DEC652F" w14:textId="77777777" w:rsidR="00B1578D" w:rsidRDefault="00B1578D">
            <w:pPr>
              <w:rPr>
                <w:rFonts w:ascii="宋体"/>
              </w:rPr>
            </w:pPr>
          </w:p>
        </w:tc>
        <w:tc>
          <w:tcPr>
            <w:tcW w:w="383" w:type="pct"/>
            <w:shd w:val="clear" w:color="auto" w:fill="auto"/>
            <w:vAlign w:val="bottom"/>
          </w:tcPr>
          <w:p w14:paraId="5DEC6530" w14:textId="77777777" w:rsidR="00B1578D" w:rsidRDefault="00B1578D">
            <w:pPr>
              <w:rPr>
                <w:rFonts w:ascii="宋体"/>
              </w:rPr>
            </w:pPr>
          </w:p>
        </w:tc>
        <w:tc>
          <w:tcPr>
            <w:tcW w:w="5" w:type="pct"/>
            <w:shd w:val="clear" w:color="auto" w:fill="auto"/>
            <w:vAlign w:val="bottom"/>
          </w:tcPr>
          <w:p w14:paraId="5DEC6531" w14:textId="77777777" w:rsidR="00B1578D" w:rsidRDefault="00B1578D">
            <w:pPr>
              <w:rPr>
                <w:rFonts w:ascii="宋体"/>
              </w:rPr>
            </w:pPr>
          </w:p>
        </w:tc>
        <w:tc>
          <w:tcPr>
            <w:tcW w:w="5" w:type="pct"/>
            <w:shd w:val="clear" w:color="auto" w:fill="auto"/>
            <w:vAlign w:val="bottom"/>
          </w:tcPr>
          <w:p w14:paraId="5DEC6532" w14:textId="77777777" w:rsidR="00B1578D" w:rsidRDefault="00B1578D">
            <w:pPr>
              <w:rPr>
                <w:rFonts w:ascii="宋体"/>
              </w:rPr>
            </w:pPr>
          </w:p>
        </w:tc>
        <w:tc>
          <w:tcPr>
            <w:tcW w:w="26" w:type="pct"/>
            <w:shd w:val="clear" w:color="auto" w:fill="auto"/>
            <w:vAlign w:val="bottom"/>
          </w:tcPr>
          <w:p w14:paraId="5DEC6533" w14:textId="77777777" w:rsidR="00B1578D" w:rsidRDefault="00B1578D">
            <w:pPr>
              <w:rPr>
                <w:rFonts w:ascii="宋体"/>
              </w:rPr>
            </w:pPr>
          </w:p>
        </w:tc>
        <w:tc>
          <w:tcPr>
            <w:tcW w:w="5" w:type="pct"/>
            <w:shd w:val="clear" w:color="auto" w:fill="auto"/>
            <w:vAlign w:val="bottom"/>
          </w:tcPr>
          <w:p w14:paraId="5DEC6534" w14:textId="77777777" w:rsidR="00B1578D" w:rsidRDefault="00B1578D">
            <w:pPr>
              <w:rPr>
                <w:rFonts w:ascii="宋体"/>
              </w:rPr>
            </w:pPr>
          </w:p>
        </w:tc>
        <w:tc>
          <w:tcPr>
            <w:tcW w:w="50" w:type="pct"/>
            <w:shd w:val="clear" w:color="auto" w:fill="auto"/>
            <w:vAlign w:val="bottom"/>
          </w:tcPr>
          <w:p w14:paraId="5DEC6535" w14:textId="77777777" w:rsidR="00B1578D" w:rsidRDefault="00B1578D">
            <w:pPr>
              <w:rPr>
                <w:rFonts w:ascii="宋体"/>
              </w:rPr>
            </w:pPr>
          </w:p>
        </w:tc>
        <w:tc>
          <w:tcPr>
            <w:tcW w:w="383" w:type="pct"/>
            <w:shd w:val="clear" w:color="auto" w:fill="auto"/>
            <w:vAlign w:val="bottom"/>
          </w:tcPr>
          <w:p w14:paraId="5DEC6536" w14:textId="77777777" w:rsidR="00B1578D" w:rsidRDefault="00B1578D">
            <w:pPr>
              <w:rPr>
                <w:rFonts w:ascii="宋体"/>
              </w:rPr>
            </w:pPr>
          </w:p>
        </w:tc>
        <w:tc>
          <w:tcPr>
            <w:tcW w:w="5" w:type="pct"/>
            <w:shd w:val="clear" w:color="auto" w:fill="auto"/>
            <w:vAlign w:val="bottom"/>
          </w:tcPr>
          <w:p w14:paraId="5DEC6537" w14:textId="77777777" w:rsidR="00B1578D" w:rsidRDefault="00B1578D">
            <w:pPr>
              <w:rPr>
                <w:rFonts w:ascii="宋体"/>
              </w:rPr>
            </w:pPr>
          </w:p>
        </w:tc>
        <w:tc>
          <w:tcPr>
            <w:tcW w:w="5" w:type="pct"/>
            <w:shd w:val="clear" w:color="auto" w:fill="auto"/>
            <w:vAlign w:val="bottom"/>
          </w:tcPr>
          <w:p w14:paraId="5DEC6538" w14:textId="77777777" w:rsidR="00B1578D" w:rsidRDefault="00B1578D">
            <w:pPr>
              <w:rPr>
                <w:rFonts w:ascii="宋体"/>
              </w:rPr>
            </w:pPr>
          </w:p>
        </w:tc>
        <w:tc>
          <w:tcPr>
            <w:tcW w:w="26" w:type="pct"/>
            <w:shd w:val="clear" w:color="auto" w:fill="auto"/>
            <w:vAlign w:val="bottom"/>
          </w:tcPr>
          <w:p w14:paraId="5DEC6539" w14:textId="77777777" w:rsidR="00B1578D" w:rsidRDefault="00B1578D">
            <w:pPr>
              <w:rPr>
                <w:rFonts w:ascii="宋体"/>
              </w:rPr>
            </w:pPr>
          </w:p>
        </w:tc>
        <w:tc>
          <w:tcPr>
            <w:tcW w:w="5" w:type="pct"/>
            <w:shd w:val="clear" w:color="auto" w:fill="auto"/>
            <w:vAlign w:val="bottom"/>
          </w:tcPr>
          <w:p w14:paraId="5DEC653A" w14:textId="77777777" w:rsidR="00B1578D" w:rsidRDefault="00B1578D">
            <w:pPr>
              <w:rPr>
                <w:rFonts w:ascii="宋体"/>
              </w:rPr>
            </w:pPr>
          </w:p>
        </w:tc>
        <w:tc>
          <w:tcPr>
            <w:tcW w:w="50" w:type="pct"/>
            <w:shd w:val="clear" w:color="auto" w:fill="auto"/>
            <w:vAlign w:val="bottom"/>
          </w:tcPr>
          <w:p w14:paraId="5DEC653B" w14:textId="77777777" w:rsidR="00B1578D" w:rsidRDefault="00B1578D">
            <w:pPr>
              <w:rPr>
                <w:rFonts w:ascii="宋体"/>
              </w:rPr>
            </w:pPr>
          </w:p>
        </w:tc>
        <w:tc>
          <w:tcPr>
            <w:tcW w:w="383" w:type="pct"/>
            <w:shd w:val="clear" w:color="auto" w:fill="auto"/>
            <w:vAlign w:val="bottom"/>
          </w:tcPr>
          <w:p w14:paraId="5DEC653C" w14:textId="77777777" w:rsidR="00B1578D" w:rsidRDefault="00B1578D">
            <w:pPr>
              <w:rPr>
                <w:rFonts w:ascii="宋体"/>
              </w:rPr>
            </w:pPr>
          </w:p>
        </w:tc>
        <w:tc>
          <w:tcPr>
            <w:tcW w:w="5" w:type="pct"/>
            <w:shd w:val="clear" w:color="auto" w:fill="auto"/>
            <w:vAlign w:val="bottom"/>
          </w:tcPr>
          <w:p w14:paraId="5DEC653D" w14:textId="77777777" w:rsidR="00B1578D" w:rsidRDefault="00B1578D">
            <w:pPr>
              <w:rPr>
                <w:rFonts w:ascii="宋体"/>
              </w:rPr>
            </w:pPr>
          </w:p>
        </w:tc>
        <w:tc>
          <w:tcPr>
            <w:tcW w:w="0" w:type="auto"/>
            <w:shd w:val="clear" w:color="auto" w:fill="auto"/>
            <w:vAlign w:val="bottom"/>
          </w:tcPr>
          <w:p w14:paraId="5DEC653E" w14:textId="77777777" w:rsidR="00B1578D" w:rsidRDefault="00B1578D">
            <w:pPr>
              <w:rPr>
                <w:rFonts w:ascii="宋体"/>
                <w:vanish/>
              </w:rPr>
            </w:pPr>
          </w:p>
        </w:tc>
        <w:tc>
          <w:tcPr>
            <w:tcW w:w="0" w:type="auto"/>
            <w:shd w:val="clear" w:color="auto" w:fill="auto"/>
            <w:vAlign w:val="bottom"/>
          </w:tcPr>
          <w:p w14:paraId="5DEC653F" w14:textId="77777777" w:rsidR="00B1578D" w:rsidRDefault="00B1578D">
            <w:pPr>
              <w:rPr>
                <w:rFonts w:ascii="宋体"/>
                <w:vanish/>
              </w:rPr>
            </w:pPr>
          </w:p>
        </w:tc>
        <w:tc>
          <w:tcPr>
            <w:tcW w:w="0" w:type="auto"/>
            <w:gridSpan w:val="3"/>
            <w:shd w:val="clear" w:color="auto" w:fill="auto"/>
            <w:vAlign w:val="bottom"/>
          </w:tcPr>
          <w:p w14:paraId="5DEC6540" w14:textId="77777777" w:rsidR="00B1578D" w:rsidRDefault="00B1578D">
            <w:pPr>
              <w:rPr>
                <w:rFonts w:ascii="宋体"/>
                <w:vanish/>
              </w:rPr>
            </w:pPr>
          </w:p>
        </w:tc>
        <w:tc>
          <w:tcPr>
            <w:tcW w:w="0" w:type="auto"/>
            <w:gridSpan w:val="3"/>
            <w:shd w:val="clear" w:color="auto" w:fill="auto"/>
            <w:vAlign w:val="bottom"/>
          </w:tcPr>
          <w:p w14:paraId="5DEC6541" w14:textId="77777777" w:rsidR="00B1578D" w:rsidRDefault="00B1578D">
            <w:pPr>
              <w:rPr>
                <w:rFonts w:ascii="宋体"/>
                <w:vanish/>
              </w:rPr>
            </w:pPr>
          </w:p>
        </w:tc>
        <w:tc>
          <w:tcPr>
            <w:tcW w:w="0" w:type="auto"/>
            <w:gridSpan w:val="3"/>
            <w:shd w:val="clear" w:color="auto" w:fill="auto"/>
            <w:vAlign w:val="bottom"/>
          </w:tcPr>
          <w:p w14:paraId="5DEC6542" w14:textId="77777777" w:rsidR="00B1578D" w:rsidRDefault="00B1578D">
            <w:pPr>
              <w:rPr>
                <w:rFonts w:ascii="宋体"/>
                <w:vanish/>
              </w:rPr>
            </w:pPr>
          </w:p>
        </w:tc>
        <w:tc>
          <w:tcPr>
            <w:tcW w:w="0" w:type="auto"/>
            <w:gridSpan w:val="3"/>
            <w:shd w:val="clear" w:color="auto" w:fill="auto"/>
            <w:vAlign w:val="bottom"/>
          </w:tcPr>
          <w:p w14:paraId="5DEC6543" w14:textId="77777777" w:rsidR="00B1578D" w:rsidRDefault="00B1578D">
            <w:pPr>
              <w:rPr>
                <w:rFonts w:ascii="宋体"/>
                <w:vanish/>
              </w:rPr>
            </w:pPr>
          </w:p>
        </w:tc>
        <w:tc>
          <w:tcPr>
            <w:tcW w:w="0" w:type="auto"/>
            <w:gridSpan w:val="3"/>
            <w:shd w:val="clear" w:color="auto" w:fill="auto"/>
            <w:vAlign w:val="bottom"/>
          </w:tcPr>
          <w:p w14:paraId="5DEC6544" w14:textId="77777777" w:rsidR="00B1578D" w:rsidRDefault="00B1578D">
            <w:pPr>
              <w:rPr>
                <w:rFonts w:ascii="宋体"/>
                <w:vanish/>
              </w:rPr>
            </w:pPr>
          </w:p>
        </w:tc>
        <w:tc>
          <w:tcPr>
            <w:tcW w:w="0" w:type="auto"/>
            <w:gridSpan w:val="3"/>
            <w:shd w:val="clear" w:color="auto" w:fill="auto"/>
            <w:vAlign w:val="bottom"/>
          </w:tcPr>
          <w:p w14:paraId="5DEC6545" w14:textId="77777777" w:rsidR="00B1578D" w:rsidRDefault="00B1578D">
            <w:pPr>
              <w:rPr>
                <w:rFonts w:ascii="宋体"/>
                <w:vanish/>
              </w:rPr>
            </w:pPr>
          </w:p>
        </w:tc>
      </w:tr>
      <w:tr w:rsidR="00B1578D" w14:paraId="5DEC655E" w14:textId="77777777">
        <w:trPr>
          <w:jc w:val="center"/>
        </w:trPr>
        <w:tc>
          <w:tcPr>
            <w:tcW w:w="0" w:type="auto"/>
            <w:gridSpan w:val="3"/>
            <w:shd w:val="clear" w:color="auto" w:fill="auto"/>
            <w:tcMar>
              <w:top w:w="40" w:type="dxa"/>
              <w:left w:w="20" w:type="dxa"/>
              <w:bottom w:w="40" w:type="dxa"/>
              <w:right w:w="20" w:type="dxa"/>
            </w:tcMar>
            <w:vAlign w:val="center"/>
          </w:tcPr>
          <w:p w14:paraId="5DEC6547"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548" w14:textId="77777777" w:rsidR="00B1578D" w:rsidRDefault="00B1578D">
            <w:pPr>
              <w:rPr>
                <w:rFonts w:ascii="宋体"/>
              </w:rPr>
            </w:pPr>
          </w:p>
        </w:tc>
        <w:tc>
          <w:tcPr>
            <w:tcW w:w="0" w:type="auto"/>
            <w:gridSpan w:val="21"/>
            <w:shd w:val="clear" w:color="auto" w:fill="auto"/>
            <w:tcMar>
              <w:top w:w="40" w:type="dxa"/>
              <w:left w:w="20" w:type="dxa"/>
              <w:bottom w:w="40" w:type="dxa"/>
              <w:right w:w="20" w:type="dxa"/>
            </w:tcMar>
            <w:vAlign w:val="center"/>
          </w:tcPr>
          <w:p w14:paraId="5DEC6549" w14:textId="77777777" w:rsidR="00B1578D" w:rsidRDefault="004D2C04">
            <w:pPr>
              <w:jc w:val="center"/>
              <w:textAlignment w:val="center"/>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54A" w14:textId="77777777" w:rsidR="00B1578D" w:rsidRDefault="00B1578D">
            <w:pPr>
              <w:rPr>
                <w:rFonts w:ascii="宋体"/>
                <w:vanish/>
              </w:rPr>
            </w:pPr>
          </w:p>
        </w:tc>
        <w:tc>
          <w:tcPr>
            <w:tcW w:w="0" w:type="auto"/>
            <w:shd w:val="clear" w:color="auto" w:fill="auto"/>
            <w:vAlign w:val="bottom"/>
          </w:tcPr>
          <w:p w14:paraId="5DEC654B" w14:textId="77777777" w:rsidR="00B1578D" w:rsidRDefault="00B1578D">
            <w:pPr>
              <w:rPr>
                <w:rFonts w:ascii="宋体"/>
                <w:vanish/>
              </w:rPr>
            </w:pPr>
          </w:p>
        </w:tc>
        <w:tc>
          <w:tcPr>
            <w:tcW w:w="0" w:type="auto"/>
            <w:shd w:val="clear" w:color="auto" w:fill="auto"/>
            <w:vAlign w:val="bottom"/>
          </w:tcPr>
          <w:p w14:paraId="5DEC654C" w14:textId="77777777" w:rsidR="00B1578D" w:rsidRDefault="00B1578D">
            <w:pPr>
              <w:rPr>
                <w:rFonts w:ascii="宋体"/>
              </w:rPr>
            </w:pPr>
          </w:p>
        </w:tc>
        <w:tc>
          <w:tcPr>
            <w:tcW w:w="0" w:type="auto"/>
            <w:shd w:val="clear" w:color="auto" w:fill="auto"/>
            <w:vAlign w:val="bottom"/>
          </w:tcPr>
          <w:p w14:paraId="5DEC654D" w14:textId="77777777" w:rsidR="00B1578D" w:rsidRDefault="00B1578D">
            <w:pPr>
              <w:rPr>
                <w:rFonts w:ascii="宋体"/>
              </w:rPr>
            </w:pPr>
          </w:p>
        </w:tc>
        <w:tc>
          <w:tcPr>
            <w:tcW w:w="0" w:type="auto"/>
            <w:shd w:val="clear" w:color="auto" w:fill="auto"/>
            <w:vAlign w:val="bottom"/>
          </w:tcPr>
          <w:p w14:paraId="5DEC654E" w14:textId="77777777" w:rsidR="00B1578D" w:rsidRDefault="00B1578D">
            <w:pPr>
              <w:rPr>
                <w:rFonts w:ascii="宋体"/>
              </w:rPr>
            </w:pPr>
          </w:p>
        </w:tc>
        <w:tc>
          <w:tcPr>
            <w:tcW w:w="0" w:type="auto"/>
            <w:shd w:val="clear" w:color="auto" w:fill="auto"/>
            <w:vAlign w:val="bottom"/>
          </w:tcPr>
          <w:p w14:paraId="5DEC654F" w14:textId="77777777" w:rsidR="00B1578D" w:rsidRDefault="00B1578D">
            <w:pPr>
              <w:rPr>
                <w:rFonts w:ascii="宋体"/>
              </w:rPr>
            </w:pPr>
          </w:p>
        </w:tc>
        <w:tc>
          <w:tcPr>
            <w:tcW w:w="0" w:type="auto"/>
            <w:shd w:val="clear" w:color="auto" w:fill="auto"/>
            <w:vAlign w:val="bottom"/>
          </w:tcPr>
          <w:p w14:paraId="5DEC6550" w14:textId="77777777" w:rsidR="00B1578D" w:rsidRDefault="00B1578D">
            <w:pPr>
              <w:rPr>
                <w:rFonts w:ascii="宋体"/>
              </w:rPr>
            </w:pPr>
          </w:p>
        </w:tc>
        <w:tc>
          <w:tcPr>
            <w:tcW w:w="0" w:type="auto"/>
            <w:shd w:val="clear" w:color="auto" w:fill="auto"/>
            <w:vAlign w:val="bottom"/>
          </w:tcPr>
          <w:p w14:paraId="5DEC6551" w14:textId="77777777" w:rsidR="00B1578D" w:rsidRDefault="00B1578D">
            <w:pPr>
              <w:rPr>
                <w:rFonts w:ascii="宋体"/>
              </w:rPr>
            </w:pPr>
          </w:p>
        </w:tc>
        <w:tc>
          <w:tcPr>
            <w:tcW w:w="0" w:type="auto"/>
            <w:shd w:val="clear" w:color="auto" w:fill="auto"/>
            <w:vAlign w:val="bottom"/>
          </w:tcPr>
          <w:p w14:paraId="5DEC6552" w14:textId="77777777" w:rsidR="00B1578D" w:rsidRDefault="00B1578D">
            <w:pPr>
              <w:rPr>
                <w:rFonts w:ascii="宋体"/>
              </w:rPr>
            </w:pPr>
          </w:p>
        </w:tc>
        <w:tc>
          <w:tcPr>
            <w:tcW w:w="0" w:type="auto"/>
            <w:shd w:val="clear" w:color="auto" w:fill="auto"/>
            <w:vAlign w:val="bottom"/>
          </w:tcPr>
          <w:p w14:paraId="5DEC6553" w14:textId="77777777" w:rsidR="00B1578D" w:rsidRDefault="00B1578D">
            <w:pPr>
              <w:rPr>
                <w:rFonts w:ascii="宋体"/>
              </w:rPr>
            </w:pPr>
          </w:p>
        </w:tc>
        <w:tc>
          <w:tcPr>
            <w:tcW w:w="0" w:type="auto"/>
            <w:shd w:val="clear" w:color="auto" w:fill="auto"/>
            <w:vAlign w:val="bottom"/>
          </w:tcPr>
          <w:p w14:paraId="5DEC6554" w14:textId="77777777" w:rsidR="00B1578D" w:rsidRDefault="00B1578D">
            <w:pPr>
              <w:rPr>
                <w:rFonts w:ascii="宋体"/>
              </w:rPr>
            </w:pPr>
          </w:p>
        </w:tc>
        <w:tc>
          <w:tcPr>
            <w:tcW w:w="0" w:type="auto"/>
            <w:shd w:val="clear" w:color="auto" w:fill="auto"/>
            <w:vAlign w:val="bottom"/>
          </w:tcPr>
          <w:p w14:paraId="5DEC6555" w14:textId="77777777" w:rsidR="00B1578D" w:rsidRDefault="00B1578D">
            <w:pPr>
              <w:rPr>
                <w:rFonts w:ascii="宋体"/>
              </w:rPr>
            </w:pPr>
          </w:p>
        </w:tc>
        <w:tc>
          <w:tcPr>
            <w:tcW w:w="0" w:type="auto"/>
            <w:shd w:val="clear" w:color="auto" w:fill="auto"/>
            <w:vAlign w:val="bottom"/>
          </w:tcPr>
          <w:p w14:paraId="5DEC6556" w14:textId="77777777" w:rsidR="00B1578D" w:rsidRDefault="00B1578D">
            <w:pPr>
              <w:rPr>
                <w:rFonts w:ascii="宋体"/>
              </w:rPr>
            </w:pPr>
          </w:p>
        </w:tc>
        <w:tc>
          <w:tcPr>
            <w:tcW w:w="0" w:type="auto"/>
            <w:shd w:val="clear" w:color="auto" w:fill="auto"/>
            <w:vAlign w:val="bottom"/>
          </w:tcPr>
          <w:p w14:paraId="5DEC6557" w14:textId="77777777" w:rsidR="00B1578D" w:rsidRDefault="00B1578D">
            <w:pPr>
              <w:rPr>
                <w:rFonts w:ascii="宋体"/>
              </w:rPr>
            </w:pPr>
          </w:p>
        </w:tc>
        <w:tc>
          <w:tcPr>
            <w:tcW w:w="0" w:type="auto"/>
            <w:shd w:val="clear" w:color="auto" w:fill="auto"/>
            <w:vAlign w:val="bottom"/>
          </w:tcPr>
          <w:p w14:paraId="5DEC6558" w14:textId="77777777" w:rsidR="00B1578D" w:rsidRDefault="00B1578D">
            <w:pPr>
              <w:rPr>
                <w:rFonts w:ascii="宋体"/>
              </w:rPr>
            </w:pPr>
          </w:p>
        </w:tc>
        <w:tc>
          <w:tcPr>
            <w:tcW w:w="0" w:type="auto"/>
            <w:shd w:val="clear" w:color="auto" w:fill="auto"/>
            <w:vAlign w:val="bottom"/>
          </w:tcPr>
          <w:p w14:paraId="5DEC6559" w14:textId="77777777" w:rsidR="00B1578D" w:rsidRDefault="00B1578D">
            <w:pPr>
              <w:rPr>
                <w:rFonts w:ascii="宋体"/>
              </w:rPr>
            </w:pPr>
          </w:p>
        </w:tc>
        <w:tc>
          <w:tcPr>
            <w:tcW w:w="0" w:type="auto"/>
            <w:shd w:val="clear" w:color="auto" w:fill="auto"/>
            <w:vAlign w:val="bottom"/>
          </w:tcPr>
          <w:p w14:paraId="5DEC655A" w14:textId="77777777" w:rsidR="00B1578D" w:rsidRDefault="00B1578D">
            <w:pPr>
              <w:rPr>
                <w:rFonts w:ascii="宋体"/>
              </w:rPr>
            </w:pPr>
          </w:p>
        </w:tc>
        <w:tc>
          <w:tcPr>
            <w:tcW w:w="0" w:type="auto"/>
            <w:shd w:val="clear" w:color="auto" w:fill="auto"/>
            <w:vAlign w:val="bottom"/>
          </w:tcPr>
          <w:p w14:paraId="5DEC655B" w14:textId="77777777" w:rsidR="00B1578D" w:rsidRDefault="00B1578D">
            <w:pPr>
              <w:rPr>
                <w:rFonts w:ascii="宋体"/>
              </w:rPr>
            </w:pPr>
          </w:p>
        </w:tc>
        <w:tc>
          <w:tcPr>
            <w:tcW w:w="0" w:type="auto"/>
            <w:shd w:val="clear" w:color="auto" w:fill="auto"/>
            <w:vAlign w:val="bottom"/>
          </w:tcPr>
          <w:p w14:paraId="5DEC655C" w14:textId="77777777" w:rsidR="00B1578D" w:rsidRDefault="00B1578D">
            <w:pPr>
              <w:rPr>
                <w:rFonts w:ascii="宋体"/>
              </w:rPr>
            </w:pPr>
          </w:p>
        </w:tc>
        <w:tc>
          <w:tcPr>
            <w:tcW w:w="0" w:type="auto"/>
            <w:shd w:val="clear" w:color="auto" w:fill="auto"/>
            <w:vAlign w:val="bottom"/>
          </w:tcPr>
          <w:p w14:paraId="5DEC655D" w14:textId="77777777" w:rsidR="00B1578D" w:rsidRDefault="00B1578D">
            <w:pPr>
              <w:rPr>
                <w:rFonts w:ascii="宋体"/>
              </w:rPr>
            </w:pPr>
          </w:p>
        </w:tc>
      </w:tr>
      <w:tr w:rsidR="00B1578D" w14:paraId="5DEC6570" w14:textId="77777777">
        <w:trPr>
          <w:jc w:val="center"/>
        </w:trPr>
        <w:tc>
          <w:tcPr>
            <w:tcW w:w="0" w:type="auto"/>
            <w:gridSpan w:val="3"/>
            <w:shd w:val="clear" w:color="auto" w:fill="auto"/>
            <w:tcMar>
              <w:top w:w="40" w:type="dxa"/>
              <w:left w:w="20" w:type="dxa"/>
              <w:bottom w:w="40" w:type="dxa"/>
              <w:right w:w="20" w:type="dxa"/>
            </w:tcMar>
            <w:vAlign w:val="center"/>
          </w:tcPr>
          <w:p w14:paraId="5DEC655F"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560"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561" w14:textId="77777777" w:rsidR="00B1578D" w:rsidRDefault="004D2C04">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562" w14:textId="77777777" w:rsidR="00B1578D" w:rsidRDefault="00B1578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5DEC6563" w14:textId="77777777" w:rsidR="00B1578D" w:rsidRDefault="004D2C04">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564"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565" w14:textId="77777777" w:rsidR="00B1578D" w:rsidRDefault="004D2C04">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566" w14:textId="77777777" w:rsidR="00B1578D" w:rsidRDefault="00B1578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5DEC6567" w14:textId="77777777" w:rsidR="00B1578D" w:rsidRDefault="004D2C04">
            <w:pPr>
              <w:jc w:val="center"/>
              <w:textAlignment w:val="center"/>
            </w:pPr>
            <w:r>
              <w:rPr>
                <w:rFonts w:ascii="Times New Roman" w:eastAsia="宋体" w:hAnsi="Times New Roman"/>
                <w:b/>
                <w:bCs/>
                <w:color w:val="000000"/>
                <w:sz w:val="16"/>
                <w:szCs w:val="16"/>
              </w:rPr>
              <w:t>2021</w:t>
            </w:r>
          </w:p>
        </w:tc>
        <w:tc>
          <w:tcPr>
            <w:tcW w:w="0" w:type="auto"/>
            <w:shd w:val="clear" w:color="auto" w:fill="auto"/>
            <w:vAlign w:val="bottom"/>
          </w:tcPr>
          <w:p w14:paraId="5DEC6568" w14:textId="77777777" w:rsidR="00B1578D" w:rsidRDefault="00B1578D">
            <w:pPr>
              <w:rPr>
                <w:rFonts w:ascii="宋体"/>
                <w:vanish/>
              </w:rPr>
            </w:pPr>
          </w:p>
        </w:tc>
        <w:tc>
          <w:tcPr>
            <w:tcW w:w="0" w:type="auto"/>
            <w:shd w:val="clear" w:color="auto" w:fill="auto"/>
            <w:vAlign w:val="bottom"/>
          </w:tcPr>
          <w:p w14:paraId="5DEC6569" w14:textId="77777777" w:rsidR="00B1578D" w:rsidRDefault="00B1578D">
            <w:pPr>
              <w:rPr>
                <w:rFonts w:ascii="宋体"/>
                <w:vanish/>
              </w:rPr>
            </w:pPr>
          </w:p>
        </w:tc>
        <w:tc>
          <w:tcPr>
            <w:tcW w:w="0" w:type="auto"/>
            <w:gridSpan w:val="3"/>
            <w:shd w:val="clear" w:color="auto" w:fill="auto"/>
            <w:vAlign w:val="bottom"/>
          </w:tcPr>
          <w:p w14:paraId="5DEC656A" w14:textId="77777777" w:rsidR="00B1578D" w:rsidRDefault="00B1578D">
            <w:pPr>
              <w:rPr>
                <w:rFonts w:ascii="宋体"/>
                <w:vanish/>
              </w:rPr>
            </w:pPr>
          </w:p>
        </w:tc>
        <w:tc>
          <w:tcPr>
            <w:tcW w:w="0" w:type="auto"/>
            <w:gridSpan w:val="3"/>
            <w:shd w:val="clear" w:color="auto" w:fill="auto"/>
            <w:vAlign w:val="bottom"/>
          </w:tcPr>
          <w:p w14:paraId="5DEC656B" w14:textId="77777777" w:rsidR="00B1578D" w:rsidRDefault="00B1578D">
            <w:pPr>
              <w:rPr>
                <w:rFonts w:ascii="宋体"/>
                <w:vanish/>
              </w:rPr>
            </w:pPr>
          </w:p>
        </w:tc>
        <w:tc>
          <w:tcPr>
            <w:tcW w:w="0" w:type="auto"/>
            <w:gridSpan w:val="3"/>
            <w:shd w:val="clear" w:color="auto" w:fill="auto"/>
            <w:vAlign w:val="bottom"/>
          </w:tcPr>
          <w:p w14:paraId="5DEC656C" w14:textId="77777777" w:rsidR="00B1578D" w:rsidRDefault="00B1578D">
            <w:pPr>
              <w:rPr>
                <w:rFonts w:ascii="宋体"/>
                <w:vanish/>
              </w:rPr>
            </w:pPr>
          </w:p>
        </w:tc>
        <w:tc>
          <w:tcPr>
            <w:tcW w:w="0" w:type="auto"/>
            <w:gridSpan w:val="3"/>
            <w:shd w:val="clear" w:color="auto" w:fill="auto"/>
            <w:vAlign w:val="bottom"/>
          </w:tcPr>
          <w:p w14:paraId="5DEC656D" w14:textId="77777777" w:rsidR="00B1578D" w:rsidRDefault="00B1578D">
            <w:pPr>
              <w:rPr>
                <w:rFonts w:ascii="宋体"/>
                <w:vanish/>
              </w:rPr>
            </w:pPr>
          </w:p>
        </w:tc>
        <w:tc>
          <w:tcPr>
            <w:tcW w:w="0" w:type="auto"/>
            <w:gridSpan w:val="3"/>
            <w:shd w:val="clear" w:color="auto" w:fill="auto"/>
            <w:vAlign w:val="bottom"/>
          </w:tcPr>
          <w:p w14:paraId="5DEC656E" w14:textId="77777777" w:rsidR="00B1578D" w:rsidRDefault="00B1578D">
            <w:pPr>
              <w:rPr>
                <w:rFonts w:ascii="宋体"/>
                <w:vanish/>
              </w:rPr>
            </w:pPr>
          </w:p>
        </w:tc>
        <w:tc>
          <w:tcPr>
            <w:tcW w:w="0" w:type="auto"/>
            <w:gridSpan w:val="3"/>
            <w:shd w:val="clear" w:color="auto" w:fill="auto"/>
            <w:vAlign w:val="bottom"/>
          </w:tcPr>
          <w:p w14:paraId="5DEC656F" w14:textId="77777777" w:rsidR="00B1578D" w:rsidRDefault="00B1578D">
            <w:pPr>
              <w:rPr>
                <w:rFonts w:ascii="宋体"/>
                <w:vanish/>
              </w:rPr>
            </w:pPr>
          </w:p>
        </w:tc>
      </w:tr>
      <w:tr w:rsidR="00B1578D" w14:paraId="5DEC6586" w14:textId="77777777">
        <w:trPr>
          <w:jc w:val="center"/>
        </w:trPr>
        <w:tc>
          <w:tcPr>
            <w:tcW w:w="0" w:type="auto"/>
            <w:gridSpan w:val="3"/>
            <w:shd w:val="clear" w:color="auto" w:fill="auto"/>
            <w:tcMar>
              <w:top w:w="40" w:type="dxa"/>
              <w:left w:w="20" w:type="dxa"/>
              <w:bottom w:w="40" w:type="dxa"/>
              <w:right w:w="20" w:type="dxa"/>
            </w:tcMar>
            <w:vAlign w:val="center"/>
          </w:tcPr>
          <w:p w14:paraId="5DEC6571"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572" w14:textId="77777777" w:rsidR="00B1578D" w:rsidRDefault="00B1578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5DEC6573" w14:textId="77777777" w:rsidR="00B1578D" w:rsidRDefault="004D2C04">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5DEC6574" w14:textId="77777777" w:rsidR="00B1578D" w:rsidRDefault="00B1578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5DEC6575" w14:textId="77777777" w:rsidR="00B1578D" w:rsidRDefault="004D2C04">
            <w:pPr>
              <w:jc w:val="center"/>
              <w:textAlignment w:val="center"/>
            </w:pPr>
            <w:r>
              <w:rPr>
                <w:rFonts w:ascii="Times New Roman" w:eastAsia="宋体" w:hAnsi="Times New Roman"/>
                <w:b/>
                <w:bCs/>
                <w:color w:val="000000"/>
                <w:sz w:val="16"/>
                <w:szCs w:val="16"/>
              </w:rPr>
              <w:t>Fuel Impact</w:t>
            </w:r>
          </w:p>
        </w:tc>
        <w:tc>
          <w:tcPr>
            <w:tcW w:w="0" w:type="auto"/>
            <w:shd w:val="clear" w:color="auto" w:fill="auto"/>
            <w:vAlign w:val="bottom"/>
          </w:tcPr>
          <w:p w14:paraId="5DEC6576" w14:textId="77777777" w:rsidR="00B1578D" w:rsidRDefault="00B1578D">
            <w:pPr>
              <w:rPr>
                <w:rFonts w:ascii="宋体"/>
                <w:vanish/>
              </w:rPr>
            </w:pPr>
          </w:p>
        </w:tc>
        <w:tc>
          <w:tcPr>
            <w:tcW w:w="0" w:type="auto"/>
            <w:shd w:val="clear" w:color="auto" w:fill="auto"/>
            <w:vAlign w:val="bottom"/>
          </w:tcPr>
          <w:p w14:paraId="5DEC6577" w14:textId="77777777" w:rsidR="00B1578D" w:rsidRDefault="00B1578D">
            <w:pPr>
              <w:rPr>
                <w:rFonts w:ascii="宋体"/>
                <w:vanish/>
              </w:rPr>
            </w:pPr>
          </w:p>
        </w:tc>
        <w:tc>
          <w:tcPr>
            <w:tcW w:w="0" w:type="auto"/>
            <w:gridSpan w:val="3"/>
            <w:shd w:val="clear" w:color="auto" w:fill="auto"/>
            <w:vAlign w:val="bottom"/>
          </w:tcPr>
          <w:p w14:paraId="5DEC6578" w14:textId="77777777" w:rsidR="00B1578D" w:rsidRDefault="00B1578D">
            <w:pPr>
              <w:rPr>
                <w:rFonts w:ascii="宋体"/>
                <w:vanish/>
              </w:rPr>
            </w:pPr>
          </w:p>
        </w:tc>
        <w:tc>
          <w:tcPr>
            <w:tcW w:w="0" w:type="auto"/>
            <w:gridSpan w:val="3"/>
            <w:shd w:val="clear" w:color="auto" w:fill="auto"/>
            <w:vAlign w:val="bottom"/>
          </w:tcPr>
          <w:p w14:paraId="5DEC6579" w14:textId="77777777" w:rsidR="00B1578D" w:rsidRDefault="00B1578D">
            <w:pPr>
              <w:rPr>
                <w:rFonts w:ascii="宋体"/>
                <w:vanish/>
              </w:rPr>
            </w:pPr>
          </w:p>
        </w:tc>
        <w:tc>
          <w:tcPr>
            <w:tcW w:w="0" w:type="auto"/>
            <w:shd w:val="clear" w:color="auto" w:fill="auto"/>
            <w:vAlign w:val="bottom"/>
          </w:tcPr>
          <w:p w14:paraId="5DEC657A" w14:textId="77777777" w:rsidR="00B1578D" w:rsidRDefault="00B1578D">
            <w:pPr>
              <w:rPr>
                <w:rFonts w:ascii="宋体"/>
              </w:rPr>
            </w:pPr>
          </w:p>
        </w:tc>
        <w:tc>
          <w:tcPr>
            <w:tcW w:w="0" w:type="auto"/>
            <w:shd w:val="clear" w:color="auto" w:fill="auto"/>
            <w:vAlign w:val="bottom"/>
          </w:tcPr>
          <w:p w14:paraId="5DEC657B" w14:textId="77777777" w:rsidR="00B1578D" w:rsidRDefault="00B1578D">
            <w:pPr>
              <w:rPr>
                <w:rFonts w:ascii="宋体"/>
              </w:rPr>
            </w:pPr>
          </w:p>
        </w:tc>
        <w:tc>
          <w:tcPr>
            <w:tcW w:w="0" w:type="auto"/>
            <w:shd w:val="clear" w:color="auto" w:fill="auto"/>
            <w:vAlign w:val="bottom"/>
          </w:tcPr>
          <w:p w14:paraId="5DEC657C" w14:textId="77777777" w:rsidR="00B1578D" w:rsidRDefault="00B1578D">
            <w:pPr>
              <w:rPr>
                <w:rFonts w:ascii="宋体"/>
              </w:rPr>
            </w:pPr>
          </w:p>
        </w:tc>
        <w:tc>
          <w:tcPr>
            <w:tcW w:w="0" w:type="auto"/>
            <w:shd w:val="clear" w:color="auto" w:fill="auto"/>
            <w:vAlign w:val="bottom"/>
          </w:tcPr>
          <w:p w14:paraId="5DEC657D" w14:textId="77777777" w:rsidR="00B1578D" w:rsidRDefault="00B1578D">
            <w:pPr>
              <w:rPr>
                <w:rFonts w:ascii="宋体"/>
              </w:rPr>
            </w:pPr>
          </w:p>
        </w:tc>
        <w:tc>
          <w:tcPr>
            <w:tcW w:w="0" w:type="auto"/>
            <w:shd w:val="clear" w:color="auto" w:fill="auto"/>
            <w:vAlign w:val="bottom"/>
          </w:tcPr>
          <w:p w14:paraId="5DEC657E" w14:textId="77777777" w:rsidR="00B1578D" w:rsidRDefault="00B1578D">
            <w:pPr>
              <w:rPr>
                <w:rFonts w:ascii="宋体"/>
              </w:rPr>
            </w:pPr>
          </w:p>
        </w:tc>
        <w:tc>
          <w:tcPr>
            <w:tcW w:w="0" w:type="auto"/>
            <w:shd w:val="clear" w:color="auto" w:fill="auto"/>
            <w:vAlign w:val="bottom"/>
          </w:tcPr>
          <w:p w14:paraId="5DEC657F" w14:textId="77777777" w:rsidR="00B1578D" w:rsidRDefault="00B1578D">
            <w:pPr>
              <w:rPr>
                <w:rFonts w:ascii="宋体"/>
              </w:rPr>
            </w:pPr>
          </w:p>
        </w:tc>
        <w:tc>
          <w:tcPr>
            <w:tcW w:w="0" w:type="auto"/>
            <w:shd w:val="clear" w:color="auto" w:fill="auto"/>
            <w:vAlign w:val="bottom"/>
          </w:tcPr>
          <w:p w14:paraId="5DEC6580" w14:textId="77777777" w:rsidR="00B1578D" w:rsidRDefault="00B1578D">
            <w:pPr>
              <w:rPr>
                <w:rFonts w:ascii="宋体"/>
              </w:rPr>
            </w:pPr>
          </w:p>
        </w:tc>
        <w:tc>
          <w:tcPr>
            <w:tcW w:w="0" w:type="auto"/>
            <w:shd w:val="clear" w:color="auto" w:fill="auto"/>
            <w:vAlign w:val="bottom"/>
          </w:tcPr>
          <w:p w14:paraId="5DEC6581" w14:textId="77777777" w:rsidR="00B1578D" w:rsidRDefault="00B1578D">
            <w:pPr>
              <w:rPr>
                <w:rFonts w:ascii="宋体"/>
              </w:rPr>
            </w:pPr>
          </w:p>
        </w:tc>
        <w:tc>
          <w:tcPr>
            <w:tcW w:w="0" w:type="auto"/>
            <w:shd w:val="clear" w:color="auto" w:fill="auto"/>
            <w:vAlign w:val="bottom"/>
          </w:tcPr>
          <w:p w14:paraId="5DEC6582" w14:textId="77777777" w:rsidR="00B1578D" w:rsidRDefault="00B1578D">
            <w:pPr>
              <w:rPr>
                <w:rFonts w:ascii="宋体"/>
              </w:rPr>
            </w:pPr>
          </w:p>
        </w:tc>
        <w:tc>
          <w:tcPr>
            <w:tcW w:w="0" w:type="auto"/>
            <w:shd w:val="clear" w:color="auto" w:fill="auto"/>
            <w:vAlign w:val="bottom"/>
          </w:tcPr>
          <w:p w14:paraId="5DEC6583" w14:textId="77777777" w:rsidR="00B1578D" w:rsidRDefault="00B1578D">
            <w:pPr>
              <w:rPr>
                <w:rFonts w:ascii="宋体"/>
              </w:rPr>
            </w:pPr>
          </w:p>
        </w:tc>
        <w:tc>
          <w:tcPr>
            <w:tcW w:w="0" w:type="auto"/>
            <w:shd w:val="clear" w:color="auto" w:fill="auto"/>
            <w:vAlign w:val="bottom"/>
          </w:tcPr>
          <w:p w14:paraId="5DEC6584" w14:textId="77777777" w:rsidR="00B1578D" w:rsidRDefault="00B1578D">
            <w:pPr>
              <w:rPr>
                <w:rFonts w:ascii="宋体"/>
              </w:rPr>
            </w:pPr>
          </w:p>
        </w:tc>
        <w:tc>
          <w:tcPr>
            <w:tcW w:w="0" w:type="auto"/>
            <w:shd w:val="clear" w:color="auto" w:fill="auto"/>
            <w:vAlign w:val="bottom"/>
          </w:tcPr>
          <w:p w14:paraId="5DEC6585" w14:textId="77777777" w:rsidR="00B1578D" w:rsidRDefault="00B1578D">
            <w:pPr>
              <w:rPr>
                <w:rFonts w:ascii="宋体"/>
              </w:rPr>
            </w:pPr>
          </w:p>
        </w:tc>
      </w:tr>
      <w:tr w:rsidR="00B1578D" w14:paraId="5DEC659C" w14:textId="77777777">
        <w:trPr>
          <w:jc w:val="center"/>
        </w:trPr>
        <w:tc>
          <w:tcPr>
            <w:tcW w:w="0" w:type="auto"/>
            <w:gridSpan w:val="3"/>
            <w:shd w:val="clear" w:color="auto" w:fill="CCEEFF"/>
            <w:tcMar>
              <w:top w:w="40" w:type="dxa"/>
              <w:left w:w="20" w:type="dxa"/>
              <w:bottom w:w="40" w:type="dxa"/>
              <w:right w:w="20" w:type="dxa"/>
            </w:tcMar>
            <w:vAlign w:val="center"/>
          </w:tcPr>
          <w:p w14:paraId="5DEC6587" w14:textId="77777777" w:rsidR="00B1578D" w:rsidRDefault="004D2C04">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5DEC6588"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89" w14:textId="77777777" w:rsidR="00B1578D" w:rsidRDefault="004D2C04">
            <w:pPr>
              <w:jc w:val="right"/>
              <w:textAlignment w:val="center"/>
            </w:pPr>
            <w:r>
              <w:rPr>
                <w:rFonts w:ascii="Times New Roman" w:eastAsia="宋体" w:hAnsi="Times New Roman"/>
                <w:color w:val="000000"/>
                <w:sz w:val="16"/>
                <w:szCs w:val="16"/>
              </w:rPr>
              <w:t>4.0 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8A"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658B"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8C" w14:textId="77777777" w:rsidR="00B1578D" w:rsidRDefault="004D2C04">
            <w:pPr>
              <w:jc w:val="right"/>
              <w:textAlignment w:val="center"/>
            </w:pPr>
            <w:r>
              <w:rPr>
                <w:rFonts w:ascii="Times New Roman" w:eastAsia="宋体" w:hAnsi="Times New Roman"/>
                <w:color w:val="000000"/>
                <w:sz w:val="16"/>
                <w:szCs w:val="16"/>
              </w:rPr>
              <w:t>5.3 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8D"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58E"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8F" w14:textId="77777777" w:rsidR="00B1578D" w:rsidRDefault="004D2C04">
            <w:pPr>
              <w:jc w:val="right"/>
              <w:textAlignment w:val="center"/>
            </w:pPr>
            <w:r>
              <w:rPr>
                <w:rFonts w:ascii="Times New Roman" w:eastAsia="宋体" w:hAnsi="Times New Roman"/>
                <w:color w:val="000000"/>
                <w:sz w:val="16"/>
                <w:szCs w:val="16"/>
              </w:rPr>
              <w:t>0.6 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90"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DEC6591"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92" w14:textId="77777777" w:rsidR="00B1578D" w:rsidRDefault="004D2C04">
            <w:pPr>
              <w:jc w:val="right"/>
              <w:textAlignment w:val="center"/>
            </w:pPr>
            <w:r>
              <w:rPr>
                <w:rFonts w:ascii="Times New Roman" w:eastAsia="宋体" w:hAnsi="Times New Roman"/>
                <w:color w:val="000000"/>
                <w:sz w:val="16"/>
                <w:szCs w:val="16"/>
              </w:rPr>
              <w:t>0.2 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93"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594" w14:textId="77777777" w:rsidR="00B1578D" w:rsidRDefault="00B1578D">
            <w:pPr>
              <w:rPr>
                <w:rFonts w:ascii="宋体"/>
                <w:vanish/>
              </w:rPr>
            </w:pPr>
          </w:p>
        </w:tc>
        <w:tc>
          <w:tcPr>
            <w:tcW w:w="0" w:type="auto"/>
            <w:shd w:val="clear" w:color="auto" w:fill="auto"/>
            <w:vAlign w:val="bottom"/>
          </w:tcPr>
          <w:p w14:paraId="5DEC6595" w14:textId="77777777" w:rsidR="00B1578D" w:rsidRDefault="00B1578D">
            <w:pPr>
              <w:rPr>
                <w:rFonts w:ascii="宋体"/>
                <w:vanish/>
              </w:rPr>
            </w:pPr>
          </w:p>
        </w:tc>
        <w:tc>
          <w:tcPr>
            <w:tcW w:w="0" w:type="auto"/>
            <w:gridSpan w:val="3"/>
            <w:shd w:val="clear" w:color="auto" w:fill="auto"/>
            <w:vAlign w:val="bottom"/>
          </w:tcPr>
          <w:p w14:paraId="5DEC6596" w14:textId="77777777" w:rsidR="00B1578D" w:rsidRDefault="00B1578D">
            <w:pPr>
              <w:rPr>
                <w:rFonts w:ascii="宋体"/>
                <w:vanish/>
              </w:rPr>
            </w:pPr>
          </w:p>
        </w:tc>
        <w:tc>
          <w:tcPr>
            <w:tcW w:w="0" w:type="auto"/>
            <w:gridSpan w:val="3"/>
            <w:shd w:val="clear" w:color="auto" w:fill="auto"/>
            <w:vAlign w:val="bottom"/>
          </w:tcPr>
          <w:p w14:paraId="5DEC6597" w14:textId="77777777" w:rsidR="00B1578D" w:rsidRDefault="00B1578D">
            <w:pPr>
              <w:rPr>
                <w:rFonts w:ascii="宋体"/>
                <w:vanish/>
              </w:rPr>
            </w:pPr>
          </w:p>
        </w:tc>
        <w:tc>
          <w:tcPr>
            <w:tcW w:w="0" w:type="auto"/>
            <w:gridSpan w:val="3"/>
            <w:shd w:val="clear" w:color="auto" w:fill="auto"/>
            <w:vAlign w:val="bottom"/>
          </w:tcPr>
          <w:p w14:paraId="5DEC6598" w14:textId="77777777" w:rsidR="00B1578D" w:rsidRDefault="00B1578D">
            <w:pPr>
              <w:rPr>
                <w:rFonts w:ascii="宋体"/>
                <w:vanish/>
              </w:rPr>
            </w:pPr>
          </w:p>
        </w:tc>
        <w:tc>
          <w:tcPr>
            <w:tcW w:w="0" w:type="auto"/>
            <w:gridSpan w:val="3"/>
            <w:shd w:val="clear" w:color="auto" w:fill="auto"/>
            <w:vAlign w:val="bottom"/>
          </w:tcPr>
          <w:p w14:paraId="5DEC6599" w14:textId="77777777" w:rsidR="00B1578D" w:rsidRDefault="00B1578D">
            <w:pPr>
              <w:rPr>
                <w:rFonts w:ascii="宋体"/>
                <w:vanish/>
              </w:rPr>
            </w:pPr>
          </w:p>
        </w:tc>
        <w:tc>
          <w:tcPr>
            <w:tcW w:w="0" w:type="auto"/>
            <w:gridSpan w:val="3"/>
            <w:shd w:val="clear" w:color="auto" w:fill="auto"/>
            <w:vAlign w:val="bottom"/>
          </w:tcPr>
          <w:p w14:paraId="5DEC659A" w14:textId="77777777" w:rsidR="00B1578D" w:rsidRDefault="00B1578D">
            <w:pPr>
              <w:rPr>
                <w:rFonts w:ascii="宋体"/>
                <w:vanish/>
              </w:rPr>
            </w:pPr>
          </w:p>
        </w:tc>
        <w:tc>
          <w:tcPr>
            <w:tcW w:w="0" w:type="auto"/>
            <w:gridSpan w:val="3"/>
            <w:shd w:val="clear" w:color="auto" w:fill="auto"/>
            <w:vAlign w:val="bottom"/>
          </w:tcPr>
          <w:p w14:paraId="5DEC659B" w14:textId="77777777" w:rsidR="00B1578D" w:rsidRDefault="00B1578D">
            <w:pPr>
              <w:rPr>
                <w:rFonts w:ascii="宋体"/>
                <w:vanish/>
              </w:rPr>
            </w:pPr>
          </w:p>
        </w:tc>
      </w:tr>
      <w:tr w:rsidR="00B1578D" w14:paraId="5DEC65B2" w14:textId="77777777">
        <w:trPr>
          <w:jc w:val="center"/>
        </w:trPr>
        <w:tc>
          <w:tcPr>
            <w:tcW w:w="0" w:type="auto"/>
            <w:gridSpan w:val="3"/>
            <w:shd w:val="clear" w:color="auto" w:fill="FFFFFF"/>
            <w:tcMar>
              <w:top w:w="40" w:type="dxa"/>
              <w:left w:w="20" w:type="dxa"/>
              <w:bottom w:w="40" w:type="dxa"/>
              <w:right w:w="20" w:type="dxa"/>
            </w:tcMar>
            <w:vAlign w:val="center"/>
          </w:tcPr>
          <w:p w14:paraId="5DEC659D" w14:textId="77777777" w:rsidR="00B1578D" w:rsidRDefault="004D2C04">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vAlign w:val="bottom"/>
          </w:tcPr>
          <w:p w14:paraId="5DEC659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59F" w14:textId="77777777" w:rsidR="00B1578D" w:rsidRDefault="004D2C04">
            <w:pPr>
              <w:jc w:val="right"/>
              <w:textAlignment w:val="center"/>
            </w:pPr>
            <w:r>
              <w:rPr>
                <w:rFonts w:ascii="Times New Roman" w:eastAsia="宋体" w:hAnsi="Times New Roman"/>
                <w:color w:val="000000"/>
                <w:sz w:val="16"/>
                <w:szCs w:val="16"/>
              </w:rPr>
              <w:t>17.4 </w:t>
            </w:r>
          </w:p>
        </w:tc>
        <w:tc>
          <w:tcPr>
            <w:tcW w:w="0" w:type="auto"/>
            <w:shd w:val="clear" w:color="auto" w:fill="FFFFFF"/>
            <w:tcMar>
              <w:top w:w="40" w:type="dxa"/>
              <w:left w:w="0" w:type="dxa"/>
              <w:bottom w:w="40" w:type="dxa"/>
              <w:right w:w="20" w:type="dxa"/>
            </w:tcMar>
            <w:vAlign w:val="center"/>
          </w:tcPr>
          <w:p w14:paraId="5DEC65A0"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5A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5A2" w14:textId="77777777" w:rsidR="00B1578D" w:rsidRDefault="004D2C04">
            <w:pPr>
              <w:jc w:val="right"/>
              <w:textAlignment w:val="center"/>
            </w:pPr>
            <w:r>
              <w:rPr>
                <w:rFonts w:ascii="Times New Roman" w:eastAsia="宋体" w:hAnsi="Times New Roman"/>
                <w:color w:val="000000"/>
                <w:sz w:val="16"/>
                <w:szCs w:val="16"/>
              </w:rPr>
              <w:t>10.1 </w:t>
            </w:r>
          </w:p>
        </w:tc>
        <w:tc>
          <w:tcPr>
            <w:tcW w:w="0" w:type="auto"/>
            <w:shd w:val="clear" w:color="auto" w:fill="FFFFFF"/>
            <w:tcMar>
              <w:top w:w="40" w:type="dxa"/>
              <w:left w:w="0" w:type="dxa"/>
              <w:bottom w:w="40" w:type="dxa"/>
              <w:right w:w="20" w:type="dxa"/>
            </w:tcMar>
            <w:vAlign w:val="center"/>
          </w:tcPr>
          <w:p w14:paraId="5DEC65A3"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5A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5A5" w14:textId="77777777" w:rsidR="00B1578D" w:rsidRDefault="004D2C04">
            <w:pPr>
              <w:jc w:val="right"/>
              <w:textAlignment w:val="center"/>
            </w:pPr>
            <w:r>
              <w:rPr>
                <w:rFonts w:ascii="Times New Roman" w:eastAsia="宋体" w:hAnsi="Times New Roman"/>
                <w:color w:val="000000"/>
                <w:sz w:val="16"/>
                <w:szCs w:val="16"/>
              </w:rPr>
              <w:t>6.9 </w:t>
            </w:r>
          </w:p>
        </w:tc>
        <w:tc>
          <w:tcPr>
            <w:tcW w:w="0" w:type="auto"/>
            <w:shd w:val="clear" w:color="auto" w:fill="FFFFFF"/>
            <w:tcMar>
              <w:top w:w="40" w:type="dxa"/>
              <w:left w:w="0" w:type="dxa"/>
              <w:bottom w:w="40" w:type="dxa"/>
              <w:right w:w="20" w:type="dxa"/>
            </w:tcMar>
            <w:vAlign w:val="center"/>
          </w:tcPr>
          <w:p w14:paraId="5DEC65A6"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5A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5A8" w14:textId="77777777" w:rsidR="00B1578D" w:rsidRDefault="004D2C04">
            <w:pPr>
              <w:jc w:val="right"/>
              <w:textAlignment w:val="center"/>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center"/>
          </w:tcPr>
          <w:p w14:paraId="5DEC65A9"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5AA" w14:textId="77777777" w:rsidR="00B1578D" w:rsidRDefault="00B1578D">
            <w:pPr>
              <w:rPr>
                <w:rFonts w:ascii="宋体"/>
                <w:vanish/>
              </w:rPr>
            </w:pPr>
          </w:p>
        </w:tc>
        <w:tc>
          <w:tcPr>
            <w:tcW w:w="0" w:type="auto"/>
            <w:shd w:val="clear" w:color="auto" w:fill="auto"/>
            <w:vAlign w:val="bottom"/>
          </w:tcPr>
          <w:p w14:paraId="5DEC65AB" w14:textId="77777777" w:rsidR="00B1578D" w:rsidRDefault="00B1578D">
            <w:pPr>
              <w:rPr>
                <w:rFonts w:ascii="宋体"/>
                <w:vanish/>
              </w:rPr>
            </w:pPr>
          </w:p>
        </w:tc>
        <w:tc>
          <w:tcPr>
            <w:tcW w:w="0" w:type="auto"/>
            <w:gridSpan w:val="3"/>
            <w:shd w:val="clear" w:color="auto" w:fill="auto"/>
            <w:vAlign w:val="bottom"/>
          </w:tcPr>
          <w:p w14:paraId="5DEC65AC" w14:textId="77777777" w:rsidR="00B1578D" w:rsidRDefault="00B1578D">
            <w:pPr>
              <w:rPr>
                <w:rFonts w:ascii="宋体"/>
                <w:vanish/>
              </w:rPr>
            </w:pPr>
          </w:p>
        </w:tc>
        <w:tc>
          <w:tcPr>
            <w:tcW w:w="0" w:type="auto"/>
            <w:gridSpan w:val="3"/>
            <w:shd w:val="clear" w:color="auto" w:fill="auto"/>
            <w:vAlign w:val="bottom"/>
          </w:tcPr>
          <w:p w14:paraId="5DEC65AD" w14:textId="77777777" w:rsidR="00B1578D" w:rsidRDefault="00B1578D">
            <w:pPr>
              <w:rPr>
                <w:rFonts w:ascii="宋体"/>
                <w:vanish/>
              </w:rPr>
            </w:pPr>
          </w:p>
        </w:tc>
        <w:tc>
          <w:tcPr>
            <w:tcW w:w="0" w:type="auto"/>
            <w:gridSpan w:val="3"/>
            <w:shd w:val="clear" w:color="auto" w:fill="auto"/>
            <w:vAlign w:val="bottom"/>
          </w:tcPr>
          <w:p w14:paraId="5DEC65AE" w14:textId="77777777" w:rsidR="00B1578D" w:rsidRDefault="00B1578D">
            <w:pPr>
              <w:rPr>
                <w:rFonts w:ascii="宋体"/>
                <w:vanish/>
              </w:rPr>
            </w:pPr>
          </w:p>
        </w:tc>
        <w:tc>
          <w:tcPr>
            <w:tcW w:w="0" w:type="auto"/>
            <w:gridSpan w:val="3"/>
            <w:shd w:val="clear" w:color="auto" w:fill="auto"/>
            <w:vAlign w:val="bottom"/>
          </w:tcPr>
          <w:p w14:paraId="5DEC65AF" w14:textId="77777777" w:rsidR="00B1578D" w:rsidRDefault="00B1578D">
            <w:pPr>
              <w:rPr>
                <w:rFonts w:ascii="宋体"/>
                <w:vanish/>
              </w:rPr>
            </w:pPr>
          </w:p>
        </w:tc>
        <w:tc>
          <w:tcPr>
            <w:tcW w:w="0" w:type="auto"/>
            <w:gridSpan w:val="3"/>
            <w:shd w:val="clear" w:color="auto" w:fill="auto"/>
            <w:vAlign w:val="bottom"/>
          </w:tcPr>
          <w:p w14:paraId="5DEC65B0" w14:textId="77777777" w:rsidR="00B1578D" w:rsidRDefault="00B1578D">
            <w:pPr>
              <w:rPr>
                <w:rFonts w:ascii="宋体"/>
                <w:vanish/>
              </w:rPr>
            </w:pPr>
          </w:p>
        </w:tc>
        <w:tc>
          <w:tcPr>
            <w:tcW w:w="0" w:type="auto"/>
            <w:gridSpan w:val="3"/>
            <w:shd w:val="clear" w:color="auto" w:fill="auto"/>
            <w:vAlign w:val="bottom"/>
          </w:tcPr>
          <w:p w14:paraId="5DEC65B1" w14:textId="77777777" w:rsidR="00B1578D" w:rsidRDefault="00B1578D">
            <w:pPr>
              <w:rPr>
                <w:rFonts w:ascii="宋体"/>
                <w:vanish/>
              </w:rPr>
            </w:pPr>
          </w:p>
        </w:tc>
      </w:tr>
      <w:tr w:rsidR="00B1578D" w14:paraId="5DEC65C8" w14:textId="77777777">
        <w:trPr>
          <w:jc w:val="center"/>
        </w:trPr>
        <w:tc>
          <w:tcPr>
            <w:tcW w:w="0" w:type="auto"/>
            <w:gridSpan w:val="3"/>
            <w:shd w:val="clear" w:color="auto" w:fill="CCEEFF"/>
            <w:tcMar>
              <w:top w:w="40" w:type="dxa"/>
              <w:left w:w="20" w:type="dxa"/>
              <w:bottom w:w="40" w:type="dxa"/>
              <w:right w:w="20" w:type="dxa"/>
            </w:tcMar>
            <w:vAlign w:val="center"/>
          </w:tcPr>
          <w:p w14:paraId="5DEC65B3" w14:textId="77777777" w:rsidR="00B1578D" w:rsidRDefault="004D2C04">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vAlign w:val="bottom"/>
          </w:tcPr>
          <w:p w14:paraId="5DEC65B4"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B5" w14:textId="77777777" w:rsidR="00B1578D" w:rsidRDefault="004D2C04">
            <w:pPr>
              <w:jc w:val="right"/>
              <w:textAlignment w:val="center"/>
            </w:pPr>
            <w:r>
              <w:rPr>
                <w:rFonts w:ascii="Times New Roman" w:eastAsia="宋体" w:hAnsi="Times New Roman"/>
                <w:color w:val="000000"/>
                <w:sz w:val="16"/>
                <w:szCs w:val="16"/>
              </w:rPr>
              <w:t>6.0 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B6"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5B7"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B8" w14:textId="77777777" w:rsidR="00B1578D" w:rsidRDefault="004D2C04">
            <w:pPr>
              <w:jc w:val="right"/>
              <w:textAlignment w:val="center"/>
            </w:pPr>
            <w:r>
              <w:rPr>
                <w:rFonts w:ascii="Times New Roman" w:eastAsia="宋体" w:hAnsi="Times New Roman"/>
                <w:color w:val="000000"/>
                <w:sz w:val="16"/>
                <w:szCs w:val="16"/>
              </w:rPr>
              <w:t>6.0 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B9"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5BA"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BB" w14:textId="77777777" w:rsidR="00B1578D" w:rsidRDefault="004D2C04">
            <w:pPr>
              <w:jc w:val="right"/>
              <w:textAlignment w:val="center"/>
            </w:pPr>
            <w:r>
              <w:rPr>
                <w:rFonts w:ascii="Times New Roman" w:eastAsia="宋体" w:hAnsi="Times New Roman"/>
                <w:color w:val="000000"/>
                <w:sz w:val="16"/>
                <w:szCs w:val="16"/>
              </w:rPr>
              <w:t>1.6 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BC"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5BD"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5BE" w14:textId="77777777" w:rsidR="00B1578D" w:rsidRDefault="004D2C04">
            <w:pPr>
              <w:jc w:val="right"/>
              <w:textAlignment w:val="center"/>
            </w:pPr>
            <w:r>
              <w:rPr>
                <w:rFonts w:ascii="Times New Roman" w:eastAsia="宋体" w:hAnsi="Times New Roman"/>
                <w:color w:val="000000"/>
                <w:sz w:val="16"/>
                <w:szCs w:val="16"/>
              </w:rPr>
              <w:t>0.8 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BF"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5C0" w14:textId="77777777" w:rsidR="00B1578D" w:rsidRDefault="00B1578D">
            <w:pPr>
              <w:rPr>
                <w:rFonts w:ascii="宋体"/>
                <w:vanish/>
              </w:rPr>
            </w:pPr>
          </w:p>
        </w:tc>
        <w:tc>
          <w:tcPr>
            <w:tcW w:w="0" w:type="auto"/>
            <w:shd w:val="clear" w:color="auto" w:fill="auto"/>
            <w:vAlign w:val="bottom"/>
          </w:tcPr>
          <w:p w14:paraId="5DEC65C1" w14:textId="77777777" w:rsidR="00B1578D" w:rsidRDefault="00B1578D">
            <w:pPr>
              <w:rPr>
                <w:rFonts w:ascii="宋体"/>
                <w:vanish/>
              </w:rPr>
            </w:pPr>
          </w:p>
        </w:tc>
        <w:tc>
          <w:tcPr>
            <w:tcW w:w="0" w:type="auto"/>
            <w:gridSpan w:val="3"/>
            <w:shd w:val="clear" w:color="auto" w:fill="auto"/>
            <w:vAlign w:val="bottom"/>
          </w:tcPr>
          <w:p w14:paraId="5DEC65C2" w14:textId="77777777" w:rsidR="00B1578D" w:rsidRDefault="00B1578D">
            <w:pPr>
              <w:rPr>
                <w:rFonts w:ascii="宋体"/>
                <w:vanish/>
              </w:rPr>
            </w:pPr>
          </w:p>
        </w:tc>
        <w:tc>
          <w:tcPr>
            <w:tcW w:w="0" w:type="auto"/>
            <w:gridSpan w:val="3"/>
            <w:shd w:val="clear" w:color="auto" w:fill="auto"/>
            <w:vAlign w:val="bottom"/>
          </w:tcPr>
          <w:p w14:paraId="5DEC65C3" w14:textId="77777777" w:rsidR="00B1578D" w:rsidRDefault="00B1578D">
            <w:pPr>
              <w:rPr>
                <w:rFonts w:ascii="宋体"/>
                <w:vanish/>
              </w:rPr>
            </w:pPr>
          </w:p>
        </w:tc>
        <w:tc>
          <w:tcPr>
            <w:tcW w:w="0" w:type="auto"/>
            <w:gridSpan w:val="3"/>
            <w:shd w:val="clear" w:color="auto" w:fill="auto"/>
            <w:vAlign w:val="bottom"/>
          </w:tcPr>
          <w:p w14:paraId="5DEC65C4" w14:textId="77777777" w:rsidR="00B1578D" w:rsidRDefault="00B1578D">
            <w:pPr>
              <w:rPr>
                <w:rFonts w:ascii="宋体"/>
                <w:vanish/>
              </w:rPr>
            </w:pPr>
          </w:p>
        </w:tc>
        <w:tc>
          <w:tcPr>
            <w:tcW w:w="0" w:type="auto"/>
            <w:gridSpan w:val="3"/>
            <w:shd w:val="clear" w:color="auto" w:fill="auto"/>
            <w:vAlign w:val="bottom"/>
          </w:tcPr>
          <w:p w14:paraId="5DEC65C5" w14:textId="77777777" w:rsidR="00B1578D" w:rsidRDefault="00B1578D">
            <w:pPr>
              <w:rPr>
                <w:rFonts w:ascii="宋体"/>
                <w:vanish/>
              </w:rPr>
            </w:pPr>
          </w:p>
        </w:tc>
        <w:tc>
          <w:tcPr>
            <w:tcW w:w="0" w:type="auto"/>
            <w:gridSpan w:val="3"/>
            <w:shd w:val="clear" w:color="auto" w:fill="auto"/>
            <w:vAlign w:val="bottom"/>
          </w:tcPr>
          <w:p w14:paraId="5DEC65C6" w14:textId="77777777" w:rsidR="00B1578D" w:rsidRDefault="00B1578D">
            <w:pPr>
              <w:rPr>
                <w:rFonts w:ascii="宋体"/>
                <w:vanish/>
              </w:rPr>
            </w:pPr>
          </w:p>
        </w:tc>
        <w:tc>
          <w:tcPr>
            <w:tcW w:w="0" w:type="auto"/>
            <w:gridSpan w:val="3"/>
            <w:shd w:val="clear" w:color="auto" w:fill="auto"/>
            <w:vAlign w:val="bottom"/>
          </w:tcPr>
          <w:p w14:paraId="5DEC65C7" w14:textId="77777777" w:rsidR="00B1578D" w:rsidRDefault="00B1578D">
            <w:pPr>
              <w:rPr>
                <w:rFonts w:ascii="宋体"/>
                <w:vanish/>
              </w:rPr>
            </w:pPr>
          </w:p>
        </w:tc>
      </w:tr>
    </w:tbl>
    <w:p w14:paraId="5DEC65C9" w14:textId="77777777" w:rsidR="00B1578D" w:rsidRDefault="004D2C04">
      <w:pPr>
        <w:spacing w:before="80"/>
      </w:pPr>
      <w:r>
        <w:rPr>
          <w:rFonts w:ascii="Times New Roman" w:eastAsia="宋体" w:hAnsi="Times New Roman"/>
          <w:color w:val="000000"/>
          <w:sz w:val="20"/>
          <w:szCs w:val="20"/>
        </w:rPr>
        <w:t>Comparable sales in the U.S., including fuel, increased 6.0% for the three months ended April 30, 2022 when compare</w:t>
      </w:r>
      <w:r>
        <w:rPr>
          <w:rFonts w:ascii="Times New Roman" w:eastAsia="宋体" w:hAnsi="Times New Roman"/>
          <w:color w:val="000000"/>
          <w:sz w:val="20"/>
          <w:szCs w:val="20"/>
        </w:rPr>
        <w:t>d to the same period in the previous fiscal year. The Walmart U.S. segment had comparable sales growth of 4.0% for the three months ended April 30, 2022 driven by growth in average ticket, including strong sales in grocery and some higher inflation impacts</w:t>
      </w:r>
      <w:r>
        <w:rPr>
          <w:rFonts w:ascii="Times New Roman" w:eastAsia="宋体" w:hAnsi="Times New Roman"/>
          <w:color w:val="000000"/>
          <w:sz w:val="20"/>
          <w:szCs w:val="20"/>
        </w:rPr>
        <w:t xml:space="preserve"> in certain merchandise categories, while transactions were relatively flat. The Walmart U.S. segment's eCommerce sales grew at a slower rate than total comparable sales which negatively contributed approximately 0.4% to comparable sales for the three mont</w:t>
      </w:r>
      <w:r>
        <w:rPr>
          <w:rFonts w:ascii="Times New Roman" w:eastAsia="宋体" w:hAnsi="Times New Roman"/>
          <w:color w:val="000000"/>
          <w:sz w:val="20"/>
          <w:szCs w:val="20"/>
        </w:rPr>
        <w:t xml:space="preserve">hs ended April 30, 2022. </w:t>
      </w:r>
    </w:p>
    <w:p w14:paraId="5DEC65CA" w14:textId="77777777" w:rsidR="00B1578D" w:rsidRDefault="004D2C04">
      <w:pPr>
        <w:spacing w:before="100"/>
      </w:pPr>
      <w:r>
        <w:rPr>
          <w:rFonts w:ascii="Times New Roman" w:eastAsia="宋体" w:hAnsi="Times New Roman"/>
          <w:color w:val="000000"/>
          <w:sz w:val="20"/>
          <w:szCs w:val="20"/>
        </w:rPr>
        <w:t>Comparable sales at the Sam's Club segment increased 17.4% for the three months ended April 30, 2022. Growth in comparable sales benefited from growth in transactions and average ticket and included some higher inflation impacts i</w:t>
      </w:r>
      <w:r>
        <w:rPr>
          <w:rFonts w:ascii="Times New Roman" w:eastAsia="宋体" w:hAnsi="Times New Roman"/>
          <w:color w:val="000000"/>
          <w:sz w:val="20"/>
          <w:szCs w:val="20"/>
        </w:rPr>
        <w:t xml:space="preserve">n certain merchandise categories. The Sam's Club segment's eCommerce sales positively contributed approximately 0.5% to comparable sales for the three months ended April 30, 2022. </w:t>
      </w:r>
    </w:p>
    <w:p w14:paraId="5DEC65CB" w14:textId="77777777" w:rsidR="00B1578D" w:rsidRDefault="004D2C04">
      <w:pPr>
        <w:jc w:val="center"/>
      </w:pPr>
      <w:r>
        <w:rPr>
          <w:rFonts w:ascii="Times New Roman" w:eastAsia="宋体" w:hAnsi="Times New Roman"/>
          <w:color w:val="000000"/>
          <w:sz w:val="20"/>
          <w:szCs w:val="20"/>
        </w:rPr>
        <w:t>16</w:t>
      </w:r>
    </w:p>
    <w:p w14:paraId="5DEC65CC" w14:textId="77777777" w:rsidR="00B1578D" w:rsidRDefault="004D2C04">
      <w:r>
        <w:pict w14:anchorId="5DEC6F35">
          <v:rect id="_x0000_i1040" style="width:415.3pt;height:1.5pt" o:hralign="center" o:hrstd="t" o:hr="t" fillcolor="#a0a0a0" stroked="f"/>
        </w:pict>
      </w:r>
    </w:p>
    <w:p w14:paraId="5DEC65CD" w14:textId="77777777" w:rsidR="00B1578D" w:rsidRDefault="004D2C04">
      <w:hyperlink r:id="rId58" w:anchor="ia92fe4e1fa654d85928fb72942eadb02_7" w:history="1">
        <w:r>
          <w:rPr>
            <w:rStyle w:val="a5"/>
            <w:rFonts w:ascii="Times New Roman" w:eastAsia="宋体" w:hAnsi="Times New Roman"/>
            <w:sz w:val="20"/>
            <w:szCs w:val="20"/>
          </w:rPr>
          <w:t>Table of Contents</w:t>
        </w:r>
      </w:hyperlink>
    </w:p>
    <w:p w14:paraId="5DEC65CE" w14:textId="77777777" w:rsidR="00B1578D" w:rsidRDefault="004D2C04">
      <w:pPr>
        <w:spacing w:before="180"/>
      </w:pPr>
      <w:r>
        <w:rPr>
          <w:rFonts w:ascii="Times New Roman" w:eastAsia="宋体" w:hAnsi="Times New Roman"/>
          <w:b/>
          <w:bCs/>
          <w:color w:val="000000"/>
          <w:sz w:val="20"/>
          <w:szCs w:val="20"/>
          <w:u w:val="single"/>
        </w:rPr>
        <w:t>Consistent Operating Discipline</w:t>
      </w:r>
    </w:p>
    <w:p w14:paraId="5DEC65CF" w14:textId="77777777" w:rsidR="00B1578D" w:rsidRDefault="004D2C04">
      <w:pPr>
        <w:spacing w:before="100"/>
      </w:pPr>
      <w:r>
        <w:rPr>
          <w:rFonts w:ascii="Times New Roman" w:eastAsia="宋体" w:hAnsi="Times New Roman"/>
          <w:color w:val="000000"/>
          <w:sz w:val="20"/>
          <w:szCs w:val="20"/>
        </w:rPr>
        <w:t>We operate with discipline by managing expenses and optimizing the efficiency of how we work and creating an environment in which we have sustainable lowest cost to serve. We invest in technology and process improvements to increase productivity, manage in</w:t>
      </w:r>
      <w:r>
        <w:rPr>
          <w:rFonts w:ascii="Times New Roman" w:eastAsia="宋体" w:hAnsi="Times New Roman"/>
          <w:color w:val="000000"/>
          <w:sz w:val="20"/>
          <w:szCs w:val="20"/>
        </w:rPr>
        <w:t xml:space="preserve">ventory, and reduce costs. We measure operating discipline through expense leverage, which we define as net sales growing at a faster rate than operating, selling, general and administrative ("operating") expenses.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78"/>
        <w:gridCol w:w="38"/>
        <w:gridCol w:w="36"/>
        <w:gridCol w:w="36"/>
        <w:gridCol w:w="36"/>
        <w:gridCol w:w="100"/>
        <w:gridCol w:w="684"/>
        <w:gridCol w:w="154"/>
        <w:gridCol w:w="36"/>
        <w:gridCol w:w="36"/>
        <w:gridCol w:w="36"/>
        <w:gridCol w:w="100"/>
        <w:gridCol w:w="685"/>
        <w:gridCol w:w="154"/>
        <w:gridCol w:w="36"/>
        <w:gridCol w:w="36"/>
        <w:gridCol w:w="36"/>
        <w:gridCol w:w="36"/>
        <w:gridCol w:w="36"/>
        <w:gridCol w:w="36"/>
        <w:gridCol w:w="36"/>
        <w:gridCol w:w="36"/>
      </w:tblGrid>
      <w:tr w:rsidR="00B1578D" w14:paraId="5DEC65E3" w14:textId="77777777">
        <w:trPr>
          <w:jc w:val="center"/>
        </w:trPr>
        <w:tc>
          <w:tcPr>
            <w:tcW w:w="50" w:type="pct"/>
            <w:shd w:val="clear" w:color="auto" w:fill="auto"/>
            <w:vAlign w:val="bottom"/>
          </w:tcPr>
          <w:p w14:paraId="5DEC65D0" w14:textId="77777777" w:rsidR="00B1578D" w:rsidRDefault="00B1578D">
            <w:pPr>
              <w:rPr>
                <w:rFonts w:ascii="宋体"/>
              </w:rPr>
            </w:pPr>
          </w:p>
        </w:tc>
        <w:tc>
          <w:tcPr>
            <w:tcW w:w="3775" w:type="pct"/>
            <w:shd w:val="clear" w:color="auto" w:fill="auto"/>
            <w:vAlign w:val="bottom"/>
          </w:tcPr>
          <w:p w14:paraId="5DEC65D1" w14:textId="77777777" w:rsidR="00B1578D" w:rsidRDefault="00B1578D">
            <w:pPr>
              <w:rPr>
                <w:rFonts w:ascii="宋体"/>
              </w:rPr>
            </w:pPr>
          </w:p>
        </w:tc>
        <w:tc>
          <w:tcPr>
            <w:tcW w:w="5" w:type="pct"/>
            <w:shd w:val="clear" w:color="auto" w:fill="auto"/>
            <w:vAlign w:val="bottom"/>
          </w:tcPr>
          <w:p w14:paraId="5DEC65D2" w14:textId="77777777" w:rsidR="00B1578D" w:rsidRDefault="00B1578D">
            <w:pPr>
              <w:rPr>
                <w:rFonts w:ascii="宋体"/>
              </w:rPr>
            </w:pPr>
          </w:p>
        </w:tc>
        <w:tc>
          <w:tcPr>
            <w:tcW w:w="5" w:type="pct"/>
            <w:shd w:val="clear" w:color="auto" w:fill="auto"/>
            <w:vAlign w:val="bottom"/>
          </w:tcPr>
          <w:p w14:paraId="5DEC65D3" w14:textId="77777777" w:rsidR="00B1578D" w:rsidRDefault="00B1578D">
            <w:pPr>
              <w:rPr>
                <w:rFonts w:ascii="宋体"/>
              </w:rPr>
            </w:pPr>
          </w:p>
        </w:tc>
        <w:tc>
          <w:tcPr>
            <w:tcW w:w="19" w:type="pct"/>
            <w:shd w:val="clear" w:color="auto" w:fill="auto"/>
            <w:vAlign w:val="bottom"/>
          </w:tcPr>
          <w:p w14:paraId="5DEC65D4" w14:textId="77777777" w:rsidR="00B1578D" w:rsidRDefault="00B1578D">
            <w:pPr>
              <w:rPr>
                <w:rFonts w:ascii="宋体"/>
              </w:rPr>
            </w:pPr>
          </w:p>
        </w:tc>
        <w:tc>
          <w:tcPr>
            <w:tcW w:w="5" w:type="pct"/>
            <w:shd w:val="clear" w:color="auto" w:fill="auto"/>
            <w:vAlign w:val="bottom"/>
          </w:tcPr>
          <w:p w14:paraId="5DEC65D5" w14:textId="77777777" w:rsidR="00B1578D" w:rsidRDefault="00B1578D">
            <w:pPr>
              <w:rPr>
                <w:rFonts w:ascii="宋体"/>
              </w:rPr>
            </w:pPr>
          </w:p>
        </w:tc>
        <w:tc>
          <w:tcPr>
            <w:tcW w:w="50" w:type="pct"/>
            <w:shd w:val="clear" w:color="auto" w:fill="auto"/>
            <w:vAlign w:val="bottom"/>
          </w:tcPr>
          <w:p w14:paraId="5DEC65D6" w14:textId="77777777" w:rsidR="00B1578D" w:rsidRDefault="00B1578D">
            <w:pPr>
              <w:rPr>
                <w:rFonts w:ascii="宋体"/>
              </w:rPr>
            </w:pPr>
          </w:p>
        </w:tc>
        <w:tc>
          <w:tcPr>
            <w:tcW w:w="500" w:type="pct"/>
            <w:shd w:val="clear" w:color="auto" w:fill="auto"/>
            <w:vAlign w:val="bottom"/>
          </w:tcPr>
          <w:p w14:paraId="5DEC65D7" w14:textId="77777777" w:rsidR="00B1578D" w:rsidRDefault="00B1578D">
            <w:pPr>
              <w:rPr>
                <w:rFonts w:ascii="宋体"/>
              </w:rPr>
            </w:pPr>
          </w:p>
        </w:tc>
        <w:tc>
          <w:tcPr>
            <w:tcW w:w="5" w:type="pct"/>
            <w:shd w:val="clear" w:color="auto" w:fill="auto"/>
            <w:vAlign w:val="bottom"/>
          </w:tcPr>
          <w:p w14:paraId="5DEC65D8" w14:textId="77777777" w:rsidR="00B1578D" w:rsidRDefault="00B1578D">
            <w:pPr>
              <w:rPr>
                <w:rFonts w:ascii="宋体"/>
              </w:rPr>
            </w:pPr>
          </w:p>
        </w:tc>
        <w:tc>
          <w:tcPr>
            <w:tcW w:w="5" w:type="pct"/>
            <w:shd w:val="clear" w:color="auto" w:fill="auto"/>
            <w:vAlign w:val="bottom"/>
          </w:tcPr>
          <w:p w14:paraId="5DEC65D9" w14:textId="77777777" w:rsidR="00B1578D" w:rsidRDefault="00B1578D">
            <w:pPr>
              <w:rPr>
                <w:rFonts w:ascii="宋体"/>
              </w:rPr>
            </w:pPr>
          </w:p>
        </w:tc>
        <w:tc>
          <w:tcPr>
            <w:tcW w:w="19" w:type="pct"/>
            <w:shd w:val="clear" w:color="auto" w:fill="auto"/>
            <w:vAlign w:val="bottom"/>
          </w:tcPr>
          <w:p w14:paraId="5DEC65DA" w14:textId="77777777" w:rsidR="00B1578D" w:rsidRDefault="00B1578D">
            <w:pPr>
              <w:rPr>
                <w:rFonts w:ascii="宋体"/>
              </w:rPr>
            </w:pPr>
          </w:p>
        </w:tc>
        <w:tc>
          <w:tcPr>
            <w:tcW w:w="5" w:type="pct"/>
            <w:shd w:val="clear" w:color="auto" w:fill="auto"/>
            <w:vAlign w:val="bottom"/>
          </w:tcPr>
          <w:p w14:paraId="5DEC65DB" w14:textId="77777777" w:rsidR="00B1578D" w:rsidRDefault="00B1578D">
            <w:pPr>
              <w:rPr>
                <w:rFonts w:ascii="宋体"/>
              </w:rPr>
            </w:pPr>
          </w:p>
        </w:tc>
        <w:tc>
          <w:tcPr>
            <w:tcW w:w="50" w:type="pct"/>
            <w:shd w:val="clear" w:color="auto" w:fill="auto"/>
            <w:vAlign w:val="bottom"/>
          </w:tcPr>
          <w:p w14:paraId="5DEC65DC" w14:textId="77777777" w:rsidR="00B1578D" w:rsidRDefault="00B1578D">
            <w:pPr>
              <w:rPr>
                <w:rFonts w:ascii="宋体"/>
              </w:rPr>
            </w:pPr>
          </w:p>
        </w:tc>
        <w:tc>
          <w:tcPr>
            <w:tcW w:w="500" w:type="pct"/>
            <w:shd w:val="clear" w:color="auto" w:fill="auto"/>
            <w:vAlign w:val="bottom"/>
          </w:tcPr>
          <w:p w14:paraId="5DEC65DD" w14:textId="77777777" w:rsidR="00B1578D" w:rsidRDefault="00B1578D">
            <w:pPr>
              <w:rPr>
                <w:rFonts w:ascii="宋体"/>
              </w:rPr>
            </w:pPr>
          </w:p>
        </w:tc>
        <w:tc>
          <w:tcPr>
            <w:tcW w:w="5" w:type="pct"/>
            <w:shd w:val="clear" w:color="auto" w:fill="auto"/>
            <w:vAlign w:val="bottom"/>
          </w:tcPr>
          <w:p w14:paraId="5DEC65DE" w14:textId="77777777" w:rsidR="00B1578D" w:rsidRDefault="00B1578D">
            <w:pPr>
              <w:rPr>
                <w:rFonts w:ascii="宋体"/>
              </w:rPr>
            </w:pPr>
          </w:p>
        </w:tc>
        <w:tc>
          <w:tcPr>
            <w:tcW w:w="0" w:type="auto"/>
            <w:shd w:val="clear" w:color="auto" w:fill="auto"/>
            <w:vAlign w:val="bottom"/>
          </w:tcPr>
          <w:p w14:paraId="5DEC65DF" w14:textId="77777777" w:rsidR="00B1578D" w:rsidRDefault="00B1578D">
            <w:pPr>
              <w:rPr>
                <w:rFonts w:ascii="宋体"/>
                <w:vanish/>
              </w:rPr>
            </w:pPr>
          </w:p>
        </w:tc>
        <w:tc>
          <w:tcPr>
            <w:tcW w:w="0" w:type="auto"/>
            <w:shd w:val="clear" w:color="auto" w:fill="auto"/>
            <w:vAlign w:val="bottom"/>
          </w:tcPr>
          <w:p w14:paraId="5DEC65E0" w14:textId="77777777" w:rsidR="00B1578D" w:rsidRDefault="00B1578D">
            <w:pPr>
              <w:rPr>
                <w:rFonts w:ascii="宋体"/>
                <w:vanish/>
              </w:rPr>
            </w:pPr>
          </w:p>
        </w:tc>
        <w:tc>
          <w:tcPr>
            <w:tcW w:w="0" w:type="auto"/>
            <w:gridSpan w:val="3"/>
            <w:shd w:val="clear" w:color="auto" w:fill="auto"/>
            <w:vAlign w:val="bottom"/>
          </w:tcPr>
          <w:p w14:paraId="5DEC65E1" w14:textId="77777777" w:rsidR="00B1578D" w:rsidRDefault="00B1578D">
            <w:pPr>
              <w:rPr>
                <w:rFonts w:ascii="宋体"/>
                <w:vanish/>
              </w:rPr>
            </w:pPr>
          </w:p>
        </w:tc>
        <w:tc>
          <w:tcPr>
            <w:tcW w:w="0" w:type="auto"/>
            <w:gridSpan w:val="3"/>
            <w:shd w:val="clear" w:color="auto" w:fill="auto"/>
            <w:vAlign w:val="bottom"/>
          </w:tcPr>
          <w:p w14:paraId="5DEC65E2" w14:textId="77777777" w:rsidR="00B1578D" w:rsidRDefault="00B1578D">
            <w:pPr>
              <w:rPr>
                <w:rFonts w:ascii="宋体"/>
                <w:vanish/>
              </w:rPr>
            </w:pPr>
          </w:p>
        </w:tc>
      </w:tr>
      <w:tr w:rsidR="00B1578D" w14:paraId="5DEC65EF" w14:textId="77777777">
        <w:trPr>
          <w:jc w:val="center"/>
        </w:trPr>
        <w:tc>
          <w:tcPr>
            <w:tcW w:w="0" w:type="auto"/>
            <w:gridSpan w:val="3"/>
            <w:shd w:val="clear" w:color="auto" w:fill="auto"/>
            <w:tcMar>
              <w:top w:w="0" w:type="dxa"/>
              <w:left w:w="20" w:type="dxa"/>
              <w:bottom w:w="0" w:type="dxa"/>
              <w:right w:w="20" w:type="dxa"/>
            </w:tcMar>
            <w:vAlign w:val="bottom"/>
          </w:tcPr>
          <w:p w14:paraId="5DEC65E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5E5"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tcPr>
          <w:p w14:paraId="5DEC65E6" w14:textId="77777777" w:rsidR="00B1578D" w:rsidRDefault="004D2C04">
            <w:pPr>
              <w:jc w:val="center"/>
              <w:textAlignment w:val="top"/>
            </w:pPr>
            <w:r>
              <w:rPr>
                <w:rFonts w:ascii="Times New Roman" w:eastAsia="宋体" w:hAnsi="Times New Roman"/>
                <w:b/>
                <w:bCs/>
                <w:color w:val="000000"/>
                <w:sz w:val="16"/>
                <w:szCs w:val="16"/>
              </w:rPr>
              <w:t xml:space="preserve">Three Months </w:t>
            </w:r>
            <w:r>
              <w:rPr>
                <w:rFonts w:ascii="Times New Roman" w:eastAsia="宋体" w:hAnsi="Times New Roman"/>
                <w:b/>
                <w:bCs/>
                <w:color w:val="000000"/>
                <w:sz w:val="16"/>
                <w:szCs w:val="16"/>
              </w:rPr>
              <w:t>Ended April 30,</w:t>
            </w:r>
          </w:p>
        </w:tc>
        <w:tc>
          <w:tcPr>
            <w:tcW w:w="0" w:type="auto"/>
            <w:shd w:val="clear" w:color="auto" w:fill="auto"/>
            <w:vAlign w:val="bottom"/>
          </w:tcPr>
          <w:p w14:paraId="5DEC65E7" w14:textId="77777777" w:rsidR="00B1578D" w:rsidRDefault="00B1578D">
            <w:pPr>
              <w:rPr>
                <w:rFonts w:ascii="宋体"/>
                <w:vanish/>
              </w:rPr>
            </w:pPr>
          </w:p>
        </w:tc>
        <w:tc>
          <w:tcPr>
            <w:tcW w:w="0" w:type="auto"/>
            <w:shd w:val="clear" w:color="auto" w:fill="auto"/>
            <w:vAlign w:val="bottom"/>
          </w:tcPr>
          <w:p w14:paraId="5DEC65E8" w14:textId="77777777" w:rsidR="00B1578D" w:rsidRDefault="00B1578D">
            <w:pPr>
              <w:rPr>
                <w:rFonts w:ascii="宋体"/>
                <w:vanish/>
              </w:rPr>
            </w:pPr>
          </w:p>
        </w:tc>
        <w:tc>
          <w:tcPr>
            <w:tcW w:w="0" w:type="auto"/>
            <w:shd w:val="clear" w:color="auto" w:fill="auto"/>
            <w:vAlign w:val="bottom"/>
          </w:tcPr>
          <w:p w14:paraId="5DEC65E9" w14:textId="77777777" w:rsidR="00B1578D" w:rsidRDefault="00B1578D">
            <w:pPr>
              <w:rPr>
                <w:rFonts w:ascii="宋体"/>
              </w:rPr>
            </w:pPr>
          </w:p>
        </w:tc>
        <w:tc>
          <w:tcPr>
            <w:tcW w:w="0" w:type="auto"/>
            <w:shd w:val="clear" w:color="auto" w:fill="auto"/>
            <w:vAlign w:val="bottom"/>
          </w:tcPr>
          <w:p w14:paraId="5DEC65EA" w14:textId="77777777" w:rsidR="00B1578D" w:rsidRDefault="00B1578D">
            <w:pPr>
              <w:rPr>
                <w:rFonts w:ascii="宋体"/>
              </w:rPr>
            </w:pPr>
          </w:p>
        </w:tc>
        <w:tc>
          <w:tcPr>
            <w:tcW w:w="0" w:type="auto"/>
            <w:shd w:val="clear" w:color="auto" w:fill="auto"/>
            <w:vAlign w:val="bottom"/>
          </w:tcPr>
          <w:p w14:paraId="5DEC65EB" w14:textId="77777777" w:rsidR="00B1578D" w:rsidRDefault="00B1578D">
            <w:pPr>
              <w:rPr>
                <w:rFonts w:ascii="宋体"/>
              </w:rPr>
            </w:pPr>
          </w:p>
        </w:tc>
        <w:tc>
          <w:tcPr>
            <w:tcW w:w="0" w:type="auto"/>
            <w:shd w:val="clear" w:color="auto" w:fill="auto"/>
            <w:vAlign w:val="bottom"/>
          </w:tcPr>
          <w:p w14:paraId="5DEC65EC" w14:textId="77777777" w:rsidR="00B1578D" w:rsidRDefault="00B1578D">
            <w:pPr>
              <w:rPr>
                <w:rFonts w:ascii="宋体"/>
              </w:rPr>
            </w:pPr>
          </w:p>
        </w:tc>
        <w:tc>
          <w:tcPr>
            <w:tcW w:w="0" w:type="auto"/>
            <w:shd w:val="clear" w:color="auto" w:fill="auto"/>
            <w:vAlign w:val="bottom"/>
          </w:tcPr>
          <w:p w14:paraId="5DEC65ED" w14:textId="77777777" w:rsidR="00B1578D" w:rsidRDefault="00B1578D">
            <w:pPr>
              <w:rPr>
                <w:rFonts w:ascii="宋体"/>
              </w:rPr>
            </w:pPr>
          </w:p>
        </w:tc>
        <w:tc>
          <w:tcPr>
            <w:tcW w:w="0" w:type="auto"/>
            <w:shd w:val="clear" w:color="auto" w:fill="auto"/>
            <w:vAlign w:val="bottom"/>
          </w:tcPr>
          <w:p w14:paraId="5DEC65EE" w14:textId="77777777" w:rsidR="00B1578D" w:rsidRDefault="00B1578D">
            <w:pPr>
              <w:rPr>
                <w:rFonts w:ascii="宋体"/>
              </w:rPr>
            </w:pPr>
          </w:p>
        </w:tc>
      </w:tr>
      <w:tr w:rsidR="00B1578D" w14:paraId="5DEC65F9" w14:textId="77777777">
        <w:trPr>
          <w:jc w:val="center"/>
        </w:trPr>
        <w:tc>
          <w:tcPr>
            <w:tcW w:w="0" w:type="auto"/>
            <w:gridSpan w:val="3"/>
            <w:shd w:val="clear" w:color="auto" w:fill="auto"/>
            <w:tcMar>
              <w:top w:w="40" w:type="dxa"/>
              <w:left w:w="20" w:type="dxa"/>
              <w:bottom w:w="40" w:type="dxa"/>
              <w:right w:w="20" w:type="dxa"/>
            </w:tcMar>
            <w:vAlign w:val="bottom"/>
          </w:tcPr>
          <w:p w14:paraId="5DEC65F0"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5F1"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5F2"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5F3"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5F4"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5F5" w14:textId="77777777" w:rsidR="00B1578D" w:rsidRDefault="00B1578D">
            <w:pPr>
              <w:rPr>
                <w:rFonts w:ascii="宋体"/>
                <w:vanish/>
              </w:rPr>
            </w:pPr>
          </w:p>
        </w:tc>
        <w:tc>
          <w:tcPr>
            <w:tcW w:w="0" w:type="auto"/>
            <w:shd w:val="clear" w:color="auto" w:fill="auto"/>
            <w:vAlign w:val="bottom"/>
          </w:tcPr>
          <w:p w14:paraId="5DEC65F6" w14:textId="77777777" w:rsidR="00B1578D" w:rsidRDefault="00B1578D">
            <w:pPr>
              <w:rPr>
                <w:rFonts w:ascii="宋体"/>
                <w:vanish/>
              </w:rPr>
            </w:pPr>
          </w:p>
        </w:tc>
        <w:tc>
          <w:tcPr>
            <w:tcW w:w="0" w:type="auto"/>
            <w:gridSpan w:val="3"/>
            <w:shd w:val="clear" w:color="auto" w:fill="auto"/>
            <w:vAlign w:val="bottom"/>
          </w:tcPr>
          <w:p w14:paraId="5DEC65F7" w14:textId="77777777" w:rsidR="00B1578D" w:rsidRDefault="00B1578D">
            <w:pPr>
              <w:rPr>
                <w:rFonts w:ascii="宋体"/>
                <w:vanish/>
              </w:rPr>
            </w:pPr>
          </w:p>
        </w:tc>
        <w:tc>
          <w:tcPr>
            <w:tcW w:w="0" w:type="auto"/>
            <w:gridSpan w:val="3"/>
            <w:shd w:val="clear" w:color="auto" w:fill="auto"/>
            <w:vAlign w:val="bottom"/>
          </w:tcPr>
          <w:p w14:paraId="5DEC65F8" w14:textId="77777777" w:rsidR="00B1578D" w:rsidRDefault="00B1578D">
            <w:pPr>
              <w:rPr>
                <w:rFonts w:ascii="宋体"/>
                <w:vanish/>
              </w:rPr>
            </w:pPr>
          </w:p>
        </w:tc>
      </w:tr>
      <w:tr w:rsidR="00B1578D" w14:paraId="5DEC6607" w14:textId="77777777">
        <w:trPr>
          <w:jc w:val="center"/>
        </w:trPr>
        <w:tc>
          <w:tcPr>
            <w:tcW w:w="0" w:type="auto"/>
            <w:gridSpan w:val="3"/>
            <w:shd w:val="clear" w:color="auto" w:fill="CCEEFF"/>
            <w:tcMar>
              <w:top w:w="40" w:type="dxa"/>
              <w:left w:w="20" w:type="dxa"/>
              <w:bottom w:w="40" w:type="dxa"/>
              <w:right w:w="20" w:type="dxa"/>
            </w:tcMar>
            <w:vAlign w:val="center"/>
          </w:tcPr>
          <w:p w14:paraId="5DEC65FA"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5DEC65FB"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5FC"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5FD" w14:textId="77777777" w:rsidR="00B1578D" w:rsidRDefault="004D2C04">
            <w:pPr>
              <w:jc w:val="right"/>
              <w:textAlignment w:val="center"/>
            </w:pPr>
            <w:r>
              <w:rPr>
                <w:rFonts w:ascii="Times New Roman" w:eastAsia="宋体" w:hAnsi="Times New Roman"/>
                <w:color w:val="000000"/>
                <w:sz w:val="16"/>
                <w:szCs w:val="16"/>
              </w:rPr>
              <w:t>140,288 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5F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5FF"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600"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601" w14:textId="77777777" w:rsidR="00B1578D" w:rsidRDefault="004D2C04">
            <w:pPr>
              <w:jc w:val="right"/>
              <w:textAlignment w:val="center"/>
            </w:pPr>
            <w:r>
              <w:rPr>
                <w:rFonts w:ascii="Times New Roman" w:eastAsia="宋体" w:hAnsi="Times New Roman"/>
                <w:color w:val="000000"/>
                <w:sz w:val="16"/>
                <w:szCs w:val="16"/>
              </w:rPr>
              <w:t>137,159 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602" w14:textId="77777777" w:rsidR="00B1578D" w:rsidRDefault="00B1578D">
            <w:pPr>
              <w:jc w:val="right"/>
              <w:rPr>
                <w:rFonts w:ascii="宋体"/>
              </w:rPr>
            </w:pPr>
          </w:p>
        </w:tc>
        <w:tc>
          <w:tcPr>
            <w:tcW w:w="0" w:type="auto"/>
            <w:shd w:val="clear" w:color="auto" w:fill="auto"/>
            <w:vAlign w:val="bottom"/>
          </w:tcPr>
          <w:p w14:paraId="5DEC6603" w14:textId="77777777" w:rsidR="00B1578D" w:rsidRDefault="00B1578D">
            <w:pPr>
              <w:rPr>
                <w:rFonts w:ascii="宋体"/>
                <w:vanish/>
              </w:rPr>
            </w:pPr>
          </w:p>
        </w:tc>
        <w:tc>
          <w:tcPr>
            <w:tcW w:w="0" w:type="auto"/>
            <w:shd w:val="clear" w:color="auto" w:fill="auto"/>
            <w:vAlign w:val="bottom"/>
          </w:tcPr>
          <w:p w14:paraId="5DEC6604" w14:textId="77777777" w:rsidR="00B1578D" w:rsidRDefault="00B1578D">
            <w:pPr>
              <w:rPr>
                <w:rFonts w:ascii="宋体"/>
                <w:vanish/>
              </w:rPr>
            </w:pPr>
          </w:p>
        </w:tc>
        <w:tc>
          <w:tcPr>
            <w:tcW w:w="0" w:type="auto"/>
            <w:gridSpan w:val="3"/>
            <w:shd w:val="clear" w:color="auto" w:fill="auto"/>
            <w:vAlign w:val="bottom"/>
          </w:tcPr>
          <w:p w14:paraId="5DEC6605" w14:textId="77777777" w:rsidR="00B1578D" w:rsidRDefault="00B1578D">
            <w:pPr>
              <w:rPr>
                <w:rFonts w:ascii="宋体"/>
                <w:vanish/>
              </w:rPr>
            </w:pPr>
          </w:p>
        </w:tc>
        <w:tc>
          <w:tcPr>
            <w:tcW w:w="0" w:type="auto"/>
            <w:gridSpan w:val="3"/>
            <w:shd w:val="clear" w:color="auto" w:fill="auto"/>
            <w:vAlign w:val="bottom"/>
          </w:tcPr>
          <w:p w14:paraId="5DEC6606" w14:textId="77777777" w:rsidR="00B1578D" w:rsidRDefault="00B1578D">
            <w:pPr>
              <w:rPr>
                <w:rFonts w:ascii="宋体"/>
                <w:vanish/>
              </w:rPr>
            </w:pPr>
          </w:p>
        </w:tc>
      </w:tr>
      <w:tr w:rsidR="00B1578D" w14:paraId="5DEC6613" w14:textId="77777777">
        <w:trPr>
          <w:jc w:val="center"/>
        </w:trPr>
        <w:tc>
          <w:tcPr>
            <w:tcW w:w="0" w:type="auto"/>
            <w:gridSpan w:val="3"/>
            <w:shd w:val="clear" w:color="auto" w:fill="FFFFFF"/>
            <w:tcMar>
              <w:top w:w="40" w:type="dxa"/>
              <w:left w:w="20" w:type="dxa"/>
              <w:bottom w:w="40" w:type="dxa"/>
              <w:right w:w="20" w:type="dxa"/>
            </w:tcMar>
            <w:vAlign w:val="center"/>
          </w:tcPr>
          <w:p w14:paraId="5DEC6608" w14:textId="77777777" w:rsidR="00B1578D" w:rsidRDefault="004D2C04">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5DEC660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60A" w14:textId="77777777" w:rsidR="00B1578D" w:rsidRDefault="004D2C04">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5DEC660B"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60C"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60D" w14:textId="77777777" w:rsidR="00B1578D" w:rsidRDefault="004D2C04">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5DEC660E"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60F" w14:textId="77777777" w:rsidR="00B1578D" w:rsidRDefault="00B1578D">
            <w:pPr>
              <w:rPr>
                <w:rFonts w:ascii="宋体"/>
                <w:vanish/>
              </w:rPr>
            </w:pPr>
          </w:p>
        </w:tc>
        <w:tc>
          <w:tcPr>
            <w:tcW w:w="0" w:type="auto"/>
            <w:shd w:val="clear" w:color="auto" w:fill="auto"/>
            <w:vAlign w:val="bottom"/>
          </w:tcPr>
          <w:p w14:paraId="5DEC6610" w14:textId="77777777" w:rsidR="00B1578D" w:rsidRDefault="00B1578D">
            <w:pPr>
              <w:rPr>
                <w:rFonts w:ascii="宋体"/>
                <w:vanish/>
              </w:rPr>
            </w:pPr>
          </w:p>
        </w:tc>
        <w:tc>
          <w:tcPr>
            <w:tcW w:w="0" w:type="auto"/>
            <w:gridSpan w:val="3"/>
            <w:shd w:val="clear" w:color="auto" w:fill="auto"/>
            <w:vAlign w:val="bottom"/>
          </w:tcPr>
          <w:p w14:paraId="5DEC6611" w14:textId="77777777" w:rsidR="00B1578D" w:rsidRDefault="00B1578D">
            <w:pPr>
              <w:rPr>
                <w:rFonts w:ascii="宋体"/>
                <w:vanish/>
              </w:rPr>
            </w:pPr>
          </w:p>
        </w:tc>
        <w:tc>
          <w:tcPr>
            <w:tcW w:w="0" w:type="auto"/>
            <w:gridSpan w:val="3"/>
            <w:shd w:val="clear" w:color="auto" w:fill="auto"/>
            <w:vAlign w:val="bottom"/>
          </w:tcPr>
          <w:p w14:paraId="5DEC6612" w14:textId="77777777" w:rsidR="00B1578D" w:rsidRDefault="00B1578D">
            <w:pPr>
              <w:rPr>
                <w:rFonts w:ascii="宋体"/>
                <w:vanish/>
              </w:rPr>
            </w:pPr>
          </w:p>
        </w:tc>
      </w:tr>
      <w:tr w:rsidR="00B1578D" w14:paraId="5DEC6621" w14:textId="77777777">
        <w:trPr>
          <w:jc w:val="center"/>
        </w:trPr>
        <w:tc>
          <w:tcPr>
            <w:tcW w:w="0" w:type="auto"/>
            <w:gridSpan w:val="3"/>
            <w:shd w:val="clear" w:color="auto" w:fill="CCEEFF"/>
            <w:tcMar>
              <w:top w:w="40" w:type="dxa"/>
              <w:left w:w="20" w:type="dxa"/>
              <w:bottom w:w="40" w:type="dxa"/>
              <w:right w:w="20" w:type="dxa"/>
            </w:tcMar>
            <w:vAlign w:val="center"/>
          </w:tcPr>
          <w:p w14:paraId="5DEC6614" w14:textId="77777777" w:rsidR="00B1578D" w:rsidRDefault="004D2C04">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bottom"/>
          </w:tcPr>
          <w:p w14:paraId="5DEC6615"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616"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617" w14:textId="77777777" w:rsidR="00B1578D" w:rsidRDefault="004D2C04">
            <w:pPr>
              <w:jc w:val="right"/>
              <w:textAlignment w:val="center"/>
            </w:pPr>
            <w:r>
              <w:rPr>
                <w:rFonts w:ascii="Times New Roman" w:eastAsia="宋体" w:hAnsi="Times New Roman"/>
                <w:color w:val="000000"/>
                <w:sz w:val="16"/>
                <w:szCs w:val="16"/>
              </w:rPr>
              <w:t>29,404 </w:t>
            </w:r>
          </w:p>
        </w:tc>
        <w:tc>
          <w:tcPr>
            <w:tcW w:w="0" w:type="auto"/>
            <w:shd w:val="clear" w:color="auto" w:fill="CCEEFF"/>
            <w:tcMar>
              <w:top w:w="40" w:type="dxa"/>
              <w:left w:w="0" w:type="dxa"/>
              <w:bottom w:w="40" w:type="dxa"/>
              <w:right w:w="20" w:type="dxa"/>
            </w:tcMar>
            <w:vAlign w:val="center"/>
          </w:tcPr>
          <w:p w14:paraId="5DEC661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619"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61A"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61B" w14:textId="77777777" w:rsidR="00B1578D" w:rsidRDefault="004D2C04">
            <w:pPr>
              <w:jc w:val="right"/>
              <w:textAlignment w:val="center"/>
            </w:pPr>
            <w:r>
              <w:rPr>
                <w:rFonts w:ascii="Times New Roman" w:eastAsia="宋体" w:hAnsi="Times New Roman"/>
                <w:color w:val="000000"/>
                <w:sz w:val="16"/>
                <w:szCs w:val="16"/>
              </w:rPr>
              <w:t>28,129 </w:t>
            </w:r>
          </w:p>
        </w:tc>
        <w:tc>
          <w:tcPr>
            <w:tcW w:w="0" w:type="auto"/>
            <w:shd w:val="clear" w:color="auto" w:fill="CCEEFF"/>
            <w:tcMar>
              <w:top w:w="40" w:type="dxa"/>
              <w:left w:w="0" w:type="dxa"/>
              <w:bottom w:w="40" w:type="dxa"/>
              <w:right w:w="20" w:type="dxa"/>
            </w:tcMar>
            <w:vAlign w:val="center"/>
          </w:tcPr>
          <w:p w14:paraId="5DEC661C" w14:textId="77777777" w:rsidR="00B1578D" w:rsidRDefault="00B1578D">
            <w:pPr>
              <w:jc w:val="right"/>
              <w:rPr>
                <w:rFonts w:ascii="宋体"/>
              </w:rPr>
            </w:pPr>
          </w:p>
        </w:tc>
        <w:tc>
          <w:tcPr>
            <w:tcW w:w="0" w:type="auto"/>
            <w:shd w:val="clear" w:color="auto" w:fill="auto"/>
            <w:vAlign w:val="bottom"/>
          </w:tcPr>
          <w:p w14:paraId="5DEC661D" w14:textId="77777777" w:rsidR="00B1578D" w:rsidRDefault="00B1578D">
            <w:pPr>
              <w:rPr>
                <w:rFonts w:ascii="宋体"/>
                <w:vanish/>
              </w:rPr>
            </w:pPr>
          </w:p>
        </w:tc>
        <w:tc>
          <w:tcPr>
            <w:tcW w:w="0" w:type="auto"/>
            <w:shd w:val="clear" w:color="auto" w:fill="auto"/>
            <w:vAlign w:val="bottom"/>
          </w:tcPr>
          <w:p w14:paraId="5DEC661E" w14:textId="77777777" w:rsidR="00B1578D" w:rsidRDefault="00B1578D">
            <w:pPr>
              <w:rPr>
                <w:rFonts w:ascii="宋体"/>
                <w:vanish/>
              </w:rPr>
            </w:pPr>
          </w:p>
        </w:tc>
        <w:tc>
          <w:tcPr>
            <w:tcW w:w="0" w:type="auto"/>
            <w:gridSpan w:val="3"/>
            <w:shd w:val="clear" w:color="auto" w:fill="auto"/>
            <w:vAlign w:val="bottom"/>
          </w:tcPr>
          <w:p w14:paraId="5DEC661F" w14:textId="77777777" w:rsidR="00B1578D" w:rsidRDefault="00B1578D">
            <w:pPr>
              <w:rPr>
                <w:rFonts w:ascii="宋体"/>
                <w:vanish/>
              </w:rPr>
            </w:pPr>
          </w:p>
        </w:tc>
        <w:tc>
          <w:tcPr>
            <w:tcW w:w="0" w:type="auto"/>
            <w:gridSpan w:val="3"/>
            <w:shd w:val="clear" w:color="auto" w:fill="auto"/>
            <w:vAlign w:val="bottom"/>
          </w:tcPr>
          <w:p w14:paraId="5DEC6620" w14:textId="77777777" w:rsidR="00B1578D" w:rsidRDefault="00B1578D">
            <w:pPr>
              <w:rPr>
                <w:rFonts w:ascii="宋体"/>
                <w:vanish/>
              </w:rPr>
            </w:pPr>
          </w:p>
        </w:tc>
      </w:tr>
      <w:tr w:rsidR="00B1578D" w14:paraId="5DEC662D" w14:textId="77777777">
        <w:trPr>
          <w:jc w:val="center"/>
        </w:trPr>
        <w:tc>
          <w:tcPr>
            <w:tcW w:w="0" w:type="auto"/>
            <w:gridSpan w:val="3"/>
            <w:shd w:val="clear" w:color="auto" w:fill="FFFFFF"/>
            <w:tcMar>
              <w:top w:w="40" w:type="dxa"/>
              <w:left w:w="20" w:type="dxa"/>
              <w:bottom w:w="40" w:type="dxa"/>
              <w:right w:w="20" w:type="dxa"/>
            </w:tcMar>
            <w:vAlign w:val="center"/>
          </w:tcPr>
          <w:p w14:paraId="5DEC6622" w14:textId="77777777" w:rsidR="00B1578D" w:rsidRDefault="004D2C04">
            <w:pPr>
              <w:textAlignment w:val="center"/>
            </w:pPr>
            <w:r>
              <w:rPr>
                <w:rFonts w:ascii="Times New Roman" w:eastAsia="宋体" w:hAnsi="Times New Roman"/>
                <w:color w:val="000000"/>
                <w:sz w:val="16"/>
                <w:szCs w:val="16"/>
              </w:rPr>
              <w:t>Perce</w:t>
            </w:r>
            <w:r>
              <w:rPr>
                <w:rFonts w:ascii="Times New Roman" w:eastAsia="宋体" w:hAnsi="Times New Roman"/>
                <w:color w:val="000000"/>
                <w:sz w:val="16"/>
                <w:szCs w:val="16"/>
              </w:rPr>
              <w:t>ntage change from comparable period</w:t>
            </w:r>
          </w:p>
        </w:tc>
        <w:tc>
          <w:tcPr>
            <w:tcW w:w="0" w:type="auto"/>
            <w:gridSpan w:val="3"/>
            <w:shd w:val="clear" w:color="auto" w:fill="FFFFFF"/>
            <w:tcMar>
              <w:top w:w="0" w:type="dxa"/>
              <w:left w:w="20" w:type="dxa"/>
              <w:bottom w:w="0" w:type="dxa"/>
              <w:right w:w="20" w:type="dxa"/>
            </w:tcMar>
            <w:vAlign w:val="bottom"/>
          </w:tcPr>
          <w:p w14:paraId="5DEC662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624" w14:textId="77777777" w:rsidR="00B1578D" w:rsidRDefault="004D2C04">
            <w:pPr>
              <w:jc w:val="right"/>
              <w:textAlignment w:val="center"/>
            </w:pPr>
            <w:r>
              <w:rPr>
                <w:rFonts w:ascii="Times New Roman" w:eastAsia="宋体" w:hAnsi="Times New Roman"/>
                <w:color w:val="000000"/>
                <w:sz w:val="16"/>
                <w:szCs w:val="16"/>
              </w:rPr>
              <w:t>4.5 </w:t>
            </w:r>
          </w:p>
        </w:tc>
        <w:tc>
          <w:tcPr>
            <w:tcW w:w="0" w:type="auto"/>
            <w:shd w:val="clear" w:color="auto" w:fill="FFFFFF"/>
            <w:tcMar>
              <w:top w:w="40" w:type="dxa"/>
              <w:left w:w="0" w:type="dxa"/>
              <w:bottom w:w="40" w:type="dxa"/>
              <w:right w:w="20" w:type="dxa"/>
            </w:tcMar>
            <w:vAlign w:val="center"/>
          </w:tcPr>
          <w:p w14:paraId="5DEC6625"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62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627" w14:textId="77777777" w:rsidR="00B1578D" w:rsidRDefault="004D2C04">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5DEC6628"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629" w14:textId="77777777" w:rsidR="00B1578D" w:rsidRDefault="00B1578D">
            <w:pPr>
              <w:rPr>
                <w:rFonts w:ascii="宋体"/>
                <w:vanish/>
              </w:rPr>
            </w:pPr>
          </w:p>
        </w:tc>
        <w:tc>
          <w:tcPr>
            <w:tcW w:w="0" w:type="auto"/>
            <w:shd w:val="clear" w:color="auto" w:fill="auto"/>
            <w:vAlign w:val="bottom"/>
          </w:tcPr>
          <w:p w14:paraId="5DEC662A" w14:textId="77777777" w:rsidR="00B1578D" w:rsidRDefault="00B1578D">
            <w:pPr>
              <w:rPr>
                <w:rFonts w:ascii="宋体"/>
                <w:vanish/>
              </w:rPr>
            </w:pPr>
          </w:p>
        </w:tc>
        <w:tc>
          <w:tcPr>
            <w:tcW w:w="0" w:type="auto"/>
            <w:gridSpan w:val="3"/>
            <w:shd w:val="clear" w:color="auto" w:fill="auto"/>
            <w:vAlign w:val="bottom"/>
          </w:tcPr>
          <w:p w14:paraId="5DEC662B" w14:textId="77777777" w:rsidR="00B1578D" w:rsidRDefault="00B1578D">
            <w:pPr>
              <w:rPr>
                <w:rFonts w:ascii="宋体"/>
                <w:vanish/>
              </w:rPr>
            </w:pPr>
          </w:p>
        </w:tc>
        <w:tc>
          <w:tcPr>
            <w:tcW w:w="0" w:type="auto"/>
            <w:gridSpan w:val="3"/>
            <w:shd w:val="clear" w:color="auto" w:fill="auto"/>
            <w:vAlign w:val="bottom"/>
          </w:tcPr>
          <w:p w14:paraId="5DEC662C" w14:textId="77777777" w:rsidR="00B1578D" w:rsidRDefault="00B1578D">
            <w:pPr>
              <w:rPr>
                <w:rFonts w:ascii="宋体"/>
                <w:vanish/>
              </w:rPr>
            </w:pPr>
          </w:p>
        </w:tc>
      </w:tr>
      <w:tr w:rsidR="00B1578D" w14:paraId="5DEC6639" w14:textId="77777777">
        <w:trPr>
          <w:jc w:val="center"/>
        </w:trPr>
        <w:tc>
          <w:tcPr>
            <w:tcW w:w="0" w:type="auto"/>
            <w:gridSpan w:val="3"/>
            <w:shd w:val="clear" w:color="auto" w:fill="CCEEFF"/>
            <w:tcMar>
              <w:top w:w="40" w:type="dxa"/>
              <w:left w:w="20" w:type="dxa"/>
              <w:bottom w:w="40" w:type="dxa"/>
              <w:right w:w="20" w:type="dxa"/>
            </w:tcMar>
            <w:vAlign w:val="center"/>
          </w:tcPr>
          <w:p w14:paraId="5DEC662E" w14:textId="77777777" w:rsidR="00B1578D" w:rsidRDefault="004D2C04">
            <w:pPr>
              <w:textAlignment w:val="center"/>
            </w:pPr>
            <w:r>
              <w:rPr>
                <w:rFonts w:ascii="Times New Roman" w:eastAsia="宋体" w:hAnsi="Times New Roman"/>
                <w:color w:val="000000"/>
                <w:sz w:val="16"/>
                <w:szCs w:val="16"/>
              </w:rPr>
              <w:t>Operating, selling, general and administrative expenses as a percentage of net sales</w:t>
            </w:r>
          </w:p>
        </w:tc>
        <w:tc>
          <w:tcPr>
            <w:tcW w:w="0" w:type="auto"/>
            <w:gridSpan w:val="3"/>
            <w:shd w:val="clear" w:color="auto" w:fill="CCEEFF"/>
            <w:tcMar>
              <w:top w:w="0" w:type="dxa"/>
              <w:left w:w="20" w:type="dxa"/>
              <w:bottom w:w="0" w:type="dxa"/>
              <w:right w:w="20" w:type="dxa"/>
            </w:tcMar>
            <w:vAlign w:val="bottom"/>
          </w:tcPr>
          <w:p w14:paraId="5DEC662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630" w14:textId="77777777" w:rsidR="00B1578D" w:rsidRDefault="004D2C04">
            <w:pPr>
              <w:jc w:val="right"/>
              <w:textAlignment w:val="center"/>
            </w:pPr>
            <w:r>
              <w:rPr>
                <w:rFonts w:ascii="Times New Roman" w:eastAsia="宋体" w:hAnsi="Times New Roman"/>
                <w:color w:val="000000"/>
                <w:sz w:val="16"/>
                <w:szCs w:val="16"/>
              </w:rPr>
              <w:t>21.0 </w:t>
            </w:r>
          </w:p>
        </w:tc>
        <w:tc>
          <w:tcPr>
            <w:tcW w:w="0" w:type="auto"/>
            <w:shd w:val="clear" w:color="auto" w:fill="CCEEFF"/>
            <w:tcMar>
              <w:top w:w="40" w:type="dxa"/>
              <w:left w:w="0" w:type="dxa"/>
              <w:bottom w:w="40" w:type="dxa"/>
              <w:right w:w="20" w:type="dxa"/>
            </w:tcMar>
            <w:vAlign w:val="center"/>
          </w:tcPr>
          <w:p w14:paraId="5DEC6631"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63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633" w14:textId="77777777" w:rsidR="00B1578D" w:rsidRDefault="004D2C04">
            <w:pPr>
              <w:jc w:val="right"/>
              <w:textAlignment w:val="center"/>
            </w:pPr>
            <w:r>
              <w:rPr>
                <w:rFonts w:ascii="Times New Roman" w:eastAsia="宋体" w:hAnsi="Times New Roman"/>
                <w:color w:val="000000"/>
                <w:sz w:val="16"/>
                <w:szCs w:val="16"/>
              </w:rPr>
              <w:t>20.5 </w:t>
            </w:r>
          </w:p>
        </w:tc>
        <w:tc>
          <w:tcPr>
            <w:tcW w:w="0" w:type="auto"/>
            <w:shd w:val="clear" w:color="auto" w:fill="CCEEFF"/>
            <w:tcMar>
              <w:top w:w="40" w:type="dxa"/>
              <w:left w:w="0" w:type="dxa"/>
              <w:bottom w:w="40" w:type="dxa"/>
              <w:right w:w="20" w:type="dxa"/>
            </w:tcMar>
            <w:vAlign w:val="center"/>
          </w:tcPr>
          <w:p w14:paraId="5DEC6634"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635" w14:textId="77777777" w:rsidR="00B1578D" w:rsidRDefault="00B1578D">
            <w:pPr>
              <w:rPr>
                <w:rFonts w:ascii="宋体"/>
                <w:vanish/>
              </w:rPr>
            </w:pPr>
          </w:p>
        </w:tc>
        <w:tc>
          <w:tcPr>
            <w:tcW w:w="0" w:type="auto"/>
            <w:shd w:val="clear" w:color="auto" w:fill="auto"/>
            <w:vAlign w:val="bottom"/>
          </w:tcPr>
          <w:p w14:paraId="5DEC6636" w14:textId="77777777" w:rsidR="00B1578D" w:rsidRDefault="00B1578D">
            <w:pPr>
              <w:rPr>
                <w:rFonts w:ascii="宋体"/>
                <w:vanish/>
              </w:rPr>
            </w:pPr>
          </w:p>
        </w:tc>
        <w:tc>
          <w:tcPr>
            <w:tcW w:w="0" w:type="auto"/>
            <w:gridSpan w:val="3"/>
            <w:shd w:val="clear" w:color="auto" w:fill="auto"/>
            <w:vAlign w:val="bottom"/>
          </w:tcPr>
          <w:p w14:paraId="5DEC6637" w14:textId="77777777" w:rsidR="00B1578D" w:rsidRDefault="00B1578D">
            <w:pPr>
              <w:rPr>
                <w:rFonts w:ascii="宋体"/>
                <w:vanish/>
              </w:rPr>
            </w:pPr>
          </w:p>
        </w:tc>
        <w:tc>
          <w:tcPr>
            <w:tcW w:w="0" w:type="auto"/>
            <w:gridSpan w:val="3"/>
            <w:shd w:val="clear" w:color="auto" w:fill="auto"/>
            <w:vAlign w:val="bottom"/>
          </w:tcPr>
          <w:p w14:paraId="5DEC6638" w14:textId="77777777" w:rsidR="00B1578D" w:rsidRDefault="00B1578D">
            <w:pPr>
              <w:rPr>
                <w:rFonts w:ascii="宋体"/>
                <w:vanish/>
              </w:rPr>
            </w:pPr>
          </w:p>
        </w:tc>
      </w:tr>
    </w:tbl>
    <w:p w14:paraId="5DEC663A" w14:textId="77777777" w:rsidR="00B1578D" w:rsidRDefault="004D2C04">
      <w:pPr>
        <w:spacing w:before="100"/>
      </w:pPr>
      <w:r>
        <w:rPr>
          <w:rFonts w:ascii="Times New Roman" w:eastAsia="宋体" w:hAnsi="Times New Roman"/>
          <w:color w:val="000000"/>
          <w:sz w:val="20"/>
          <w:szCs w:val="20"/>
        </w:rPr>
        <w:t xml:space="preserve">Operating expenses as a percentage of net sales increased 45 basis points for the three months ended April 30, 2022, primarily driven by increased wage costs in the Walmart U.S. segment, partially offset by net sales growth. </w:t>
      </w:r>
    </w:p>
    <w:p w14:paraId="5DEC663B" w14:textId="77777777" w:rsidR="00B1578D" w:rsidRDefault="004D2C04">
      <w:pPr>
        <w:spacing w:before="180"/>
      </w:pPr>
      <w:r>
        <w:rPr>
          <w:rFonts w:ascii="Times New Roman" w:eastAsia="宋体" w:hAnsi="Times New Roman"/>
          <w:b/>
          <w:bCs/>
          <w:color w:val="000000"/>
          <w:sz w:val="20"/>
          <w:szCs w:val="20"/>
          <w:u w:val="single"/>
        </w:rPr>
        <w:t>Strategic Capital Allocation</w:t>
      </w:r>
    </w:p>
    <w:p w14:paraId="5DEC663C" w14:textId="77777777" w:rsidR="00B1578D" w:rsidRDefault="004D2C04">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 As such, we are allocating more capital to supply chain, customer-facing initiatives, technology and stor</w:t>
      </w:r>
      <w:r>
        <w:rPr>
          <w:rFonts w:ascii="Times New Roman" w:eastAsia="宋体" w:hAnsi="Times New Roman"/>
          <w:color w:val="000000"/>
          <w:sz w:val="20"/>
          <w:szCs w:val="20"/>
        </w:rPr>
        <w:t>e remodels, and less to new store and club openings.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2"/>
        <w:gridCol w:w="6113"/>
        <w:gridCol w:w="38"/>
        <w:gridCol w:w="36"/>
        <w:gridCol w:w="36"/>
        <w:gridCol w:w="36"/>
        <w:gridCol w:w="36"/>
        <w:gridCol w:w="36"/>
        <w:gridCol w:w="36"/>
        <w:gridCol w:w="36"/>
        <w:gridCol w:w="100"/>
        <w:gridCol w:w="749"/>
        <w:gridCol w:w="36"/>
        <w:gridCol w:w="36"/>
        <w:gridCol w:w="36"/>
        <w:gridCol w:w="36"/>
        <w:gridCol w:w="100"/>
        <w:gridCol w:w="750"/>
        <w:gridCol w:w="36"/>
      </w:tblGrid>
      <w:tr w:rsidR="00B1578D" w14:paraId="5DEC6650" w14:textId="77777777">
        <w:tc>
          <w:tcPr>
            <w:tcW w:w="50" w:type="pct"/>
            <w:shd w:val="clear" w:color="auto" w:fill="auto"/>
            <w:vAlign w:val="bottom"/>
          </w:tcPr>
          <w:p w14:paraId="5DEC663D" w14:textId="77777777" w:rsidR="00B1578D" w:rsidRDefault="00B1578D">
            <w:pPr>
              <w:rPr>
                <w:rFonts w:ascii="宋体"/>
              </w:rPr>
            </w:pPr>
          </w:p>
        </w:tc>
        <w:tc>
          <w:tcPr>
            <w:tcW w:w="3759" w:type="pct"/>
            <w:shd w:val="clear" w:color="auto" w:fill="auto"/>
            <w:vAlign w:val="bottom"/>
          </w:tcPr>
          <w:p w14:paraId="5DEC663E" w14:textId="77777777" w:rsidR="00B1578D" w:rsidRDefault="00B1578D">
            <w:pPr>
              <w:rPr>
                <w:rFonts w:ascii="宋体"/>
              </w:rPr>
            </w:pPr>
          </w:p>
        </w:tc>
        <w:tc>
          <w:tcPr>
            <w:tcW w:w="5" w:type="pct"/>
            <w:shd w:val="clear" w:color="auto" w:fill="auto"/>
            <w:vAlign w:val="bottom"/>
          </w:tcPr>
          <w:p w14:paraId="5DEC663F" w14:textId="77777777" w:rsidR="00B1578D" w:rsidRDefault="00B1578D">
            <w:pPr>
              <w:rPr>
                <w:rFonts w:ascii="宋体"/>
              </w:rPr>
            </w:pPr>
          </w:p>
        </w:tc>
        <w:tc>
          <w:tcPr>
            <w:tcW w:w="5" w:type="pct"/>
            <w:shd w:val="clear" w:color="auto" w:fill="auto"/>
            <w:vAlign w:val="bottom"/>
          </w:tcPr>
          <w:p w14:paraId="5DEC6640" w14:textId="77777777" w:rsidR="00B1578D" w:rsidRDefault="00B1578D">
            <w:pPr>
              <w:rPr>
                <w:rFonts w:ascii="宋体"/>
              </w:rPr>
            </w:pPr>
          </w:p>
        </w:tc>
        <w:tc>
          <w:tcPr>
            <w:tcW w:w="26" w:type="pct"/>
            <w:shd w:val="clear" w:color="auto" w:fill="auto"/>
            <w:vAlign w:val="bottom"/>
          </w:tcPr>
          <w:p w14:paraId="5DEC6641" w14:textId="77777777" w:rsidR="00B1578D" w:rsidRDefault="00B1578D">
            <w:pPr>
              <w:rPr>
                <w:rFonts w:ascii="宋体"/>
              </w:rPr>
            </w:pPr>
          </w:p>
        </w:tc>
        <w:tc>
          <w:tcPr>
            <w:tcW w:w="5" w:type="pct"/>
            <w:shd w:val="clear" w:color="auto" w:fill="auto"/>
            <w:vAlign w:val="bottom"/>
          </w:tcPr>
          <w:p w14:paraId="5DEC6642" w14:textId="77777777" w:rsidR="00B1578D" w:rsidRDefault="00B1578D">
            <w:pPr>
              <w:rPr>
                <w:rFonts w:ascii="宋体"/>
              </w:rPr>
            </w:pPr>
          </w:p>
        </w:tc>
        <w:tc>
          <w:tcPr>
            <w:tcW w:w="0" w:type="auto"/>
            <w:shd w:val="clear" w:color="auto" w:fill="auto"/>
            <w:vAlign w:val="bottom"/>
          </w:tcPr>
          <w:p w14:paraId="5DEC6643" w14:textId="77777777" w:rsidR="00B1578D" w:rsidRDefault="00B1578D">
            <w:pPr>
              <w:rPr>
                <w:rFonts w:ascii="宋体"/>
                <w:vanish/>
              </w:rPr>
            </w:pPr>
          </w:p>
        </w:tc>
        <w:tc>
          <w:tcPr>
            <w:tcW w:w="0" w:type="auto"/>
            <w:shd w:val="clear" w:color="auto" w:fill="auto"/>
            <w:vAlign w:val="bottom"/>
          </w:tcPr>
          <w:p w14:paraId="5DEC6644" w14:textId="77777777" w:rsidR="00B1578D" w:rsidRDefault="00B1578D">
            <w:pPr>
              <w:rPr>
                <w:rFonts w:ascii="宋体"/>
                <w:vanish/>
              </w:rPr>
            </w:pPr>
          </w:p>
        </w:tc>
        <w:tc>
          <w:tcPr>
            <w:tcW w:w="0" w:type="auto"/>
            <w:shd w:val="clear" w:color="auto" w:fill="auto"/>
            <w:vAlign w:val="bottom"/>
          </w:tcPr>
          <w:p w14:paraId="5DEC6645" w14:textId="77777777" w:rsidR="00B1578D" w:rsidRDefault="00B1578D">
            <w:pPr>
              <w:rPr>
                <w:rFonts w:ascii="宋体"/>
                <w:vanish/>
              </w:rPr>
            </w:pPr>
          </w:p>
        </w:tc>
        <w:tc>
          <w:tcPr>
            <w:tcW w:w="0" w:type="auto"/>
            <w:shd w:val="clear" w:color="auto" w:fill="auto"/>
            <w:vAlign w:val="bottom"/>
          </w:tcPr>
          <w:p w14:paraId="5DEC6646" w14:textId="77777777" w:rsidR="00B1578D" w:rsidRDefault="00B1578D">
            <w:pPr>
              <w:rPr>
                <w:rFonts w:ascii="宋体"/>
                <w:vanish/>
              </w:rPr>
            </w:pPr>
          </w:p>
        </w:tc>
        <w:tc>
          <w:tcPr>
            <w:tcW w:w="50" w:type="pct"/>
            <w:shd w:val="clear" w:color="auto" w:fill="auto"/>
            <w:vAlign w:val="bottom"/>
          </w:tcPr>
          <w:p w14:paraId="5DEC6647" w14:textId="77777777" w:rsidR="00B1578D" w:rsidRDefault="00B1578D">
            <w:pPr>
              <w:rPr>
                <w:rFonts w:ascii="宋体"/>
              </w:rPr>
            </w:pPr>
          </w:p>
        </w:tc>
        <w:tc>
          <w:tcPr>
            <w:tcW w:w="501" w:type="pct"/>
            <w:shd w:val="clear" w:color="auto" w:fill="auto"/>
            <w:vAlign w:val="bottom"/>
          </w:tcPr>
          <w:p w14:paraId="5DEC6648" w14:textId="77777777" w:rsidR="00B1578D" w:rsidRDefault="00B1578D">
            <w:pPr>
              <w:rPr>
                <w:rFonts w:ascii="宋体"/>
              </w:rPr>
            </w:pPr>
          </w:p>
        </w:tc>
        <w:tc>
          <w:tcPr>
            <w:tcW w:w="5" w:type="pct"/>
            <w:shd w:val="clear" w:color="auto" w:fill="auto"/>
            <w:vAlign w:val="bottom"/>
          </w:tcPr>
          <w:p w14:paraId="5DEC6649" w14:textId="77777777" w:rsidR="00B1578D" w:rsidRDefault="00B1578D">
            <w:pPr>
              <w:rPr>
                <w:rFonts w:ascii="宋体"/>
              </w:rPr>
            </w:pPr>
          </w:p>
        </w:tc>
        <w:tc>
          <w:tcPr>
            <w:tcW w:w="5" w:type="pct"/>
            <w:shd w:val="clear" w:color="auto" w:fill="auto"/>
            <w:vAlign w:val="bottom"/>
          </w:tcPr>
          <w:p w14:paraId="5DEC664A" w14:textId="77777777" w:rsidR="00B1578D" w:rsidRDefault="00B1578D">
            <w:pPr>
              <w:rPr>
                <w:rFonts w:ascii="宋体"/>
              </w:rPr>
            </w:pPr>
          </w:p>
        </w:tc>
        <w:tc>
          <w:tcPr>
            <w:tcW w:w="26" w:type="pct"/>
            <w:shd w:val="clear" w:color="auto" w:fill="auto"/>
            <w:vAlign w:val="bottom"/>
          </w:tcPr>
          <w:p w14:paraId="5DEC664B" w14:textId="77777777" w:rsidR="00B1578D" w:rsidRDefault="00B1578D">
            <w:pPr>
              <w:rPr>
                <w:rFonts w:ascii="宋体"/>
              </w:rPr>
            </w:pPr>
          </w:p>
        </w:tc>
        <w:tc>
          <w:tcPr>
            <w:tcW w:w="5" w:type="pct"/>
            <w:shd w:val="clear" w:color="auto" w:fill="auto"/>
            <w:vAlign w:val="bottom"/>
          </w:tcPr>
          <w:p w14:paraId="5DEC664C" w14:textId="77777777" w:rsidR="00B1578D" w:rsidRDefault="00B1578D">
            <w:pPr>
              <w:rPr>
                <w:rFonts w:ascii="宋体"/>
              </w:rPr>
            </w:pPr>
          </w:p>
        </w:tc>
        <w:tc>
          <w:tcPr>
            <w:tcW w:w="50" w:type="pct"/>
            <w:shd w:val="clear" w:color="auto" w:fill="auto"/>
            <w:vAlign w:val="bottom"/>
          </w:tcPr>
          <w:p w14:paraId="5DEC664D" w14:textId="77777777" w:rsidR="00B1578D" w:rsidRDefault="00B1578D">
            <w:pPr>
              <w:rPr>
                <w:rFonts w:ascii="宋体"/>
              </w:rPr>
            </w:pPr>
          </w:p>
        </w:tc>
        <w:tc>
          <w:tcPr>
            <w:tcW w:w="501" w:type="pct"/>
            <w:shd w:val="clear" w:color="auto" w:fill="auto"/>
            <w:vAlign w:val="bottom"/>
          </w:tcPr>
          <w:p w14:paraId="5DEC664E" w14:textId="77777777" w:rsidR="00B1578D" w:rsidRDefault="00B1578D">
            <w:pPr>
              <w:rPr>
                <w:rFonts w:ascii="宋体"/>
              </w:rPr>
            </w:pPr>
          </w:p>
        </w:tc>
        <w:tc>
          <w:tcPr>
            <w:tcW w:w="5" w:type="pct"/>
            <w:shd w:val="clear" w:color="auto" w:fill="auto"/>
            <w:vAlign w:val="bottom"/>
          </w:tcPr>
          <w:p w14:paraId="5DEC664F" w14:textId="77777777" w:rsidR="00B1578D" w:rsidRDefault="00B1578D">
            <w:pPr>
              <w:rPr>
                <w:rFonts w:ascii="宋体"/>
              </w:rPr>
            </w:pPr>
          </w:p>
        </w:tc>
      </w:tr>
      <w:tr w:rsidR="00B1578D" w14:paraId="5DEC665C" w14:textId="77777777">
        <w:tc>
          <w:tcPr>
            <w:tcW w:w="0" w:type="auto"/>
            <w:gridSpan w:val="3"/>
            <w:shd w:val="clear" w:color="auto" w:fill="auto"/>
            <w:tcMar>
              <w:top w:w="40" w:type="dxa"/>
              <w:left w:w="20" w:type="dxa"/>
              <w:bottom w:w="40" w:type="dxa"/>
              <w:right w:w="20" w:type="dxa"/>
            </w:tcMar>
            <w:vAlign w:val="bottom"/>
          </w:tcPr>
          <w:p w14:paraId="5DEC6651"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652" w14:textId="77777777" w:rsidR="00B1578D" w:rsidRDefault="00B1578D">
            <w:pPr>
              <w:rPr>
                <w:rFonts w:ascii="宋体"/>
              </w:rPr>
            </w:pPr>
          </w:p>
        </w:tc>
        <w:tc>
          <w:tcPr>
            <w:tcW w:w="0" w:type="auto"/>
            <w:shd w:val="clear" w:color="auto" w:fill="auto"/>
            <w:vAlign w:val="bottom"/>
          </w:tcPr>
          <w:p w14:paraId="5DEC6653" w14:textId="77777777" w:rsidR="00B1578D" w:rsidRDefault="00B1578D">
            <w:pPr>
              <w:rPr>
                <w:rFonts w:ascii="宋体"/>
                <w:vanish/>
              </w:rPr>
            </w:pPr>
          </w:p>
        </w:tc>
        <w:tc>
          <w:tcPr>
            <w:tcW w:w="0" w:type="auto"/>
            <w:shd w:val="clear" w:color="auto" w:fill="auto"/>
            <w:vAlign w:val="bottom"/>
          </w:tcPr>
          <w:p w14:paraId="5DEC6654" w14:textId="77777777" w:rsidR="00B1578D" w:rsidRDefault="00B1578D">
            <w:pPr>
              <w:rPr>
                <w:rFonts w:ascii="宋体"/>
                <w:vanish/>
              </w:rPr>
            </w:pPr>
          </w:p>
        </w:tc>
        <w:tc>
          <w:tcPr>
            <w:tcW w:w="0" w:type="auto"/>
            <w:gridSpan w:val="5"/>
            <w:shd w:val="clear" w:color="auto" w:fill="auto"/>
            <w:tcMar>
              <w:top w:w="40" w:type="dxa"/>
              <w:left w:w="20" w:type="dxa"/>
              <w:bottom w:w="40" w:type="dxa"/>
              <w:right w:w="20" w:type="dxa"/>
            </w:tcMar>
            <w:vAlign w:val="bottom"/>
          </w:tcPr>
          <w:p w14:paraId="5DEC6655"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656" w14:textId="77777777" w:rsidR="00B1578D" w:rsidRDefault="00B1578D">
            <w:pPr>
              <w:rPr>
                <w:rFonts w:ascii="宋体"/>
              </w:rPr>
            </w:pPr>
          </w:p>
        </w:tc>
        <w:tc>
          <w:tcPr>
            <w:tcW w:w="0" w:type="auto"/>
            <w:shd w:val="clear" w:color="auto" w:fill="auto"/>
            <w:vAlign w:val="bottom"/>
          </w:tcPr>
          <w:p w14:paraId="5DEC6657" w14:textId="77777777" w:rsidR="00B1578D" w:rsidRDefault="00B1578D">
            <w:pPr>
              <w:rPr>
                <w:rFonts w:ascii="宋体"/>
              </w:rPr>
            </w:pPr>
          </w:p>
        </w:tc>
        <w:tc>
          <w:tcPr>
            <w:tcW w:w="0" w:type="auto"/>
            <w:shd w:val="clear" w:color="auto" w:fill="auto"/>
            <w:vAlign w:val="bottom"/>
          </w:tcPr>
          <w:p w14:paraId="5DEC6658" w14:textId="77777777" w:rsidR="00B1578D" w:rsidRDefault="00B1578D">
            <w:pPr>
              <w:rPr>
                <w:rFonts w:ascii="宋体"/>
              </w:rPr>
            </w:pPr>
          </w:p>
        </w:tc>
        <w:tc>
          <w:tcPr>
            <w:tcW w:w="0" w:type="auto"/>
            <w:shd w:val="clear" w:color="auto" w:fill="auto"/>
            <w:vAlign w:val="bottom"/>
          </w:tcPr>
          <w:p w14:paraId="5DEC6659" w14:textId="77777777" w:rsidR="00B1578D" w:rsidRDefault="00B1578D">
            <w:pPr>
              <w:rPr>
                <w:rFonts w:ascii="宋体"/>
              </w:rPr>
            </w:pPr>
          </w:p>
        </w:tc>
        <w:tc>
          <w:tcPr>
            <w:tcW w:w="0" w:type="auto"/>
            <w:shd w:val="clear" w:color="auto" w:fill="auto"/>
            <w:vAlign w:val="bottom"/>
          </w:tcPr>
          <w:p w14:paraId="5DEC665A" w14:textId="77777777" w:rsidR="00B1578D" w:rsidRDefault="00B1578D">
            <w:pPr>
              <w:rPr>
                <w:rFonts w:ascii="宋体"/>
              </w:rPr>
            </w:pPr>
          </w:p>
        </w:tc>
        <w:tc>
          <w:tcPr>
            <w:tcW w:w="0" w:type="auto"/>
            <w:shd w:val="clear" w:color="auto" w:fill="auto"/>
            <w:vAlign w:val="bottom"/>
          </w:tcPr>
          <w:p w14:paraId="5DEC665B" w14:textId="77777777" w:rsidR="00B1578D" w:rsidRDefault="00B1578D">
            <w:pPr>
              <w:rPr>
                <w:rFonts w:ascii="宋体"/>
              </w:rPr>
            </w:pPr>
          </w:p>
        </w:tc>
      </w:tr>
      <w:tr w:rsidR="00B1578D" w14:paraId="5DEC6666" w14:textId="77777777">
        <w:tc>
          <w:tcPr>
            <w:tcW w:w="0" w:type="auto"/>
            <w:gridSpan w:val="3"/>
            <w:shd w:val="clear" w:color="auto" w:fill="auto"/>
            <w:tcMar>
              <w:top w:w="40" w:type="dxa"/>
              <w:left w:w="20" w:type="dxa"/>
              <w:bottom w:w="40" w:type="dxa"/>
              <w:right w:w="20" w:type="dxa"/>
            </w:tcMar>
            <w:vAlign w:val="bottom"/>
          </w:tcPr>
          <w:p w14:paraId="5DEC665D" w14:textId="77777777" w:rsidR="00B1578D" w:rsidRDefault="004D2C04">
            <w:pPr>
              <w:textAlignment w:val="bottom"/>
            </w:pPr>
            <w:r>
              <w:rPr>
                <w:rFonts w:ascii="Times New Roman" w:eastAsia="宋体" w:hAnsi="Times New Roman"/>
                <w:b/>
                <w:bCs/>
                <w:color w:val="000000"/>
                <w:sz w:val="16"/>
                <w:szCs w:val="16"/>
              </w:rPr>
              <w:t>Allocation of Capital Expenditures</w:t>
            </w:r>
          </w:p>
        </w:tc>
        <w:tc>
          <w:tcPr>
            <w:tcW w:w="0" w:type="auto"/>
            <w:gridSpan w:val="3"/>
            <w:shd w:val="clear" w:color="auto" w:fill="auto"/>
            <w:tcMar>
              <w:top w:w="0" w:type="dxa"/>
              <w:left w:w="20" w:type="dxa"/>
              <w:bottom w:w="0" w:type="dxa"/>
              <w:right w:w="20" w:type="dxa"/>
            </w:tcMar>
            <w:vAlign w:val="bottom"/>
          </w:tcPr>
          <w:p w14:paraId="5DEC665E" w14:textId="77777777" w:rsidR="00B1578D" w:rsidRDefault="00B1578D">
            <w:pPr>
              <w:rPr>
                <w:rFonts w:ascii="宋体"/>
              </w:rPr>
            </w:pPr>
          </w:p>
        </w:tc>
        <w:tc>
          <w:tcPr>
            <w:tcW w:w="0" w:type="auto"/>
            <w:shd w:val="clear" w:color="auto" w:fill="auto"/>
            <w:vAlign w:val="bottom"/>
          </w:tcPr>
          <w:p w14:paraId="5DEC665F" w14:textId="77777777" w:rsidR="00B1578D" w:rsidRDefault="00B1578D">
            <w:pPr>
              <w:rPr>
                <w:rFonts w:ascii="宋体"/>
                <w:vanish/>
              </w:rPr>
            </w:pPr>
          </w:p>
        </w:tc>
        <w:tc>
          <w:tcPr>
            <w:tcW w:w="0" w:type="auto"/>
            <w:shd w:val="clear" w:color="auto" w:fill="auto"/>
            <w:vAlign w:val="bottom"/>
          </w:tcPr>
          <w:p w14:paraId="5DEC6660" w14:textId="77777777" w:rsidR="00B1578D" w:rsidRDefault="00B1578D">
            <w:pPr>
              <w:rPr>
                <w:rFonts w:ascii="宋体"/>
                <w:vanish/>
              </w:rPr>
            </w:pPr>
          </w:p>
        </w:tc>
        <w:tc>
          <w:tcPr>
            <w:tcW w:w="0" w:type="auto"/>
            <w:shd w:val="clear" w:color="auto" w:fill="auto"/>
            <w:vAlign w:val="bottom"/>
          </w:tcPr>
          <w:p w14:paraId="5DEC6661" w14:textId="77777777" w:rsidR="00B1578D" w:rsidRDefault="00B1578D">
            <w:pPr>
              <w:rPr>
                <w:rFonts w:ascii="宋体"/>
                <w:vanish/>
              </w:rPr>
            </w:pPr>
          </w:p>
        </w:tc>
        <w:tc>
          <w:tcPr>
            <w:tcW w:w="0" w:type="auto"/>
            <w:shd w:val="clear" w:color="auto" w:fill="auto"/>
            <w:vAlign w:val="bottom"/>
          </w:tcPr>
          <w:p w14:paraId="5DEC6662" w14:textId="77777777" w:rsidR="00B1578D" w:rsidRDefault="00B1578D">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663"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664"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665" w14:textId="77777777" w:rsidR="00B1578D" w:rsidRDefault="004D2C04">
            <w:pPr>
              <w:jc w:val="center"/>
              <w:textAlignment w:val="bottom"/>
            </w:pPr>
            <w:r>
              <w:rPr>
                <w:rFonts w:ascii="Times New Roman" w:eastAsia="宋体" w:hAnsi="Times New Roman"/>
                <w:b/>
                <w:bCs/>
                <w:color w:val="000000"/>
                <w:sz w:val="16"/>
                <w:szCs w:val="16"/>
              </w:rPr>
              <w:t>2021</w:t>
            </w:r>
          </w:p>
        </w:tc>
      </w:tr>
      <w:tr w:rsidR="00B1578D" w14:paraId="5DEC6674" w14:textId="77777777">
        <w:tc>
          <w:tcPr>
            <w:tcW w:w="0" w:type="auto"/>
            <w:gridSpan w:val="3"/>
            <w:shd w:val="clear" w:color="auto" w:fill="CCEEFF"/>
            <w:tcMar>
              <w:top w:w="40" w:type="dxa"/>
              <w:left w:w="20" w:type="dxa"/>
              <w:bottom w:w="40" w:type="dxa"/>
              <w:right w:w="20" w:type="dxa"/>
            </w:tcMar>
            <w:vAlign w:val="center"/>
          </w:tcPr>
          <w:p w14:paraId="5DEC6667" w14:textId="77777777" w:rsidR="00B1578D" w:rsidRDefault="004D2C04">
            <w:pPr>
              <w:textAlignment w:val="center"/>
            </w:pPr>
            <w:r>
              <w:rPr>
                <w:rFonts w:ascii="Times New Roman" w:eastAsia="宋体" w:hAnsi="Times New Roman"/>
                <w:color w:val="000000"/>
                <w:sz w:val="16"/>
                <w:szCs w:val="16"/>
              </w:rPr>
              <w:t xml:space="preserve">Supply chain, </w:t>
            </w:r>
            <w:r>
              <w:rPr>
                <w:rFonts w:ascii="Times New Roman" w:eastAsia="宋体" w:hAnsi="Times New Roman"/>
                <w:color w:val="000000"/>
                <w:sz w:val="16"/>
                <w:szCs w:val="16"/>
              </w:rPr>
              <w:t>customer-facing initiatives and technology</w:t>
            </w:r>
          </w:p>
        </w:tc>
        <w:tc>
          <w:tcPr>
            <w:tcW w:w="0" w:type="auto"/>
            <w:gridSpan w:val="3"/>
            <w:shd w:val="clear" w:color="auto" w:fill="CCEEFF"/>
            <w:tcMar>
              <w:top w:w="0" w:type="dxa"/>
              <w:left w:w="20" w:type="dxa"/>
              <w:bottom w:w="0" w:type="dxa"/>
              <w:right w:w="20" w:type="dxa"/>
            </w:tcMar>
            <w:vAlign w:val="bottom"/>
          </w:tcPr>
          <w:p w14:paraId="5DEC6668" w14:textId="77777777" w:rsidR="00B1578D" w:rsidRDefault="00B1578D">
            <w:pPr>
              <w:rPr>
                <w:rFonts w:ascii="宋体"/>
              </w:rPr>
            </w:pPr>
          </w:p>
        </w:tc>
        <w:tc>
          <w:tcPr>
            <w:tcW w:w="0" w:type="auto"/>
            <w:shd w:val="clear" w:color="auto" w:fill="auto"/>
            <w:vAlign w:val="bottom"/>
          </w:tcPr>
          <w:p w14:paraId="5DEC6669" w14:textId="77777777" w:rsidR="00B1578D" w:rsidRDefault="00B1578D">
            <w:pPr>
              <w:rPr>
                <w:rFonts w:ascii="宋体"/>
                <w:vanish/>
              </w:rPr>
            </w:pPr>
          </w:p>
        </w:tc>
        <w:tc>
          <w:tcPr>
            <w:tcW w:w="0" w:type="auto"/>
            <w:shd w:val="clear" w:color="auto" w:fill="auto"/>
            <w:vAlign w:val="bottom"/>
          </w:tcPr>
          <w:p w14:paraId="5DEC666A" w14:textId="77777777" w:rsidR="00B1578D" w:rsidRDefault="00B1578D">
            <w:pPr>
              <w:rPr>
                <w:rFonts w:ascii="宋体"/>
                <w:vanish/>
              </w:rPr>
            </w:pPr>
          </w:p>
        </w:tc>
        <w:tc>
          <w:tcPr>
            <w:tcW w:w="0" w:type="auto"/>
            <w:shd w:val="clear" w:color="auto" w:fill="auto"/>
            <w:vAlign w:val="bottom"/>
          </w:tcPr>
          <w:p w14:paraId="5DEC666B" w14:textId="77777777" w:rsidR="00B1578D" w:rsidRDefault="00B1578D">
            <w:pPr>
              <w:rPr>
                <w:rFonts w:ascii="宋体"/>
                <w:vanish/>
              </w:rPr>
            </w:pPr>
          </w:p>
        </w:tc>
        <w:tc>
          <w:tcPr>
            <w:tcW w:w="0" w:type="auto"/>
            <w:shd w:val="clear" w:color="auto" w:fill="auto"/>
            <w:vAlign w:val="bottom"/>
          </w:tcPr>
          <w:p w14:paraId="5DEC666C" w14:textId="77777777" w:rsidR="00B1578D" w:rsidRDefault="00B1578D">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66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66E" w14:textId="77777777" w:rsidR="00B1578D" w:rsidRDefault="004D2C04">
            <w:pPr>
              <w:jc w:val="right"/>
              <w:textAlignment w:val="center"/>
            </w:pPr>
            <w:r>
              <w:rPr>
                <w:rFonts w:ascii="Times New Roman" w:eastAsia="宋体" w:hAnsi="Times New Roman"/>
                <w:color w:val="000000"/>
                <w:sz w:val="16"/>
                <w:szCs w:val="16"/>
              </w:rPr>
              <w:t>2,063 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66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670"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67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672" w14:textId="77777777" w:rsidR="00B1578D" w:rsidRDefault="004D2C04">
            <w:pPr>
              <w:jc w:val="right"/>
              <w:textAlignment w:val="center"/>
            </w:pPr>
            <w:r>
              <w:rPr>
                <w:rFonts w:ascii="Times New Roman" w:eastAsia="宋体" w:hAnsi="Times New Roman"/>
                <w:color w:val="000000"/>
                <w:sz w:val="16"/>
                <w:szCs w:val="16"/>
              </w:rPr>
              <w:t>1,013 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673" w14:textId="77777777" w:rsidR="00B1578D" w:rsidRDefault="00B1578D">
            <w:pPr>
              <w:jc w:val="right"/>
              <w:rPr>
                <w:rFonts w:ascii="宋体"/>
              </w:rPr>
            </w:pPr>
          </w:p>
        </w:tc>
      </w:tr>
      <w:tr w:rsidR="00B1578D" w14:paraId="5DEC6680" w14:textId="77777777">
        <w:tc>
          <w:tcPr>
            <w:tcW w:w="0" w:type="auto"/>
            <w:gridSpan w:val="3"/>
            <w:shd w:val="clear" w:color="auto" w:fill="FFFFFF"/>
            <w:tcMar>
              <w:top w:w="40" w:type="dxa"/>
              <w:left w:w="20" w:type="dxa"/>
              <w:bottom w:w="40" w:type="dxa"/>
              <w:right w:w="20" w:type="dxa"/>
            </w:tcMar>
            <w:vAlign w:val="center"/>
          </w:tcPr>
          <w:p w14:paraId="5DEC6675" w14:textId="77777777" w:rsidR="00B1578D" w:rsidRDefault="004D2C04">
            <w:pPr>
              <w:textAlignment w:val="center"/>
            </w:pPr>
            <w:r>
              <w:rPr>
                <w:rFonts w:ascii="Times New Roman" w:eastAsia="宋体" w:hAnsi="Times New Roman"/>
                <w:color w:val="000000"/>
                <w:sz w:val="16"/>
                <w:szCs w:val="16"/>
              </w:rPr>
              <w:t>Store and club remodels</w:t>
            </w:r>
          </w:p>
        </w:tc>
        <w:tc>
          <w:tcPr>
            <w:tcW w:w="0" w:type="auto"/>
            <w:gridSpan w:val="3"/>
            <w:shd w:val="clear" w:color="auto" w:fill="FFFFFF"/>
            <w:tcMar>
              <w:top w:w="0" w:type="dxa"/>
              <w:left w:w="20" w:type="dxa"/>
              <w:bottom w:w="0" w:type="dxa"/>
              <w:right w:w="20" w:type="dxa"/>
            </w:tcMar>
            <w:vAlign w:val="bottom"/>
          </w:tcPr>
          <w:p w14:paraId="5DEC6676" w14:textId="77777777" w:rsidR="00B1578D" w:rsidRDefault="00B1578D">
            <w:pPr>
              <w:rPr>
                <w:rFonts w:ascii="宋体"/>
              </w:rPr>
            </w:pPr>
          </w:p>
        </w:tc>
        <w:tc>
          <w:tcPr>
            <w:tcW w:w="0" w:type="auto"/>
            <w:shd w:val="clear" w:color="auto" w:fill="auto"/>
            <w:vAlign w:val="bottom"/>
          </w:tcPr>
          <w:p w14:paraId="5DEC6677" w14:textId="77777777" w:rsidR="00B1578D" w:rsidRDefault="00B1578D">
            <w:pPr>
              <w:rPr>
                <w:rFonts w:ascii="宋体"/>
                <w:vanish/>
              </w:rPr>
            </w:pPr>
          </w:p>
        </w:tc>
        <w:tc>
          <w:tcPr>
            <w:tcW w:w="0" w:type="auto"/>
            <w:shd w:val="clear" w:color="auto" w:fill="auto"/>
            <w:vAlign w:val="bottom"/>
          </w:tcPr>
          <w:p w14:paraId="5DEC6678" w14:textId="77777777" w:rsidR="00B1578D" w:rsidRDefault="00B1578D">
            <w:pPr>
              <w:rPr>
                <w:rFonts w:ascii="宋体"/>
                <w:vanish/>
              </w:rPr>
            </w:pPr>
          </w:p>
        </w:tc>
        <w:tc>
          <w:tcPr>
            <w:tcW w:w="0" w:type="auto"/>
            <w:shd w:val="clear" w:color="auto" w:fill="auto"/>
            <w:vAlign w:val="bottom"/>
          </w:tcPr>
          <w:p w14:paraId="5DEC6679" w14:textId="77777777" w:rsidR="00B1578D" w:rsidRDefault="00B1578D">
            <w:pPr>
              <w:rPr>
                <w:rFonts w:ascii="宋体"/>
                <w:vanish/>
              </w:rPr>
            </w:pPr>
          </w:p>
        </w:tc>
        <w:tc>
          <w:tcPr>
            <w:tcW w:w="0" w:type="auto"/>
            <w:shd w:val="clear" w:color="auto" w:fill="auto"/>
            <w:vAlign w:val="bottom"/>
          </w:tcPr>
          <w:p w14:paraId="5DEC667A" w14:textId="77777777" w:rsidR="00B1578D" w:rsidRDefault="00B1578D">
            <w:pPr>
              <w:rPr>
                <w:rFonts w:ascii="宋体"/>
                <w:vanish/>
              </w:rPr>
            </w:pPr>
          </w:p>
        </w:tc>
        <w:tc>
          <w:tcPr>
            <w:tcW w:w="0" w:type="auto"/>
            <w:gridSpan w:val="2"/>
            <w:shd w:val="clear" w:color="auto" w:fill="FFFFFF"/>
            <w:tcMar>
              <w:top w:w="40" w:type="dxa"/>
              <w:left w:w="20" w:type="dxa"/>
              <w:bottom w:w="40" w:type="dxa"/>
              <w:right w:w="0" w:type="dxa"/>
            </w:tcMar>
            <w:vAlign w:val="center"/>
          </w:tcPr>
          <w:p w14:paraId="5DEC667B" w14:textId="77777777" w:rsidR="00B1578D" w:rsidRDefault="004D2C04">
            <w:pPr>
              <w:jc w:val="right"/>
              <w:textAlignment w:val="center"/>
            </w:pPr>
            <w:r>
              <w:rPr>
                <w:rFonts w:ascii="Times New Roman" w:eastAsia="宋体" w:hAnsi="Times New Roman"/>
                <w:color w:val="000000"/>
                <w:sz w:val="16"/>
                <w:szCs w:val="16"/>
              </w:rPr>
              <w:t>981 </w:t>
            </w:r>
          </w:p>
        </w:tc>
        <w:tc>
          <w:tcPr>
            <w:tcW w:w="0" w:type="auto"/>
            <w:shd w:val="clear" w:color="auto" w:fill="FFFFFF"/>
            <w:tcMar>
              <w:top w:w="40" w:type="dxa"/>
              <w:left w:w="0" w:type="dxa"/>
              <w:bottom w:w="40" w:type="dxa"/>
              <w:right w:w="20" w:type="dxa"/>
            </w:tcMar>
            <w:vAlign w:val="center"/>
          </w:tcPr>
          <w:p w14:paraId="5DEC667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67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67E" w14:textId="77777777" w:rsidR="00B1578D" w:rsidRDefault="004D2C04">
            <w:pPr>
              <w:jc w:val="right"/>
              <w:textAlignment w:val="center"/>
            </w:pPr>
            <w:r>
              <w:rPr>
                <w:rFonts w:ascii="Times New Roman" w:eastAsia="宋体" w:hAnsi="Times New Roman"/>
                <w:color w:val="000000"/>
                <w:sz w:val="16"/>
                <w:szCs w:val="16"/>
              </w:rPr>
              <w:t>613 </w:t>
            </w:r>
          </w:p>
        </w:tc>
        <w:tc>
          <w:tcPr>
            <w:tcW w:w="0" w:type="auto"/>
            <w:shd w:val="clear" w:color="auto" w:fill="FFFFFF"/>
            <w:tcMar>
              <w:top w:w="40" w:type="dxa"/>
              <w:left w:w="0" w:type="dxa"/>
              <w:bottom w:w="40" w:type="dxa"/>
              <w:right w:w="20" w:type="dxa"/>
            </w:tcMar>
            <w:vAlign w:val="center"/>
          </w:tcPr>
          <w:p w14:paraId="5DEC667F" w14:textId="77777777" w:rsidR="00B1578D" w:rsidRDefault="00B1578D">
            <w:pPr>
              <w:jc w:val="right"/>
              <w:rPr>
                <w:rFonts w:ascii="宋体"/>
              </w:rPr>
            </w:pPr>
          </w:p>
        </w:tc>
      </w:tr>
      <w:tr w:rsidR="00B1578D" w14:paraId="5DEC668C" w14:textId="77777777">
        <w:tc>
          <w:tcPr>
            <w:tcW w:w="0" w:type="auto"/>
            <w:gridSpan w:val="3"/>
            <w:shd w:val="clear" w:color="auto" w:fill="CCEEFF"/>
            <w:tcMar>
              <w:top w:w="40" w:type="dxa"/>
              <w:left w:w="20" w:type="dxa"/>
              <w:bottom w:w="40" w:type="dxa"/>
              <w:right w:w="20" w:type="dxa"/>
            </w:tcMar>
            <w:vAlign w:val="center"/>
          </w:tcPr>
          <w:p w14:paraId="5DEC6681" w14:textId="77777777" w:rsidR="00B1578D" w:rsidRDefault="004D2C04">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vAlign w:val="bottom"/>
          </w:tcPr>
          <w:p w14:paraId="5DEC6682" w14:textId="77777777" w:rsidR="00B1578D" w:rsidRDefault="00B1578D">
            <w:pPr>
              <w:rPr>
                <w:rFonts w:ascii="宋体"/>
              </w:rPr>
            </w:pPr>
          </w:p>
        </w:tc>
        <w:tc>
          <w:tcPr>
            <w:tcW w:w="0" w:type="auto"/>
            <w:shd w:val="clear" w:color="auto" w:fill="auto"/>
            <w:vAlign w:val="bottom"/>
          </w:tcPr>
          <w:p w14:paraId="5DEC6683" w14:textId="77777777" w:rsidR="00B1578D" w:rsidRDefault="00B1578D">
            <w:pPr>
              <w:rPr>
                <w:rFonts w:ascii="宋体"/>
                <w:vanish/>
              </w:rPr>
            </w:pPr>
          </w:p>
        </w:tc>
        <w:tc>
          <w:tcPr>
            <w:tcW w:w="0" w:type="auto"/>
            <w:shd w:val="clear" w:color="auto" w:fill="auto"/>
            <w:vAlign w:val="bottom"/>
          </w:tcPr>
          <w:p w14:paraId="5DEC6684" w14:textId="77777777" w:rsidR="00B1578D" w:rsidRDefault="00B1578D">
            <w:pPr>
              <w:rPr>
                <w:rFonts w:ascii="宋体"/>
                <w:vanish/>
              </w:rPr>
            </w:pPr>
          </w:p>
        </w:tc>
        <w:tc>
          <w:tcPr>
            <w:tcW w:w="0" w:type="auto"/>
            <w:shd w:val="clear" w:color="auto" w:fill="auto"/>
            <w:vAlign w:val="bottom"/>
          </w:tcPr>
          <w:p w14:paraId="5DEC6685" w14:textId="77777777" w:rsidR="00B1578D" w:rsidRDefault="00B1578D">
            <w:pPr>
              <w:rPr>
                <w:rFonts w:ascii="宋体"/>
                <w:vanish/>
              </w:rPr>
            </w:pPr>
          </w:p>
        </w:tc>
        <w:tc>
          <w:tcPr>
            <w:tcW w:w="0" w:type="auto"/>
            <w:shd w:val="clear" w:color="auto" w:fill="auto"/>
            <w:vAlign w:val="bottom"/>
          </w:tcPr>
          <w:p w14:paraId="5DEC6686" w14:textId="77777777" w:rsidR="00B1578D" w:rsidRDefault="00B1578D">
            <w:pPr>
              <w:rPr>
                <w:rFonts w:ascii="宋体"/>
                <w:vanish/>
              </w:rPr>
            </w:pPr>
          </w:p>
        </w:tc>
        <w:tc>
          <w:tcPr>
            <w:tcW w:w="0" w:type="auto"/>
            <w:gridSpan w:val="2"/>
            <w:shd w:val="clear" w:color="auto" w:fill="CCEEFF"/>
            <w:tcMar>
              <w:top w:w="40" w:type="dxa"/>
              <w:left w:w="20" w:type="dxa"/>
              <w:bottom w:w="40" w:type="dxa"/>
              <w:right w:w="0" w:type="dxa"/>
            </w:tcMar>
            <w:vAlign w:val="center"/>
          </w:tcPr>
          <w:p w14:paraId="5DEC6687" w14:textId="77777777" w:rsidR="00B1578D" w:rsidRDefault="004D2C04">
            <w:pPr>
              <w:jc w:val="right"/>
              <w:textAlignment w:val="center"/>
            </w:pPr>
            <w:r>
              <w:rPr>
                <w:rFonts w:ascii="Times New Roman" w:eastAsia="宋体" w:hAnsi="Times New Roman"/>
                <w:color w:val="000000"/>
                <w:sz w:val="16"/>
                <w:szCs w:val="16"/>
              </w:rPr>
              <w:t>11 </w:t>
            </w:r>
          </w:p>
        </w:tc>
        <w:tc>
          <w:tcPr>
            <w:tcW w:w="0" w:type="auto"/>
            <w:shd w:val="clear" w:color="auto" w:fill="CCEEFF"/>
            <w:tcMar>
              <w:top w:w="40" w:type="dxa"/>
              <w:left w:w="0" w:type="dxa"/>
              <w:bottom w:w="40" w:type="dxa"/>
              <w:right w:w="20" w:type="dxa"/>
            </w:tcMar>
            <w:vAlign w:val="center"/>
          </w:tcPr>
          <w:p w14:paraId="5DEC668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68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68A" w14:textId="77777777" w:rsidR="00B1578D" w:rsidRDefault="004D2C04">
            <w:pPr>
              <w:jc w:val="right"/>
              <w:textAlignment w:val="center"/>
            </w:pPr>
            <w:r>
              <w:rPr>
                <w:rFonts w:ascii="Times New Roman" w:eastAsia="宋体" w:hAnsi="Times New Roman"/>
                <w:color w:val="000000"/>
                <w:sz w:val="16"/>
                <w:szCs w:val="16"/>
              </w:rPr>
              <w:t>38 </w:t>
            </w:r>
          </w:p>
        </w:tc>
        <w:tc>
          <w:tcPr>
            <w:tcW w:w="0" w:type="auto"/>
            <w:shd w:val="clear" w:color="auto" w:fill="CCEEFF"/>
            <w:tcMar>
              <w:top w:w="40" w:type="dxa"/>
              <w:left w:w="0" w:type="dxa"/>
              <w:bottom w:w="40" w:type="dxa"/>
              <w:right w:w="20" w:type="dxa"/>
            </w:tcMar>
            <w:vAlign w:val="center"/>
          </w:tcPr>
          <w:p w14:paraId="5DEC668B" w14:textId="77777777" w:rsidR="00B1578D" w:rsidRDefault="00B1578D">
            <w:pPr>
              <w:jc w:val="right"/>
              <w:rPr>
                <w:rFonts w:ascii="宋体"/>
              </w:rPr>
            </w:pPr>
          </w:p>
        </w:tc>
      </w:tr>
      <w:tr w:rsidR="00B1578D" w14:paraId="5DEC6698" w14:textId="77777777">
        <w:tc>
          <w:tcPr>
            <w:tcW w:w="0" w:type="auto"/>
            <w:gridSpan w:val="3"/>
            <w:shd w:val="clear" w:color="auto" w:fill="FFFFFF"/>
            <w:tcMar>
              <w:top w:w="40" w:type="dxa"/>
              <w:left w:w="20" w:type="dxa"/>
              <w:bottom w:w="40" w:type="dxa"/>
              <w:right w:w="20" w:type="dxa"/>
            </w:tcMar>
            <w:vAlign w:val="center"/>
          </w:tcPr>
          <w:p w14:paraId="5DEC668D" w14:textId="77777777" w:rsidR="00B1578D" w:rsidRDefault="004D2C04">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vAlign w:val="bottom"/>
          </w:tcPr>
          <w:p w14:paraId="5DEC668E" w14:textId="77777777" w:rsidR="00B1578D" w:rsidRDefault="00B1578D">
            <w:pPr>
              <w:rPr>
                <w:rFonts w:ascii="宋体"/>
              </w:rPr>
            </w:pPr>
          </w:p>
        </w:tc>
        <w:tc>
          <w:tcPr>
            <w:tcW w:w="0" w:type="auto"/>
            <w:shd w:val="clear" w:color="auto" w:fill="auto"/>
            <w:vAlign w:val="bottom"/>
          </w:tcPr>
          <w:p w14:paraId="5DEC668F" w14:textId="77777777" w:rsidR="00B1578D" w:rsidRDefault="00B1578D">
            <w:pPr>
              <w:rPr>
                <w:rFonts w:ascii="宋体"/>
                <w:vanish/>
              </w:rPr>
            </w:pPr>
          </w:p>
        </w:tc>
        <w:tc>
          <w:tcPr>
            <w:tcW w:w="0" w:type="auto"/>
            <w:shd w:val="clear" w:color="auto" w:fill="auto"/>
            <w:vAlign w:val="bottom"/>
          </w:tcPr>
          <w:p w14:paraId="5DEC6690" w14:textId="77777777" w:rsidR="00B1578D" w:rsidRDefault="00B1578D">
            <w:pPr>
              <w:rPr>
                <w:rFonts w:ascii="宋体"/>
                <w:vanish/>
              </w:rPr>
            </w:pPr>
          </w:p>
        </w:tc>
        <w:tc>
          <w:tcPr>
            <w:tcW w:w="0" w:type="auto"/>
            <w:shd w:val="clear" w:color="auto" w:fill="auto"/>
            <w:vAlign w:val="bottom"/>
          </w:tcPr>
          <w:p w14:paraId="5DEC6691" w14:textId="77777777" w:rsidR="00B1578D" w:rsidRDefault="00B1578D">
            <w:pPr>
              <w:rPr>
                <w:rFonts w:ascii="宋体"/>
                <w:vanish/>
              </w:rPr>
            </w:pPr>
          </w:p>
        </w:tc>
        <w:tc>
          <w:tcPr>
            <w:tcW w:w="0" w:type="auto"/>
            <w:shd w:val="clear" w:color="auto" w:fill="auto"/>
            <w:vAlign w:val="bottom"/>
          </w:tcPr>
          <w:p w14:paraId="5DEC6692" w14:textId="77777777" w:rsidR="00B1578D" w:rsidRDefault="00B1578D">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6693" w14:textId="77777777" w:rsidR="00B1578D" w:rsidRDefault="004D2C04">
            <w:pPr>
              <w:jc w:val="right"/>
              <w:textAlignment w:val="center"/>
            </w:pPr>
            <w:r>
              <w:rPr>
                <w:rFonts w:ascii="Times New Roman" w:eastAsia="宋体" w:hAnsi="Times New Roman"/>
                <w:color w:val="000000"/>
                <w:sz w:val="16"/>
                <w:szCs w:val="16"/>
              </w:rPr>
              <w:t>3,055 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6694"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695"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6696" w14:textId="77777777" w:rsidR="00B1578D" w:rsidRDefault="004D2C04">
            <w:pPr>
              <w:jc w:val="right"/>
              <w:textAlignment w:val="center"/>
            </w:pPr>
            <w:r>
              <w:rPr>
                <w:rFonts w:ascii="Times New Roman" w:eastAsia="宋体" w:hAnsi="Times New Roman"/>
                <w:color w:val="000000"/>
                <w:sz w:val="16"/>
                <w:szCs w:val="16"/>
              </w:rPr>
              <w:t>1,664 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6697" w14:textId="77777777" w:rsidR="00B1578D" w:rsidRDefault="00B1578D">
            <w:pPr>
              <w:jc w:val="right"/>
              <w:rPr>
                <w:rFonts w:ascii="宋体"/>
              </w:rPr>
            </w:pPr>
          </w:p>
        </w:tc>
      </w:tr>
      <w:tr w:rsidR="00B1578D" w14:paraId="5DEC66A4" w14:textId="77777777">
        <w:tc>
          <w:tcPr>
            <w:tcW w:w="0" w:type="auto"/>
            <w:gridSpan w:val="3"/>
            <w:shd w:val="clear" w:color="auto" w:fill="CCEEFF"/>
            <w:tcMar>
              <w:top w:w="40" w:type="dxa"/>
              <w:left w:w="20" w:type="dxa"/>
              <w:bottom w:w="40" w:type="dxa"/>
              <w:right w:w="20" w:type="dxa"/>
            </w:tcMar>
            <w:vAlign w:val="center"/>
          </w:tcPr>
          <w:p w14:paraId="5DEC6699" w14:textId="77777777" w:rsidR="00B1578D" w:rsidRDefault="004D2C04">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vAlign w:val="bottom"/>
          </w:tcPr>
          <w:p w14:paraId="5DEC669A" w14:textId="77777777" w:rsidR="00B1578D" w:rsidRDefault="00B1578D">
            <w:pPr>
              <w:rPr>
                <w:rFonts w:ascii="宋体"/>
              </w:rPr>
            </w:pPr>
          </w:p>
        </w:tc>
        <w:tc>
          <w:tcPr>
            <w:tcW w:w="0" w:type="auto"/>
            <w:shd w:val="clear" w:color="auto" w:fill="auto"/>
            <w:vAlign w:val="bottom"/>
          </w:tcPr>
          <w:p w14:paraId="5DEC669B" w14:textId="77777777" w:rsidR="00B1578D" w:rsidRDefault="00B1578D">
            <w:pPr>
              <w:rPr>
                <w:rFonts w:ascii="宋体"/>
                <w:vanish/>
              </w:rPr>
            </w:pPr>
          </w:p>
        </w:tc>
        <w:tc>
          <w:tcPr>
            <w:tcW w:w="0" w:type="auto"/>
            <w:shd w:val="clear" w:color="auto" w:fill="auto"/>
            <w:vAlign w:val="bottom"/>
          </w:tcPr>
          <w:p w14:paraId="5DEC669C" w14:textId="77777777" w:rsidR="00B1578D" w:rsidRDefault="00B1578D">
            <w:pPr>
              <w:rPr>
                <w:rFonts w:ascii="宋体"/>
                <w:vanish/>
              </w:rPr>
            </w:pPr>
          </w:p>
        </w:tc>
        <w:tc>
          <w:tcPr>
            <w:tcW w:w="0" w:type="auto"/>
            <w:shd w:val="clear" w:color="auto" w:fill="auto"/>
            <w:vAlign w:val="bottom"/>
          </w:tcPr>
          <w:p w14:paraId="5DEC669D" w14:textId="77777777" w:rsidR="00B1578D" w:rsidRDefault="00B1578D">
            <w:pPr>
              <w:rPr>
                <w:rFonts w:ascii="宋体"/>
                <w:vanish/>
              </w:rPr>
            </w:pPr>
          </w:p>
        </w:tc>
        <w:tc>
          <w:tcPr>
            <w:tcW w:w="0" w:type="auto"/>
            <w:shd w:val="clear" w:color="auto" w:fill="auto"/>
            <w:vAlign w:val="bottom"/>
          </w:tcPr>
          <w:p w14:paraId="5DEC669E" w14:textId="77777777" w:rsidR="00B1578D" w:rsidRDefault="00B1578D">
            <w:pPr>
              <w:rPr>
                <w:rFonts w:ascii="宋体"/>
                <w:vanish/>
              </w:rPr>
            </w:pPr>
          </w:p>
        </w:tc>
        <w:tc>
          <w:tcPr>
            <w:tcW w:w="0" w:type="auto"/>
            <w:gridSpan w:val="2"/>
            <w:shd w:val="clear" w:color="auto" w:fill="CCEEFF"/>
            <w:tcMar>
              <w:top w:w="40" w:type="dxa"/>
              <w:left w:w="20" w:type="dxa"/>
              <w:bottom w:w="40" w:type="dxa"/>
              <w:right w:w="0" w:type="dxa"/>
            </w:tcMar>
            <w:vAlign w:val="center"/>
          </w:tcPr>
          <w:p w14:paraId="5DEC669F" w14:textId="77777777" w:rsidR="00B1578D" w:rsidRDefault="004D2C04">
            <w:pPr>
              <w:jc w:val="right"/>
              <w:textAlignment w:val="center"/>
            </w:pPr>
            <w:r>
              <w:rPr>
                <w:rFonts w:ascii="Times New Roman" w:eastAsia="宋体" w:hAnsi="Times New Roman"/>
                <w:color w:val="000000"/>
                <w:sz w:val="16"/>
                <w:szCs w:val="16"/>
              </w:rPr>
              <w:t>484 </w:t>
            </w:r>
          </w:p>
        </w:tc>
        <w:tc>
          <w:tcPr>
            <w:tcW w:w="0" w:type="auto"/>
            <w:shd w:val="clear" w:color="auto" w:fill="CCEEFF"/>
            <w:tcMar>
              <w:top w:w="40" w:type="dxa"/>
              <w:left w:w="0" w:type="dxa"/>
              <w:bottom w:w="40" w:type="dxa"/>
              <w:right w:w="20" w:type="dxa"/>
            </w:tcMar>
            <w:vAlign w:val="center"/>
          </w:tcPr>
          <w:p w14:paraId="5DEC66A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6A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6A2" w14:textId="77777777" w:rsidR="00B1578D" w:rsidRDefault="004D2C04">
            <w:pPr>
              <w:jc w:val="right"/>
              <w:textAlignment w:val="center"/>
            </w:pPr>
            <w:r>
              <w:rPr>
                <w:rFonts w:ascii="Times New Roman" w:eastAsia="宋体" w:hAnsi="Times New Roman"/>
                <w:color w:val="000000"/>
                <w:sz w:val="16"/>
                <w:szCs w:val="16"/>
              </w:rPr>
              <w:t>550 </w:t>
            </w:r>
          </w:p>
        </w:tc>
        <w:tc>
          <w:tcPr>
            <w:tcW w:w="0" w:type="auto"/>
            <w:shd w:val="clear" w:color="auto" w:fill="CCEEFF"/>
            <w:tcMar>
              <w:top w:w="40" w:type="dxa"/>
              <w:left w:w="0" w:type="dxa"/>
              <w:bottom w:w="40" w:type="dxa"/>
              <w:right w:w="20" w:type="dxa"/>
            </w:tcMar>
            <w:vAlign w:val="center"/>
          </w:tcPr>
          <w:p w14:paraId="5DEC66A3" w14:textId="77777777" w:rsidR="00B1578D" w:rsidRDefault="00B1578D">
            <w:pPr>
              <w:jc w:val="right"/>
              <w:rPr>
                <w:rFonts w:ascii="宋体"/>
              </w:rPr>
            </w:pPr>
          </w:p>
        </w:tc>
      </w:tr>
      <w:tr w:rsidR="00B1578D" w14:paraId="5DEC66B2" w14:textId="77777777">
        <w:tc>
          <w:tcPr>
            <w:tcW w:w="0" w:type="auto"/>
            <w:gridSpan w:val="3"/>
            <w:shd w:val="clear" w:color="auto" w:fill="FFFFFF"/>
            <w:tcMar>
              <w:top w:w="40" w:type="dxa"/>
              <w:left w:w="20" w:type="dxa"/>
              <w:bottom w:w="40" w:type="dxa"/>
              <w:right w:w="20" w:type="dxa"/>
            </w:tcMar>
            <w:vAlign w:val="center"/>
          </w:tcPr>
          <w:p w14:paraId="5DEC66A5" w14:textId="77777777" w:rsidR="00B1578D" w:rsidRDefault="004D2C04">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vAlign w:val="bottom"/>
          </w:tcPr>
          <w:p w14:paraId="5DEC66A6" w14:textId="77777777" w:rsidR="00B1578D" w:rsidRDefault="00B1578D">
            <w:pPr>
              <w:rPr>
                <w:rFonts w:ascii="宋体"/>
              </w:rPr>
            </w:pPr>
          </w:p>
        </w:tc>
        <w:tc>
          <w:tcPr>
            <w:tcW w:w="0" w:type="auto"/>
            <w:shd w:val="clear" w:color="auto" w:fill="auto"/>
            <w:vAlign w:val="bottom"/>
          </w:tcPr>
          <w:p w14:paraId="5DEC66A7" w14:textId="77777777" w:rsidR="00B1578D" w:rsidRDefault="00B1578D">
            <w:pPr>
              <w:rPr>
                <w:rFonts w:ascii="宋体"/>
                <w:vanish/>
              </w:rPr>
            </w:pPr>
          </w:p>
        </w:tc>
        <w:tc>
          <w:tcPr>
            <w:tcW w:w="0" w:type="auto"/>
            <w:shd w:val="clear" w:color="auto" w:fill="auto"/>
            <w:vAlign w:val="bottom"/>
          </w:tcPr>
          <w:p w14:paraId="5DEC66A8" w14:textId="77777777" w:rsidR="00B1578D" w:rsidRDefault="00B1578D">
            <w:pPr>
              <w:rPr>
                <w:rFonts w:ascii="宋体"/>
                <w:vanish/>
              </w:rPr>
            </w:pPr>
          </w:p>
        </w:tc>
        <w:tc>
          <w:tcPr>
            <w:tcW w:w="0" w:type="auto"/>
            <w:shd w:val="clear" w:color="auto" w:fill="auto"/>
            <w:vAlign w:val="bottom"/>
          </w:tcPr>
          <w:p w14:paraId="5DEC66A9" w14:textId="77777777" w:rsidR="00B1578D" w:rsidRDefault="00B1578D">
            <w:pPr>
              <w:rPr>
                <w:rFonts w:ascii="宋体"/>
                <w:vanish/>
              </w:rPr>
            </w:pPr>
          </w:p>
        </w:tc>
        <w:tc>
          <w:tcPr>
            <w:tcW w:w="0" w:type="auto"/>
            <w:shd w:val="clear" w:color="auto" w:fill="auto"/>
            <w:vAlign w:val="bottom"/>
          </w:tcPr>
          <w:p w14:paraId="5DEC66AA" w14:textId="77777777" w:rsidR="00B1578D" w:rsidRDefault="00B1578D">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6A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6AC" w14:textId="77777777" w:rsidR="00B1578D" w:rsidRDefault="004D2C04">
            <w:pPr>
              <w:jc w:val="right"/>
              <w:textAlignment w:val="center"/>
            </w:pPr>
            <w:r>
              <w:rPr>
                <w:rFonts w:ascii="Times New Roman" w:eastAsia="宋体" w:hAnsi="Times New Roman"/>
                <w:color w:val="000000"/>
                <w:sz w:val="16"/>
                <w:szCs w:val="16"/>
              </w:rPr>
              <w:t>3,539 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6A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6AE" w14:textId="77777777" w:rsidR="00B1578D" w:rsidRDefault="00B1578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6A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DEC66B0" w14:textId="77777777" w:rsidR="00B1578D" w:rsidRDefault="004D2C04">
            <w:pPr>
              <w:jc w:val="right"/>
              <w:textAlignment w:val="center"/>
            </w:pPr>
            <w:r>
              <w:rPr>
                <w:rFonts w:ascii="Times New Roman" w:eastAsia="宋体" w:hAnsi="Times New Roman"/>
                <w:color w:val="000000"/>
                <w:sz w:val="16"/>
                <w:szCs w:val="16"/>
              </w:rPr>
              <w:t>2,214 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6B1" w14:textId="77777777" w:rsidR="00B1578D" w:rsidRDefault="00B1578D">
            <w:pPr>
              <w:jc w:val="right"/>
              <w:rPr>
                <w:rFonts w:ascii="宋体"/>
              </w:rPr>
            </w:pPr>
          </w:p>
        </w:tc>
      </w:tr>
    </w:tbl>
    <w:p w14:paraId="5DEC66B3" w14:textId="77777777" w:rsidR="00B1578D" w:rsidRDefault="00B1578D"/>
    <w:p w14:paraId="5DEC66B4" w14:textId="77777777" w:rsidR="00B1578D" w:rsidRDefault="004D2C04">
      <w:r>
        <w:rPr>
          <w:rFonts w:ascii="Times New Roman" w:eastAsia="宋体" w:hAnsi="Times New Roman"/>
          <w:b/>
          <w:bCs/>
          <w:color w:val="000000"/>
          <w:sz w:val="20"/>
          <w:szCs w:val="20"/>
          <w:u w:val="single"/>
        </w:rPr>
        <w:t>Returns</w:t>
      </w:r>
    </w:p>
    <w:p w14:paraId="5DEC66B5" w14:textId="77777777" w:rsidR="00B1578D" w:rsidRDefault="004D2C04">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investment and free cash flow metrics. In addition, we provide returns in the form of sh</w:t>
      </w:r>
      <w:r>
        <w:rPr>
          <w:rFonts w:ascii="Times New Roman" w:eastAsia="宋体" w:hAnsi="Times New Roman"/>
          <w:color w:val="000000"/>
          <w:sz w:val="20"/>
          <w:szCs w:val="20"/>
        </w:rPr>
        <w:t xml:space="preserve">are repurchases and dividends, which are discussed in the </w:t>
      </w:r>
      <w:hyperlink r:id="rId59" w:anchor="ia92fe4e1fa654d85928fb72942eadb02_100"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section.</w:t>
      </w:r>
    </w:p>
    <w:p w14:paraId="5DEC66B6" w14:textId="77777777" w:rsidR="00B1578D" w:rsidRDefault="004D2C04">
      <w:pPr>
        <w:spacing w:before="100"/>
      </w:pPr>
      <w:r>
        <w:rPr>
          <w:rFonts w:ascii="Times New Roman" w:eastAsia="宋体" w:hAnsi="Times New Roman"/>
          <w:i/>
          <w:iCs/>
          <w:color w:val="000000"/>
          <w:sz w:val="20"/>
          <w:szCs w:val="20"/>
        </w:rPr>
        <w:t>Ret</w:t>
      </w:r>
      <w:r>
        <w:rPr>
          <w:rFonts w:ascii="Times New Roman" w:eastAsia="宋体" w:hAnsi="Times New Roman"/>
          <w:i/>
          <w:iCs/>
          <w:color w:val="000000"/>
          <w:sz w:val="20"/>
          <w:szCs w:val="20"/>
        </w:rPr>
        <w:t xml:space="preserve">urn on Assets and Return on Investment </w:t>
      </w:r>
    </w:p>
    <w:p w14:paraId="5DEC66B7" w14:textId="77777777" w:rsidR="00B1578D" w:rsidRDefault="004D2C04">
      <w:pPr>
        <w:spacing w:before="100"/>
      </w:pPr>
      <w:r>
        <w:rPr>
          <w:rFonts w:ascii="Times New Roman" w:eastAsia="宋体" w:hAnsi="Times New Roman"/>
          <w:color w:val="000000"/>
          <w:sz w:val="20"/>
          <w:szCs w:val="20"/>
        </w:rPr>
        <w:t xml:space="preserve">We include Return on Assets ("ROA"), the most directly comparable measure based on our financial statements presented in accordance with generally accepted accounting principles in the U.S. ("GAAP"), and Return on </w:t>
      </w:r>
      <w:r>
        <w:rPr>
          <w:rFonts w:ascii="Times New Roman" w:eastAsia="宋体" w:hAnsi="Times New Roman"/>
          <w:color w:val="000000"/>
          <w:sz w:val="20"/>
          <w:szCs w:val="20"/>
        </w:rPr>
        <w:t>Investment ("ROI") as metrics to assess returns on assets. While ROI is considered a non-GAAP financial measure, management believes ROI is a meaningful metric to share with investors because it helps investors assess how effectively Walmart is deploying i</w:t>
      </w:r>
      <w:r>
        <w:rPr>
          <w:rFonts w:ascii="Times New Roman" w:eastAsia="宋体" w:hAnsi="Times New Roman"/>
          <w:color w:val="000000"/>
          <w:sz w:val="20"/>
          <w:szCs w:val="20"/>
        </w:rPr>
        <w:t xml:space="preserve">ts assets. Trends in ROI can fluctuate over time as management balances long-term strategic initiatives with possible short-term impacts. ROA was 5.5% and 5.3% for the trailing twelve months ended April 30, 2022 and 2021, respectively. The increase in ROA </w:t>
      </w:r>
      <w:r>
        <w:rPr>
          <w:rFonts w:ascii="Times New Roman" w:eastAsia="宋体" w:hAnsi="Times New Roman"/>
          <w:color w:val="000000"/>
          <w:sz w:val="20"/>
          <w:szCs w:val="20"/>
        </w:rPr>
        <w:t>was primarily due to the increase in net income. ROI was 13.9% and 14.4% for the trailing twelve months ended April 30, 2022 and 2021, respectively. The decrease in ROI was primarily due to the increase in average total assets driven by higher inventories.</w:t>
      </w:r>
    </w:p>
    <w:p w14:paraId="5DEC66B8" w14:textId="77777777" w:rsidR="00B1578D" w:rsidRDefault="004D2C04">
      <w:pPr>
        <w:spacing w:before="100"/>
      </w:pPr>
      <w:r>
        <w:rPr>
          <w:rFonts w:ascii="Times New Roman" w:eastAsia="宋体" w:hAnsi="Times New Roman"/>
          <w:color w:val="000000"/>
          <w:sz w:val="20"/>
          <w:szCs w:val="20"/>
        </w:rPr>
        <w:t xml:space="preserve">We define ROI as adjusted operating income (operating income plus interest income, depreciation and amortization, and rent expense) for the trailing 12 months divided by average invested capital during that period. We consider average invested capital to </w:t>
      </w:r>
      <w:r>
        <w:rPr>
          <w:rFonts w:ascii="Times New Roman" w:eastAsia="宋体" w:hAnsi="Times New Roman"/>
          <w:color w:val="000000"/>
          <w:sz w:val="20"/>
          <w:szCs w:val="20"/>
        </w:rPr>
        <w:t xml:space="preserve">be the average of our beginning and ending total assets, plus average accumulated depreciation and amortization, less average accounts payable and average accrued liabilities for that period. </w:t>
      </w:r>
    </w:p>
    <w:p w14:paraId="5DEC66B9" w14:textId="77777777" w:rsidR="00B1578D" w:rsidRDefault="004D2C04">
      <w:pPr>
        <w:spacing w:before="100"/>
      </w:pPr>
      <w:r>
        <w:rPr>
          <w:rFonts w:ascii="Times New Roman" w:eastAsia="宋体" w:hAnsi="Times New Roman"/>
          <w:color w:val="000000"/>
          <w:sz w:val="20"/>
          <w:szCs w:val="20"/>
        </w:rPr>
        <w:t>Our calculation of ROI is considered a non-GAAP financial measu</w:t>
      </w:r>
      <w:r>
        <w:rPr>
          <w:rFonts w:ascii="Times New Roman" w:eastAsia="宋体" w:hAnsi="Times New Roman"/>
          <w:color w:val="000000"/>
          <w:sz w:val="20"/>
          <w:szCs w:val="20"/>
        </w:rPr>
        <w:t>re because we calculate ROI using financial measures that exclude and include amounts that are included and excluded in the most directly comparable GAAP financial measure. For example, we exclude the impact of depreciation and amortization from our report</w:t>
      </w:r>
      <w:r>
        <w:rPr>
          <w:rFonts w:ascii="Times New Roman" w:eastAsia="宋体" w:hAnsi="Times New Roman"/>
          <w:color w:val="000000"/>
          <w:sz w:val="20"/>
          <w:szCs w:val="20"/>
        </w:rPr>
        <w:t xml:space="preserve">ed operating income in calculating the numerator of our calculation of ROI. As mentioned above, we consider ROA to be the financial measure computed in accordance with GAAP most directly comparable to our calculation of ROI. ROI differs from ROA (which is </w:t>
      </w:r>
      <w:r>
        <w:rPr>
          <w:rFonts w:ascii="Times New Roman" w:eastAsia="宋体" w:hAnsi="Times New Roman"/>
          <w:color w:val="000000"/>
          <w:sz w:val="20"/>
          <w:szCs w:val="20"/>
        </w:rPr>
        <w:t xml:space="preserve">consolidated net income for the period divided by average total assets for the period) because ROI: adjusts operating income to exclude certain expense items and adds interest income; and adjusts total assets for the impact of accumulated depreciation and </w:t>
      </w:r>
      <w:r>
        <w:rPr>
          <w:rFonts w:ascii="Times New Roman" w:eastAsia="宋体" w:hAnsi="Times New Roman"/>
          <w:color w:val="000000"/>
          <w:sz w:val="20"/>
          <w:szCs w:val="20"/>
        </w:rPr>
        <w:t>amortization, accounts payable and accrued liabilities to arrive at total invested capital. Because of the adjustments mentioned above, we believe ROI more accurately measures how we are deploying our key assets and is more meaningful to investors than ROA</w:t>
      </w:r>
      <w:r>
        <w:rPr>
          <w:rFonts w:ascii="Times New Roman" w:eastAsia="宋体" w:hAnsi="Times New Roman"/>
          <w:color w:val="000000"/>
          <w:sz w:val="20"/>
          <w:szCs w:val="20"/>
        </w:rPr>
        <w:t xml:space="preserve">. </w:t>
      </w:r>
    </w:p>
    <w:p w14:paraId="5DEC66BA" w14:textId="77777777" w:rsidR="00B1578D" w:rsidRDefault="004D2C04">
      <w:pPr>
        <w:jc w:val="center"/>
      </w:pPr>
      <w:r>
        <w:rPr>
          <w:rFonts w:ascii="Times New Roman" w:eastAsia="宋体" w:hAnsi="Times New Roman"/>
          <w:color w:val="000000"/>
          <w:sz w:val="20"/>
          <w:szCs w:val="20"/>
        </w:rPr>
        <w:t>17</w:t>
      </w:r>
    </w:p>
    <w:p w14:paraId="5DEC66BB" w14:textId="77777777" w:rsidR="00B1578D" w:rsidRDefault="004D2C04">
      <w:r>
        <w:pict w14:anchorId="5DEC6F36">
          <v:rect id="_x0000_i1041" style="width:415.3pt;height:1.5pt" o:hralign="center" o:hrstd="t" o:hr="t" fillcolor="#a0a0a0" stroked="f"/>
        </w:pict>
      </w:r>
    </w:p>
    <w:p w14:paraId="5DEC66BC" w14:textId="77777777" w:rsidR="00B1578D" w:rsidRDefault="004D2C04">
      <w:hyperlink r:id="rId60" w:anchor="ia92fe4e1fa654d85928fb72942eadb02_7" w:history="1">
        <w:r>
          <w:rPr>
            <w:rStyle w:val="a5"/>
            <w:rFonts w:ascii="Times New Roman" w:eastAsia="宋体" w:hAnsi="Times New Roman"/>
            <w:sz w:val="20"/>
            <w:szCs w:val="20"/>
          </w:rPr>
          <w:t>Table of Contents</w:t>
        </w:r>
      </w:hyperlink>
    </w:p>
    <w:p w14:paraId="5DEC66BD" w14:textId="77777777" w:rsidR="00B1578D" w:rsidRDefault="004D2C04">
      <w:pPr>
        <w:spacing w:before="100"/>
      </w:pPr>
      <w:r>
        <w:rPr>
          <w:rFonts w:ascii="Times New Roman" w:eastAsia="宋体" w:hAnsi="Times New Roman"/>
          <w:color w:val="000000"/>
          <w:sz w:val="20"/>
          <w:szCs w:val="20"/>
        </w:rPr>
        <w:t>Although ROI is a standard financial measure, numerous methods exist for calculating a</w:t>
      </w:r>
      <w:r>
        <w:rPr>
          <w:rFonts w:ascii="Times New Roman" w:eastAsia="宋体" w:hAnsi="Times New Roman"/>
          <w:color w:val="000000"/>
          <w:sz w:val="20"/>
          <w:szCs w:val="20"/>
        </w:rPr>
        <w:t xml:space="preserve"> company's ROI. As a result, the method used by management to calculate our ROI may differ from the methods used by other companies to calculate their ROI.</w:t>
      </w:r>
    </w:p>
    <w:p w14:paraId="5DEC66BE" w14:textId="77777777" w:rsidR="00B1578D" w:rsidRDefault="004D2C04">
      <w:pPr>
        <w:spacing w:before="100"/>
      </w:pPr>
      <w:r>
        <w:rPr>
          <w:rFonts w:ascii="Times New Roman" w:eastAsia="宋体" w:hAnsi="Times New Roman"/>
          <w:color w:val="000000"/>
          <w:sz w:val="20"/>
          <w:szCs w:val="20"/>
        </w:rPr>
        <w:t>The calculation of ROA and ROI, along with a reconciliation of ROI to the calculation of ROA, the mo</w:t>
      </w:r>
      <w:r>
        <w:rPr>
          <w:rFonts w:ascii="Times New Roman" w:eastAsia="宋体" w:hAnsi="Times New Roman"/>
          <w:color w:val="000000"/>
          <w:sz w:val="20"/>
          <w:szCs w:val="20"/>
        </w:rPr>
        <w:t>st comparable GAAP financial measure,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65"/>
        <w:gridCol w:w="38"/>
        <w:gridCol w:w="36"/>
        <w:gridCol w:w="36"/>
        <w:gridCol w:w="36"/>
        <w:gridCol w:w="100"/>
        <w:gridCol w:w="735"/>
        <w:gridCol w:w="154"/>
        <w:gridCol w:w="36"/>
        <w:gridCol w:w="36"/>
        <w:gridCol w:w="36"/>
        <w:gridCol w:w="100"/>
        <w:gridCol w:w="735"/>
        <w:gridCol w:w="154"/>
      </w:tblGrid>
      <w:tr w:rsidR="00B1578D" w14:paraId="5DEC66CE" w14:textId="77777777">
        <w:tc>
          <w:tcPr>
            <w:tcW w:w="50" w:type="pct"/>
            <w:shd w:val="clear" w:color="auto" w:fill="auto"/>
            <w:vAlign w:val="bottom"/>
          </w:tcPr>
          <w:p w14:paraId="5DEC66BF" w14:textId="77777777" w:rsidR="00B1578D" w:rsidRDefault="00B1578D">
            <w:pPr>
              <w:rPr>
                <w:rFonts w:ascii="宋体"/>
              </w:rPr>
            </w:pPr>
          </w:p>
        </w:tc>
        <w:tc>
          <w:tcPr>
            <w:tcW w:w="3702" w:type="pct"/>
            <w:shd w:val="clear" w:color="auto" w:fill="auto"/>
            <w:vAlign w:val="bottom"/>
          </w:tcPr>
          <w:p w14:paraId="5DEC66C0" w14:textId="77777777" w:rsidR="00B1578D" w:rsidRDefault="00B1578D">
            <w:pPr>
              <w:rPr>
                <w:rFonts w:ascii="宋体"/>
              </w:rPr>
            </w:pPr>
          </w:p>
        </w:tc>
        <w:tc>
          <w:tcPr>
            <w:tcW w:w="5" w:type="pct"/>
            <w:shd w:val="clear" w:color="auto" w:fill="auto"/>
            <w:vAlign w:val="bottom"/>
          </w:tcPr>
          <w:p w14:paraId="5DEC66C1" w14:textId="77777777" w:rsidR="00B1578D" w:rsidRDefault="00B1578D">
            <w:pPr>
              <w:rPr>
                <w:rFonts w:ascii="宋体"/>
              </w:rPr>
            </w:pPr>
          </w:p>
        </w:tc>
        <w:tc>
          <w:tcPr>
            <w:tcW w:w="5" w:type="pct"/>
            <w:shd w:val="clear" w:color="auto" w:fill="auto"/>
            <w:vAlign w:val="bottom"/>
          </w:tcPr>
          <w:p w14:paraId="5DEC66C2" w14:textId="77777777" w:rsidR="00B1578D" w:rsidRDefault="00B1578D">
            <w:pPr>
              <w:rPr>
                <w:rFonts w:ascii="宋体"/>
              </w:rPr>
            </w:pPr>
          </w:p>
        </w:tc>
        <w:tc>
          <w:tcPr>
            <w:tcW w:w="26" w:type="pct"/>
            <w:shd w:val="clear" w:color="auto" w:fill="auto"/>
            <w:vAlign w:val="bottom"/>
          </w:tcPr>
          <w:p w14:paraId="5DEC66C3" w14:textId="77777777" w:rsidR="00B1578D" w:rsidRDefault="00B1578D">
            <w:pPr>
              <w:rPr>
                <w:rFonts w:ascii="宋体"/>
              </w:rPr>
            </w:pPr>
          </w:p>
        </w:tc>
        <w:tc>
          <w:tcPr>
            <w:tcW w:w="5" w:type="pct"/>
            <w:shd w:val="clear" w:color="auto" w:fill="auto"/>
            <w:vAlign w:val="bottom"/>
          </w:tcPr>
          <w:p w14:paraId="5DEC66C4" w14:textId="77777777" w:rsidR="00B1578D" w:rsidRDefault="00B1578D">
            <w:pPr>
              <w:rPr>
                <w:rFonts w:ascii="宋体"/>
              </w:rPr>
            </w:pPr>
          </w:p>
        </w:tc>
        <w:tc>
          <w:tcPr>
            <w:tcW w:w="50" w:type="pct"/>
            <w:shd w:val="clear" w:color="auto" w:fill="auto"/>
            <w:vAlign w:val="bottom"/>
          </w:tcPr>
          <w:p w14:paraId="5DEC66C5" w14:textId="77777777" w:rsidR="00B1578D" w:rsidRDefault="00B1578D">
            <w:pPr>
              <w:rPr>
                <w:rFonts w:ascii="宋体"/>
              </w:rPr>
            </w:pPr>
          </w:p>
        </w:tc>
        <w:tc>
          <w:tcPr>
            <w:tcW w:w="529" w:type="pct"/>
            <w:shd w:val="clear" w:color="auto" w:fill="auto"/>
            <w:vAlign w:val="bottom"/>
          </w:tcPr>
          <w:p w14:paraId="5DEC66C6" w14:textId="77777777" w:rsidR="00B1578D" w:rsidRDefault="00B1578D">
            <w:pPr>
              <w:rPr>
                <w:rFonts w:ascii="宋体"/>
              </w:rPr>
            </w:pPr>
          </w:p>
        </w:tc>
        <w:tc>
          <w:tcPr>
            <w:tcW w:w="5" w:type="pct"/>
            <w:shd w:val="clear" w:color="auto" w:fill="auto"/>
            <w:vAlign w:val="bottom"/>
          </w:tcPr>
          <w:p w14:paraId="5DEC66C7" w14:textId="77777777" w:rsidR="00B1578D" w:rsidRDefault="00B1578D">
            <w:pPr>
              <w:rPr>
                <w:rFonts w:ascii="宋体"/>
              </w:rPr>
            </w:pPr>
          </w:p>
        </w:tc>
        <w:tc>
          <w:tcPr>
            <w:tcW w:w="5" w:type="pct"/>
            <w:shd w:val="clear" w:color="auto" w:fill="auto"/>
            <w:vAlign w:val="bottom"/>
          </w:tcPr>
          <w:p w14:paraId="5DEC66C8" w14:textId="77777777" w:rsidR="00B1578D" w:rsidRDefault="00B1578D">
            <w:pPr>
              <w:rPr>
                <w:rFonts w:ascii="宋体"/>
              </w:rPr>
            </w:pPr>
          </w:p>
        </w:tc>
        <w:tc>
          <w:tcPr>
            <w:tcW w:w="26" w:type="pct"/>
            <w:shd w:val="clear" w:color="auto" w:fill="auto"/>
            <w:vAlign w:val="bottom"/>
          </w:tcPr>
          <w:p w14:paraId="5DEC66C9" w14:textId="77777777" w:rsidR="00B1578D" w:rsidRDefault="00B1578D">
            <w:pPr>
              <w:rPr>
                <w:rFonts w:ascii="宋体"/>
              </w:rPr>
            </w:pPr>
          </w:p>
        </w:tc>
        <w:tc>
          <w:tcPr>
            <w:tcW w:w="5" w:type="pct"/>
            <w:shd w:val="clear" w:color="auto" w:fill="auto"/>
            <w:vAlign w:val="bottom"/>
          </w:tcPr>
          <w:p w14:paraId="5DEC66CA" w14:textId="77777777" w:rsidR="00B1578D" w:rsidRDefault="00B1578D">
            <w:pPr>
              <w:rPr>
                <w:rFonts w:ascii="宋体"/>
              </w:rPr>
            </w:pPr>
          </w:p>
        </w:tc>
        <w:tc>
          <w:tcPr>
            <w:tcW w:w="50" w:type="pct"/>
            <w:shd w:val="clear" w:color="auto" w:fill="auto"/>
            <w:vAlign w:val="bottom"/>
          </w:tcPr>
          <w:p w14:paraId="5DEC66CB" w14:textId="77777777" w:rsidR="00B1578D" w:rsidRDefault="00B1578D">
            <w:pPr>
              <w:rPr>
                <w:rFonts w:ascii="宋体"/>
              </w:rPr>
            </w:pPr>
          </w:p>
        </w:tc>
        <w:tc>
          <w:tcPr>
            <w:tcW w:w="529" w:type="pct"/>
            <w:shd w:val="clear" w:color="auto" w:fill="auto"/>
            <w:vAlign w:val="bottom"/>
          </w:tcPr>
          <w:p w14:paraId="5DEC66CC" w14:textId="77777777" w:rsidR="00B1578D" w:rsidRDefault="00B1578D">
            <w:pPr>
              <w:rPr>
                <w:rFonts w:ascii="宋体"/>
              </w:rPr>
            </w:pPr>
          </w:p>
        </w:tc>
        <w:tc>
          <w:tcPr>
            <w:tcW w:w="5" w:type="pct"/>
            <w:shd w:val="clear" w:color="auto" w:fill="auto"/>
            <w:vAlign w:val="bottom"/>
          </w:tcPr>
          <w:p w14:paraId="5DEC66CD" w14:textId="77777777" w:rsidR="00B1578D" w:rsidRDefault="00B1578D">
            <w:pPr>
              <w:rPr>
                <w:rFonts w:ascii="宋体"/>
              </w:rPr>
            </w:pPr>
          </w:p>
        </w:tc>
      </w:tr>
      <w:tr w:rsidR="00B1578D" w14:paraId="5DEC66D2" w14:textId="77777777">
        <w:tc>
          <w:tcPr>
            <w:tcW w:w="0" w:type="auto"/>
            <w:gridSpan w:val="3"/>
            <w:shd w:val="clear" w:color="auto" w:fill="auto"/>
            <w:tcMar>
              <w:top w:w="40" w:type="dxa"/>
              <w:left w:w="20" w:type="dxa"/>
              <w:bottom w:w="40" w:type="dxa"/>
              <w:right w:w="20" w:type="dxa"/>
            </w:tcMar>
            <w:vAlign w:val="bottom"/>
          </w:tcPr>
          <w:p w14:paraId="5DEC66CF"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6D0"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6D1" w14:textId="77777777" w:rsidR="00B1578D" w:rsidRDefault="004D2C04">
            <w:pPr>
              <w:jc w:val="center"/>
              <w:textAlignment w:val="bottom"/>
            </w:pPr>
            <w:r>
              <w:rPr>
                <w:rFonts w:ascii="Times New Roman" w:eastAsia="宋体" w:hAnsi="Times New Roman"/>
                <w:b/>
                <w:bCs/>
                <w:color w:val="000000"/>
                <w:sz w:val="16"/>
                <w:szCs w:val="16"/>
              </w:rPr>
              <w:t>For the Trailing Twelve Months Ending April 30,</w:t>
            </w:r>
          </w:p>
        </w:tc>
      </w:tr>
      <w:tr w:rsidR="00B1578D" w14:paraId="5DEC66D8" w14:textId="77777777">
        <w:tc>
          <w:tcPr>
            <w:tcW w:w="0" w:type="auto"/>
            <w:gridSpan w:val="3"/>
            <w:shd w:val="clear" w:color="auto" w:fill="auto"/>
            <w:tcMar>
              <w:top w:w="40" w:type="dxa"/>
              <w:left w:w="20" w:type="dxa"/>
              <w:bottom w:w="40" w:type="dxa"/>
              <w:right w:w="20" w:type="dxa"/>
            </w:tcMar>
            <w:vAlign w:val="bottom"/>
          </w:tcPr>
          <w:p w14:paraId="5DEC66D3"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6D4" w14:textId="77777777" w:rsidR="00B1578D" w:rsidRDefault="00B1578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DEC66D5"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6D6" w14:textId="77777777" w:rsidR="00B1578D" w:rsidRDefault="00B1578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DEC66D7" w14:textId="77777777" w:rsidR="00B1578D" w:rsidRDefault="004D2C04">
            <w:pPr>
              <w:jc w:val="center"/>
              <w:textAlignment w:val="bottom"/>
            </w:pPr>
            <w:r>
              <w:rPr>
                <w:rFonts w:ascii="Times New Roman" w:eastAsia="宋体" w:hAnsi="Times New Roman"/>
                <w:b/>
                <w:bCs/>
                <w:color w:val="000000"/>
                <w:sz w:val="16"/>
                <w:szCs w:val="16"/>
              </w:rPr>
              <w:t>2021</w:t>
            </w:r>
          </w:p>
        </w:tc>
      </w:tr>
      <w:tr w:rsidR="00B1578D" w14:paraId="5DEC66DA" w14:textId="77777777">
        <w:tc>
          <w:tcPr>
            <w:tcW w:w="0" w:type="auto"/>
            <w:gridSpan w:val="15"/>
            <w:shd w:val="clear" w:color="auto" w:fill="CCEEFF"/>
            <w:tcMar>
              <w:top w:w="40" w:type="dxa"/>
              <w:left w:w="20" w:type="dxa"/>
              <w:bottom w:w="40" w:type="dxa"/>
              <w:right w:w="20" w:type="dxa"/>
            </w:tcMar>
            <w:vAlign w:val="center"/>
          </w:tcPr>
          <w:p w14:paraId="5DEC66D9" w14:textId="77777777" w:rsidR="00B1578D" w:rsidRDefault="004D2C04">
            <w:pPr>
              <w:textAlignment w:val="center"/>
            </w:pPr>
            <w:r>
              <w:rPr>
                <w:rFonts w:ascii="Times New Roman" w:eastAsia="宋体" w:hAnsi="Times New Roman"/>
                <w:b/>
                <w:bCs/>
                <w:color w:val="000000"/>
                <w:sz w:val="16"/>
                <w:szCs w:val="16"/>
              </w:rPr>
              <w:t>CALCULATION OF RETURN ON ASSETS</w:t>
            </w:r>
          </w:p>
        </w:tc>
      </w:tr>
      <w:tr w:rsidR="00B1578D" w14:paraId="5DEC66E0" w14:textId="77777777">
        <w:tc>
          <w:tcPr>
            <w:tcW w:w="0" w:type="auto"/>
            <w:gridSpan w:val="3"/>
            <w:shd w:val="clear" w:color="auto" w:fill="FFFFFF"/>
            <w:tcMar>
              <w:top w:w="40" w:type="dxa"/>
              <w:left w:w="20" w:type="dxa"/>
              <w:bottom w:w="40" w:type="dxa"/>
              <w:right w:w="20" w:type="dxa"/>
            </w:tcMar>
            <w:vAlign w:val="center"/>
          </w:tcPr>
          <w:p w14:paraId="5DEC66DB" w14:textId="77777777" w:rsidR="00B1578D" w:rsidRDefault="004D2C04">
            <w:pPr>
              <w:textAlignment w:val="center"/>
            </w:pPr>
            <w:r>
              <w:rPr>
                <w:rFonts w:ascii="Times New Roman" w:eastAsia="宋体" w:hAnsi="Times New Roman"/>
                <w:b/>
                <w:bCs/>
                <w:color w:val="000000"/>
                <w:sz w:val="16"/>
                <w:szCs w:val="16"/>
              </w:rPr>
              <w:t>Numerator</w:t>
            </w:r>
          </w:p>
        </w:tc>
        <w:tc>
          <w:tcPr>
            <w:tcW w:w="0" w:type="auto"/>
            <w:gridSpan w:val="3"/>
            <w:shd w:val="clear" w:color="auto" w:fill="FFFFFF"/>
            <w:tcMar>
              <w:top w:w="0" w:type="dxa"/>
              <w:left w:w="20" w:type="dxa"/>
              <w:bottom w:w="0" w:type="dxa"/>
              <w:right w:w="20" w:type="dxa"/>
            </w:tcMar>
            <w:vAlign w:val="bottom"/>
          </w:tcPr>
          <w:p w14:paraId="5DEC66DC"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6DD"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6DE"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6DF" w14:textId="77777777" w:rsidR="00B1578D" w:rsidRDefault="00B1578D">
            <w:pPr>
              <w:rPr>
                <w:rFonts w:ascii="宋体"/>
              </w:rPr>
            </w:pPr>
          </w:p>
        </w:tc>
      </w:tr>
      <w:tr w:rsidR="00B1578D" w14:paraId="5DEC66EA" w14:textId="77777777">
        <w:tc>
          <w:tcPr>
            <w:tcW w:w="0" w:type="auto"/>
            <w:gridSpan w:val="3"/>
            <w:shd w:val="clear" w:color="auto" w:fill="CCEEFF"/>
            <w:tcMar>
              <w:top w:w="40" w:type="dxa"/>
              <w:left w:w="380" w:type="dxa"/>
              <w:bottom w:w="40" w:type="dxa"/>
              <w:right w:w="20" w:type="dxa"/>
            </w:tcMar>
            <w:vAlign w:val="center"/>
          </w:tcPr>
          <w:p w14:paraId="5DEC66E1" w14:textId="77777777" w:rsidR="00B1578D" w:rsidRDefault="004D2C04">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5DEC66E2"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6E3"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6E4" w14:textId="77777777" w:rsidR="00B1578D" w:rsidRDefault="004D2C04">
            <w:pPr>
              <w:jc w:val="right"/>
              <w:textAlignment w:val="center"/>
            </w:pPr>
            <w:r>
              <w:rPr>
                <w:rFonts w:ascii="Times New Roman" w:eastAsia="宋体" w:hAnsi="Times New Roman"/>
                <w:color w:val="000000"/>
                <w:sz w:val="16"/>
                <w:szCs w:val="16"/>
              </w:rPr>
              <w:t>13,232 </w:t>
            </w:r>
          </w:p>
        </w:tc>
        <w:tc>
          <w:tcPr>
            <w:tcW w:w="0" w:type="auto"/>
            <w:shd w:val="clear" w:color="auto" w:fill="CCEEFF"/>
            <w:tcMar>
              <w:top w:w="40" w:type="dxa"/>
              <w:left w:w="0" w:type="dxa"/>
              <w:bottom w:w="40" w:type="dxa"/>
              <w:right w:w="20" w:type="dxa"/>
            </w:tcMar>
            <w:vAlign w:val="center"/>
          </w:tcPr>
          <w:p w14:paraId="5DEC66E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6E6"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6E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6E8" w14:textId="77777777" w:rsidR="00B1578D" w:rsidRDefault="004D2C04">
            <w:pPr>
              <w:jc w:val="right"/>
              <w:textAlignment w:val="center"/>
            </w:pPr>
            <w:r>
              <w:rPr>
                <w:rFonts w:ascii="Times New Roman" w:eastAsia="宋体" w:hAnsi="Times New Roman"/>
                <w:color w:val="000000"/>
                <w:sz w:val="16"/>
                <w:szCs w:val="16"/>
              </w:rPr>
              <w:t>12,443 </w:t>
            </w:r>
          </w:p>
        </w:tc>
        <w:tc>
          <w:tcPr>
            <w:tcW w:w="0" w:type="auto"/>
            <w:shd w:val="clear" w:color="auto" w:fill="CCEEFF"/>
            <w:tcMar>
              <w:top w:w="40" w:type="dxa"/>
              <w:left w:w="0" w:type="dxa"/>
              <w:bottom w:w="40" w:type="dxa"/>
              <w:right w:w="20" w:type="dxa"/>
            </w:tcMar>
            <w:vAlign w:val="center"/>
          </w:tcPr>
          <w:p w14:paraId="5DEC66E9" w14:textId="77777777" w:rsidR="00B1578D" w:rsidRDefault="00B1578D">
            <w:pPr>
              <w:jc w:val="right"/>
              <w:rPr>
                <w:rFonts w:ascii="宋体"/>
              </w:rPr>
            </w:pPr>
          </w:p>
        </w:tc>
      </w:tr>
      <w:tr w:rsidR="00B1578D" w14:paraId="5DEC66F0" w14:textId="77777777">
        <w:tc>
          <w:tcPr>
            <w:tcW w:w="0" w:type="auto"/>
            <w:gridSpan w:val="3"/>
            <w:shd w:val="clear" w:color="auto" w:fill="FFFFFF"/>
            <w:tcMar>
              <w:top w:w="40" w:type="dxa"/>
              <w:left w:w="20" w:type="dxa"/>
              <w:bottom w:w="40" w:type="dxa"/>
              <w:right w:w="20" w:type="dxa"/>
            </w:tcMar>
            <w:vAlign w:val="center"/>
          </w:tcPr>
          <w:p w14:paraId="5DEC66EB" w14:textId="77777777" w:rsidR="00B1578D" w:rsidRDefault="004D2C04">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5DEC66EC" w14:textId="77777777" w:rsidR="00B1578D" w:rsidRDefault="00B1578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66ED"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6EE" w14:textId="77777777" w:rsidR="00B1578D" w:rsidRDefault="00B1578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DEC66EF" w14:textId="77777777" w:rsidR="00B1578D" w:rsidRDefault="00B1578D">
            <w:pPr>
              <w:rPr>
                <w:rFonts w:ascii="宋体"/>
              </w:rPr>
            </w:pPr>
          </w:p>
        </w:tc>
      </w:tr>
      <w:tr w:rsidR="00B1578D" w14:paraId="5DEC66FA" w14:textId="77777777">
        <w:tc>
          <w:tcPr>
            <w:tcW w:w="0" w:type="auto"/>
            <w:gridSpan w:val="3"/>
            <w:shd w:val="clear" w:color="auto" w:fill="CCEEFF"/>
            <w:tcMar>
              <w:top w:w="40" w:type="dxa"/>
              <w:left w:w="20" w:type="dxa"/>
              <w:bottom w:w="40" w:type="dxa"/>
              <w:right w:w="20" w:type="dxa"/>
            </w:tcMar>
            <w:vAlign w:val="center"/>
          </w:tcPr>
          <w:p w14:paraId="5DEC66F1" w14:textId="77777777" w:rsidR="00B1578D" w:rsidRDefault="004D2C04">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5DEC66F2"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6F3"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6F4" w14:textId="77777777" w:rsidR="00B1578D" w:rsidRDefault="004D2C04">
            <w:pPr>
              <w:jc w:val="right"/>
              <w:textAlignment w:val="center"/>
            </w:pPr>
            <w:r>
              <w:rPr>
                <w:rFonts w:ascii="Times New Roman" w:eastAsia="宋体" w:hAnsi="Times New Roman"/>
                <w:color w:val="000000"/>
                <w:sz w:val="16"/>
                <w:szCs w:val="16"/>
              </w:rPr>
              <w:t>241,362 </w:t>
            </w:r>
          </w:p>
        </w:tc>
        <w:tc>
          <w:tcPr>
            <w:tcW w:w="0" w:type="auto"/>
            <w:shd w:val="clear" w:color="auto" w:fill="CCEEFF"/>
            <w:tcMar>
              <w:top w:w="40" w:type="dxa"/>
              <w:left w:w="0" w:type="dxa"/>
              <w:bottom w:w="40" w:type="dxa"/>
              <w:right w:w="20" w:type="dxa"/>
            </w:tcMar>
            <w:vAlign w:val="center"/>
          </w:tcPr>
          <w:p w14:paraId="5DEC66F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6F6"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6F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6F8" w14:textId="77777777" w:rsidR="00B1578D" w:rsidRDefault="004D2C04">
            <w:pPr>
              <w:jc w:val="right"/>
              <w:textAlignment w:val="center"/>
            </w:pPr>
            <w:r>
              <w:rPr>
                <w:rFonts w:ascii="Times New Roman" w:eastAsia="宋体" w:hAnsi="Times New Roman"/>
                <w:color w:val="000000"/>
                <w:sz w:val="16"/>
                <w:szCs w:val="16"/>
              </w:rPr>
              <w:t>234,737 </w:t>
            </w:r>
          </w:p>
        </w:tc>
        <w:tc>
          <w:tcPr>
            <w:tcW w:w="0" w:type="auto"/>
            <w:shd w:val="clear" w:color="auto" w:fill="CCEEFF"/>
            <w:tcMar>
              <w:top w:w="40" w:type="dxa"/>
              <w:left w:w="0" w:type="dxa"/>
              <w:bottom w:w="40" w:type="dxa"/>
              <w:right w:w="20" w:type="dxa"/>
            </w:tcMar>
            <w:vAlign w:val="center"/>
          </w:tcPr>
          <w:p w14:paraId="5DEC66F9" w14:textId="77777777" w:rsidR="00B1578D" w:rsidRDefault="00B1578D">
            <w:pPr>
              <w:jc w:val="right"/>
              <w:rPr>
                <w:rFonts w:ascii="宋体"/>
              </w:rPr>
            </w:pPr>
          </w:p>
        </w:tc>
      </w:tr>
      <w:tr w:rsidR="00B1578D" w14:paraId="5DEC6702" w14:textId="77777777">
        <w:tc>
          <w:tcPr>
            <w:tcW w:w="0" w:type="auto"/>
            <w:gridSpan w:val="3"/>
            <w:shd w:val="clear" w:color="auto" w:fill="FFFFFF"/>
            <w:tcMar>
              <w:top w:w="40" w:type="dxa"/>
              <w:left w:w="20" w:type="dxa"/>
              <w:bottom w:w="40" w:type="dxa"/>
              <w:right w:w="20" w:type="dxa"/>
            </w:tcMar>
            <w:vAlign w:val="center"/>
          </w:tcPr>
          <w:p w14:paraId="5DEC66FB" w14:textId="77777777" w:rsidR="00B1578D" w:rsidRDefault="004D2C04">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vAlign w:val="bottom"/>
          </w:tcPr>
          <w:p w14:paraId="5DEC66FC"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66FD" w14:textId="77777777" w:rsidR="00B1578D" w:rsidRDefault="004D2C04">
            <w:pPr>
              <w:jc w:val="right"/>
              <w:textAlignment w:val="center"/>
            </w:pPr>
            <w:r>
              <w:rPr>
                <w:rFonts w:ascii="Times New Roman" w:eastAsia="宋体" w:hAnsi="Times New Roman"/>
                <w:color w:val="000000"/>
                <w:sz w:val="16"/>
                <w:szCs w:val="16"/>
              </w:rPr>
              <w:t>5.5 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66FE"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6FF" w14:textId="77777777" w:rsidR="00B1578D" w:rsidRDefault="00B1578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DEC6700" w14:textId="77777777" w:rsidR="00B1578D" w:rsidRDefault="004D2C04">
            <w:pPr>
              <w:jc w:val="right"/>
              <w:textAlignment w:val="center"/>
            </w:pPr>
            <w:r>
              <w:rPr>
                <w:rFonts w:ascii="Times New Roman" w:eastAsia="宋体" w:hAnsi="Times New Roman"/>
                <w:color w:val="000000"/>
                <w:sz w:val="16"/>
                <w:szCs w:val="16"/>
              </w:rPr>
              <w:t>5.3 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6701" w14:textId="77777777" w:rsidR="00B1578D" w:rsidRDefault="004D2C04">
            <w:pPr>
              <w:jc w:val="right"/>
              <w:textAlignment w:val="center"/>
            </w:pPr>
            <w:r>
              <w:rPr>
                <w:rFonts w:ascii="Times New Roman" w:eastAsia="宋体" w:hAnsi="Times New Roman"/>
                <w:color w:val="000000"/>
                <w:sz w:val="16"/>
                <w:szCs w:val="16"/>
              </w:rPr>
              <w:t>%</w:t>
            </w:r>
          </w:p>
        </w:tc>
      </w:tr>
      <w:tr w:rsidR="00B1578D" w14:paraId="5DEC6708" w14:textId="77777777">
        <w:trPr>
          <w:trHeight w:val="220"/>
        </w:trPr>
        <w:tc>
          <w:tcPr>
            <w:tcW w:w="0" w:type="auto"/>
            <w:gridSpan w:val="3"/>
            <w:shd w:val="clear" w:color="auto" w:fill="CCEEFF"/>
            <w:tcMar>
              <w:top w:w="0" w:type="dxa"/>
              <w:left w:w="20" w:type="dxa"/>
              <w:bottom w:w="0" w:type="dxa"/>
              <w:right w:w="20" w:type="dxa"/>
            </w:tcMar>
            <w:vAlign w:val="bottom"/>
          </w:tcPr>
          <w:p w14:paraId="5DEC6703"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704"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6705"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706"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6707" w14:textId="77777777" w:rsidR="00B1578D" w:rsidRDefault="00B1578D">
            <w:pPr>
              <w:rPr>
                <w:rFonts w:ascii="宋体"/>
              </w:rPr>
            </w:pPr>
          </w:p>
        </w:tc>
      </w:tr>
      <w:tr w:rsidR="00B1578D" w14:paraId="5DEC670A" w14:textId="77777777">
        <w:tc>
          <w:tcPr>
            <w:tcW w:w="0" w:type="auto"/>
            <w:gridSpan w:val="15"/>
            <w:shd w:val="clear" w:color="auto" w:fill="FFFFFF"/>
            <w:tcMar>
              <w:top w:w="40" w:type="dxa"/>
              <w:left w:w="20" w:type="dxa"/>
              <w:bottom w:w="40" w:type="dxa"/>
              <w:right w:w="20" w:type="dxa"/>
            </w:tcMar>
            <w:vAlign w:val="center"/>
          </w:tcPr>
          <w:p w14:paraId="5DEC6709" w14:textId="77777777" w:rsidR="00B1578D" w:rsidRDefault="004D2C04">
            <w:pPr>
              <w:textAlignment w:val="center"/>
            </w:pPr>
            <w:r>
              <w:rPr>
                <w:rFonts w:ascii="Times New Roman" w:eastAsia="宋体" w:hAnsi="Times New Roman"/>
                <w:b/>
                <w:bCs/>
                <w:color w:val="000000"/>
                <w:sz w:val="16"/>
                <w:szCs w:val="16"/>
              </w:rPr>
              <w:t>CALCULATION OF RETURN ON INVESTMENT</w:t>
            </w:r>
          </w:p>
        </w:tc>
      </w:tr>
      <w:tr w:rsidR="00B1578D" w14:paraId="5DEC6710" w14:textId="77777777">
        <w:tc>
          <w:tcPr>
            <w:tcW w:w="0" w:type="auto"/>
            <w:gridSpan w:val="3"/>
            <w:shd w:val="clear" w:color="auto" w:fill="CCEEFF"/>
            <w:tcMar>
              <w:top w:w="40" w:type="dxa"/>
              <w:left w:w="20" w:type="dxa"/>
              <w:bottom w:w="40" w:type="dxa"/>
              <w:right w:w="20" w:type="dxa"/>
            </w:tcMar>
            <w:vAlign w:val="center"/>
          </w:tcPr>
          <w:p w14:paraId="5DEC670B" w14:textId="77777777" w:rsidR="00B1578D" w:rsidRDefault="004D2C04">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vAlign w:val="bottom"/>
          </w:tcPr>
          <w:p w14:paraId="5DEC670C"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70D"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70E"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70F" w14:textId="77777777" w:rsidR="00B1578D" w:rsidRDefault="00B1578D">
            <w:pPr>
              <w:rPr>
                <w:rFonts w:ascii="宋体"/>
              </w:rPr>
            </w:pPr>
          </w:p>
        </w:tc>
      </w:tr>
      <w:tr w:rsidR="00B1578D" w14:paraId="5DEC671A" w14:textId="77777777">
        <w:tc>
          <w:tcPr>
            <w:tcW w:w="0" w:type="auto"/>
            <w:gridSpan w:val="3"/>
            <w:shd w:val="clear" w:color="auto" w:fill="FFFFFF"/>
            <w:tcMar>
              <w:top w:w="40" w:type="dxa"/>
              <w:left w:w="380" w:type="dxa"/>
              <w:bottom w:w="40" w:type="dxa"/>
              <w:right w:w="20" w:type="dxa"/>
            </w:tcMar>
            <w:vAlign w:val="center"/>
          </w:tcPr>
          <w:p w14:paraId="5DEC6711" w14:textId="77777777" w:rsidR="00B1578D" w:rsidRDefault="004D2C04">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5DEC6712"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713"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714" w14:textId="77777777" w:rsidR="00B1578D" w:rsidRDefault="004D2C04">
            <w:pPr>
              <w:jc w:val="right"/>
              <w:textAlignment w:val="center"/>
            </w:pPr>
            <w:r>
              <w:rPr>
                <w:rFonts w:ascii="Times New Roman" w:eastAsia="宋体" w:hAnsi="Times New Roman"/>
                <w:color w:val="000000"/>
                <w:sz w:val="16"/>
                <w:szCs w:val="16"/>
              </w:rPr>
              <w:t>24,351 </w:t>
            </w:r>
          </w:p>
        </w:tc>
        <w:tc>
          <w:tcPr>
            <w:tcW w:w="0" w:type="auto"/>
            <w:shd w:val="clear" w:color="auto" w:fill="FFFFFF"/>
            <w:tcMar>
              <w:top w:w="40" w:type="dxa"/>
              <w:left w:w="0" w:type="dxa"/>
              <w:bottom w:w="40" w:type="dxa"/>
              <w:right w:w="20" w:type="dxa"/>
            </w:tcMar>
            <w:vAlign w:val="center"/>
          </w:tcPr>
          <w:p w14:paraId="5DEC6715"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16"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71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718" w14:textId="77777777" w:rsidR="00B1578D" w:rsidRDefault="004D2C04">
            <w:pPr>
              <w:jc w:val="right"/>
              <w:textAlignment w:val="center"/>
            </w:pPr>
            <w:r>
              <w:rPr>
                <w:rFonts w:ascii="Times New Roman" w:eastAsia="宋体" w:hAnsi="Times New Roman"/>
                <w:color w:val="000000"/>
                <w:sz w:val="16"/>
                <w:szCs w:val="16"/>
              </w:rPr>
              <w:t>24,233 </w:t>
            </w:r>
          </w:p>
        </w:tc>
        <w:tc>
          <w:tcPr>
            <w:tcW w:w="0" w:type="auto"/>
            <w:shd w:val="clear" w:color="auto" w:fill="FFFFFF"/>
            <w:tcMar>
              <w:top w:w="40" w:type="dxa"/>
              <w:left w:w="0" w:type="dxa"/>
              <w:bottom w:w="40" w:type="dxa"/>
              <w:right w:w="20" w:type="dxa"/>
            </w:tcMar>
            <w:vAlign w:val="center"/>
          </w:tcPr>
          <w:p w14:paraId="5DEC6719" w14:textId="77777777" w:rsidR="00B1578D" w:rsidRDefault="00B1578D">
            <w:pPr>
              <w:jc w:val="right"/>
              <w:rPr>
                <w:rFonts w:ascii="宋体"/>
              </w:rPr>
            </w:pPr>
          </w:p>
        </w:tc>
      </w:tr>
      <w:tr w:rsidR="00B1578D" w14:paraId="5DEC6722" w14:textId="77777777">
        <w:tc>
          <w:tcPr>
            <w:tcW w:w="0" w:type="auto"/>
            <w:gridSpan w:val="3"/>
            <w:shd w:val="clear" w:color="auto" w:fill="CCEEFF"/>
            <w:tcMar>
              <w:top w:w="40" w:type="dxa"/>
              <w:left w:w="380" w:type="dxa"/>
              <w:bottom w:w="40" w:type="dxa"/>
              <w:right w:w="20" w:type="dxa"/>
            </w:tcMar>
            <w:vAlign w:val="center"/>
          </w:tcPr>
          <w:p w14:paraId="5DEC671B" w14:textId="77777777" w:rsidR="00B1578D" w:rsidRDefault="004D2C04">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vAlign w:val="bottom"/>
          </w:tcPr>
          <w:p w14:paraId="5DEC671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1D" w14:textId="77777777" w:rsidR="00B1578D" w:rsidRDefault="004D2C04">
            <w:pPr>
              <w:jc w:val="right"/>
              <w:textAlignment w:val="center"/>
            </w:pPr>
            <w:r>
              <w:rPr>
                <w:rFonts w:ascii="Times New Roman" w:eastAsia="宋体" w:hAnsi="Times New Roman"/>
                <w:color w:val="000000"/>
                <w:sz w:val="16"/>
                <w:szCs w:val="16"/>
              </w:rPr>
              <w:t>163 </w:t>
            </w:r>
          </w:p>
        </w:tc>
        <w:tc>
          <w:tcPr>
            <w:tcW w:w="0" w:type="auto"/>
            <w:shd w:val="clear" w:color="auto" w:fill="CCEEFF"/>
            <w:tcMar>
              <w:top w:w="40" w:type="dxa"/>
              <w:left w:w="0" w:type="dxa"/>
              <w:bottom w:w="40" w:type="dxa"/>
              <w:right w:w="20" w:type="dxa"/>
            </w:tcMar>
            <w:vAlign w:val="center"/>
          </w:tcPr>
          <w:p w14:paraId="5DEC671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1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20" w14:textId="77777777" w:rsidR="00B1578D" w:rsidRDefault="004D2C04">
            <w:pPr>
              <w:jc w:val="right"/>
              <w:textAlignment w:val="center"/>
            </w:pPr>
            <w:r>
              <w:rPr>
                <w:rFonts w:ascii="Times New Roman" w:eastAsia="宋体" w:hAnsi="Times New Roman"/>
                <w:color w:val="000000"/>
                <w:sz w:val="16"/>
                <w:szCs w:val="16"/>
              </w:rPr>
              <w:t>108 </w:t>
            </w:r>
          </w:p>
        </w:tc>
        <w:tc>
          <w:tcPr>
            <w:tcW w:w="0" w:type="auto"/>
            <w:shd w:val="clear" w:color="auto" w:fill="CCEEFF"/>
            <w:tcMar>
              <w:top w:w="40" w:type="dxa"/>
              <w:left w:w="0" w:type="dxa"/>
              <w:bottom w:w="40" w:type="dxa"/>
              <w:right w:w="20" w:type="dxa"/>
            </w:tcMar>
            <w:vAlign w:val="center"/>
          </w:tcPr>
          <w:p w14:paraId="5DEC6721" w14:textId="77777777" w:rsidR="00B1578D" w:rsidRDefault="00B1578D">
            <w:pPr>
              <w:jc w:val="right"/>
              <w:rPr>
                <w:rFonts w:ascii="宋体"/>
              </w:rPr>
            </w:pPr>
          </w:p>
        </w:tc>
      </w:tr>
      <w:tr w:rsidR="00B1578D" w14:paraId="5DEC672A" w14:textId="77777777">
        <w:tc>
          <w:tcPr>
            <w:tcW w:w="0" w:type="auto"/>
            <w:gridSpan w:val="3"/>
            <w:shd w:val="clear" w:color="auto" w:fill="FFFFFF"/>
            <w:tcMar>
              <w:top w:w="40" w:type="dxa"/>
              <w:left w:w="380" w:type="dxa"/>
              <w:bottom w:w="40" w:type="dxa"/>
              <w:right w:w="20" w:type="dxa"/>
            </w:tcMar>
            <w:vAlign w:val="center"/>
          </w:tcPr>
          <w:p w14:paraId="5DEC6723" w14:textId="77777777" w:rsidR="00B1578D" w:rsidRDefault="004D2C04">
            <w:pPr>
              <w:textAlignment w:val="center"/>
            </w:pPr>
            <w:r>
              <w:rPr>
                <w:rFonts w:ascii="Times New Roman" w:eastAsia="宋体" w:hAnsi="Times New Roman"/>
                <w:color w:val="000000"/>
                <w:sz w:val="16"/>
                <w:szCs w:val="16"/>
              </w:rPr>
              <w:t xml:space="preserve">+ </w:t>
            </w:r>
            <w:r>
              <w:rPr>
                <w:rFonts w:ascii="Times New Roman" w:eastAsia="宋体" w:hAnsi="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bottom"/>
          </w:tcPr>
          <w:p w14:paraId="5DEC672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25" w14:textId="77777777" w:rsidR="00B1578D" w:rsidRDefault="004D2C04">
            <w:pPr>
              <w:jc w:val="right"/>
              <w:textAlignment w:val="center"/>
            </w:pPr>
            <w:r>
              <w:rPr>
                <w:rFonts w:ascii="Times New Roman" w:eastAsia="宋体" w:hAnsi="Times New Roman"/>
                <w:color w:val="000000"/>
                <w:sz w:val="16"/>
                <w:szCs w:val="16"/>
              </w:rPr>
              <w:t>10,679 </w:t>
            </w:r>
          </w:p>
        </w:tc>
        <w:tc>
          <w:tcPr>
            <w:tcW w:w="0" w:type="auto"/>
            <w:shd w:val="clear" w:color="auto" w:fill="FFFFFF"/>
            <w:tcMar>
              <w:top w:w="40" w:type="dxa"/>
              <w:left w:w="0" w:type="dxa"/>
              <w:bottom w:w="40" w:type="dxa"/>
              <w:right w:w="20" w:type="dxa"/>
            </w:tcMar>
            <w:vAlign w:val="center"/>
          </w:tcPr>
          <w:p w14:paraId="5DEC672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2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28" w14:textId="77777777" w:rsidR="00B1578D" w:rsidRDefault="004D2C04">
            <w:pPr>
              <w:jc w:val="right"/>
              <w:textAlignment w:val="center"/>
            </w:pPr>
            <w:r>
              <w:rPr>
                <w:rFonts w:ascii="Times New Roman" w:eastAsia="宋体" w:hAnsi="Times New Roman"/>
                <w:color w:val="000000"/>
                <w:sz w:val="16"/>
                <w:szCs w:val="16"/>
              </w:rPr>
              <w:t>11,022 </w:t>
            </w:r>
          </w:p>
        </w:tc>
        <w:tc>
          <w:tcPr>
            <w:tcW w:w="0" w:type="auto"/>
            <w:shd w:val="clear" w:color="auto" w:fill="FFFFFF"/>
            <w:tcMar>
              <w:top w:w="40" w:type="dxa"/>
              <w:left w:w="0" w:type="dxa"/>
              <w:bottom w:w="40" w:type="dxa"/>
              <w:right w:w="20" w:type="dxa"/>
            </w:tcMar>
            <w:vAlign w:val="center"/>
          </w:tcPr>
          <w:p w14:paraId="5DEC6729" w14:textId="77777777" w:rsidR="00B1578D" w:rsidRDefault="00B1578D">
            <w:pPr>
              <w:jc w:val="right"/>
              <w:rPr>
                <w:rFonts w:ascii="宋体"/>
              </w:rPr>
            </w:pPr>
          </w:p>
        </w:tc>
      </w:tr>
      <w:tr w:rsidR="00B1578D" w14:paraId="5DEC6732" w14:textId="77777777">
        <w:tc>
          <w:tcPr>
            <w:tcW w:w="0" w:type="auto"/>
            <w:gridSpan w:val="3"/>
            <w:shd w:val="clear" w:color="auto" w:fill="CCEEFF"/>
            <w:tcMar>
              <w:top w:w="40" w:type="dxa"/>
              <w:left w:w="380" w:type="dxa"/>
              <w:bottom w:w="40" w:type="dxa"/>
              <w:right w:w="20" w:type="dxa"/>
            </w:tcMar>
            <w:vAlign w:val="center"/>
          </w:tcPr>
          <w:p w14:paraId="5DEC672B" w14:textId="77777777" w:rsidR="00B1578D" w:rsidRDefault="004D2C04">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vAlign w:val="bottom"/>
          </w:tcPr>
          <w:p w14:paraId="5DEC672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2D" w14:textId="77777777" w:rsidR="00B1578D" w:rsidRDefault="004D2C04">
            <w:pPr>
              <w:jc w:val="right"/>
              <w:textAlignment w:val="center"/>
            </w:pPr>
            <w:r>
              <w:rPr>
                <w:rFonts w:ascii="Times New Roman" w:eastAsia="宋体" w:hAnsi="Times New Roman"/>
                <w:color w:val="000000"/>
                <w:sz w:val="16"/>
                <w:szCs w:val="16"/>
              </w:rPr>
              <w:t>2,270 </w:t>
            </w:r>
          </w:p>
        </w:tc>
        <w:tc>
          <w:tcPr>
            <w:tcW w:w="0" w:type="auto"/>
            <w:shd w:val="clear" w:color="auto" w:fill="CCEEFF"/>
            <w:tcMar>
              <w:top w:w="40" w:type="dxa"/>
              <w:left w:w="0" w:type="dxa"/>
              <w:bottom w:w="40" w:type="dxa"/>
              <w:right w:w="20" w:type="dxa"/>
            </w:tcMar>
            <w:vAlign w:val="center"/>
          </w:tcPr>
          <w:p w14:paraId="5DEC672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2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30" w14:textId="77777777" w:rsidR="00B1578D" w:rsidRDefault="004D2C04">
            <w:pPr>
              <w:jc w:val="right"/>
              <w:textAlignment w:val="center"/>
            </w:pPr>
            <w:r>
              <w:rPr>
                <w:rFonts w:ascii="Times New Roman" w:eastAsia="宋体" w:hAnsi="Times New Roman"/>
                <w:color w:val="000000"/>
                <w:sz w:val="16"/>
                <w:szCs w:val="16"/>
              </w:rPr>
              <w:t>2,534 </w:t>
            </w:r>
          </w:p>
        </w:tc>
        <w:tc>
          <w:tcPr>
            <w:tcW w:w="0" w:type="auto"/>
            <w:shd w:val="clear" w:color="auto" w:fill="CCEEFF"/>
            <w:tcMar>
              <w:top w:w="40" w:type="dxa"/>
              <w:left w:w="0" w:type="dxa"/>
              <w:bottom w:w="40" w:type="dxa"/>
              <w:right w:w="20" w:type="dxa"/>
            </w:tcMar>
            <w:vAlign w:val="center"/>
          </w:tcPr>
          <w:p w14:paraId="5DEC6731" w14:textId="77777777" w:rsidR="00B1578D" w:rsidRDefault="00B1578D">
            <w:pPr>
              <w:jc w:val="right"/>
              <w:rPr>
                <w:rFonts w:ascii="宋体"/>
              </w:rPr>
            </w:pPr>
          </w:p>
        </w:tc>
      </w:tr>
      <w:tr w:rsidR="00B1578D" w14:paraId="5DEC673C" w14:textId="77777777">
        <w:tc>
          <w:tcPr>
            <w:tcW w:w="0" w:type="auto"/>
            <w:gridSpan w:val="3"/>
            <w:shd w:val="clear" w:color="auto" w:fill="FFFFFF"/>
            <w:tcMar>
              <w:top w:w="40" w:type="dxa"/>
              <w:left w:w="380" w:type="dxa"/>
              <w:bottom w:w="40" w:type="dxa"/>
              <w:right w:w="20" w:type="dxa"/>
            </w:tcMar>
            <w:vAlign w:val="center"/>
          </w:tcPr>
          <w:p w14:paraId="5DEC6733" w14:textId="77777777" w:rsidR="00B1578D" w:rsidRDefault="004D2C04">
            <w:pPr>
              <w:textAlignment w:val="center"/>
            </w:pPr>
            <w:r>
              <w:rPr>
                <w:rFonts w:ascii="Times New Roman" w:eastAsia="宋体" w:hAnsi="Times New Roman"/>
                <w:color w:val="000000"/>
                <w:sz w:val="16"/>
                <w:szCs w:val="16"/>
              </w:rPr>
              <w:t>= ROI operating income</w:t>
            </w:r>
          </w:p>
        </w:tc>
        <w:tc>
          <w:tcPr>
            <w:tcW w:w="0" w:type="auto"/>
            <w:gridSpan w:val="3"/>
            <w:shd w:val="clear" w:color="auto" w:fill="FFFFFF"/>
            <w:tcMar>
              <w:top w:w="0" w:type="dxa"/>
              <w:left w:w="20" w:type="dxa"/>
              <w:bottom w:w="0" w:type="dxa"/>
              <w:right w:w="20" w:type="dxa"/>
            </w:tcMar>
            <w:vAlign w:val="bottom"/>
          </w:tcPr>
          <w:p w14:paraId="5DEC6734"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673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6736" w14:textId="77777777" w:rsidR="00B1578D" w:rsidRDefault="004D2C04">
            <w:pPr>
              <w:jc w:val="right"/>
              <w:textAlignment w:val="center"/>
            </w:pPr>
            <w:r>
              <w:rPr>
                <w:rFonts w:ascii="Times New Roman" w:eastAsia="宋体" w:hAnsi="Times New Roman"/>
                <w:color w:val="000000"/>
                <w:sz w:val="16"/>
                <w:szCs w:val="16"/>
              </w:rPr>
              <w:t>37,463 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6737"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38" w14:textId="77777777" w:rsidR="00B1578D" w:rsidRDefault="00B1578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DEC6739"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5DEC673A" w14:textId="77777777" w:rsidR="00B1578D" w:rsidRDefault="004D2C04">
            <w:pPr>
              <w:jc w:val="right"/>
              <w:textAlignment w:val="center"/>
            </w:pPr>
            <w:r>
              <w:rPr>
                <w:rFonts w:ascii="Times New Roman" w:eastAsia="宋体" w:hAnsi="Times New Roman"/>
                <w:color w:val="000000"/>
                <w:sz w:val="16"/>
                <w:szCs w:val="16"/>
              </w:rPr>
              <w:t>37,897 </w:t>
            </w:r>
          </w:p>
        </w:tc>
        <w:tc>
          <w:tcPr>
            <w:tcW w:w="0" w:type="auto"/>
            <w:tcBorders>
              <w:top w:val="single" w:sz="8" w:space="0" w:color="000000"/>
            </w:tcBorders>
            <w:shd w:val="clear" w:color="auto" w:fill="FFFFFF"/>
            <w:tcMar>
              <w:top w:w="40" w:type="dxa"/>
              <w:left w:w="0" w:type="dxa"/>
              <w:bottom w:w="40" w:type="dxa"/>
              <w:right w:w="20" w:type="dxa"/>
            </w:tcMar>
            <w:vAlign w:val="center"/>
          </w:tcPr>
          <w:p w14:paraId="5DEC673B" w14:textId="77777777" w:rsidR="00B1578D" w:rsidRDefault="00B1578D">
            <w:pPr>
              <w:jc w:val="right"/>
              <w:rPr>
                <w:rFonts w:ascii="宋体"/>
              </w:rPr>
            </w:pPr>
          </w:p>
        </w:tc>
      </w:tr>
      <w:tr w:rsidR="00B1578D" w14:paraId="5DEC6742" w14:textId="77777777">
        <w:trPr>
          <w:trHeight w:val="220"/>
        </w:trPr>
        <w:tc>
          <w:tcPr>
            <w:tcW w:w="0" w:type="auto"/>
            <w:gridSpan w:val="3"/>
            <w:shd w:val="clear" w:color="auto" w:fill="CCEEFF"/>
            <w:tcMar>
              <w:top w:w="0" w:type="dxa"/>
              <w:left w:w="20" w:type="dxa"/>
              <w:bottom w:w="0" w:type="dxa"/>
              <w:right w:w="20" w:type="dxa"/>
            </w:tcMar>
            <w:vAlign w:val="bottom"/>
          </w:tcPr>
          <w:p w14:paraId="5DEC673D"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73E"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673F"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740" w14:textId="77777777" w:rsidR="00B1578D" w:rsidRDefault="00B1578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DEC6741" w14:textId="77777777" w:rsidR="00B1578D" w:rsidRDefault="00B1578D">
            <w:pPr>
              <w:rPr>
                <w:rFonts w:ascii="宋体"/>
              </w:rPr>
            </w:pPr>
          </w:p>
        </w:tc>
      </w:tr>
      <w:tr w:rsidR="00B1578D" w14:paraId="5DEC6748" w14:textId="77777777">
        <w:tc>
          <w:tcPr>
            <w:tcW w:w="0" w:type="auto"/>
            <w:gridSpan w:val="3"/>
            <w:shd w:val="clear" w:color="auto" w:fill="FFFFFF"/>
            <w:tcMar>
              <w:top w:w="40" w:type="dxa"/>
              <w:left w:w="20" w:type="dxa"/>
              <w:bottom w:w="40" w:type="dxa"/>
              <w:right w:w="20" w:type="dxa"/>
            </w:tcMar>
            <w:vAlign w:val="center"/>
          </w:tcPr>
          <w:p w14:paraId="5DEC6743" w14:textId="77777777" w:rsidR="00B1578D" w:rsidRDefault="004D2C04">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5DEC6744"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74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74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747" w14:textId="77777777" w:rsidR="00B1578D" w:rsidRDefault="00B1578D">
            <w:pPr>
              <w:rPr>
                <w:rFonts w:ascii="宋体"/>
              </w:rPr>
            </w:pPr>
          </w:p>
        </w:tc>
      </w:tr>
      <w:tr w:rsidR="00B1578D" w14:paraId="5DEC6752" w14:textId="77777777">
        <w:tc>
          <w:tcPr>
            <w:tcW w:w="0" w:type="auto"/>
            <w:gridSpan w:val="3"/>
            <w:shd w:val="clear" w:color="auto" w:fill="CCEEFF"/>
            <w:tcMar>
              <w:top w:w="40" w:type="dxa"/>
              <w:left w:w="20" w:type="dxa"/>
              <w:bottom w:w="40" w:type="dxa"/>
              <w:right w:w="20" w:type="dxa"/>
            </w:tcMar>
            <w:vAlign w:val="center"/>
          </w:tcPr>
          <w:p w14:paraId="5DEC6749" w14:textId="77777777" w:rsidR="00B1578D" w:rsidRDefault="004D2C04">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5DEC674A"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74B"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74C" w14:textId="77777777" w:rsidR="00B1578D" w:rsidRDefault="004D2C04">
            <w:pPr>
              <w:jc w:val="right"/>
              <w:textAlignment w:val="center"/>
            </w:pPr>
            <w:r>
              <w:rPr>
                <w:rFonts w:ascii="Times New Roman" w:eastAsia="宋体" w:hAnsi="Times New Roman"/>
                <w:color w:val="000000"/>
                <w:sz w:val="16"/>
                <w:szCs w:val="16"/>
              </w:rPr>
              <w:t>241,362 </w:t>
            </w:r>
          </w:p>
        </w:tc>
        <w:tc>
          <w:tcPr>
            <w:tcW w:w="0" w:type="auto"/>
            <w:shd w:val="clear" w:color="auto" w:fill="CCEEFF"/>
            <w:tcMar>
              <w:top w:w="40" w:type="dxa"/>
              <w:left w:w="0" w:type="dxa"/>
              <w:bottom w:w="40" w:type="dxa"/>
              <w:right w:w="20" w:type="dxa"/>
            </w:tcMar>
            <w:vAlign w:val="center"/>
          </w:tcPr>
          <w:p w14:paraId="5DEC674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4E"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74F"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750" w14:textId="77777777" w:rsidR="00B1578D" w:rsidRDefault="004D2C04">
            <w:pPr>
              <w:jc w:val="right"/>
              <w:textAlignment w:val="center"/>
            </w:pPr>
            <w:r>
              <w:rPr>
                <w:rFonts w:ascii="Times New Roman" w:eastAsia="宋体" w:hAnsi="Times New Roman"/>
                <w:color w:val="000000"/>
                <w:sz w:val="16"/>
                <w:szCs w:val="16"/>
              </w:rPr>
              <w:t>234,737 </w:t>
            </w:r>
          </w:p>
        </w:tc>
        <w:tc>
          <w:tcPr>
            <w:tcW w:w="0" w:type="auto"/>
            <w:shd w:val="clear" w:color="auto" w:fill="CCEEFF"/>
            <w:tcMar>
              <w:top w:w="40" w:type="dxa"/>
              <w:left w:w="0" w:type="dxa"/>
              <w:bottom w:w="40" w:type="dxa"/>
              <w:right w:w="20" w:type="dxa"/>
            </w:tcMar>
            <w:vAlign w:val="center"/>
          </w:tcPr>
          <w:p w14:paraId="5DEC6751" w14:textId="77777777" w:rsidR="00B1578D" w:rsidRDefault="00B1578D">
            <w:pPr>
              <w:jc w:val="right"/>
              <w:rPr>
                <w:rFonts w:ascii="宋体"/>
              </w:rPr>
            </w:pPr>
          </w:p>
        </w:tc>
      </w:tr>
      <w:tr w:rsidR="00B1578D" w14:paraId="5DEC675A" w14:textId="77777777">
        <w:tc>
          <w:tcPr>
            <w:tcW w:w="0" w:type="auto"/>
            <w:gridSpan w:val="3"/>
            <w:shd w:val="clear" w:color="auto" w:fill="FFFFFF"/>
            <w:tcMar>
              <w:top w:w="40" w:type="dxa"/>
              <w:left w:w="20" w:type="dxa"/>
              <w:bottom w:w="40" w:type="dxa"/>
              <w:right w:w="20" w:type="dxa"/>
            </w:tcMar>
            <w:vAlign w:val="center"/>
          </w:tcPr>
          <w:p w14:paraId="5DEC6753" w14:textId="77777777" w:rsidR="00B1578D" w:rsidRDefault="004D2C04">
            <w:pPr>
              <w:textAlignment w:val="center"/>
            </w:pPr>
            <w:r>
              <w:rPr>
                <w:rFonts w:ascii="Times New Roman" w:eastAsia="宋体" w:hAnsi="Times New Roman"/>
                <w:color w:val="FFFFFF"/>
                <w:sz w:val="16"/>
                <w:szCs w:val="16"/>
              </w:rPr>
              <w:t>'</w:t>
            </w:r>
            <w:r>
              <w:rPr>
                <w:rFonts w:ascii="Times New Roman" w:eastAsia="宋体" w:hAnsi="Times New Roman"/>
                <w:color w:val="000000"/>
                <w:sz w:val="16"/>
                <w:szCs w:val="16"/>
              </w:rPr>
              <w:t xml:space="preserve">+ Average accumulated depreciation and </w:t>
            </w:r>
            <w:r>
              <w:rPr>
                <w:rFonts w:ascii="Times New Roman" w:eastAsia="宋体" w:hAnsi="Times New Roman"/>
                <w:color w:val="000000"/>
                <w:sz w:val="16"/>
                <w:szCs w:val="16"/>
              </w:rPr>
              <w:t>amortization</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5DEC675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55" w14:textId="77777777" w:rsidR="00B1578D" w:rsidRDefault="004D2C04">
            <w:pPr>
              <w:jc w:val="right"/>
              <w:textAlignment w:val="center"/>
            </w:pPr>
            <w:r>
              <w:rPr>
                <w:rFonts w:ascii="Times New Roman" w:eastAsia="宋体" w:hAnsi="Times New Roman"/>
                <w:color w:val="000000"/>
                <w:sz w:val="16"/>
                <w:szCs w:val="16"/>
              </w:rPr>
              <w:t>100,315 </w:t>
            </w:r>
          </w:p>
        </w:tc>
        <w:tc>
          <w:tcPr>
            <w:tcW w:w="0" w:type="auto"/>
            <w:shd w:val="clear" w:color="auto" w:fill="FFFFFF"/>
            <w:tcMar>
              <w:top w:w="40" w:type="dxa"/>
              <w:left w:w="0" w:type="dxa"/>
              <w:bottom w:w="40" w:type="dxa"/>
              <w:right w:w="20" w:type="dxa"/>
            </w:tcMar>
            <w:vAlign w:val="center"/>
          </w:tcPr>
          <w:p w14:paraId="5DEC675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5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58" w14:textId="77777777" w:rsidR="00B1578D" w:rsidRDefault="004D2C04">
            <w:pPr>
              <w:jc w:val="right"/>
              <w:textAlignment w:val="center"/>
            </w:pPr>
            <w:r>
              <w:rPr>
                <w:rFonts w:ascii="Times New Roman" w:eastAsia="宋体" w:hAnsi="Times New Roman"/>
                <w:color w:val="000000"/>
                <w:sz w:val="16"/>
                <w:szCs w:val="16"/>
              </w:rPr>
              <w:t>95,424 </w:t>
            </w:r>
          </w:p>
        </w:tc>
        <w:tc>
          <w:tcPr>
            <w:tcW w:w="0" w:type="auto"/>
            <w:shd w:val="clear" w:color="auto" w:fill="FFFFFF"/>
            <w:tcMar>
              <w:top w:w="40" w:type="dxa"/>
              <w:left w:w="0" w:type="dxa"/>
              <w:bottom w:w="40" w:type="dxa"/>
              <w:right w:w="20" w:type="dxa"/>
            </w:tcMar>
            <w:vAlign w:val="center"/>
          </w:tcPr>
          <w:p w14:paraId="5DEC6759" w14:textId="77777777" w:rsidR="00B1578D" w:rsidRDefault="00B1578D">
            <w:pPr>
              <w:jc w:val="right"/>
              <w:rPr>
                <w:rFonts w:ascii="宋体"/>
              </w:rPr>
            </w:pPr>
          </w:p>
        </w:tc>
      </w:tr>
      <w:tr w:rsidR="00B1578D" w14:paraId="5DEC6762" w14:textId="77777777">
        <w:tc>
          <w:tcPr>
            <w:tcW w:w="0" w:type="auto"/>
            <w:gridSpan w:val="3"/>
            <w:shd w:val="clear" w:color="auto" w:fill="CCEEFF"/>
            <w:tcMar>
              <w:top w:w="40" w:type="dxa"/>
              <w:left w:w="20" w:type="dxa"/>
              <w:bottom w:w="40" w:type="dxa"/>
              <w:right w:w="20" w:type="dxa"/>
            </w:tcMar>
            <w:vAlign w:val="center"/>
          </w:tcPr>
          <w:p w14:paraId="5DEC675B" w14:textId="77777777" w:rsidR="00B1578D" w:rsidRDefault="004D2C04">
            <w:pPr>
              <w:textAlignment w:val="center"/>
            </w:pPr>
            <w:r>
              <w:rPr>
                <w:rFonts w:ascii="Times New Roman" w:eastAsia="宋体" w:hAnsi="Times New Roman"/>
                <w:color w:val="CCEEFF"/>
                <w:sz w:val="16"/>
                <w:szCs w:val="16"/>
              </w:rPr>
              <w:t>'</w:t>
            </w: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5DEC675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5D" w14:textId="77777777" w:rsidR="00B1578D" w:rsidRDefault="004D2C04">
            <w:pPr>
              <w:jc w:val="right"/>
              <w:textAlignment w:val="center"/>
            </w:pPr>
            <w:r>
              <w:rPr>
                <w:rFonts w:ascii="Times New Roman" w:eastAsia="宋体" w:hAnsi="Times New Roman"/>
                <w:color w:val="000000"/>
                <w:sz w:val="16"/>
                <w:szCs w:val="16"/>
              </w:rPr>
              <w:t>50,539 </w:t>
            </w:r>
          </w:p>
        </w:tc>
        <w:tc>
          <w:tcPr>
            <w:tcW w:w="0" w:type="auto"/>
            <w:shd w:val="clear" w:color="auto" w:fill="CCEEFF"/>
            <w:tcMar>
              <w:top w:w="40" w:type="dxa"/>
              <w:left w:w="0" w:type="dxa"/>
              <w:bottom w:w="40" w:type="dxa"/>
              <w:right w:w="20" w:type="dxa"/>
            </w:tcMar>
            <w:vAlign w:val="center"/>
          </w:tcPr>
          <w:p w14:paraId="5DEC675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5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60" w14:textId="77777777" w:rsidR="00B1578D" w:rsidRDefault="004D2C04">
            <w:pPr>
              <w:jc w:val="right"/>
              <w:textAlignment w:val="center"/>
            </w:pPr>
            <w:r>
              <w:rPr>
                <w:rFonts w:ascii="Times New Roman" w:eastAsia="宋体" w:hAnsi="Times New Roman"/>
                <w:color w:val="000000"/>
                <w:sz w:val="16"/>
                <w:szCs w:val="16"/>
              </w:rPr>
              <w:t>46,124 </w:t>
            </w:r>
          </w:p>
        </w:tc>
        <w:tc>
          <w:tcPr>
            <w:tcW w:w="0" w:type="auto"/>
            <w:shd w:val="clear" w:color="auto" w:fill="CCEEFF"/>
            <w:tcMar>
              <w:top w:w="40" w:type="dxa"/>
              <w:left w:w="0" w:type="dxa"/>
              <w:bottom w:w="40" w:type="dxa"/>
              <w:right w:w="20" w:type="dxa"/>
            </w:tcMar>
            <w:vAlign w:val="center"/>
          </w:tcPr>
          <w:p w14:paraId="5DEC6761" w14:textId="77777777" w:rsidR="00B1578D" w:rsidRDefault="00B1578D">
            <w:pPr>
              <w:jc w:val="right"/>
              <w:rPr>
                <w:rFonts w:ascii="宋体"/>
              </w:rPr>
            </w:pPr>
          </w:p>
        </w:tc>
      </w:tr>
      <w:tr w:rsidR="00B1578D" w14:paraId="5DEC676A" w14:textId="77777777">
        <w:tc>
          <w:tcPr>
            <w:tcW w:w="0" w:type="auto"/>
            <w:gridSpan w:val="3"/>
            <w:shd w:val="clear" w:color="auto" w:fill="FFFFFF"/>
            <w:tcMar>
              <w:top w:w="40" w:type="dxa"/>
              <w:left w:w="20" w:type="dxa"/>
              <w:bottom w:w="40" w:type="dxa"/>
              <w:right w:w="20" w:type="dxa"/>
            </w:tcMar>
            <w:vAlign w:val="center"/>
          </w:tcPr>
          <w:p w14:paraId="5DEC6763" w14:textId="77777777" w:rsidR="00B1578D" w:rsidRDefault="004D2C04">
            <w:pPr>
              <w:textAlignment w:val="center"/>
            </w:pPr>
            <w:r>
              <w:rPr>
                <w:rFonts w:ascii="Times New Roman" w:eastAsia="宋体" w:hAnsi="Times New Roman"/>
                <w:color w:val="000000"/>
                <w:sz w:val="16"/>
                <w:szCs w:val="16"/>
              </w:rPr>
              <w:t> - Average accrued 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5DEC676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65" w14:textId="77777777" w:rsidR="00B1578D" w:rsidRDefault="004D2C04">
            <w:pPr>
              <w:jc w:val="right"/>
              <w:textAlignment w:val="center"/>
            </w:pPr>
            <w:r>
              <w:rPr>
                <w:rFonts w:ascii="Times New Roman" w:eastAsia="宋体" w:hAnsi="Times New Roman"/>
                <w:color w:val="000000"/>
                <w:sz w:val="16"/>
                <w:szCs w:val="16"/>
              </w:rPr>
              <w:t>21,216 </w:t>
            </w:r>
          </w:p>
        </w:tc>
        <w:tc>
          <w:tcPr>
            <w:tcW w:w="0" w:type="auto"/>
            <w:shd w:val="clear" w:color="auto" w:fill="FFFFFF"/>
            <w:tcMar>
              <w:top w:w="40" w:type="dxa"/>
              <w:left w:w="0" w:type="dxa"/>
              <w:bottom w:w="40" w:type="dxa"/>
              <w:right w:w="20" w:type="dxa"/>
            </w:tcMar>
            <w:vAlign w:val="center"/>
          </w:tcPr>
          <w:p w14:paraId="5DEC676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6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68" w14:textId="77777777" w:rsidR="00B1578D" w:rsidRDefault="004D2C04">
            <w:pPr>
              <w:jc w:val="right"/>
              <w:textAlignment w:val="center"/>
            </w:pPr>
            <w:r>
              <w:rPr>
                <w:rFonts w:ascii="Times New Roman" w:eastAsia="宋体" w:hAnsi="Times New Roman"/>
                <w:color w:val="000000"/>
                <w:sz w:val="16"/>
                <w:szCs w:val="16"/>
              </w:rPr>
              <w:t>20,874 </w:t>
            </w:r>
          </w:p>
        </w:tc>
        <w:tc>
          <w:tcPr>
            <w:tcW w:w="0" w:type="auto"/>
            <w:shd w:val="clear" w:color="auto" w:fill="FFFFFF"/>
            <w:tcMar>
              <w:top w:w="40" w:type="dxa"/>
              <w:left w:w="0" w:type="dxa"/>
              <w:bottom w:w="40" w:type="dxa"/>
              <w:right w:w="20" w:type="dxa"/>
            </w:tcMar>
            <w:vAlign w:val="center"/>
          </w:tcPr>
          <w:p w14:paraId="5DEC6769" w14:textId="77777777" w:rsidR="00B1578D" w:rsidRDefault="00B1578D">
            <w:pPr>
              <w:jc w:val="right"/>
              <w:rPr>
                <w:rFonts w:ascii="宋体"/>
              </w:rPr>
            </w:pPr>
          </w:p>
        </w:tc>
      </w:tr>
      <w:tr w:rsidR="00B1578D" w14:paraId="5DEC6774" w14:textId="77777777">
        <w:tc>
          <w:tcPr>
            <w:tcW w:w="0" w:type="auto"/>
            <w:gridSpan w:val="3"/>
            <w:shd w:val="clear" w:color="auto" w:fill="CCEEFF"/>
            <w:tcMar>
              <w:top w:w="40" w:type="dxa"/>
              <w:left w:w="380" w:type="dxa"/>
              <w:bottom w:w="40" w:type="dxa"/>
              <w:right w:w="20" w:type="dxa"/>
            </w:tcMar>
            <w:vAlign w:val="center"/>
          </w:tcPr>
          <w:p w14:paraId="5DEC676B" w14:textId="77777777" w:rsidR="00B1578D" w:rsidRDefault="004D2C04">
            <w:pPr>
              <w:textAlignment w:val="center"/>
            </w:pPr>
            <w:r>
              <w:rPr>
                <w:rFonts w:ascii="Times New Roman" w:eastAsia="宋体" w:hAnsi="Times New Roman"/>
                <w:color w:val="000000"/>
                <w:sz w:val="16"/>
                <w:szCs w:val="16"/>
              </w:rPr>
              <w:t>= Average invested capital</w:t>
            </w:r>
          </w:p>
        </w:tc>
        <w:tc>
          <w:tcPr>
            <w:tcW w:w="0" w:type="auto"/>
            <w:gridSpan w:val="3"/>
            <w:shd w:val="clear" w:color="auto" w:fill="CCEEFF"/>
            <w:tcMar>
              <w:top w:w="0" w:type="dxa"/>
              <w:left w:w="20" w:type="dxa"/>
              <w:bottom w:w="0" w:type="dxa"/>
              <w:right w:w="20" w:type="dxa"/>
            </w:tcMar>
            <w:vAlign w:val="bottom"/>
          </w:tcPr>
          <w:p w14:paraId="5DEC676C"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76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76E" w14:textId="77777777" w:rsidR="00B1578D" w:rsidRDefault="004D2C04">
            <w:pPr>
              <w:jc w:val="right"/>
              <w:textAlignment w:val="center"/>
            </w:pPr>
            <w:r>
              <w:rPr>
                <w:rFonts w:ascii="Times New Roman" w:eastAsia="宋体" w:hAnsi="Times New Roman"/>
                <w:color w:val="000000"/>
                <w:sz w:val="16"/>
                <w:szCs w:val="16"/>
              </w:rPr>
              <w:t>269,922 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76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70"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77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772" w14:textId="77777777" w:rsidR="00B1578D" w:rsidRDefault="004D2C04">
            <w:pPr>
              <w:jc w:val="right"/>
              <w:textAlignment w:val="center"/>
            </w:pPr>
            <w:r>
              <w:rPr>
                <w:rFonts w:ascii="Times New Roman" w:eastAsia="宋体" w:hAnsi="Times New Roman"/>
                <w:color w:val="000000"/>
                <w:sz w:val="16"/>
                <w:szCs w:val="16"/>
              </w:rPr>
              <w:t>263,163 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773" w14:textId="77777777" w:rsidR="00B1578D" w:rsidRDefault="00B1578D">
            <w:pPr>
              <w:jc w:val="right"/>
              <w:rPr>
                <w:rFonts w:ascii="宋体"/>
              </w:rPr>
            </w:pPr>
          </w:p>
        </w:tc>
      </w:tr>
      <w:tr w:rsidR="00B1578D" w14:paraId="5DEC677C" w14:textId="77777777">
        <w:tc>
          <w:tcPr>
            <w:tcW w:w="0" w:type="auto"/>
            <w:gridSpan w:val="3"/>
            <w:shd w:val="clear" w:color="auto" w:fill="FFFFFF"/>
            <w:tcMar>
              <w:top w:w="40" w:type="dxa"/>
              <w:left w:w="20" w:type="dxa"/>
              <w:bottom w:w="40" w:type="dxa"/>
              <w:right w:w="20" w:type="dxa"/>
            </w:tcMar>
            <w:vAlign w:val="center"/>
          </w:tcPr>
          <w:p w14:paraId="5DEC6775" w14:textId="77777777" w:rsidR="00B1578D" w:rsidRDefault="004D2C04">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vAlign w:val="bottom"/>
          </w:tcPr>
          <w:p w14:paraId="5DEC6776" w14:textId="77777777" w:rsidR="00B1578D" w:rsidRDefault="00B1578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777" w14:textId="77777777" w:rsidR="00B1578D" w:rsidRDefault="004D2C04">
            <w:pPr>
              <w:jc w:val="right"/>
              <w:textAlignment w:val="center"/>
            </w:pPr>
            <w:r>
              <w:rPr>
                <w:rFonts w:ascii="Times New Roman" w:eastAsia="宋体" w:hAnsi="Times New Roman"/>
                <w:color w:val="000000"/>
                <w:sz w:val="16"/>
                <w:szCs w:val="16"/>
              </w:rPr>
              <w:t>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778"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779" w14:textId="77777777" w:rsidR="00B1578D" w:rsidRDefault="00B1578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77A" w14:textId="77777777" w:rsidR="00B1578D" w:rsidRDefault="004D2C04">
            <w:pPr>
              <w:jc w:val="right"/>
              <w:textAlignment w:val="center"/>
            </w:pPr>
            <w:r>
              <w:rPr>
                <w:rFonts w:ascii="Times New Roman" w:eastAsia="宋体" w:hAnsi="Times New Roman"/>
                <w:color w:val="000000"/>
                <w:sz w:val="16"/>
                <w:szCs w:val="16"/>
              </w:rPr>
              <w:t>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77B" w14:textId="77777777" w:rsidR="00B1578D" w:rsidRDefault="004D2C04">
            <w:pPr>
              <w:jc w:val="right"/>
              <w:textAlignment w:val="center"/>
            </w:pPr>
            <w:r>
              <w:rPr>
                <w:rFonts w:ascii="Times New Roman" w:eastAsia="宋体" w:hAnsi="Times New Roman"/>
                <w:color w:val="000000"/>
                <w:sz w:val="16"/>
                <w:szCs w:val="16"/>
              </w:rPr>
              <w:t>%</w:t>
            </w:r>
          </w:p>
        </w:tc>
      </w:tr>
    </w:tbl>
    <w:p w14:paraId="5DEC677D" w14:textId="77777777" w:rsidR="00B1578D" w:rsidRDefault="004D2C04">
      <w:pPr>
        <w:ind w:hanging="180"/>
      </w:pPr>
      <w:r>
        <w:rPr>
          <w:rFonts w:ascii="Times New Roman" w:eastAsia="宋体" w:hAnsi="Times New Roman"/>
          <w:color w:val="000000"/>
          <w:sz w:val="18"/>
          <w:szCs w:val="18"/>
        </w:rPr>
        <w:t> </w:t>
      </w: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The </w:t>
      </w:r>
      <w:r>
        <w:rPr>
          <w:rFonts w:ascii="Times New Roman" w:eastAsia="宋体" w:hAnsi="Times New Roman"/>
          <w:color w:val="000000"/>
          <w:sz w:val="16"/>
          <w:szCs w:val="16"/>
        </w:rPr>
        <w:t>average is based on the addition of the account balance at the end of the current period to the account balance at the end of the prior period and dividing by 2.</w:t>
      </w:r>
    </w:p>
    <w:tbl>
      <w:tblPr>
        <w:tblW w:w="5000" w:type="pct"/>
        <w:tblCellMar>
          <w:top w:w="15" w:type="dxa"/>
          <w:left w:w="15" w:type="dxa"/>
          <w:bottom w:w="15" w:type="dxa"/>
          <w:right w:w="15" w:type="dxa"/>
        </w:tblCellMar>
        <w:tblLook w:val="04A0" w:firstRow="1" w:lastRow="0" w:firstColumn="1" w:lastColumn="0" w:noHBand="0" w:noVBand="1"/>
      </w:tblPr>
      <w:tblGrid>
        <w:gridCol w:w="42"/>
        <w:gridCol w:w="5097"/>
        <w:gridCol w:w="37"/>
        <w:gridCol w:w="36"/>
        <w:gridCol w:w="36"/>
        <w:gridCol w:w="36"/>
        <w:gridCol w:w="100"/>
        <w:gridCol w:w="808"/>
        <w:gridCol w:w="36"/>
        <w:gridCol w:w="36"/>
        <w:gridCol w:w="36"/>
        <w:gridCol w:w="36"/>
        <w:gridCol w:w="100"/>
        <w:gridCol w:w="809"/>
        <w:gridCol w:w="36"/>
        <w:gridCol w:w="36"/>
        <w:gridCol w:w="36"/>
        <w:gridCol w:w="36"/>
        <w:gridCol w:w="100"/>
        <w:gridCol w:w="811"/>
        <w:gridCol w:w="36"/>
      </w:tblGrid>
      <w:tr w:rsidR="00B1578D" w14:paraId="5DEC6793" w14:textId="77777777">
        <w:tc>
          <w:tcPr>
            <w:tcW w:w="50" w:type="pct"/>
            <w:shd w:val="clear" w:color="auto" w:fill="auto"/>
            <w:vAlign w:val="bottom"/>
          </w:tcPr>
          <w:p w14:paraId="5DEC677E" w14:textId="77777777" w:rsidR="00B1578D" w:rsidRDefault="00B1578D">
            <w:pPr>
              <w:rPr>
                <w:rFonts w:ascii="宋体"/>
              </w:rPr>
            </w:pPr>
          </w:p>
        </w:tc>
        <w:tc>
          <w:tcPr>
            <w:tcW w:w="3080" w:type="pct"/>
            <w:shd w:val="clear" w:color="auto" w:fill="auto"/>
            <w:vAlign w:val="bottom"/>
          </w:tcPr>
          <w:p w14:paraId="5DEC677F" w14:textId="77777777" w:rsidR="00B1578D" w:rsidRDefault="00B1578D">
            <w:pPr>
              <w:rPr>
                <w:rFonts w:ascii="宋体"/>
              </w:rPr>
            </w:pPr>
          </w:p>
        </w:tc>
        <w:tc>
          <w:tcPr>
            <w:tcW w:w="5" w:type="pct"/>
            <w:shd w:val="clear" w:color="auto" w:fill="auto"/>
            <w:vAlign w:val="bottom"/>
          </w:tcPr>
          <w:p w14:paraId="5DEC6780" w14:textId="77777777" w:rsidR="00B1578D" w:rsidRDefault="00B1578D">
            <w:pPr>
              <w:rPr>
                <w:rFonts w:ascii="宋体"/>
              </w:rPr>
            </w:pPr>
          </w:p>
        </w:tc>
        <w:tc>
          <w:tcPr>
            <w:tcW w:w="5" w:type="pct"/>
            <w:shd w:val="clear" w:color="auto" w:fill="auto"/>
            <w:vAlign w:val="bottom"/>
          </w:tcPr>
          <w:p w14:paraId="5DEC6781" w14:textId="77777777" w:rsidR="00B1578D" w:rsidRDefault="00B1578D">
            <w:pPr>
              <w:rPr>
                <w:rFonts w:ascii="宋体"/>
              </w:rPr>
            </w:pPr>
          </w:p>
        </w:tc>
        <w:tc>
          <w:tcPr>
            <w:tcW w:w="26" w:type="pct"/>
            <w:shd w:val="clear" w:color="auto" w:fill="auto"/>
            <w:vAlign w:val="bottom"/>
          </w:tcPr>
          <w:p w14:paraId="5DEC6782" w14:textId="77777777" w:rsidR="00B1578D" w:rsidRDefault="00B1578D">
            <w:pPr>
              <w:rPr>
                <w:rFonts w:ascii="宋体"/>
              </w:rPr>
            </w:pPr>
          </w:p>
        </w:tc>
        <w:tc>
          <w:tcPr>
            <w:tcW w:w="5" w:type="pct"/>
            <w:shd w:val="clear" w:color="auto" w:fill="auto"/>
            <w:vAlign w:val="bottom"/>
          </w:tcPr>
          <w:p w14:paraId="5DEC6783" w14:textId="77777777" w:rsidR="00B1578D" w:rsidRDefault="00B1578D">
            <w:pPr>
              <w:rPr>
                <w:rFonts w:ascii="宋体"/>
              </w:rPr>
            </w:pPr>
          </w:p>
        </w:tc>
        <w:tc>
          <w:tcPr>
            <w:tcW w:w="50" w:type="pct"/>
            <w:shd w:val="clear" w:color="auto" w:fill="auto"/>
            <w:vAlign w:val="bottom"/>
          </w:tcPr>
          <w:p w14:paraId="5DEC6784" w14:textId="77777777" w:rsidR="00B1578D" w:rsidRDefault="00B1578D">
            <w:pPr>
              <w:rPr>
                <w:rFonts w:ascii="宋体"/>
              </w:rPr>
            </w:pPr>
          </w:p>
        </w:tc>
        <w:tc>
          <w:tcPr>
            <w:tcW w:w="529" w:type="pct"/>
            <w:shd w:val="clear" w:color="auto" w:fill="auto"/>
            <w:vAlign w:val="bottom"/>
          </w:tcPr>
          <w:p w14:paraId="5DEC6785" w14:textId="77777777" w:rsidR="00B1578D" w:rsidRDefault="00B1578D">
            <w:pPr>
              <w:rPr>
                <w:rFonts w:ascii="宋体"/>
              </w:rPr>
            </w:pPr>
          </w:p>
        </w:tc>
        <w:tc>
          <w:tcPr>
            <w:tcW w:w="5" w:type="pct"/>
            <w:shd w:val="clear" w:color="auto" w:fill="auto"/>
            <w:vAlign w:val="bottom"/>
          </w:tcPr>
          <w:p w14:paraId="5DEC6786" w14:textId="77777777" w:rsidR="00B1578D" w:rsidRDefault="00B1578D">
            <w:pPr>
              <w:rPr>
                <w:rFonts w:ascii="宋体"/>
              </w:rPr>
            </w:pPr>
          </w:p>
        </w:tc>
        <w:tc>
          <w:tcPr>
            <w:tcW w:w="5" w:type="pct"/>
            <w:shd w:val="clear" w:color="auto" w:fill="auto"/>
            <w:vAlign w:val="bottom"/>
          </w:tcPr>
          <w:p w14:paraId="5DEC6787" w14:textId="77777777" w:rsidR="00B1578D" w:rsidRDefault="00B1578D">
            <w:pPr>
              <w:rPr>
                <w:rFonts w:ascii="宋体"/>
              </w:rPr>
            </w:pPr>
          </w:p>
        </w:tc>
        <w:tc>
          <w:tcPr>
            <w:tcW w:w="26" w:type="pct"/>
            <w:shd w:val="clear" w:color="auto" w:fill="auto"/>
            <w:vAlign w:val="bottom"/>
          </w:tcPr>
          <w:p w14:paraId="5DEC6788" w14:textId="77777777" w:rsidR="00B1578D" w:rsidRDefault="00B1578D">
            <w:pPr>
              <w:rPr>
                <w:rFonts w:ascii="宋体"/>
              </w:rPr>
            </w:pPr>
          </w:p>
        </w:tc>
        <w:tc>
          <w:tcPr>
            <w:tcW w:w="5" w:type="pct"/>
            <w:shd w:val="clear" w:color="auto" w:fill="auto"/>
            <w:vAlign w:val="bottom"/>
          </w:tcPr>
          <w:p w14:paraId="5DEC6789" w14:textId="77777777" w:rsidR="00B1578D" w:rsidRDefault="00B1578D">
            <w:pPr>
              <w:rPr>
                <w:rFonts w:ascii="宋体"/>
              </w:rPr>
            </w:pPr>
          </w:p>
        </w:tc>
        <w:tc>
          <w:tcPr>
            <w:tcW w:w="50" w:type="pct"/>
            <w:shd w:val="clear" w:color="auto" w:fill="auto"/>
            <w:vAlign w:val="bottom"/>
          </w:tcPr>
          <w:p w14:paraId="5DEC678A" w14:textId="77777777" w:rsidR="00B1578D" w:rsidRDefault="00B1578D">
            <w:pPr>
              <w:rPr>
                <w:rFonts w:ascii="宋体"/>
              </w:rPr>
            </w:pPr>
          </w:p>
        </w:tc>
        <w:tc>
          <w:tcPr>
            <w:tcW w:w="529" w:type="pct"/>
            <w:shd w:val="clear" w:color="auto" w:fill="auto"/>
            <w:vAlign w:val="bottom"/>
          </w:tcPr>
          <w:p w14:paraId="5DEC678B" w14:textId="77777777" w:rsidR="00B1578D" w:rsidRDefault="00B1578D">
            <w:pPr>
              <w:rPr>
                <w:rFonts w:ascii="宋体"/>
              </w:rPr>
            </w:pPr>
          </w:p>
        </w:tc>
        <w:tc>
          <w:tcPr>
            <w:tcW w:w="5" w:type="pct"/>
            <w:shd w:val="clear" w:color="auto" w:fill="auto"/>
            <w:vAlign w:val="bottom"/>
          </w:tcPr>
          <w:p w14:paraId="5DEC678C" w14:textId="77777777" w:rsidR="00B1578D" w:rsidRDefault="00B1578D">
            <w:pPr>
              <w:rPr>
                <w:rFonts w:ascii="宋体"/>
              </w:rPr>
            </w:pPr>
          </w:p>
        </w:tc>
        <w:tc>
          <w:tcPr>
            <w:tcW w:w="5" w:type="pct"/>
            <w:shd w:val="clear" w:color="auto" w:fill="auto"/>
            <w:vAlign w:val="bottom"/>
          </w:tcPr>
          <w:p w14:paraId="5DEC678D" w14:textId="77777777" w:rsidR="00B1578D" w:rsidRDefault="00B1578D">
            <w:pPr>
              <w:rPr>
                <w:rFonts w:ascii="宋体"/>
              </w:rPr>
            </w:pPr>
          </w:p>
        </w:tc>
        <w:tc>
          <w:tcPr>
            <w:tcW w:w="26" w:type="pct"/>
            <w:shd w:val="clear" w:color="auto" w:fill="auto"/>
            <w:vAlign w:val="bottom"/>
          </w:tcPr>
          <w:p w14:paraId="5DEC678E" w14:textId="77777777" w:rsidR="00B1578D" w:rsidRDefault="00B1578D">
            <w:pPr>
              <w:rPr>
                <w:rFonts w:ascii="宋体"/>
              </w:rPr>
            </w:pPr>
          </w:p>
        </w:tc>
        <w:tc>
          <w:tcPr>
            <w:tcW w:w="5" w:type="pct"/>
            <w:shd w:val="clear" w:color="auto" w:fill="auto"/>
            <w:vAlign w:val="bottom"/>
          </w:tcPr>
          <w:p w14:paraId="5DEC678F" w14:textId="77777777" w:rsidR="00B1578D" w:rsidRDefault="00B1578D">
            <w:pPr>
              <w:rPr>
                <w:rFonts w:ascii="宋体"/>
              </w:rPr>
            </w:pPr>
          </w:p>
        </w:tc>
        <w:tc>
          <w:tcPr>
            <w:tcW w:w="50" w:type="pct"/>
            <w:shd w:val="clear" w:color="auto" w:fill="auto"/>
            <w:vAlign w:val="bottom"/>
          </w:tcPr>
          <w:p w14:paraId="5DEC6790" w14:textId="77777777" w:rsidR="00B1578D" w:rsidRDefault="00B1578D">
            <w:pPr>
              <w:rPr>
                <w:rFonts w:ascii="宋体"/>
              </w:rPr>
            </w:pPr>
          </w:p>
        </w:tc>
        <w:tc>
          <w:tcPr>
            <w:tcW w:w="530" w:type="pct"/>
            <w:shd w:val="clear" w:color="auto" w:fill="auto"/>
            <w:vAlign w:val="bottom"/>
          </w:tcPr>
          <w:p w14:paraId="5DEC6791" w14:textId="77777777" w:rsidR="00B1578D" w:rsidRDefault="00B1578D">
            <w:pPr>
              <w:rPr>
                <w:rFonts w:ascii="宋体"/>
              </w:rPr>
            </w:pPr>
          </w:p>
        </w:tc>
        <w:tc>
          <w:tcPr>
            <w:tcW w:w="5" w:type="pct"/>
            <w:shd w:val="clear" w:color="auto" w:fill="auto"/>
            <w:vAlign w:val="bottom"/>
          </w:tcPr>
          <w:p w14:paraId="5DEC6792" w14:textId="77777777" w:rsidR="00B1578D" w:rsidRDefault="00B1578D">
            <w:pPr>
              <w:rPr>
                <w:rFonts w:ascii="宋体"/>
              </w:rPr>
            </w:pPr>
          </w:p>
        </w:tc>
      </w:tr>
      <w:tr w:rsidR="00B1578D" w14:paraId="5DEC6797" w14:textId="77777777">
        <w:tc>
          <w:tcPr>
            <w:tcW w:w="0" w:type="auto"/>
            <w:gridSpan w:val="3"/>
            <w:shd w:val="clear" w:color="auto" w:fill="auto"/>
            <w:tcMar>
              <w:top w:w="40" w:type="dxa"/>
              <w:left w:w="20" w:type="dxa"/>
              <w:bottom w:w="40" w:type="dxa"/>
              <w:right w:w="20" w:type="dxa"/>
            </w:tcMar>
            <w:vAlign w:val="bottom"/>
          </w:tcPr>
          <w:p w14:paraId="5DEC6794"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795" w14:textId="77777777" w:rsidR="00B1578D" w:rsidRDefault="00B1578D">
            <w:pPr>
              <w:rPr>
                <w:rFonts w:ascii="宋体"/>
              </w:rPr>
            </w:pPr>
          </w:p>
        </w:tc>
        <w:tc>
          <w:tcPr>
            <w:tcW w:w="0" w:type="auto"/>
            <w:gridSpan w:val="15"/>
            <w:shd w:val="clear" w:color="auto" w:fill="auto"/>
            <w:tcMar>
              <w:top w:w="40" w:type="dxa"/>
              <w:left w:w="20" w:type="dxa"/>
              <w:bottom w:w="40" w:type="dxa"/>
              <w:right w:w="20" w:type="dxa"/>
            </w:tcMar>
            <w:vAlign w:val="bottom"/>
          </w:tcPr>
          <w:p w14:paraId="5DEC6796" w14:textId="77777777" w:rsidR="00B1578D" w:rsidRDefault="004D2C04">
            <w:pPr>
              <w:jc w:val="center"/>
              <w:textAlignment w:val="bottom"/>
            </w:pPr>
            <w:r>
              <w:rPr>
                <w:rFonts w:ascii="Times New Roman" w:eastAsia="宋体" w:hAnsi="Times New Roman"/>
                <w:b/>
                <w:bCs/>
                <w:color w:val="000000"/>
                <w:sz w:val="16"/>
                <w:szCs w:val="16"/>
              </w:rPr>
              <w:t xml:space="preserve">As of </w:t>
            </w:r>
            <w:r>
              <w:rPr>
                <w:rFonts w:ascii="Times New Roman" w:eastAsia="宋体" w:hAnsi="Times New Roman"/>
                <w:b/>
                <w:bCs/>
                <w:color w:val="000000"/>
                <w:sz w:val="16"/>
                <w:szCs w:val="16"/>
              </w:rPr>
              <w:t>April 30,</w:t>
            </w:r>
          </w:p>
        </w:tc>
      </w:tr>
      <w:tr w:rsidR="00B1578D" w14:paraId="5DEC679F" w14:textId="77777777">
        <w:tc>
          <w:tcPr>
            <w:tcW w:w="0" w:type="auto"/>
            <w:gridSpan w:val="3"/>
            <w:shd w:val="clear" w:color="auto" w:fill="auto"/>
            <w:tcMar>
              <w:top w:w="40" w:type="dxa"/>
              <w:left w:w="20" w:type="dxa"/>
              <w:bottom w:w="40" w:type="dxa"/>
              <w:right w:w="20" w:type="dxa"/>
            </w:tcMar>
            <w:vAlign w:val="bottom"/>
          </w:tcPr>
          <w:p w14:paraId="5DEC6798"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799"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79A"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79B"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79C"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79D"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79E" w14:textId="77777777" w:rsidR="00B1578D" w:rsidRDefault="004D2C04">
            <w:pPr>
              <w:jc w:val="center"/>
              <w:textAlignment w:val="bottom"/>
            </w:pPr>
            <w:r>
              <w:rPr>
                <w:rFonts w:ascii="Times New Roman" w:eastAsia="宋体" w:hAnsi="Times New Roman"/>
                <w:b/>
                <w:bCs/>
                <w:color w:val="000000"/>
                <w:sz w:val="16"/>
                <w:szCs w:val="16"/>
              </w:rPr>
              <w:t>2020</w:t>
            </w:r>
          </w:p>
        </w:tc>
      </w:tr>
      <w:tr w:rsidR="00B1578D" w14:paraId="5DEC67A7" w14:textId="77777777">
        <w:tc>
          <w:tcPr>
            <w:tcW w:w="0" w:type="auto"/>
            <w:gridSpan w:val="3"/>
            <w:shd w:val="clear" w:color="auto" w:fill="auto"/>
            <w:tcMar>
              <w:top w:w="40" w:type="dxa"/>
              <w:left w:w="20" w:type="dxa"/>
              <w:bottom w:w="40" w:type="dxa"/>
              <w:right w:w="20" w:type="dxa"/>
            </w:tcMar>
            <w:vAlign w:val="bottom"/>
          </w:tcPr>
          <w:p w14:paraId="5DEC67A0" w14:textId="77777777" w:rsidR="00B1578D" w:rsidRDefault="004D2C04">
            <w:pPr>
              <w:textAlignment w:val="bottom"/>
            </w:pPr>
            <w:r>
              <w:rPr>
                <w:rFonts w:ascii="Times New Roman" w:eastAsia="宋体" w:hAnsi="Times New Roman"/>
                <w:b/>
                <w:bCs/>
                <w:color w:val="000000"/>
                <w:sz w:val="16"/>
                <w:szCs w:val="16"/>
              </w:rPr>
              <w:t>Certain Balance Sheet Data</w:t>
            </w:r>
          </w:p>
        </w:tc>
        <w:tc>
          <w:tcPr>
            <w:tcW w:w="0" w:type="auto"/>
            <w:gridSpan w:val="3"/>
            <w:shd w:val="clear" w:color="auto" w:fill="auto"/>
            <w:tcMar>
              <w:top w:w="0" w:type="dxa"/>
              <w:left w:w="20" w:type="dxa"/>
              <w:bottom w:w="0" w:type="dxa"/>
              <w:right w:w="20" w:type="dxa"/>
            </w:tcMar>
            <w:vAlign w:val="bottom"/>
          </w:tcPr>
          <w:p w14:paraId="5DEC67A1"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7A2"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7A3"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7A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7A5"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7A6" w14:textId="77777777" w:rsidR="00B1578D" w:rsidRDefault="00B1578D">
            <w:pPr>
              <w:rPr>
                <w:rFonts w:ascii="宋体"/>
              </w:rPr>
            </w:pPr>
          </w:p>
        </w:tc>
      </w:tr>
      <w:tr w:rsidR="00B1578D" w14:paraId="5DEC67B5" w14:textId="77777777">
        <w:tc>
          <w:tcPr>
            <w:tcW w:w="0" w:type="auto"/>
            <w:gridSpan w:val="3"/>
            <w:shd w:val="clear" w:color="auto" w:fill="CCEEFF"/>
            <w:tcMar>
              <w:top w:w="40" w:type="dxa"/>
              <w:left w:w="20" w:type="dxa"/>
              <w:bottom w:w="40" w:type="dxa"/>
              <w:right w:w="20" w:type="dxa"/>
            </w:tcMar>
            <w:vAlign w:val="center"/>
          </w:tcPr>
          <w:p w14:paraId="5DEC67A8" w14:textId="77777777" w:rsidR="00B1578D" w:rsidRDefault="004D2C04">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vAlign w:val="bottom"/>
          </w:tcPr>
          <w:p w14:paraId="5DEC67A9"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7AA"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7AB" w14:textId="77777777" w:rsidR="00B1578D" w:rsidRDefault="004D2C04">
            <w:pPr>
              <w:jc w:val="right"/>
              <w:textAlignment w:val="center"/>
            </w:pPr>
            <w:r>
              <w:rPr>
                <w:rFonts w:ascii="Times New Roman" w:eastAsia="宋体" w:hAnsi="Times New Roman"/>
                <w:color w:val="000000"/>
                <w:sz w:val="16"/>
                <w:szCs w:val="16"/>
              </w:rPr>
              <w:t>246,142 </w:t>
            </w:r>
          </w:p>
        </w:tc>
        <w:tc>
          <w:tcPr>
            <w:tcW w:w="0" w:type="auto"/>
            <w:shd w:val="clear" w:color="auto" w:fill="CCEEFF"/>
            <w:tcMar>
              <w:top w:w="40" w:type="dxa"/>
              <w:left w:w="0" w:type="dxa"/>
              <w:bottom w:w="40" w:type="dxa"/>
              <w:right w:w="20" w:type="dxa"/>
            </w:tcMar>
            <w:vAlign w:val="center"/>
          </w:tcPr>
          <w:p w14:paraId="5DEC67A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AD"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7AE"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7AF" w14:textId="77777777" w:rsidR="00B1578D" w:rsidRDefault="004D2C04">
            <w:pPr>
              <w:jc w:val="right"/>
              <w:textAlignment w:val="center"/>
            </w:pPr>
            <w:r>
              <w:rPr>
                <w:rFonts w:ascii="Times New Roman" w:eastAsia="宋体" w:hAnsi="Times New Roman"/>
                <w:color w:val="000000"/>
                <w:sz w:val="16"/>
                <w:szCs w:val="16"/>
              </w:rPr>
              <w:t>236,581 </w:t>
            </w:r>
          </w:p>
        </w:tc>
        <w:tc>
          <w:tcPr>
            <w:tcW w:w="0" w:type="auto"/>
            <w:shd w:val="clear" w:color="auto" w:fill="CCEEFF"/>
            <w:tcMar>
              <w:top w:w="40" w:type="dxa"/>
              <w:left w:w="0" w:type="dxa"/>
              <w:bottom w:w="40" w:type="dxa"/>
              <w:right w:w="20" w:type="dxa"/>
            </w:tcMar>
            <w:vAlign w:val="center"/>
          </w:tcPr>
          <w:p w14:paraId="5DEC67B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B1"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7B2"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7B3" w14:textId="77777777" w:rsidR="00B1578D" w:rsidRDefault="004D2C04">
            <w:pPr>
              <w:jc w:val="right"/>
              <w:textAlignment w:val="center"/>
            </w:pPr>
            <w:r>
              <w:rPr>
                <w:rFonts w:ascii="Times New Roman" w:eastAsia="宋体" w:hAnsi="Times New Roman"/>
                <w:color w:val="000000"/>
                <w:sz w:val="16"/>
                <w:szCs w:val="16"/>
              </w:rPr>
              <w:t>232,892 </w:t>
            </w:r>
          </w:p>
        </w:tc>
        <w:tc>
          <w:tcPr>
            <w:tcW w:w="0" w:type="auto"/>
            <w:shd w:val="clear" w:color="auto" w:fill="CCEEFF"/>
            <w:tcMar>
              <w:top w:w="40" w:type="dxa"/>
              <w:left w:w="0" w:type="dxa"/>
              <w:bottom w:w="40" w:type="dxa"/>
              <w:right w:w="20" w:type="dxa"/>
            </w:tcMar>
            <w:vAlign w:val="center"/>
          </w:tcPr>
          <w:p w14:paraId="5DEC67B4" w14:textId="77777777" w:rsidR="00B1578D" w:rsidRDefault="00B1578D">
            <w:pPr>
              <w:jc w:val="right"/>
              <w:rPr>
                <w:rFonts w:ascii="宋体"/>
              </w:rPr>
            </w:pPr>
          </w:p>
        </w:tc>
      </w:tr>
      <w:tr w:rsidR="00B1578D" w14:paraId="5DEC67C0" w14:textId="77777777">
        <w:tc>
          <w:tcPr>
            <w:tcW w:w="0" w:type="auto"/>
            <w:gridSpan w:val="3"/>
            <w:shd w:val="clear" w:color="auto" w:fill="FFFFFF"/>
            <w:tcMar>
              <w:top w:w="40" w:type="dxa"/>
              <w:left w:w="20" w:type="dxa"/>
              <w:bottom w:w="40" w:type="dxa"/>
              <w:right w:w="20" w:type="dxa"/>
            </w:tcMar>
            <w:vAlign w:val="center"/>
          </w:tcPr>
          <w:p w14:paraId="5DEC67B6" w14:textId="77777777" w:rsidR="00B1578D" w:rsidRDefault="004D2C04">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vAlign w:val="bottom"/>
          </w:tcPr>
          <w:p w14:paraId="5DEC67B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B8" w14:textId="77777777" w:rsidR="00B1578D" w:rsidRDefault="004D2C04">
            <w:pPr>
              <w:jc w:val="right"/>
              <w:textAlignment w:val="center"/>
            </w:pPr>
            <w:r>
              <w:rPr>
                <w:rFonts w:ascii="Times New Roman" w:eastAsia="宋体" w:hAnsi="Times New Roman"/>
                <w:color w:val="000000"/>
                <w:sz w:val="16"/>
                <w:szCs w:val="16"/>
              </w:rPr>
              <w:t>104,295 </w:t>
            </w:r>
          </w:p>
        </w:tc>
        <w:tc>
          <w:tcPr>
            <w:tcW w:w="0" w:type="auto"/>
            <w:shd w:val="clear" w:color="auto" w:fill="FFFFFF"/>
            <w:tcMar>
              <w:top w:w="40" w:type="dxa"/>
              <w:left w:w="0" w:type="dxa"/>
              <w:bottom w:w="40" w:type="dxa"/>
              <w:right w:w="20" w:type="dxa"/>
            </w:tcMar>
            <w:vAlign w:val="center"/>
          </w:tcPr>
          <w:p w14:paraId="5DEC67B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BA"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BB" w14:textId="77777777" w:rsidR="00B1578D" w:rsidRDefault="004D2C04">
            <w:pPr>
              <w:jc w:val="right"/>
              <w:textAlignment w:val="center"/>
            </w:pPr>
            <w:r>
              <w:rPr>
                <w:rFonts w:ascii="Times New Roman" w:eastAsia="宋体" w:hAnsi="Times New Roman"/>
                <w:color w:val="000000"/>
                <w:sz w:val="16"/>
                <w:szCs w:val="16"/>
              </w:rPr>
              <w:t>96,334 </w:t>
            </w:r>
          </w:p>
        </w:tc>
        <w:tc>
          <w:tcPr>
            <w:tcW w:w="0" w:type="auto"/>
            <w:shd w:val="clear" w:color="auto" w:fill="FFFFFF"/>
            <w:tcMar>
              <w:top w:w="40" w:type="dxa"/>
              <w:left w:w="0" w:type="dxa"/>
              <w:bottom w:w="40" w:type="dxa"/>
              <w:right w:w="20" w:type="dxa"/>
            </w:tcMar>
            <w:vAlign w:val="center"/>
          </w:tcPr>
          <w:p w14:paraId="5DEC67B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B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BE" w14:textId="77777777" w:rsidR="00B1578D" w:rsidRDefault="004D2C04">
            <w:pPr>
              <w:jc w:val="right"/>
              <w:textAlignment w:val="center"/>
            </w:pPr>
            <w:r>
              <w:rPr>
                <w:rFonts w:ascii="Times New Roman" w:eastAsia="宋体" w:hAnsi="Times New Roman"/>
                <w:color w:val="000000"/>
                <w:sz w:val="16"/>
                <w:szCs w:val="16"/>
              </w:rPr>
              <w:t>94,514 </w:t>
            </w:r>
          </w:p>
        </w:tc>
        <w:tc>
          <w:tcPr>
            <w:tcW w:w="0" w:type="auto"/>
            <w:shd w:val="clear" w:color="auto" w:fill="FFFFFF"/>
            <w:tcMar>
              <w:top w:w="40" w:type="dxa"/>
              <w:left w:w="0" w:type="dxa"/>
              <w:bottom w:w="40" w:type="dxa"/>
              <w:right w:w="20" w:type="dxa"/>
            </w:tcMar>
            <w:vAlign w:val="center"/>
          </w:tcPr>
          <w:p w14:paraId="5DEC67BF" w14:textId="77777777" w:rsidR="00B1578D" w:rsidRDefault="00B1578D">
            <w:pPr>
              <w:jc w:val="right"/>
              <w:rPr>
                <w:rFonts w:ascii="宋体"/>
              </w:rPr>
            </w:pPr>
          </w:p>
        </w:tc>
      </w:tr>
      <w:tr w:rsidR="00B1578D" w14:paraId="5DEC67CB" w14:textId="77777777">
        <w:tc>
          <w:tcPr>
            <w:tcW w:w="0" w:type="auto"/>
            <w:gridSpan w:val="3"/>
            <w:shd w:val="clear" w:color="auto" w:fill="CCEEFF"/>
            <w:tcMar>
              <w:top w:w="40" w:type="dxa"/>
              <w:left w:w="20" w:type="dxa"/>
              <w:bottom w:w="40" w:type="dxa"/>
              <w:right w:w="20" w:type="dxa"/>
            </w:tcMar>
            <w:vAlign w:val="center"/>
          </w:tcPr>
          <w:p w14:paraId="5DEC67C1" w14:textId="77777777" w:rsidR="00B1578D" w:rsidRDefault="004D2C04">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5DEC67C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C3" w14:textId="77777777" w:rsidR="00B1578D" w:rsidRDefault="004D2C04">
            <w:pPr>
              <w:jc w:val="right"/>
              <w:textAlignment w:val="center"/>
            </w:pPr>
            <w:r>
              <w:rPr>
                <w:rFonts w:ascii="Times New Roman" w:eastAsia="宋体" w:hAnsi="Times New Roman"/>
                <w:color w:val="000000"/>
                <w:sz w:val="16"/>
                <w:szCs w:val="16"/>
              </w:rPr>
              <w:t>52,926 </w:t>
            </w:r>
          </w:p>
        </w:tc>
        <w:tc>
          <w:tcPr>
            <w:tcW w:w="0" w:type="auto"/>
            <w:shd w:val="clear" w:color="auto" w:fill="CCEEFF"/>
            <w:tcMar>
              <w:top w:w="40" w:type="dxa"/>
              <w:left w:w="0" w:type="dxa"/>
              <w:bottom w:w="40" w:type="dxa"/>
              <w:right w:w="20" w:type="dxa"/>
            </w:tcMar>
            <w:vAlign w:val="center"/>
          </w:tcPr>
          <w:p w14:paraId="5DEC67C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C5"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C6" w14:textId="77777777" w:rsidR="00B1578D" w:rsidRDefault="004D2C04">
            <w:pPr>
              <w:jc w:val="right"/>
              <w:textAlignment w:val="center"/>
            </w:pPr>
            <w:r>
              <w:rPr>
                <w:rFonts w:ascii="Times New Roman" w:eastAsia="宋体" w:hAnsi="Times New Roman"/>
                <w:color w:val="000000"/>
                <w:sz w:val="16"/>
                <w:szCs w:val="16"/>
              </w:rPr>
              <w:t>48,151 </w:t>
            </w:r>
          </w:p>
        </w:tc>
        <w:tc>
          <w:tcPr>
            <w:tcW w:w="0" w:type="auto"/>
            <w:shd w:val="clear" w:color="auto" w:fill="CCEEFF"/>
            <w:tcMar>
              <w:top w:w="40" w:type="dxa"/>
              <w:left w:w="0" w:type="dxa"/>
              <w:bottom w:w="40" w:type="dxa"/>
              <w:right w:w="20" w:type="dxa"/>
            </w:tcMar>
            <w:vAlign w:val="center"/>
          </w:tcPr>
          <w:p w14:paraId="5DEC67C7"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7C8"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7C9" w14:textId="77777777" w:rsidR="00B1578D" w:rsidRDefault="004D2C04">
            <w:pPr>
              <w:jc w:val="right"/>
              <w:textAlignment w:val="center"/>
            </w:pPr>
            <w:r>
              <w:rPr>
                <w:rFonts w:ascii="Times New Roman" w:eastAsia="宋体" w:hAnsi="Times New Roman"/>
                <w:color w:val="000000"/>
                <w:sz w:val="16"/>
                <w:szCs w:val="16"/>
              </w:rPr>
              <w:t>44,096 </w:t>
            </w:r>
          </w:p>
        </w:tc>
        <w:tc>
          <w:tcPr>
            <w:tcW w:w="0" w:type="auto"/>
            <w:shd w:val="clear" w:color="auto" w:fill="CCEEFF"/>
            <w:tcMar>
              <w:top w:w="40" w:type="dxa"/>
              <w:left w:w="0" w:type="dxa"/>
              <w:bottom w:w="40" w:type="dxa"/>
              <w:right w:w="20" w:type="dxa"/>
            </w:tcMar>
            <w:vAlign w:val="center"/>
          </w:tcPr>
          <w:p w14:paraId="5DEC67CA" w14:textId="77777777" w:rsidR="00B1578D" w:rsidRDefault="00B1578D">
            <w:pPr>
              <w:jc w:val="right"/>
              <w:rPr>
                <w:rFonts w:ascii="宋体"/>
              </w:rPr>
            </w:pPr>
          </w:p>
        </w:tc>
      </w:tr>
      <w:tr w:rsidR="00B1578D" w14:paraId="5DEC67D6" w14:textId="77777777">
        <w:tc>
          <w:tcPr>
            <w:tcW w:w="0" w:type="auto"/>
            <w:gridSpan w:val="3"/>
            <w:shd w:val="clear" w:color="auto" w:fill="FFFFFF"/>
            <w:tcMar>
              <w:top w:w="40" w:type="dxa"/>
              <w:left w:w="20" w:type="dxa"/>
              <w:bottom w:w="40" w:type="dxa"/>
              <w:right w:w="20" w:type="dxa"/>
            </w:tcMar>
            <w:vAlign w:val="center"/>
          </w:tcPr>
          <w:p w14:paraId="5DEC67CC" w14:textId="77777777" w:rsidR="00B1578D" w:rsidRDefault="004D2C04">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5DEC67C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CE" w14:textId="77777777" w:rsidR="00B1578D" w:rsidRDefault="004D2C04">
            <w:pPr>
              <w:jc w:val="right"/>
              <w:textAlignment w:val="center"/>
            </w:pPr>
            <w:r>
              <w:rPr>
                <w:rFonts w:ascii="Times New Roman" w:eastAsia="宋体" w:hAnsi="Times New Roman"/>
                <w:color w:val="000000"/>
                <w:sz w:val="16"/>
                <w:szCs w:val="16"/>
              </w:rPr>
              <w:t>21,061 </w:t>
            </w:r>
          </w:p>
        </w:tc>
        <w:tc>
          <w:tcPr>
            <w:tcW w:w="0" w:type="auto"/>
            <w:shd w:val="clear" w:color="auto" w:fill="FFFFFF"/>
            <w:tcMar>
              <w:top w:w="40" w:type="dxa"/>
              <w:left w:w="0" w:type="dxa"/>
              <w:bottom w:w="40" w:type="dxa"/>
              <w:right w:w="20" w:type="dxa"/>
            </w:tcMar>
            <w:vAlign w:val="center"/>
          </w:tcPr>
          <w:p w14:paraId="5DEC67C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D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D1" w14:textId="77777777" w:rsidR="00B1578D" w:rsidRDefault="004D2C04">
            <w:pPr>
              <w:jc w:val="right"/>
              <w:textAlignment w:val="center"/>
            </w:pPr>
            <w:r>
              <w:rPr>
                <w:rFonts w:ascii="Times New Roman" w:eastAsia="宋体" w:hAnsi="Times New Roman"/>
                <w:color w:val="000000"/>
                <w:sz w:val="16"/>
                <w:szCs w:val="16"/>
              </w:rPr>
              <w:t>21,371 </w:t>
            </w:r>
          </w:p>
        </w:tc>
        <w:tc>
          <w:tcPr>
            <w:tcW w:w="0" w:type="auto"/>
            <w:shd w:val="clear" w:color="auto" w:fill="FFFFFF"/>
            <w:tcMar>
              <w:top w:w="40" w:type="dxa"/>
              <w:left w:w="0" w:type="dxa"/>
              <w:bottom w:w="40" w:type="dxa"/>
              <w:right w:w="20" w:type="dxa"/>
            </w:tcMar>
            <w:vAlign w:val="center"/>
          </w:tcPr>
          <w:p w14:paraId="5DEC67D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7D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7D4" w14:textId="77777777" w:rsidR="00B1578D" w:rsidRDefault="004D2C04">
            <w:pPr>
              <w:jc w:val="right"/>
              <w:textAlignment w:val="center"/>
            </w:pPr>
            <w:r>
              <w:rPr>
                <w:rFonts w:ascii="Times New Roman" w:eastAsia="宋体" w:hAnsi="Times New Roman"/>
                <w:color w:val="000000"/>
                <w:sz w:val="16"/>
                <w:szCs w:val="16"/>
              </w:rPr>
              <w:t>20,377 </w:t>
            </w:r>
          </w:p>
        </w:tc>
        <w:tc>
          <w:tcPr>
            <w:tcW w:w="0" w:type="auto"/>
            <w:shd w:val="clear" w:color="auto" w:fill="FFFFFF"/>
            <w:tcMar>
              <w:top w:w="40" w:type="dxa"/>
              <w:left w:w="0" w:type="dxa"/>
              <w:bottom w:w="40" w:type="dxa"/>
              <w:right w:w="20" w:type="dxa"/>
            </w:tcMar>
            <w:vAlign w:val="center"/>
          </w:tcPr>
          <w:p w14:paraId="5DEC67D5" w14:textId="77777777" w:rsidR="00B1578D" w:rsidRDefault="00B1578D">
            <w:pPr>
              <w:jc w:val="right"/>
              <w:rPr>
                <w:rFonts w:ascii="宋体"/>
              </w:rPr>
            </w:pPr>
          </w:p>
        </w:tc>
      </w:tr>
    </w:tbl>
    <w:p w14:paraId="5DEC67D7" w14:textId="77777777" w:rsidR="00B1578D" w:rsidRDefault="004D2C04">
      <w:r>
        <w:rPr>
          <w:rFonts w:ascii="Times New Roman" w:eastAsia="宋体" w:hAnsi="Times New Roman"/>
          <w:color w:val="000000"/>
          <w:sz w:val="20"/>
          <w:szCs w:val="20"/>
        </w:rPr>
        <w:t> </w:t>
      </w:r>
    </w:p>
    <w:p w14:paraId="5DEC67D8" w14:textId="77777777" w:rsidR="00B1578D" w:rsidRDefault="00B1578D">
      <w:pPr>
        <w:ind w:hanging="180"/>
      </w:pPr>
    </w:p>
    <w:p w14:paraId="5DEC67D9" w14:textId="77777777" w:rsidR="00B1578D" w:rsidRDefault="00B1578D">
      <w:pPr>
        <w:ind w:hanging="360"/>
      </w:pPr>
    </w:p>
    <w:p w14:paraId="5DEC67DA" w14:textId="77777777" w:rsidR="00B1578D" w:rsidRDefault="00B1578D">
      <w:pPr>
        <w:ind w:hanging="360"/>
      </w:pPr>
    </w:p>
    <w:p w14:paraId="5DEC67DB" w14:textId="77777777" w:rsidR="00B1578D" w:rsidRDefault="00B1578D">
      <w:pPr>
        <w:ind w:hanging="360"/>
      </w:pPr>
    </w:p>
    <w:p w14:paraId="5DEC67DC" w14:textId="77777777" w:rsidR="00B1578D" w:rsidRDefault="004D2C04">
      <w:pPr>
        <w:jc w:val="center"/>
      </w:pPr>
      <w:r>
        <w:rPr>
          <w:rFonts w:ascii="Times New Roman" w:eastAsia="宋体" w:hAnsi="Times New Roman"/>
          <w:color w:val="000000"/>
          <w:sz w:val="20"/>
          <w:szCs w:val="20"/>
        </w:rPr>
        <w:t>18</w:t>
      </w:r>
    </w:p>
    <w:p w14:paraId="5DEC67DD" w14:textId="77777777" w:rsidR="00B1578D" w:rsidRDefault="004D2C04">
      <w:r>
        <w:pict w14:anchorId="5DEC6F37">
          <v:rect id="_x0000_i1042" style="width:415.3pt;height:1.5pt" o:hralign="center" o:hrstd="t" o:hr="t" fillcolor="#a0a0a0" stroked="f"/>
        </w:pict>
      </w:r>
    </w:p>
    <w:p w14:paraId="5DEC67DE" w14:textId="77777777" w:rsidR="00B1578D" w:rsidRDefault="004D2C04">
      <w:hyperlink r:id="rId61" w:anchor="ia92fe4e1fa654d85928fb72942eadb02_7" w:history="1">
        <w:r>
          <w:rPr>
            <w:rStyle w:val="a5"/>
            <w:rFonts w:ascii="Times New Roman" w:eastAsia="宋体" w:hAnsi="Times New Roman"/>
            <w:sz w:val="20"/>
            <w:szCs w:val="20"/>
          </w:rPr>
          <w:t>Table of Contents</w:t>
        </w:r>
      </w:hyperlink>
    </w:p>
    <w:p w14:paraId="5DEC67DF" w14:textId="77777777" w:rsidR="00B1578D" w:rsidRDefault="004D2C04">
      <w:r>
        <w:rPr>
          <w:rFonts w:ascii="Times New Roman" w:eastAsia="宋体" w:hAnsi="Times New Roman"/>
          <w:i/>
          <w:iCs/>
          <w:color w:val="000000"/>
          <w:sz w:val="20"/>
          <w:szCs w:val="20"/>
        </w:rPr>
        <w:t>Free Cash Flow</w:t>
      </w:r>
    </w:p>
    <w:p w14:paraId="5DEC67E0" w14:textId="77777777" w:rsidR="00B1578D" w:rsidRDefault="004D2C04">
      <w:pPr>
        <w:spacing w:before="100"/>
      </w:pPr>
      <w:r>
        <w:rPr>
          <w:rFonts w:ascii="Times New Roman" w:eastAsia="宋体" w:hAnsi="Times New Roman"/>
          <w:color w:val="000000"/>
          <w:sz w:val="20"/>
          <w:szCs w:val="20"/>
        </w:rPr>
        <w:t>Free cash flow is considered a non-GAAP financial measure. Management b</w:t>
      </w:r>
      <w:r>
        <w:rPr>
          <w:rFonts w:ascii="Times New Roman" w:eastAsia="宋体" w:hAnsi="Times New Roman"/>
          <w:color w:val="000000"/>
          <w:sz w:val="20"/>
          <w:szCs w:val="20"/>
        </w:rPr>
        <w:t xml:space="preserve">elieves, however, that free cash flow, which measures our ability to generate additional cash from our business operations, is an important financial measure for use in evaluating the Company's financial performance. Free cash flow should be considered in </w:t>
      </w:r>
      <w:r>
        <w:rPr>
          <w:rFonts w:ascii="Times New Roman" w:eastAsia="宋体" w:hAnsi="Times New Roman"/>
          <w:color w:val="000000"/>
          <w:sz w:val="20"/>
          <w:szCs w:val="20"/>
        </w:rPr>
        <w:t xml:space="preserve">addition to, rather than as a substitute for, consolidated net income as a measure of our performance and net cash provided by operating activities as a measure of our liquidity. See </w:t>
      </w:r>
      <w:hyperlink r:id="rId62" w:anchor="ia92fe4e1fa654d85928fb72942eadb02_100"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for discussions of GAAP metrics including net cash provided by operating activities, net cash used in investing activities and net cash used in</w:t>
      </w:r>
      <w:r>
        <w:rPr>
          <w:rFonts w:ascii="Times New Roman" w:eastAsia="宋体" w:hAnsi="Times New Roman"/>
          <w:color w:val="000000"/>
          <w:sz w:val="20"/>
          <w:szCs w:val="20"/>
        </w:rPr>
        <w:t xml:space="preserve"> financing activities.</w:t>
      </w:r>
    </w:p>
    <w:p w14:paraId="5DEC67E1" w14:textId="77777777" w:rsidR="00B1578D" w:rsidRDefault="004D2C04">
      <w:pPr>
        <w:spacing w:before="100" w:after="100"/>
      </w:pPr>
      <w:r>
        <w:rPr>
          <w:rFonts w:ascii="Times New Roman" w:eastAsia="宋体" w:hAnsi="Times New Roman"/>
          <w:color w:val="000000"/>
          <w:sz w:val="20"/>
          <w:szCs w:val="20"/>
        </w:rPr>
        <w:t>We define free cash flow as net cash used in or provided by operating activities in a period minus payments for property and equipment made in that period. Net cash used in operating activities was $3.8 billion for the three months e</w:t>
      </w:r>
      <w:r>
        <w:rPr>
          <w:rFonts w:ascii="Times New Roman" w:eastAsia="宋体" w:hAnsi="Times New Roman"/>
          <w:color w:val="000000"/>
          <w:sz w:val="20"/>
          <w:szCs w:val="20"/>
        </w:rPr>
        <w:t xml:space="preserve">nded April 30, 2022, which represents a decline of $6.6 billion when compared to the same period in the prior year. The decline is primarily due to an increase in inventory costs and purchases to support strong sales, lower operating income and the timing </w:t>
      </w:r>
      <w:r>
        <w:rPr>
          <w:rFonts w:ascii="Times New Roman" w:eastAsia="宋体" w:hAnsi="Times New Roman"/>
          <w:color w:val="000000"/>
          <w:sz w:val="20"/>
          <w:szCs w:val="20"/>
        </w:rPr>
        <w:t>of certain payments and payables. Free cash flow for the three months ended April 30, 2022 was negative $7.3 billion, which represents a decline of $7.9 billion when compared to the same period in the prior year. The decline in free cash flow is due to the</w:t>
      </w:r>
      <w:r>
        <w:rPr>
          <w:rFonts w:ascii="Times New Roman" w:eastAsia="宋体" w:hAnsi="Times New Roman"/>
          <w:color w:val="000000"/>
          <w:sz w:val="20"/>
          <w:szCs w:val="20"/>
        </w:rPr>
        <w:t xml:space="preserve"> reduction in operating cash flows described above, as well as an increase of $1.3 billion in capital expenditures to support our investment strategy. </w:t>
      </w:r>
    </w:p>
    <w:p w14:paraId="5DEC67E2" w14:textId="77777777" w:rsidR="00B1578D" w:rsidRDefault="004D2C04">
      <w:pPr>
        <w:spacing w:before="100"/>
      </w:pPr>
      <w:r>
        <w:rPr>
          <w:rFonts w:ascii="Times New Roman" w:eastAsia="宋体" w:hAnsi="Times New Roman"/>
          <w:color w:val="000000"/>
          <w:sz w:val="20"/>
          <w:szCs w:val="20"/>
        </w:rPr>
        <w:t>Walmart's definition of free cash flow is limited in that it does not represent residual cash flows avai</w:t>
      </w:r>
      <w:r>
        <w:rPr>
          <w:rFonts w:ascii="Times New Roman" w:eastAsia="宋体" w:hAnsi="Times New Roman"/>
          <w:color w:val="000000"/>
          <w:sz w:val="20"/>
          <w:szCs w:val="20"/>
        </w:rPr>
        <w:t>lable for discretionary expenditures due to the fact that the measure does not deduct the payments required for debt service and other contractual obligations or payments made for business acquisitions. Therefore, we believe it is important to view free ca</w:t>
      </w:r>
      <w:r>
        <w:rPr>
          <w:rFonts w:ascii="Times New Roman" w:eastAsia="宋体" w:hAnsi="Times New Roman"/>
          <w:color w:val="000000"/>
          <w:sz w:val="20"/>
          <w:szCs w:val="20"/>
        </w:rPr>
        <w:t>sh flow as a measure that provides supplemental information to our Condensed Consolidated Statements of Cash Flows.</w:t>
      </w:r>
    </w:p>
    <w:p w14:paraId="5DEC67E3" w14:textId="77777777" w:rsidR="00B1578D" w:rsidRDefault="004D2C04">
      <w:pPr>
        <w:spacing w:before="100"/>
      </w:pPr>
      <w:r>
        <w:rPr>
          <w:rFonts w:ascii="Times New Roman" w:eastAsia="宋体" w:hAnsi="Times New Roman"/>
          <w:color w:val="000000"/>
          <w:sz w:val="20"/>
          <w:szCs w:val="20"/>
        </w:rPr>
        <w:t>Although other companies report their free cash flow, numerous methods may exist for calculating a company's free cash flow. As a result, th</w:t>
      </w:r>
      <w:r>
        <w:rPr>
          <w:rFonts w:ascii="Times New Roman" w:eastAsia="宋体" w:hAnsi="Times New Roman"/>
          <w:color w:val="000000"/>
          <w:sz w:val="20"/>
          <w:szCs w:val="20"/>
        </w:rPr>
        <w:t>e method used by management to calculate our free cash flow may differ from the methods used by other companies to calculate their free cash flow.</w:t>
      </w:r>
    </w:p>
    <w:p w14:paraId="5DEC67E4" w14:textId="77777777" w:rsidR="00B1578D" w:rsidRDefault="004D2C04">
      <w:pPr>
        <w:spacing w:before="100"/>
      </w:pPr>
      <w:r>
        <w:rPr>
          <w:rFonts w:ascii="Times New Roman" w:eastAsia="宋体" w:hAnsi="Times New Roman"/>
          <w:color w:val="000000"/>
          <w:sz w:val="20"/>
          <w:szCs w:val="20"/>
        </w:rPr>
        <w:t xml:space="preserve">The following table sets forth a reconciliation of free cash flow, a non-GAAP financial measure, to net cash </w:t>
      </w:r>
      <w:r>
        <w:rPr>
          <w:rFonts w:ascii="Times New Roman" w:eastAsia="宋体" w:hAnsi="Times New Roman"/>
          <w:color w:val="000000"/>
          <w:sz w:val="20"/>
          <w:szCs w:val="20"/>
        </w:rPr>
        <w:t>provided by operating activities, which we believe to be the GAAP financial measure most directly comparable to free cash flow, as well as information regarding net cash used in investing activities and net cash used in financing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520"/>
        <w:gridCol w:w="37"/>
        <w:gridCol w:w="36"/>
        <w:gridCol w:w="36"/>
        <w:gridCol w:w="36"/>
        <w:gridCol w:w="36"/>
        <w:gridCol w:w="36"/>
        <w:gridCol w:w="189"/>
        <w:gridCol w:w="188"/>
        <w:gridCol w:w="188"/>
        <w:gridCol w:w="36"/>
        <w:gridCol w:w="36"/>
        <w:gridCol w:w="36"/>
        <w:gridCol w:w="100"/>
        <w:gridCol w:w="736"/>
        <w:gridCol w:w="36"/>
        <w:gridCol w:w="36"/>
        <w:gridCol w:w="36"/>
        <w:gridCol w:w="36"/>
        <w:gridCol w:w="100"/>
        <w:gridCol w:w="760"/>
        <w:gridCol w:w="36"/>
      </w:tblGrid>
      <w:tr w:rsidR="00B1578D" w14:paraId="5DEC67FA" w14:textId="77777777">
        <w:trPr>
          <w:jc w:val="center"/>
        </w:trPr>
        <w:tc>
          <w:tcPr>
            <w:tcW w:w="50" w:type="pct"/>
            <w:shd w:val="clear" w:color="auto" w:fill="auto"/>
            <w:vAlign w:val="bottom"/>
          </w:tcPr>
          <w:p w14:paraId="5DEC67E5" w14:textId="77777777" w:rsidR="00B1578D" w:rsidRDefault="00B1578D">
            <w:pPr>
              <w:rPr>
                <w:rFonts w:ascii="宋体"/>
              </w:rPr>
            </w:pPr>
          </w:p>
        </w:tc>
        <w:tc>
          <w:tcPr>
            <w:tcW w:w="3671" w:type="pct"/>
            <w:shd w:val="clear" w:color="auto" w:fill="auto"/>
            <w:vAlign w:val="bottom"/>
          </w:tcPr>
          <w:p w14:paraId="5DEC67E6" w14:textId="77777777" w:rsidR="00B1578D" w:rsidRDefault="00B1578D">
            <w:pPr>
              <w:rPr>
                <w:rFonts w:ascii="宋体"/>
              </w:rPr>
            </w:pPr>
          </w:p>
        </w:tc>
        <w:tc>
          <w:tcPr>
            <w:tcW w:w="5" w:type="pct"/>
            <w:shd w:val="clear" w:color="auto" w:fill="auto"/>
            <w:vAlign w:val="bottom"/>
          </w:tcPr>
          <w:p w14:paraId="5DEC67E7" w14:textId="77777777" w:rsidR="00B1578D" w:rsidRDefault="00B1578D">
            <w:pPr>
              <w:rPr>
                <w:rFonts w:ascii="宋体"/>
              </w:rPr>
            </w:pPr>
          </w:p>
        </w:tc>
        <w:tc>
          <w:tcPr>
            <w:tcW w:w="5" w:type="pct"/>
            <w:shd w:val="clear" w:color="auto" w:fill="auto"/>
            <w:vAlign w:val="bottom"/>
          </w:tcPr>
          <w:p w14:paraId="5DEC67E8" w14:textId="77777777" w:rsidR="00B1578D" w:rsidRDefault="00B1578D">
            <w:pPr>
              <w:rPr>
                <w:rFonts w:ascii="宋体"/>
              </w:rPr>
            </w:pPr>
          </w:p>
        </w:tc>
        <w:tc>
          <w:tcPr>
            <w:tcW w:w="26" w:type="pct"/>
            <w:shd w:val="clear" w:color="auto" w:fill="auto"/>
            <w:vAlign w:val="bottom"/>
          </w:tcPr>
          <w:p w14:paraId="5DEC67E9" w14:textId="77777777" w:rsidR="00B1578D" w:rsidRDefault="00B1578D">
            <w:pPr>
              <w:rPr>
                <w:rFonts w:ascii="宋体"/>
              </w:rPr>
            </w:pPr>
          </w:p>
        </w:tc>
        <w:tc>
          <w:tcPr>
            <w:tcW w:w="5" w:type="pct"/>
            <w:shd w:val="clear" w:color="auto" w:fill="auto"/>
            <w:vAlign w:val="bottom"/>
          </w:tcPr>
          <w:p w14:paraId="5DEC67EA" w14:textId="77777777" w:rsidR="00B1578D" w:rsidRDefault="00B1578D">
            <w:pPr>
              <w:rPr>
                <w:rFonts w:ascii="宋体"/>
              </w:rPr>
            </w:pPr>
          </w:p>
        </w:tc>
        <w:tc>
          <w:tcPr>
            <w:tcW w:w="0" w:type="auto"/>
            <w:shd w:val="clear" w:color="auto" w:fill="auto"/>
            <w:vAlign w:val="bottom"/>
          </w:tcPr>
          <w:p w14:paraId="5DEC67EB" w14:textId="77777777" w:rsidR="00B1578D" w:rsidRDefault="00B1578D">
            <w:pPr>
              <w:rPr>
                <w:rFonts w:ascii="宋体"/>
                <w:vanish/>
              </w:rPr>
            </w:pPr>
          </w:p>
        </w:tc>
        <w:tc>
          <w:tcPr>
            <w:tcW w:w="0" w:type="auto"/>
            <w:shd w:val="clear" w:color="auto" w:fill="auto"/>
            <w:vAlign w:val="bottom"/>
          </w:tcPr>
          <w:p w14:paraId="5DEC67EC" w14:textId="77777777" w:rsidR="00B1578D" w:rsidRDefault="00B1578D">
            <w:pPr>
              <w:rPr>
                <w:rFonts w:ascii="宋体"/>
                <w:vanish/>
              </w:rPr>
            </w:pPr>
          </w:p>
        </w:tc>
        <w:tc>
          <w:tcPr>
            <w:tcW w:w="0" w:type="auto"/>
            <w:shd w:val="clear" w:color="auto" w:fill="auto"/>
            <w:vAlign w:val="bottom"/>
          </w:tcPr>
          <w:p w14:paraId="5DEC67ED" w14:textId="77777777" w:rsidR="00B1578D" w:rsidRDefault="00B1578D">
            <w:pPr>
              <w:rPr>
                <w:rFonts w:ascii="宋体"/>
                <w:vanish/>
              </w:rPr>
            </w:pPr>
          </w:p>
        </w:tc>
        <w:tc>
          <w:tcPr>
            <w:tcW w:w="0" w:type="auto"/>
            <w:shd w:val="clear" w:color="auto" w:fill="auto"/>
            <w:vAlign w:val="bottom"/>
          </w:tcPr>
          <w:p w14:paraId="5DEC67EE" w14:textId="77777777" w:rsidR="00B1578D" w:rsidRDefault="00B1578D">
            <w:pPr>
              <w:rPr>
                <w:rFonts w:ascii="宋体"/>
                <w:vanish/>
              </w:rPr>
            </w:pPr>
          </w:p>
        </w:tc>
        <w:tc>
          <w:tcPr>
            <w:tcW w:w="0" w:type="auto"/>
            <w:shd w:val="clear" w:color="auto" w:fill="auto"/>
            <w:vAlign w:val="bottom"/>
          </w:tcPr>
          <w:p w14:paraId="5DEC67EF" w14:textId="77777777" w:rsidR="00B1578D" w:rsidRDefault="00B1578D">
            <w:pPr>
              <w:rPr>
                <w:rFonts w:ascii="宋体"/>
                <w:vanish/>
              </w:rPr>
            </w:pPr>
          </w:p>
        </w:tc>
        <w:tc>
          <w:tcPr>
            <w:tcW w:w="0" w:type="auto"/>
            <w:gridSpan w:val="3"/>
            <w:shd w:val="clear" w:color="auto" w:fill="auto"/>
            <w:vAlign w:val="bottom"/>
          </w:tcPr>
          <w:p w14:paraId="5DEC67F0" w14:textId="77777777" w:rsidR="00B1578D" w:rsidRDefault="00B1578D">
            <w:pPr>
              <w:rPr>
                <w:rFonts w:ascii="宋体"/>
                <w:vanish/>
              </w:rPr>
            </w:pPr>
          </w:p>
        </w:tc>
        <w:tc>
          <w:tcPr>
            <w:tcW w:w="50" w:type="pct"/>
            <w:shd w:val="clear" w:color="auto" w:fill="auto"/>
            <w:vAlign w:val="bottom"/>
          </w:tcPr>
          <w:p w14:paraId="5DEC67F1" w14:textId="77777777" w:rsidR="00B1578D" w:rsidRDefault="00B1578D">
            <w:pPr>
              <w:rPr>
                <w:rFonts w:ascii="宋体"/>
              </w:rPr>
            </w:pPr>
          </w:p>
        </w:tc>
        <w:tc>
          <w:tcPr>
            <w:tcW w:w="537" w:type="pct"/>
            <w:shd w:val="clear" w:color="auto" w:fill="auto"/>
            <w:vAlign w:val="bottom"/>
          </w:tcPr>
          <w:p w14:paraId="5DEC67F2" w14:textId="77777777" w:rsidR="00B1578D" w:rsidRDefault="00B1578D">
            <w:pPr>
              <w:rPr>
                <w:rFonts w:ascii="宋体"/>
              </w:rPr>
            </w:pPr>
          </w:p>
        </w:tc>
        <w:tc>
          <w:tcPr>
            <w:tcW w:w="5" w:type="pct"/>
            <w:shd w:val="clear" w:color="auto" w:fill="auto"/>
            <w:vAlign w:val="bottom"/>
          </w:tcPr>
          <w:p w14:paraId="5DEC67F3" w14:textId="77777777" w:rsidR="00B1578D" w:rsidRDefault="00B1578D">
            <w:pPr>
              <w:rPr>
                <w:rFonts w:ascii="宋体"/>
              </w:rPr>
            </w:pPr>
          </w:p>
        </w:tc>
        <w:tc>
          <w:tcPr>
            <w:tcW w:w="5" w:type="pct"/>
            <w:shd w:val="clear" w:color="auto" w:fill="auto"/>
            <w:vAlign w:val="bottom"/>
          </w:tcPr>
          <w:p w14:paraId="5DEC67F4" w14:textId="77777777" w:rsidR="00B1578D" w:rsidRDefault="00B1578D">
            <w:pPr>
              <w:rPr>
                <w:rFonts w:ascii="宋体"/>
              </w:rPr>
            </w:pPr>
          </w:p>
        </w:tc>
        <w:tc>
          <w:tcPr>
            <w:tcW w:w="41" w:type="pct"/>
            <w:shd w:val="clear" w:color="auto" w:fill="auto"/>
            <w:vAlign w:val="bottom"/>
          </w:tcPr>
          <w:p w14:paraId="5DEC67F5" w14:textId="77777777" w:rsidR="00B1578D" w:rsidRDefault="00B1578D">
            <w:pPr>
              <w:rPr>
                <w:rFonts w:ascii="宋体"/>
              </w:rPr>
            </w:pPr>
          </w:p>
        </w:tc>
        <w:tc>
          <w:tcPr>
            <w:tcW w:w="5" w:type="pct"/>
            <w:shd w:val="clear" w:color="auto" w:fill="auto"/>
            <w:vAlign w:val="bottom"/>
          </w:tcPr>
          <w:p w14:paraId="5DEC67F6" w14:textId="77777777" w:rsidR="00B1578D" w:rsidRDefault="00B1578D">
            <w:pPr>
              <w:rPr>
                <w:rFonts w:ascii="宋体"/>
              </w:rPr>
            </w:pPr>
          </w:p>
        </w:tc>
        <w:tc>
          <w:tcPr>
            <w:tcW w:w="50" w:type="pct"/>
            <w:shd w:val="clear" w:color="auto" w:fill="auto"/>
            <w:vAlign w:val="bottom"/>
          </w:tcPr>
          <w:p w14:paraId="5DEC67F7" w14:textId="77777777" w:rsidR="00B1578D" w:rsidRDefault="00B1578D">
            <w:pPr>
              <w:rPr>
                <w:rFonts w:ascii="宋体"/>
              </w:rPr>
            </w:pPr>
          </w:p>
        </w:tc>
        <w:tc>
          <w:tcPr>
            <w:tcW w:w="538" w:type="pct"/>
            <w:shd w:val="clear" w:color="auto" w:fill="auto"/>
            <w:vAlign w:val="bottom"/>
          </w:tcPr>
          <w:p w14:paraId="5DEC67F8" w14:textId="77777777" w:rsidR="00B1578D" w:rsidRDefault="00B1578D">
            <w:pPr>
              <w:rPr>
                <w:rFonts w:ascii="宋体"/>
              </w:rPr>
            </w:pPr>
          </w:p>
        </w:tc>
        <w:tc>
          <w:tcPr>
            <w:tcW w:w="5" w:type="pct"/>
            <w:shd w:val="clear" w:color="auto" w:fill="auto"/>
            <w:vAlign w:val="bottom"/>
          </w:tcPr>
          <w:p w14:paraId="5DEC67F9" w14:textId="77777777" w:rsidR="00B1578D" w:rsidRDefault="00B1578D">
            <w:pPr>
              <w:rPr>
                <w:rFonts w:ascii="宋体"/>
              </w:rPr>
            </w:pPr>
          </w:p>
        </w:tc>
      </w:tr>
      <w:tr w:rsidR="00B1578D" w14:paraId="5DEC680C" w14:textId="77777777">
        <w:trPr>
          <w:jc w:val="center"/>
        </w:trPr>
        <w:tc>
          <w:tcPr>
            <w:tcW w:w="0" w:type="auto"/>
            <w:gridSpan w:val="3"/>
            <w:shd w:val="clear" w:color="auto" w:fill="auto"/>
            <w:tcMar>
              <w:top w:w="40" w:type="dxa"/>
              <w:left w:w="20" w:type="dxa"/>
              <w:bottom w:w="40" w:type="dxa"/>
              <w:right w:w="20" w:type="dxa"/>
            </w:tcMar>
            <w:vAlign w:val="bottom"/>
          </w:tcPr>
          <w:p w14:paraId="5DEC67FB"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7FC" w14:textId="77777777" w:rsidR="00B1578D" w:rsidRDefault="00B1578D">
            <w:pPr>
              <w:rPr>
                <w:rFonts w:ascii="宋体"/>
              </w:rPr>
            </w:pPr>
          </w:p>
        </w:tc>
        <w:tc>
          <w:tcPr>
            <w:tcW w:w="0" w:type="auto"/>
            <w:shd w:val="clear" w:color="auto" w:fill="auto"/>
            <w:vAlign w:val="bottom"/>
          </w:tcPr>
          <w:p w14:paraId="5DEC67FD" w14:textId="77777777" w:rsidR="00B1578D" w:rsidRDefault="00B1578D">
            <w:pPr>
              <w:rPr>
                <w:rFonts w:ascii="宋体"/>
                <w:vanish/>
              </w:rPr>
            </w:pPr>
          </w:p>
        </w:tc>
        <w:tc>
          <w:tcPr>
            <w:tcW w:w="0" w:type="auto"/>
            <w:shd w:val="clear" w:color="auto" w:fill="auto"/>
            <w:vAlign w:val="bottom"/>
          </w:tcPr>
          <w:p w14:paraId="5DEC67FE" w14:textId="77777777" w:rsidR="00B1578D" w:rsidRDefault="00B1578D">
            <w:pPr>
              <w:rPr>
                <w:rFonts w:ascii="宋体"/>
                <w:vanish/>
              </w:rPr>
            </w:pPr>
          </w:p>
        </w:tc>
        <w:tc>
          <w:tcPr>
            <w:tcW w:w="0" w:type="auto"/>
            <w:gridSpan w:val="3"/>
            <w:shd w:val="clear" w:color="auto" w:fill="auto"/>
            <w:tcMar>
              <w:top w:w="40" w:type="dxa"/>
              <w:left w:w="20" w:type="dxa"/>
              <w:bottom w:w="40" w:type="dxa"/>
              <w:right w:w="20" w:type="dxa"/>
            </w:tcMar>
            <w:vAlign w:val="bottom"/>
          </w:tcPr>
          <w:p w14:paraId="5DEC67FF"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800" w14:textId="77777777" w:rsidR="00B1578D" w:rsidRDefault="00B1578D">
            <w:pPr>
              <w:rPr>
                <w:rFonts w:ascii="宋体"/>
              </w:rPr>
            </w:pPr>
          </w:p>
        </w:tc>
        <w:tc>
          <w:tcPr>
            <w:tcW w:w="0" w:type="auto"/>
            <w:shd w:val="clear" w:color="auto" w:fill="auto"/>
            <w:vAlign w:val="bottom"/>
          </w:tcPr>
          <w:p w14:paraId="5DEC6801" w14:textId="77777777" w:rsidR="00B1578D" w:rsidRDefault="00B1578D">
            <w:pPr>
              <w:rPr>
                <w:rFonts w:ascii="宋体"/>
              </w:rPr>
            </w:pPr>
          </w:p>
        </w:tc>
        <w:tc>
          <w:tcPr>
            <w:tcW w:w="0" w:type="auto"/>
            <w:shd w:val="clear" w:color="auto" w:fill="auto"/>
            <w:vAlign w:val="bottom"/>
          </w:tcPr>
          <w:p w14:paraId="5DEC6802" w14:textId="77777777" w:rsidR="00B1578D" w:rsidRDefault="00B1578D">
            <w:pPr>
              <w:rPr>
                <w:rFonts w:ascii="宋体"/>
              </w:rPr>
            </w:pPr>
          </w:p>
        </w:tc>
        <w:tc>
          <w:tcPr>
            <w:tcW w:w="0" w:type="auto"/>
            <w:shd w:val="clear" w:color="auto" w:fill="auto"/>
            <w:vAlign w:val="bottom"/>
          </w:tcPr>
          <w:p w14:paraId="5DEC6803" w14:textId="77777777" w:rsidR="00B1578D" w:rsidRDefault="00B1578D">
            <w:pPr>
              <w:rPr>
                <w:rFonts w:ascii="宋体"/>
              </w:rPr>
            </w:pPr>
          </w:p>
        </w:tc>
        <w:tc>
          <w:tcPr>
            <w:tcW w:w="0" w:type="auto"/>
            <w:shd w:val="clear" w:color="auto" w:fill="auto"/>
            <w:vAlign w:val="bottom"/>
          </w:tcPr>
          <w:p w14:paraId="5DEC6804" w14:textId="77777777" w:rsidR="00B1578D" w:rsidRDefault="00B1578D">
            <w:pPr>
              <w:rPr>
                <w:rFonts w:ascii="宋体"/>
              </w:rPr>
            </w:pPr>
          </w:p>
        </w:tc>
        <w:tc>
          <w:tcPr>
            <w:tcW w:w="0" w:type="auto"/>
            <w:shd w:val="clear" w:color="auto" w:fill="auto"/>
            <w:vAlign w:val="bottom"/>
          </w:tcPr>
          <w:p w14:paraId="5DEC6805" w14:textId="77777777" w:rsidR="00B1578D" w:rsidRDefault="00B1578D">
            <w:pPr>
              <w:rPr>
                <w:rFonts w:ascii="宋体"/>
              </w:rPr>
            </w:pPr>
          </w:p>
        </w:tc>
        <w:tc>
          <w:tcPr>
            <w:tcW w:w="0" w:type="auto"/>
            <w:shd w:val="clear" w:color="auto" w:fill="auto"/>
            <w:vAlign w:val="bottom"/>
          </w:tcPr>
          <w:p w14:paraId="5DEC6806" w14:textId="77777777" w:rsidR="00B1578D" w:rsidRDefault="00B1578D">
            <w:pPr>
              <w:rPr>
                <w:rFonts w:ascii="宋体"/>
              </w:rPr>
            </w:pPr>
          </w:p>
        </w:tc>
        <w:tc>
          <w:tcPr>
            <w:tcW w:w="0" w:type="auto"/>
            <w:shd w:val="clear" w:color="auto" w:fill="auto"/>
            <w:vAlign w:val="bottom"/>
          </w:tcPr>
          <w:p w14:paraId="5DEC6807" w14:textId="77777777" w:rsidR="00B1578D" w:rsidRDefault="00B1578D">
            <w:pPr>
              <w:rPr>
                <w:rFonts w:ascii="宋体"/>
              </w:rPr>
            </w:pPr>
          </w:p>
        </w:tc>
        <w:tc>
          <w:tcPr>
            <w:tcW w:w="0" w:type="auto"/>
            <w:shd w:val="clear" w:color="auto" w:fill="auto"/>
            <w:vAlign w:val="bottom"/>
          </w:tcPr>
          <w:p w14:paraId="5DEC6808" w14:textId="77777777" w:rsidR="00B1578D" w:rsidRDefault="00B1578D">
            <w:pPr>
              <w:rPr>
                <w:rFonts w:ascii="宋体"/>
              </w:rPr>
            </w:pPr>
          </w:p>
        </w:tc>
        <w:tc>
          <w:tcPr>
            <w:tcW w:w="0" w:type="auto"/>
            <w:shd w:val="clear" w:color="auto" w:fill="auto"/>
            <w:vAlign w:val="bottom"/>
          </w:tcPr>
          <w:p w14:paraId="5DEC6809" w14:textId="77777777" w:rsidR="00B1578D" w:rsidRDefault="00B1578D">
            <w:pPr>
              <w:rPr>
                <w:rFonts w:ascii="宋体"/>
              </w:rPr>
            </w:pPr>
          </w:p>
        </w:tc>
        <w:tc>
          <w:tcPr>
            <w:tcW w:w="0" w:type="auto"/>
            <w:shd w:val="clear" w:color="auto" w:fill="auto"/>
            <w:vAlign w:val="bottom"/>
          </w:tcPr>
          <w:p w14:paraId="5DEC680A" w14:textId="77777777" w:rsidR="00B1578D" w:rsidRDefault="00B1578D">
            <w:pPr>
              <w:rPr>
                <w:rFonts w:ascii="宋体"/>
              </w:rPr>
            </w:pPr>
          </w:p>
        </w:tc>
        <w:tc>
          <w:tcPr>
            <w:tcW w:w="0" w:type="auto"/>
            <w:shd w:val="clear" w:color="auto" w:fill="auto"/>
            <w:vAlign w:val="bottom"/>
          </w:tcPr>
          <w:p w14:paraId="5DEC680B" w14:textId="77777777" w:rsidR="00B1578D" w:rsidRDefault="00B1578D">
            <w:pPr>
              <w:rPr>
                <w:rFonts w:ascii="宋体"/>
              </w:rPr>
            </w:pPr>
          </w:p>
        </w:tc>
      </w:tr>
      <w:tr w:rsidR="00B1578D" w14:paraId="5DEC6818" w14:textId="77777777">
        <w:trPr>
          <w:jc w:val="center"/>
        </w:trPr>
        <w:tc>
          <w:tcPr>
            <w:tcW w:w="0" w:type="auto"/>
            <w:gridSpan w:val="3"/>
            <w:shd w:val="clear" w:color="auto" w:fill="auto"/>
            <w:tcMar>
              <w:top w:w="40" w:type="dxa"/>
              <w:left w:w="20" w:type="dxa"/>
              <w:bottom w:w="40" w:type="dxa"/>
              <w:right w:w="20" w:type="dxa"/>
            </w:tcMar>
            <w:vAlign w:val="bottom"/>
          </w:tcPr>
          <w:p w14:paraId="5DEC680D"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80E" w14:textId="77777777" w:rsidR="00B1578D" w:rsidRDefault="00B1578D">
            <w:pPr>
              <w:rPr>
                <w:rFonts w:ascii="宋体"/>
              </w:rPr>
            </w:pPr>
          </w:p>
        </w:tc>
        <w:tc>
          <w:tcPr>
            <w:tcW w:w="0" w:type="auto"/>
            <w:shd w:val="clear" w:color="auto" w:fill="auto"/>
            <w:vAlign w:val="bottom"/>
          </w:tcPr>
          <w:p w14:paraId="5DEC680F" w14:textId="77777777" w:rsidR="00B1578D" w:rsidRDefault="00B1578D">
            <w:pPr>
              <w:rPr>
                <w:rFonts w:ascii="宋体"/>
                <w:vanish/>
              </w:rPr>
            </w:pPr>
          </w:p>
        </w:tc>
        <w:tc>
          <w:tcPr>
            <w:tcW w:w="0" w:type="auto"/>
            <w:shd w:val="clear" w:color="auto" w:fill="auto"/>
            <w:vAlign w:val="bottom"/>
          </w:tcPr>
          <w:p w14:paraId="5DEC6810" w14:textId="77777777" w:rsidR="00B1578D" w:rsidRDefault="00B1578D">
            <w:pPr>
              <w:rPr>
                <w:rFonts w:ascii="宋体"/>
                <w:vanish/>
              </w:rPr>
            </w:pPr>
          </w:p>
        </w:tc>
        <w:tc>
          <w:tcPr>
            <w:tcW w:w="0" w:type="auto"/>
            <w:shd w:val="clear" w:color="auto" w:fill="auto"/>
            <w:vAlign w:val="bottom"/>
          </w:tcPr>
          <w:p w14:paraId="5DEC6811" w14:textId="77777777" w:rsidR="00B1578D" w:rsidRDefault="00B1578D">
            <w:pPr>
              <w:rPr>
                <w:rFonts w:ascii="宋体"/>
                <w:vanish/>
              </w:rPr>
            </w:pPr>
          </w:p>
        </w:tc>
        <w:tc>
          <w:tcPr>
            <w:tcW w:w="0" w:type="auto"/>
            <w:shd w:val="clear" w:color="auto" w:fill="auto"/>
            <w:vAlign w:val="bottom"/>
          </w:tcPr>
          <w:p w14:paraId="5DEC6812" w14:textId="77777777" w:rsidR="00B1578D" w:rsidRDefault="00B1578D">
            <w:pPr>
              <w:rPr>
                <w:rFonts w:ascii="宋体"/>
                <w:vanish/>
              </w:rPr>
            </w:pPr>
          </w:p>
        </w:tc>
        <w:tc>
          <w:tcPr>
            <w:tcW w:w="0" w:type="auto"/>
            <w:shd w:val="clear" w:color="auto" w:fill="auto"/>
            <w:vAlign w:val="bottom"/>
          </w:tcPr>
          <w:p w14:paraId="5DEC6813" w14:textId="77777777" w:rsidR="00B1578D" w:rsidRDefault="00B1578D">
            <w:pPr>
              <w:rPr>
                <w:rFonts w:ascii="宋体"/>
                <w:vanish/>
              </w:rPr>
            </w:pPr>
          </w:p>
        </w:tc>
        <w:tc>
          <w:tcPr>
            <w:tcW w:w="0" w:type="auto"/>
            <w:gridSpan w:val="3"/>
            <w:shd w:val="clear" w:color="auto" w:fill="auto"/>
            <w:vAlign w:val="bottom"/>
          </w:tcPr>
          <w:p w14:paraId="5DEC6814" w14:textId="77777777" w:rsidR="00B1578D" w:rsidRDefault="00B1578D">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815"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816"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817" w14:textId="77777777" w:rsidR="00B1578D" w:rsidRDefault="004D2C04">
            <w:pPr>
              <w:jc w:val="center"/>
              <w:textAlignment w:val="bottom"/>
            </w:pPr>
            <w:r>
              <w:rPr>
                <w:rFonts w:ascii="Times New Roman" w:eastAsia="宋体" w:hAnsi="Times New Roman"/>
                <w:b/>
                <w:bCs/>
                <w:color w:val="000000"/>
                <w:sz w:val="16"/>
                <w:szCs w:val="16"/>
              </w:rPr>
              <w:t>2021</w:t>
            </w:r>
          </w:p>
        </w:tc>
      </w:tr>
      <w:tr w:rsidR="00B1578D" w14:paraId="5DEC6828" w14:textId="77777777">
        <w:trPr>
          <w:jc w:val="center"/>
        </w:trPr>
        <w:tc>
          <w:tcPr>
            <w:tcW w:w="0" w:type="auto"/>
            <w:gridSpan w:val="3"/>
            <w:shd w:val="clear" w:color="auto" w:fill="CCEEFF"/>
            <w:tcMar>
              <w:top w:w="40" w:type="dxa"/>
              <w:left w:w="20" w:type="dxa"/>
              <w:bottom w:w="40" w:type="dxa"/>
              <w:right w:w="20" w:type="dxa"/>
            </w:tcMar>
            <w:vAlign w:val="center"/>
          </w:tcPr>
          <w:p w14:paraId="5DEC6819" w14:textId="77777777" w:rsidR="00B1578D" w:rsidRDefault="004D2C04">
            <w:pPr>
              <w:textAlignment w:val="center"/>
            </w:pPr>
            <w:r>
              <w:rPr>
                <w:rFonts w:ascii="Times New Roman" w:eastAsia="宋体" w:hAnsi="Times New Roman"/>
                <w:color w:val="000000"/>
                <w:sz w:val="16"/>
                <w:szCs w:val="16"/>
              </w:rPr>
              <w:t>Net cash provided by (used in) operating activities</w:t>
            </w:r>
          </w:p>
        </w:tc>
        <w:tc>
          <w:tcPr>
            <w:tcW w:w="0" w:type="auto"/>
            <w:gridSpan w:val="3"/>
            <w:shd w:val="clear" w:color="auto" w:fill="CCEEFF"/>
            <w:tcMar>
              <w:top w:w="0" w:type="dxa"/>
              <w:left w:w="20" w:type="dxa"/>
              <w:bottom w:w="0" w:type="dxa"/>
              <w:right w:w="20" w:type="dxa"/>
            </w:tcMar>
            <w:vAlign w:val="bottom"/>
          </w:tcPr>
          <w:p w14:paraId="5DEC681A" w14:textId="77777777" w:rsidR="00B1578D" w:rsidRDefault="00B1578D">
            <w:pPr>
              <w:rPr>
                <w:rFonts w:ascii="宋体"/>
              </w:rPr>
            </w:pPr>
          </w:p>
        </w:tc>
        <w:tc>
          <w:tcPr>
            <w:tcW w:w="0" w:type="auto"/>
            <w:shd w:val="clear" w:color="auto" w:fill="auto"/>
            <w:vAlign w:val="bottom"/>
          </w:tcPr>
          <w:p w14:paraId="5DEC681B" w14:textId="77777777" w:rsidR="00B1578D" w:rsidRDefault="00B1578D">
            <w:pPr>
              <w:rPr>
                <w:rFonts w:ascii="宋体"/>
                <w:vanish/>
              </w:rPr>
            </w:pPr>
          </w:p>
        </w:tc>
        <w:tc>
          <w:tcPr>
            <w:tcW w:w="0" w:type="auto"/>
            <w:shd w:val="clear" w:color="auto" w:fill="auto"/>
            <w:vAlign w:val="bottom"/>
          </w:tcPr>
          <w:p w14:paraId="5DEC681C" w14:textId="77777777" w:rsidR="00B1578D" w:rsidRDefault="00B1578D">
            <w:pPr>
              <w:rPr>
                <w:rFonts w:ascii="宋体"/>
                <w:vanish/>
              </w:rPr>
            </w:pPr>
          </w:p>
        </w:tc>
        <w:tc>
          <w:tcPr>
            <w:tcW w:w="0" w:type="auto"/>
            <w:shd w:val="clear" w:color="auto" w:fill="auto"/>
            <w:vAlign w:val="bottom"/>
          </w:tcPr>
          <w:p w14:paraId="5DEC681D" w14:textId="77777777" w:rsidR="00B1578D" w:rsidRDefault="00B1578D">
            <w:pPr>
              <w:rPr>
                <w:rFonts w:ascii="宋体"/>
                <w:vanish/>
              </w:rPr>
            </w:pPr>
          </w:p>
        </w:tc>
        <w:tc>
          <w:tcPr>
            <w:tcW w:w="0" w:type="auto"/>
            <w:shd w:val="clear" w:color="auto" w:fill="auto"/>
            <w:vAlign w:val="bottom"/>
          </w:tcPr>
          <w:p w14:paraId="5DEC681E" w14:textId="77777777" w:rsidR="00B1578D" w:rsidRDefault="00B1578D">
            <w:pPr>
              <w:rPr>
                <w:rFonts w:ascii="宋体"/>
                <w:vanish/>
              </w:rPr>
            </w:pPr>
          </w:p>
        </w:tc>
        <w:tc>
          <w:tcPr>
            <w:tcW w:w="0" w:type="auto"/>
            <w:shd w:val="clear" w:color="auto" w:fill="auto"/>
            <w:vAlign w:val="bottom"/>
          </w:tcPr>
          <w:p w14:paraId="5DEC681F" w14:textId="77777777" w:rsidR="00B1578D" w:rsidRDefault="00B1578D">
            <w:pPr>
              <w:rPr>
                <w:rFonts w:ascii="宋体"/>
                <w:vanish/>
              </w:rPr>
            </w:pPr>
          </w:p>
        </w:tc>
        <w:tc>
          <w:tcPr>
            <w:tcW w:w="0" w:type="auto"/>
            <w:gridSpan w:val="3"/>
            <w:shd w:val="clear" w:color="auto" w:fill="auto"/>
            <w:vAlign w:val="bottom"/>
          </w:tcPr>
          <w:p w14:paraId="5DEC6820" w14:textId="77777777" w:rsidR="00B1578D" w:rsidRDefault="00B1578D">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82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822" w14:textId="77777777" w:rsidR="00B1578D" w:rsidRDefault="004D2C04">
            <w:pPr>
              <w:jc w:val="right"/>
              <w:textAlignment w:val="center"/>
            </w:pPr>
            <w:r>
              <w:rPr>
                <w:rFonts w:ascii="Times New Roman" w:eastAsia="宋体" w:hAnsi="Times New Roman"/>
                <w:color w:val="000000"/>
                <w:sz w:val="16"/>
                <w:szCs w:val="16"/>
              </w:rPr>
              <w:t>(3,758)</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82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824"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82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826" w14:textId="77777777" w:rsidR="00B1578D" w:rsidRDefault="004D2C04">
            <w:pPr>
              <w:jc w:val="right"/>
              <w:textAlignment w:val="center"/>
            </w:pPr>
            <w:r>
              <w:rPr>
                <w:rFonts w:ascii="Times New Roman" w:eastAsia="宋体" w:hAnsi="Times New Roman"/>
                <w:color w:val="000000"/>
                <w:sz w:val="16"/>
                <w:szCs w:val="16"/>
              </w:rPr>
              <w:t>2,858 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827" w14:textId="77777777" w:rsidR="00B1578D" w:rsidRDefault="00B1578D">
            <w:pPr>
              <w:jc w:val="right"/>
              <w:rPr>
                <w:rFonts w:ascii="宋体"/>
              </w:rPr>
            </w:pPr>
          </w:p>
        </w:tc>
      </w:tr>
      <w:tr w:rsidR="00B1578D" w14:paraId="5DEC6836" w14:textId="77777777">
        <w:trPr>
          <w:jc w:val="center"/>
        </w:trPr>
        <w:tc>
          <w:tcPr>
            <w:tcW w:w="0" w:type="auto"/>
            <w:gridSpan w:val="3"/>
            <w:shd w:val="clear" w:color="auto" w:fill="FFFFFF"/>
            <w:tcMar>
              <w:top w:w="40" w:type="dxa"/>
              <w:left w:w="20" w:type="dxa"/>
              <w:bottom w:w="40" w:type="dxa"/>
              <w:right w:w="20" w:type="dxa"/>
            </w:tcMar>
            <w:vAlign w:val="center"/>
          </w:tcPr>
          <w:p w14:paraId="5DEC6829" w14:textId="77777777" w:rsidR="00B1578D" w:rsidRDefault="004D2C04">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5DEC682A" w14:textId="77777777" w:rsidR="00B1578D" w:rsidRDefault="00B1578D">
            <w:pPr>
              <w:rPr>
                <w:rFonts w:ascii="宋体"/>
              </w:rPr>
            </w:pPr>
          </w:p>
        </w:tc>
        <w:tc>
          <w:tcPr>
            <w:tcW w:w="0" w:type="auto"/>
            <w:shd w:val="clear" w:color="auto" w:fill="auto"/>
            <w:vAlign w:val="bottom"/>
          </w:tcPr>
          <w:p w14:paraId="5DEC682B" w14:textId="77777777" w:rsidR="00B1578D" w:rsidRDefault="00B1578D">
            <w:pPr>
              <w:rPr>
                <w:rFonts w:ascii="宋体"/>
                <w:vanish/>
              </w:rPr>
            </w:pPr>
          </w:p>
        </w:tc>
        <w:tc>
          <w:tcPr>
            <w:tcW w:w="0" w:type="auto"/>
            <w:shd w:val="clear" w:color="auto" w:fill="auto"/>
            <w:vAlign w:val="bottom"/>
          </w:tcPr>
          <w:p w14:paraId="5DEC682C" w14:textId="77777777" w:rsidR="00B1578D" w:rsidRDefault="00B1578D">
            <w:pPr>
              <w:rPr>
                <w:rFonts w:ascii="宋体"/>
                <w:vanish/>
              </w:rPr>
            </w:pPr>
          </w:p>
        </w:tc>
        <w:tc>
          <w:tcPr>
            <w:tcW w:w="0" w:type="auto"/>
            <w:shd w:val="clear" w:color="auto" w:fill="auto"/>
            <w:vAlign w:val="bottom"/>
          </w:tcPr>
          <w:p w14:paraId="5DEC682D" w14:textId="77777777" w:rsidR="00B1578D" w:rsidRDefault="00B1578D">
            <w:pPr>
              <w:rPr>
                <w:rFonts w:ascii="宋体"/>
                <w:vanish/>
              </w:rPr>
            </w:pPr>
          </w:p>
        </w:tc>
        <w:tc>
          <w:tcPr>
            <w:tcW w:w="0" w:type="auto"/>
            <w:shd w:val="clear" w:color="auto" w:fill="auto"/>
            <w:vAlign w:val="bottom"/>
          </w:tcPr>
          <w:p w14:paraId="5DEC682E" w14:textId="77777777" w:rsidR="00B1578D" w:rsidRDefault="00B1578D">
            <w:pPr>
              <w:rPr>
                <w:rFonts w:ascii="宋体"/>
                <w:vanish/>
              </w:rPr>
            </w:pPr>
          </w:p>
        </w:tc>
        <w:tc>
          <w:tcPr>
            <w:tcW w:w="0" w:type="auto"/>
            <w:shd w:val="clear" w:color="auto" w:fill="auto"/>
            <w:vAlign w:val="bottom"/>
          </w:tcPr>
          <w:p w14:paraId="5DEC682F" w14:textId="77777777" w:rsidR="00B1578D" w:rsidRDefault="00B1578D">
            <w:pPr>
              <w:rPr>
                <w:rFonts w:ascii="宋体"/>
                <w:vanish/>
              </w:rPr>
            </w:pPr>
          </w:p>
        </w:tc>
        <w:tc>
          <w:tcPr>
            <w:tcW w:w="0" w:type="auto"/>
            <w:gridSpan w:val="3"/>
            <w:shd w:val="clear" w:color="auto" w:fill="auto"/>
            <w:vAlign w:val="bottom"/>
          </w:tcPr>
          <w:p w14:paraId="5DEC6830" w14:textId="77777777" w:rsidR="00B1578D" w:rsidRDefault="00B1578D">
            <w:pPr>
              <w:rPr>
                <w:rFonts w:ascii="宋体"/>
                <w:vanish/>
              </w:rPr>
            </w:pPr>
          </w:p>
        </w:tc>
        <w:tc>
          <w:tcPr>
            <w:tcW w:w="0" w:type="auto"/>
            <w:gridSpan w:val="2"/>
            <w:shd w:val="clear" w:color="auto" w:fill="FFFFFF"/>
            <w:tcMar>
              <w:top w:w="40" w:type="dxa"/>
              <w:left w:w="20" w:type="dxa"/>
              <w:bottom w:w="40" w:type="dxa"/>
              <w:right w:w="0" w:type="dxa"/>
            </w:tcMar>
            <w:vAlign w:val="center"/>
          </w:tcPr>
          <w:p w14:paraId="5DEC6831" w14:textId="77777777" w:rsidR="00B1578D" w:rsidRDefault="004D2C04">
            <w:pPr>
              <w:jc w:val="right"/>
              <w:textAlignment w:val="center"/>
            </w:pPr>
            <w:r>
              <w:rPr>
                <w:rFonts w:ascii="Times New Roman" w:eastAsia="宋体" w:hAnsi="Times New Roman"/>
                <w:color w:val="000000"/>
                <w:sz w:val="16"/>
                <w:szCs w:val="16"/>
              </w:rPr>
              <w:t>(3,539)</w:t>
            </w:r>
          </w:p>
        </w:tc>
        <w:tc>
          <w:tcPr>
            <w:tcW w:w="0" w:type="auto"/>
            <w:shd w:val="clear" w:color="auto" w:fill="FFFFFF"/>
            <w:tcMar>
              <w:top w:w="40" w:type="dxa"/>
              <w:left w:w="0" w:type="dxa"/>
              <w:bottom w:w="40" w:type="dxa"/>
              <w:right w:w="20" w:type="dxa"/>
            </w:tcMar>
            <w:vAlign w:val="center"/>
          </w:tcPr>
          <w:p w14:paraId="5DEC683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83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834" w14:textId="77777777" w:rsidR="00B1578D" w:rsidRDefault="004D2C04">
            <w:pPr>
              <w:jc w:val="right"/>
              <w:textAlignment w:val="center"/>
            </w:pPr>
            <w:r>
              <w:rPr>
                <w:rFonts w:ascii="Times New Roman" w:eastAsia="宋体" w:hAnsi="Times New Roman"/>
                <w:color w:val="000000"/>
                <w:sz w:val="16"/>
                <w:szCs w:val="16"/>
              </w:rPr>
              <w:t>(2,214)</w:t>
            </w:r>
          </w:p>
        </w:tc>
        <w:tc>
          <w:tcPr>
            <w:tcW w:w="0" w:type="auto"/>
            <w:shd w:val="clear" w:color="auto" w:fill="FFFFFF"/>
            <w:tcMar>
              <w:top w:w="40" w:type="dxa"/>
              <w:left w:w="0" w:type="dxa"/>
              <w:bottom w:w="40" w:type="dxa"/>
              <w:right w:w="20" w:type="dxa"/>
            </w:tcMar>
            <w:vAlign w:val="center"/>
          </w:tcPr>
          <w:p w14:paraId="5DEC6835" w14:textId="77777777" w:rsidR="00B1578D" w:rsidRDefault="00B1578D">
            <w:pPr>
              <w:jc w:val="right"/>
              <w:rPr>
                <w:rFonts w:ascii="宋体"/>
              </w:rPr>
            </w:pPr>
          </w:p>
        </w:tc>
      </w:tr>
      <w:tr w:rsidR="00B1578D" w14:paraId="5DEC6846" w14:textId="77777777">
        <w:trPr>
          <w:jc w:val="center"/>
        </w:trPr>
        <w:tc>
          <w:tcPr>
            <w:tcW w:w="0" w:type="auto"/>
            <w:gridSpan w:val="3"/>
            <w:shd w:val="clear" w:color="auto" w:fill="CCEEFF"/>
            <w:tcMar>
              <w:top w:w="40" w:type="dxa"/>
              <w:left w:w="20" w:type="dxa"/>
              <w:bottom w:w="40" w:type="dxa"/>
              <w:right w:w="20" w:type="dxa"/>
            </w:tcMar>
            <w:vAlign w:val="center"/>
          </w:tcPr>
          <w:p w14:paraId="5DEC6837" w14:textId="77777777" w:rsidR="00B1578D" w:rsidRDefault="004D2C04">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vAlign w:val="bottom"/>
          </w:tcPr>
          <w:p w14:paraId="5DEC6838" w14:textId="77777777" w:rsidR="00B1578D" w:rsidRDefault="00B1578D">
            <w:pPr>
              <w:rPr>
                <w:rFonts w:ascii="宋体"/>
              </w:rPr>
            </w:pPr>
          </w:p>
        </w:tc>
        <w:tc>
          <w:tcPr>
            <w:tcW w:w="0" w:type="auto"/>
            <w:shd w:val="clear" w:color="auto" w:fill="auto"/>
            <w:vAlign w:val="bottom"/>
          </w:tcPr>
          <w:p w14:paraId="5DEC6839" w14:textId="77777777" w:rsidR="00B1578D" w:rsidRDefault="00B1578D">
            <w:pPr>
              <w:rPr>
                <w:rFonts w:ascii="宋体"/>
                <w:vanish/>
              </w:rPr>
            </w:pPr>
          </w:p>
        </w:tc>
        <w:tc>
          <w:tcPr>
            <w:tcW w:w="0" w:type="auto"/>
            <w:shd w:val="clear" w:color="auto" w:fill="auto"/>
            <w:vAlign w:val="bottom"/>
          </w:tcPr>
          <w:p w14:paraId="5DEC683A" w14:textId="77777777" w:rsidR="00B1578D" w:rsidRDefault="00B1578D">
            <w:pPr>
              <w:rPr>
                <w:rFonts w:ascii="宋体"/>
                <w:vanish/>
              </w:rPr>
            </w:pPr>
          </w:p>
        </w:tc>
        <w:tc>
          <w:tcPr>
            <w:tcW w:w="0" w:type="auto"/>
            <w:shd w:val="clear" w:color="auto" w:fill="auto"/>
            <w:vAlign w:val="bottom"/>
          </w:tcPr>
          <w:p w14:paraId="5DEC683B" w14:textId="77777777" w:rsidR="00B1578D" w:rsidRDefault="00B1578D">
            <w:pPr>
              <w:rPr>
                <w:rFonts w:ascii="宋体"/>
                <w:vanish/>
              </w:rPr>
            </w:pPr>
          </w:p>
        </w:tc>
        <w:tc>
          <w:tcPr>
            <w:tcW w:w="0" w:type="auto"/>
            <w:shd w:val="clear" w:color="auto" w:fill="auto"/>
            <w:vAlign w:val="bottom"/>
          </w:tcPr>
          <w:p w14:paraId="5DEC683C" w14:textId="77777777" w:rsidR="00B1578D" w:rsidRDefault="00B1578D">
            <w:pPr>
              <w:rPr>
                <w:rFonts w:ascii="宋体"/>
                <w:vanish/>
              </w:rPr>
            </w:pPr>
          </w:p>
        </w:tc>
        <w:tc>
          <w:tcPr>
            <w:tcW w:w="0" w:type="auto"/>
            <w:shd w:val="clear" w:color="auto" w:fill="auto"/>
            <w:vAlign w:val="bottom"/>
          </w:tcPr>
          <w:p w14:paraId="5DEC683D" w14:textId="77777777" w:rsidR="00B1578D" w:rsidRDefault="00B1578D">
            <w:pPr>
              <w:rPr>
                <w:rFonts w:ascii="宋体"/>
                <w:vanish/>
              </w:rPr>
            </w:pPr>
          </w:p>
        </w:tc>
        <w:tc>
          <w:tcPr>
            <w:tcW w:w="0" w:type="auto"/>
            <w:gridSpan w:val="3"/>
            <w:shd w:val="clear" w:color="auto" w:fill="auto"/>
            <w:vAlign w:val="bottom"/>
          </w:tcPr>
          <w:p w14:paraId="5DEC683E" w14:textId="77777777" w:rsidR="00B1578D" w:rsidRDefault="00B1578D">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83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840" w14:textId="77777777" w:rsidR="00B1578D" w:rsidRDefault="004D2C04">
            <w:pPr>
              <w:jc w:val="right"/>
              <w:textAlignment w:val="center"/>
            </w:pPr>
            <w:r>
              <w:rPr>
                <w:rFonts w:ascii="Times New Roman" w:eastAsia="宋体" w:hAnsi="Times New Roman"/>
                <w:color w:val="000000"/>
                <w:sz w:val="16"/>
                <w:szCs w:val="16"/>
              </w:rPr>
              <w:t>(7,297)</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84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842"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843"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844" w14:textId="77777777" w:rsidR="00B1578D" w:rsidRDefault="004D2C04">
            <w:pPr>
              <w:jc w:val="right"/>
              <w:textAlignment w:val="center"/>
            </w:pPr>
            <w:r>
              <w:rPr>
                <w:rFonts w:ascii="Times New Roman" w:eastAsia="宋体" w:hAnsi="Times New Roman"/>
                <w:color w:val="000000"/>
                <w:sz w:val="16"/>
                <w:szCs w:val="16"/>
              </w:rPr>
              <w:t>644 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845" w14:textId="77777777" w:rsidR="00B1578D" w:rsidRDefault="00B1578D">
            <w:pPr>
              <w:jc w:val="right"/>
              <w:rPr>
                <w:rFonts w:ascii="宋体"/>
              </w:rPr>
            </w:pPr>
          </w:p>
        </w:tc>
      </w:tr>
      <w:tr w:rsidR="00B1578D" w14:paraId="5DEC6852" w14:textId="77777777">
        <w:trPr>
          <w:trHeight w:val="220"/>
          <w:jc w:val="center"/>
        </w:trPr>
        <w:tc>
          <w:tcPr>
            <w:tcW w:w="0" w:type="auto"/>
            <w:gridSpan w:val="3"/>
            <w:shd w:val="clear" w:color="auto" w:fill="FFFFFF"/>
            <w:tcMar>
              <w:top w:w="0" w:type="dxa"/>
              <w:left w:w="20" w:type="dxa"/>
              <w:bottom w:w="0" w:type="dxa"/>
              <w:right w:w="20" w:type="dxa"/>
            </w:tcMar>
            <w:vAlign w:val="bottom"/>
          </w:tcPr>
          <w:p w14:paraId="5DEC6847"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848" w14:textId="77777777" w:rsidR="00B1578D" w:rsidRDefault="00B1578D">
            <w:pPr>
              <w:rPr>
                <w:rFonts w:ascii="宋体"/>
              </w:rPr>
            </w:pPr>
          </w:p>
        </w:tc>
        <w:tc>
          <w:tcPr>
            <w:tcW w:w="0" w:type="auto"/>
            <w:shd w:val="clear" w:color="auto" w:fill="auto"/>
            <w:vAlign w:val="bottom"/>
          </w:tcPr>
          <w:p w14:paraId="5DEC6849" w14:textId="77777777" w:rsidR="00B1578D" w:rsidRDefault="00B1578D">
            <w:pPr>
              <w:rPr>
                <w:rFonts w:ascii="宋体"/>
                <w:vanish/>
              </w:rPr>
            </w:pPr>
          </w:p>
        </w:tc>
        <w:tc>
          <w:tcPr>
            <w:tcW w:w="0" w:type="auto"/>
            <w:shd w:val="clear" w:color="auto" w:fill="auto"/>
            <w:vAlign w:val="bottom"/>
          </w:tcPr>
          <w:p w14:paraId="5DEC684A" w14:textId="77777777" w:rsidR="00B1578D" w:rsidRDefault="00B1578D">
            <w:pPr>
              <w:rPr>
                <w:rFonts w:ascii="宋体"/>
                <w:vanish/>
              </w:rPr>
            </w:pPr>
          </w:p>
        </w:tc>
        <w:tc>
          <w:tcPr>
            <w:tcW w:w="0" w:type="auto"/>
            <w:shd w:val="clear" w:color="auto" w:fill="auto"/>
            <w:vAlign w:val="bottom"/>
          </w:tcPr>
          <w:p w14:paraId="5DEC684B" w14:textId="77777777" w:rsidR="00B1578D" w:rsidRDefault="00B1578D">
            <w:pPr>
              <w:rPr>
                <w:rFonts w:ascii="宋体"/>
                <w:vanish/>
              </w:rPr>
            </w:pPr>
          </w:p>
        </w:tc>
        <w:tc>
          <w:tcPr>
            <w:tcW w:w="0" w:type="auto"/>
            <w:shd w:val="clear" w:color="auto" w:fill="auto"/>
            <w:vAlign w:val="bottom"/>
          </w:tcPr>
          <w:p w14:paraId="5DEC684C" w14:textId="77777777" w:rsidR="00B1578D" w:rsidRDefault="00B1578D">
            <w:pPr>
              <w:rPr>
                <w:rFonts w:ascii="宋体"/>
                <w:vanish/>
              </w:rPr>
            </w:pPr>
          </w:p>
        </w:tc>
        <w:tc>
          <w:tcPr>
            <w:tcW w:w="0" w:type="auto"/>
            <w:shd w:val="clear" w:color="auto" w:fill="auto"/>
            <w:vAlign w:val="bottom"/>
          </w:tcPr>
          <w:p w14:paraId="5DEC684D" w14:textId="77777777" w:rsidR="00B1578D" w:rsidRDefault="00B1578D">
            <w:pPr>
              <w:rPr>
                <w:rFonts w:ascii="宋体"/>
                <w:vanish/>
              </w:rPr>
            </w:pPr>
          </w:p>
        </w:tc>
        <w:tc>
          <w:tcPr>
            <w:tcW w:w="0" w:type="auto"/>
            <w:gridSpan w:val="3"/>
            <w:shd w:val="clear" w:color="auto" w:fill="auto"/>
            <w:vAlign w:val="bottom"/>
          </w:tcPr>
          <w:p w14:paraId="5DEC684E" w14:textId="77777777" w:rsidR="00B1578D" w:rsidRDefault="00B1578D">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EC684F"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850" w14:textId="77777777" w:rsidR="00B1578D" w:rsidRDefault="00B1578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DEC6851" w14:textId="77777777" w:rsidR="00B1578D" w:rsidRDefault="00B1578D">
            <w:pPr>
              <w:rPr>
                <w:rFonts w:ascii="宋体"/>
              </w:rPr>
            </w:pPr>
          </w:p>
        </w:tc>
      </w:tr>
      <w:tr w:rsidR="00B1578D" w14:paraId="5DEC6862" w14:textId="77777777">
        <w:trPr>
          <w:jc w:val="center"/>
        </w:trPr>
        <w:tc>
          <w:tcPr>
            <w:tcW w:w="0" w:type="auto"/>
            <w:gridSpan w:val="3"/>
            <w:shd w:val="clear" w:color="auto" w:fill="CCEEFF"/>
            <w:tcMar>
              <w:top w:w="40" w:type="dxa"/>
              <w:left w:w="20" w:type="dxa"/>
              <w:bottom w:w="40" w:type="dxa"/>
              <w:right w:w="20" w:type="dxa"/>
            </w:tcMar>
            <w:vAlign w:val="center"/>
          </w:tcPr>
          <w:p w14:paraId="5DEC6853" w14:textId="77777777" w:rsidR="00B1578D" w:rsidRDefault="004D2C04">
            <w:pPr>
              <w:textAlignment w:val="center"/>
            </w:pPr>
            <w:r>
              <w:rPr>
                <w:rFonts w:ascii="Times New Roman" w:eastAsia="宋体" w:hAnsi="Times New Roman"/>
                <w:color w:val="000000"/>
                <w:sz w:val="16"/>
                <w:szCs w:val="16"/>
              </w:rPr>
              <w:t>Net cash provided by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5DEC6854" w14:textId="77777777" w:rsidR="00B1578D" w:rsidRDefault="00B1578D">
            <w:pPr>
              <w:rPr>
                <w:rFonts w:ascii="宋体"/>
              </w:rPr>
            </w:pPr>
          </w:p>
        </w:tc>
        <w:tc>
          <w:tcPr>
            <w:tcW w:w="0" w:type="auto"/>
            <w:shd w:val="clear" w:color="auto" w:fill="auto"/>
            <w:vAlign w:val="bottom"/>
          </w:tcPr>
          <w:p w14:paraId="5DEC6855" w14:textId="77777777" w:rsidR="00B1578D" w:rsidRDefault="00B1578D">
            <w:pPr>
              <w:rPr>
                <w:rFonts w:ascii="宋体"/>
                <w:vanish/>
              </w:rPr>
            </w:pPr>
          </w:p>
        </w:tc>
        <w:tc>
          <w:tcPr>
            <w:tcW w:w="0" w:type="auto"/>
            <w:shd w:val="clear" w:color="auto" w:fill="auto"/>
            <w:vAlign w:val="bottom"/>
          </w:tcPr>
          <w:p w14:paraId="5DEC6856" w14:textId="77777777" w:rsidR="00B1578D" w:rsidRDefault="00B1578D">
            <w:pPr>
              <w:rPr>
                <w:rFonts w:ascii="宋体"/>
                <w:vanish/>
              </w:rPr>
            </w:pPr>
          </w:p>
        </w:tc>
        <w:tc>
          <w:tcPr>
            <w:tcW w:w="0" w:type="auto"/>
            <w:shd w:val="clear" w:color="auto" w:fill="auto"/>
            <w:vAlign w:val="bottom"/>
          </w:tcPr>
          <w:p w14:paraId="5DEC6857" w14:textId="77777777" w:rsidR="00B1578D" w:rsidRDefault="00B1578D">
            <w:pPr>
              <w:rPr>
                <w:rFonts w:ascii="宋体"/>
                <w:vanish/>
              </w:rPr>
            </w:pPr>
          </w:p>
        </w:tc>
        <w:tc>
          <w:tcPr>
            <w:tcW w:w="0" w:type="auto"/>
            <w:shd w:val="clear" w:color="auto" w:fill="auto"/>
            <w:vAlign w:val="bottom"/>
          </w:tcPr>
          <w:p w14:paraId="5DEC6858" w14:textId="77777777" w:rsidR="00B1578D" w:rsidRDefault="00B1578D">
            <w:pPr>
              <w:rPr>
                <w:rFonts w:ascii="宋体"/>
                <w:vanish/>
              </w:rPr>
            </w:pPr>
          </w:p>
        </w:tc>
        <w:tc>
          <w:tcPr>
            <w:tcW w:w="0" w:type="auto"/>
            <w:shd w:val="clear" w:color="auto" w:fill="auto"/>
            <w:vAlign w:val="bottom"/>
          </w:tcPr>
          <w:p w14:paraId="5DEC6859" w14:textId="77777777" w:rsidR="00B1578D" w:rsidRDefault="00B1578D">
            <w:pPr>
              <w:rPr>
                <w:rFonts w:ascii="宋体"/>
                <w:vanish/>
              </w:rPr>
            </w:pPr>
          </w:p>
        </w:tc>
        <w:tc>
          <w:tcPr>
            <w:tcW w:w="0" w:type="auto"/>
            <w:gridSpan w:val="3"/>
            <w:shd w:val="clear" w:color="auto" w:fill="auto"/>
            <w:vAlign w:val="bottom"/>
          </w:tcPr>
          <w:p w14:paraId="5DEC685A" w14:textId="77777777" w:rsidR="00B1578D" w:rsidRDefault="00B1578D">
            <w:pPr>
              <w:rPr>
                <w:rFonts w:ascii="宋体"/>
                <w:vanish/>
              </w:rPr>
            </w:pPr>
          </w:p>
        </w:tc>
        <w:tc>
          <w:tcPr>
            <w:tcW w:w="0" w:type="auto"/>
            <w:shd w:val="clear" w:color="auto" w:fill="CCEEFF"/>
            <w:tcMar>
              <w:top w:w="40" w:type="dxa"/>
              <w:left w:w="20" w:type="dxa"/>
              <w:bottom w:w="40" w:type="dxa"/>
              <w:right w:w="0" w:type="dxa"/>
            </w:tcMar>
            <w:vAlign w:val="center"/>
          </w:tcPr>
          <w:p w14:paraId="5DEC685B"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85C" w14:textId="77777777" w:rsidR="00B1578D" w:rsidRDefault="004D2C04">
            <w:pPr>
              <w:jc w:val="right"/>
              <w:textAlignment w:val="center"/>
            </w:pPr>
            <w:r>
              <w:rPr>
                <w:rFonts w:ascii="Times New Roman" w:eastAsia="宋体" w:hAnsi="Times New Roman"/>
                <w:color w:val="000000"/>
                <w:sz w:val="16"/>
                <w:szCs w:val="16"/>
              </w:rPr>
              <w:t>(4,558)</w:t>
            </w:r>
          </w:p>
        </w:tc>
        <w:tc>
          <w:tcPr>
            <w:tcW w:w="0" w:type="auto"/>
            <w:shd w:val="clear" w:color="auto" w:fill="CCEEFF"/>
            <w:tcMar>
              <w:top w:w="40" w:type="dxa"/>
              <w:left w:w="0" w:type="dxa"/>
              <w:bottom w:w="40" w:type="dxa"/>
              <w:right w:w="20" w:type="dxa"/>
            </w:tcMar>
            <w:vAlign w:val="center"/>
          </w:tcPr>
          <w:p w14:paraId="5DEC685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85E"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85F"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860" w14:textId="77777777" w:rsidR="00B1578D" w:rsidRDefault="004D2C04">
            <w:pPr>
              <w:jc w:val="right"/>
              <w:textAlignment w:val="center"/>
            </w:pPr>
            <w:r>
              <w:rPr>
                <w:rFonts w:ascii="Times New Roman" w:eastAsia="宋体" w:hAnsi="Times New Roman"/>
                <w:color w:val="000000"/>
                <w:sz w:val="16"/>
                <w:szCs w:val="16"/>
              </w:rPr>
              <w:t>5,850 </w:t>
            </w:r>
          </w:p>
        </w:tc>
        <w:tc>
          <w:tcPr>
            <w:tcW w:w="0" w:type="auto"/>
            <w:shd w:val="clear" w:color="auto" w:fill="CCEEFF"/>
            <w:tcMar>
              <w:top w:w="40" w:type="dxa"/>
              <w:left w:w="0" w:type="dxa"/>
              <w:bottom w:w="40" w:type="dxa"/>
              <w:right w:w="20" w:type="dxa"/>
            </w:tcMar>
            <w:vAlign w:val="center"/>
          </w:tcPr>
          <w:p w14:paraId="5DEC6861" w14:textId="77777777" w:rsidR="00B1578D" w:rsidRDefault="00B1578D">
            <w:pPr>
              <w:jc w:val="right"/>
              <w:rPr>
                <w:rFonts w:ascii="宋体"/>
              </w:rPr>
            </w:pPr>
          </w:p>
        </w:tc>
      </w:tr>
      <w:tr w:rsidR="00B1578D" w14:paraId="5DEC6870" w14:textId="77777777">
        <w:trPr>
          <w:jc w:val="center"/>
        </w:trPr>
        <w:tc>
          <w:tcPr>
            <w:tcW w:w="0" w:type="auto"/>
            <w:gridSpan w:val="3"/>
            <w:shd w:val="clear" w:color="auto" w:fill="FFFFFF"/>
            <w:tcMar>
              <w:top w:w="40" w:type="dxa"/>
              <w:left w:w="20" w:type="dxa"/>
              <w:bottom w:w="40" w:type="dxa"/>
              <w:right w:w="20" w:type="dxa"/>
            </w:tcMar>
            <w:vAlign w:val="center"/>
          </w:tcPr>
          <w:p w14:paraId="5DEC6863" w14:textId="77777777" w:rsidR="00B1578D" w:rsidRDefault="004D2C04">
            <w:pPr>
              <w:textAlignment w:val="center"/>
            </w:pPr>
            <w:r>
              <w:rPr>
                <w:rFonts w:ascii="Times New Roman" w:eastAsia="宋体" w:hAnsi="Times New Roman"/>
                <w:color w:val="000000"/>
                <w:sz w:val="16"/>
                <w:szCs w:val="16"/>
              </w:rPr>
              <w:t>Net cash provided by (used in) financing activities</w:t>
            </w:r>
          </w:p>
        </w:tc>
        <w:tc>
          <w:tcPr>
            <w:tcW w:w="0" w:type="auto"/>
            <w:gridSpan w:val="3"/>
            <w:shd w:val="clear" w:color="auto" w:fill="FFFFFF"/>
            <w:tcMar>
              <w:top w:w="0" w:type="dxa"/>
              <w:left w:w="20" w:type="dxa"/>
              <w:bottom w:w="0" w:type="dxa"/>
              <w:right w:w="20" w:type="dxa"/>
            </w:tcMar>
            <w:vAlign w:val="bottom"/>
          </w:tcPr>
          <w:p w14:paraId="5DEC6864" w14:textId="77777777" w:rsidR="00B1578D" w:rsidRDefault="00B1578D">
            <w:pPr>
              <w:rPr>
                <w:rFonts w:ascii="宋体"/>
              </w:rPr>
            </w:pPr>
          </w:p>
        </w:tc>
        <w:tc>
          <w:tcPr>
            <w:tcW w:w="0" w:type="auto"/>
            <w:shd w:val="clear" w:color="auto" w:fill="auto"/>
            <w:vAlign w:val="bottom"/>
          </w:tcPr>
          <w:p w14:paraId="5DEC6865" w14:textId="77777777" w:rsidR="00B1578D" w:rsidRDefault="00B1578D">
            <w:pPr>
              <w:rPr>
                <w:rFonts w:ascii="宋体"/>
                <w:vanish/>
              </w:rPr>
            </w:pPr>
          </w:p>
        </w:tc>
        <w:tc>
          <w:tcPr>
            <w:tcW w:w="0" w:type="auto"/>
            <w:shd w:val="clear" w:color="auto" w:fill="auto"/>
            <w:vAlign w:val="bottom"/>
          </w:tcPr>
          <w:p w14:paraId="5DEC6866" w14:textId="77777777" w:rsidR="00B1578D" w:rsidRDefault="00B1578D">
            <w:pPr>
              <w:rPr>
                <w:rFonts w:ascii="宋体"/>
                <w:vanish/>
              </w:rPr>
            </w:pPr>
          </w:p>
        </w:tc>
        <w:tc>
          <w:tcPr>
            <w:tcW w:w="0" w:type="auto"/>
            <w:shd w:val="clear" w:color="auto" w:fill="auto"/>
            <w:vAlign w:val="bottom"/>
          </w:tcPr>
          <w:p w14:paraId="5DEC6867" w14:textId="77777777" w:rsidR="00B1578D" w:rsidRDefault="00B1578D">
            <w:pPr>
              <w:rPr>
                <w:rFonts w:ascii="宋体"/>
                <w:vanish/>
              </w:rPr>
            </w:pPr>
          </w:p>
        </w:tc>
        <w:tc>
          <w:tcPr>
            <w:tcW w:w="0" w:type="auto"/>
            <w:shd w:val="clear" w:color="auto" w:fill="auto"/>
            <w:vAlign w:val="bottom"/>
          </w:tcPr>
          <w:p w14:paraId="5DEC6868" w14:textId="77777777" w:rsidR="00B1578D" w:rsidRDefault="00B1578D">
            <w:pPr>
              <w:rPr>
                <w:rFonts w:ascii="宋体"/>
                <w:vanish/>
              </w:rPr>
            </w:pPr>
          </w:p>
        </w:tc>
        <w:tc>
          <w:tcPr>
            <w:tcW w:w="0" w:type="auto"/>
            <w:shd w:val="clear" w:color="auto" w:fill="auto"/>
            <w:vAlign w:val="bottom"/>
          </w:tcPr>
          <w:p w14:paraId="5DEC6869" w14:textId="77777777" w:rsidR="00B1578D" w:rsidRDefault="00B1578D">
            <w:pPr>
              <w:rPr>
                <w:rFonts w:ascii="宋体"/>
                <w:vanish/>
              </w:rPr>
            </w:pPr>
          </w:p>
        </w:tc>
        <w:tc>
          <w:tcPr>
            <w:tcW w:w="0" w:type="auto"/>
            <w:gridSpan w:val="3"/>
            <w:shd w:val="clear" w:color="auto" w:fill="auto"/>
            <w:vAlign w:val="bottom"/>
          </w:tcPr>
          <w:p w14:paraId="5DEC686A" w14:textId="77777777" w:rsidR="00B1578D" w:rsidRDefault="00B1578D">
            <w:pPr>
              <w:rPr>
                <w:rFonts w:ascii="宋体"/>
                <w:vanish/>
              </w:rPr>
            </w:pPr>
          </w:p>
        </w:tc>
        <w:tc>
          <w:tcPr>
            <w:tcW w:w="0" w:type="auto"/>
            <w:gridSpan w:val="2"/>
            <w:shd w:val="clear" w:color="auto" w:fill="FFFFFF"/>
            <w:tcMar>
              <w:top w:w="40" w:type="dxa"/>
              <w:left w:w="20" w:type="dxa"/>
              <w:bottom w:w="40" w:type="dxa"/>
              <w:right w:w="0" w:type="dxa"/>
            </w:tcMar>
            <w:vAlign w:val="center"/>
          </w:tcPr>
          <w:p w14:paraId="5DEC686B" w14:textId="77777777" w:rsidR="00B1578D" w:rsidRDefault="004D2C04">
            <w:pPr>
              <w:jc w:val="right"/>
              <w:textAlignment w:val="center"/>
            </w:pPr>
            <w:r>
              <w:rPr>
                <w:rFonts w:ascii="Times New Roman" w:eastAsia="宋体" w:hAnsi="Times New Roman"/>
                <w:color w:val="000000"/>
                <w:sz w:val="16"/>
                <w:szCs w:val="16"/>
              </w:rPr>
              <w:t>5,315 </w:t>
            </w:r>
          </w:p>
        </w:tc>
        <w:tc>
          <w:tcPr>
            <w:tcW w:w="0" w:type="auto"/>
            <w:shd w:val="clear" w:color="auto" w:fill="FFFFFF"/>
            <w:tcMar>
              <w:top w:w="40" w:type="dxa"/>
              <w:left w:w="0" w:type="dxa"/>
              <w:bottom w:w="40" w:type="dxa"/>
              <w:right w:w="20" w:type="dxa"/>
            </w:tcMar>
            <w:vAlign w:val="center"/>
          </w:tcPr>
          <w:p w14:paraId="5DEC686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86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86E" w14:textId="77777777" w:rsidR="00B1578D" w:rsidRDefault="004D2C04">
            <w:pPr>
              <w:jc w:val="right"/>
              <w:textAlignment w:val="center"/>
            </w:pPr>
            <w:r>
              <w:rPr>
                <w:rFonts w:ascii="Times New Roman" w:eastAsia="宋体" w:hAnsi="Times New Roman"/>
                <w:color w:val="000000"/>
                <w:sz w:val="16"/>
                <w:szCs w:val="16"/>
              </w:rPr>
              <w:t>(5,399)</w:t>
            </w:r>
          </w:p>
        </w:tc>
        <w:tc>
          <w:tcPr>
            <w:tcW w:w="0" w:type="auto"/>
            <w:shd w:val="clear" w:color="auto" w:fill="FFFFFF"/>
            <w:tcMar>
              <w:top w:w="40" w:type="dxa"/>
              <w:left w:w="0" w:type="dxa"/>
              <w:bottom w:w="40" w:type="dxa"/>
              <w:right w:w="20" w:type="dxa"/>
            </w:tcMar>
            <w:vAlign w:val="center"/>
          </w:tcPr>
          <w:p w14:paraId="5DEC686F" w14:textId="77777777" w:rsidR="00B1578D" w:rsidRDefault="00B1578D">
            <w:pPr>
              <w:jc w:val="right"/>
              <w:rPr>
                <w:rFonts w:ascii="宋体"/>
              </w:rPr>
            </w:pPr>
          </w:p>
        </w:tc>
      </w:tr>
    </w:tbl>
    <w:p w14:paraId="5DEC6871" w14:textId="77777777" w:rsidR="00B1578D" w:rsidRDefault="004D2C04">
      <w:pPr>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provided by (used in) investing activities" includes payments for property and equipment, which is also included in our computation of free cash flow.</w:t>
      </w:r>
    </w:p>
    <w:p w14:paraId="5DEC6872" w14:textId="77777777" w:rsidR="00B1578D" w:rsidRDefault="004D2C04">
      <w:pPr>
        <w:jc w:val="center"/>
      </w:pPr>
      <w:r>
        <w:rPr>
          <w:rFonts w:ascii="Times New Roman" w:eastAsia="宋体" w:hAnsi="Times New Roman"/>
          <w:color w:val="000000"/>
          <w:sz w:val="20"/>
          <w:szCs w:val="20"/>
        </w:rPr>
        <w:t>19</w:t>
      </w:r>
    </w:p>
    <w:p w14:paraId="5DEC6873" w14:textId="77777777" w:rsidR="00B1578D" w:rsidRDefault="004D2C04">
      <w:r>
        <w:pict w14:anchorId="5DEC6F38">
          <v:rect id="_x0000_i1043" style="width:415.3pt;height:1.5pt" o:hralign="center" o:hrstd="t" o:hr="t" fillcolor="#a0a0a0" stroked="f"/>
        </w:pict>
      </w:r>
    </w:p>
    <w:p w14:paraId="5DEC6874" w14:textId="77777777" w:rsidR="00B1578D" w:rsidRDefault="004D2C04">
      <w:hyperlink r:id="rId63" w:anchor="ia92fe4e1fa654d85928fb72942eadb02_7" w:history="1">
        <w:r>
          <w:rPr>
            <w:rStyle w:val="a5"/>
            <w:rFonts w:ascii="Times New Roman" w:eastAsia="宋体" w:hAnsi="Times New Roman"/>
            <w:sz w:val="20"/>
            <w:szCs w:val="20"/>
          </w:rPr>
          <w:t>Table of Contents</w:t>
        </w:r>
      </w:hyperlink>
    </w:p>
    <w:p w14:paraId="5DEC6875" w14:textId="77777777" w:rsidR="00B1578D" w:rsidRDefault="004D2C04">
      <w:r>
        <w:rPr>
          <w:rFonts w:ascii="Times New Roman" w:eastAsia="宋体" w:hAnsi="Times New Roman"/>
          <w:b/>
          <w:bCs/>
          <w:color w:val="000000"/>
          <w:sz w:val="20"/>
          <w:szCs w:val="20"/>
        </w:rPr>
        <w:t>Results of Operations</w:t>
      </w:r>
    </w:p>
    <w:p w14:paraId="5DEC6876" w14:textId="77777777" w:rsidR="00B1578D" w:rsidRDefault="004D2C04">
      <w:pPr>
        <w:spacing w:before="180"/>
      </w:pPr>
      <w:r>
        <w:rPr>
          <w:rFonts w:ascii="Times New Roman" w:eastAsia="宋体" w:hAnsi="Times New Roman"/>
          <w:b/>
          <w:bCs/>
          <w:i/>
          <w:i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962"/>
        <w:gridCol w:w="38"/>
        <w:gridCol w:w="36"/>
        <w:gridCol w:w="36"/>
        <w:gridCol w:w="36"/>
        <w:gridCol w:w="100"/>
        <w:gridCol w:w="792"/>
        <w:gridCol w:w="36"/>
        <w:gridCol w:w="36"/>
        <w:gridCol w:w="36"/>
        <w:gridCol w:w="36"/>
        <w:gridCol w:w="100"/>
        <w:gridCol w:w="729"/>
        <w:gridCol w:w="36"/>
        <w:gridCol w:w="36"/>
        <w:gridCol w:w="36"/>
        <w:gridCol w:w="36"/>
        <w:gridCol w:w="36"/>
        <w:gridCol w:w="36"/>
        <w:gridCol w:w="36"/>
        <w:gridCol w:w="36"/>
        <w:gridCol w:w="36"/>
      </w:tblGrid>
      <w:tr w:rsidR="00B1578D" w14:paraId="5DEC688A" w14:textId="77777777">
        <w:tc>
          <w:tcPr>
            <w:tcW w:w="50" w:type="pct"/>
            <w:shd w:val="clear" w:color="auto" w:fill="auto"/>
            <w:vAlign w:val="bottom"/>
          </w:tcPr>
          <w:p w14:paraId="5DEC6877" w14:textId="77777777" w:rsidR="00B1578D" w:rsidRDefault="00B1578D">
            <w:pPr>
              <w:rPr>
                <w:rFonts w:ascii="宋体"/>
              </w:rPr>
            </w:pPr>
          </w:p>
        </w:tc>
        <w:tc>
          <w:tcPr>
            <w:tcW w:w="3738" w:type="pct"/>
            <w:shd w:val="clear" w:color="auto" w:fill="auto"/>
            <w:vAlign w:val="bottom"/>
          </w:tcPr>
          <w:p w14:paraId="5DEC6878" w14:textId="77777777" w:rsidR="00B1578D" w:rsidRDefault="00B1578D">
            <w:pPr>
              <w:rPr>
                <w:rFonts w:ascii="宋体"/>
              </w:rPr>
            </w:pPr>
          </w:p>
        </w:tc>
        <w:tc>
          <w:tcPr>
            <w:tcW w:w="5" w:type="pct"/>
            <w:shd w:val="clear" w:color="auto" w:fill="auto"/>
            <w:vAlign w:val="bottom"/>
          </w:tcPr>
          <w:p w14:paraId="5DEC6879" w14:textId="77777777" w:rsidR="00B1578D" w:rsidRDefault="00B1578D">
            <w:pPr>
              <w:rPr>
                <w:rFonts w:ascii="宋体"/>
              </w:rPr>
            </w:pPr>
          </w:p>
        </w:tc>
        <w:tc>
          <w:tcPr>
            <w:tcW w:w="5" w:type="pct"/>
            <w:shd w:val="clear" w:color="auto" w:fill="auto"/>
            <w:vAlign w:val="bottom"/>
          </w:tcPr>
          <w:p w14:paraId="5DEC687A" w14:textId="77777777" w:rsidR="00B1578D" w:rsidRDefault="00B1578D">
            <w:pPr>
              <w:rPr>
                <w:rFonts w:ascii="宋体"/>
              </w:rPr>
            </w:pPr>
          </w:p>
        </w:tc>
        <w:tc>
          <w:tcPr>
            <w:tcW w:w="19" w:type="pct"/>
            <w:shd w:val="clear" w:color="auto" w:fill="auto"/>
            <w:vAlign w:val="bottom"/>
          </w:tcPr>
          <w:p w14:paraId="5DEC687B" w14:textId="77777777" w:rsidR="00B1578D" w:rsidRDefault="00B1578D">
            <w:pPr>
              <w:rPr>
                <w:rFonts w:ascii="宋体"/>
              </w:rPr>
            </w:pPr>
          </w:p>
        </w:tc>
        <w:tc>
          <w:tcPr>
            <w:tcW w:w="5" w:type="pct"/>
            <w:shd w:val="clear" w:color="auto" w:fill="auto"/>
            <w:vAlign w:val="bottom"/>
          </w:tcPr>
          <w:p w14:paraId="5DEC687C" w14:textId="77777777" w:rsidR="00B1578D" w:rsidRDefault="00B1578D">
            <w:pPr>
              <w:rPr>
                <w:rFonts w:ascii="宋体"/>
              </w:rPr>
            </w:pPr>
          </w:p>
        </w:tc>
        <w:tc>
          <w:tcPr>
            <w:tcW w:w="50" w:type="pct"/>
            <w:shd w:val="clear" w:color="auto" w:fill="auto"/>
            <w:vAlign w:val="bottom"/>
          </w:tcPr>
          <w:p w14:paraId="5DEC687D" w14:textId="77777777" w:rsidR="00B1578D" w:rsidRDefault="00B1578D">
            <w:pPr>
              <w:rPr>
                <w:rFonts w:ascii="宋体"/>
              </w:rPr>
            </w:pPr>
          </w:p>
        </w:tc>
        <w:tc>
          <w:tcPr>
            <w:tcW w:w="522" w:type="pct"/>
            <w:shd w:val="clear" w:color="auto" w:fill="auto"/>
            <w:vAlign w:val="bottom"/>
          </w:tcPr>
          <w:p w14:paraId="5DEC687E" w14:textId="77777777" w:rsidR="00B1578D" w:rsidRDefault="00B1578D">
            <w:pPr>
              <w:rPr>
                <w:rFonts w:ascii="宋体"/>
              </w:rPr>
            </w:pPr>
          </w:p>
        </w:tc>
        <w:tc>
          <w:tcPr>
            <w:tcW w:w="5" w:type="pct"/>
            <w:shd w:val="clear" w:color="auto" w:fill="auto"/>
            <w:vAlign w:val="bottom"/>
          </w:tcPr>
          <w:p w14:paraId="5DEC687F" w14:textId="77777777" w:rsidR="00B1578D" w:rsidRDefault="00B1578D">
            <w:pPr>
              <w:rPr>
                <w:rFonts w:ascii="宋体"/>
              </w:rPr>
            </w:pPr>
          </w:p>
        </w:tc>
        <w:tc>
          <w:tcPr>
            <w:tcW w:w="5" w:type="pct"/>
            <w:shd w:val="clear" w:color="auto" w:fill="auto"/>
            <w:vAlign w:val="bottom"/>
          </w:tcPr>
          <w:p w14:paraId="5DEC6880" w14:textId="77777777" w:rsidR="00B1578D" w:rsidRDefault="00B1578D">
            <w:pPr>
              <w:rPr>
                <w:rFonts w:ascii="宋体"/>
              </w:rPr>
            </w:pPr>
          </w:p>
        </w:tc>
        <w:tc>
          <w:tcPr>
            <w:tcW w:w="26" w:type="pct"/>
            <w:shd w:val="clear" w:color="auto" w:fill="auto"/>
            <w:vAlign w:val="bottom"/>
          </w:tcPr>
          <w:p w14:paraId="5DEC6881" w14:textId="77777777" w:rsidR="00B1578D" w:rsidRDefault="00B1578D">
            <w:pPr>
              <w:rPr>
                <w:rFonts w:ascii="宋体"/>
              </w:rPr>
            </w:pPr>
          </w:p>
        </w:tc>
        <w:tc>
          <w:tcPr>
            <w:tcW w:w="5" w:type="pct"/>
            <w:shd w:val="clear" w:color="auto" w:fill="auto"/>
            <w:vAlign w:val="bottom"/>
          </w:tcPr>
          <w:p w14:paraId="5DEC6882" w14:textId="77777777" w:rsidR="00B1578D" w:rsidRDefault="00B1578D">
            <w:pPr>
              <w:rPr>
                <w:rFonts w:ascii="宋体"/>
              </w:rPr>
            </w:pPr>
          </w:p>
        </w:tc>
        <w:tc>
          <w:tcPr>
            <w:tcW w:w="50" w:type="pct"/>
            <w:shd w:val="clear" w:color="auto" w:fill="auto"/>
            <w:vAlign w:val="bottom"/>
          </w:tcPr>
          <w:p w14:paraId="5DEC6883" w14:textId="77777777" w:rsidR="00B1578D" w:rsidRDefault="00B1578D">
            <w:pPr>
              <w:rPr>
                <w:rFonts w:ascii="宋体"/>
              </w:rPr>
            </w:pPr>
          </w:p>
        </w:tc>
        <w:tc>
          <w:tcPr>
            <w:tcW w:w="508" w:type="pct"/>
            <w:shd w:val="clear" w:color="auto" w:fill="auto"/>
            <w:vAlign w:val="bottom"/>
          </w:tcPr>
          <w:p w14:paraId="5DEC6884" w14:textId="77777777" w:rsidR="00B1578D" w:rsidRDefault="00B1578D">
            <w:pPr>
              <w:rPr>
                <w:rFonts w:ascii="宋体"/>
              </w:rPr>
            </w:pPr>
          </w:p>
        </w:tc>
        <w:tc>
          <w:tcPr>
            <w:tcW w:w="5" w:type="pct"/>
            <w:shd w:val="clear" w:color="auto" w:fill="auto"/>
            <w:vAlign w:val="bottom"/>
          </w:tcPr>
          <w:p w14:paraId="5DEC6885" w14:textId="77777777" w:rsidR="00B1578D" w:rsidRDefault="00B1578D">
            <w:pPr>
              <w:rPr>
                <w:rFonts w:ascii="宋体"/>
              </w:rPr>
            </w:pPr>
          </w:p>
        </w:tc>
        <w:tc>
          <w:tcPr>
            <w:tcW w:w="0" w:type="auto"/>
            <w:shd w:val="clear" w:color="auto" w:fill="auto"/>
            <w:vAlign w:val="bottom"/>
          </w:tcPr>
          <w:p w14:paraId="5DEC6886" w14:textId="77777777" w:rsidR="00B1578D" w:rsidRDefault="00B1578D">
            <w:pPr>
              <w:rPr>
                <w:rFonts w:ascii="宋体"/>
                <w:vanish/>
              </w:rPr>
            </w:pPr>
          </w:p>
        </w:tc>
        <w:tc>
          <w:tcPr>
            <w:tcW w:w="0" w:type="auto"/>
            <w:shd w:val="clear" w:color="auto" w:fill="auto"/>
            <w:vAlign w:val="bottom"/>
          </w:tcPr>
          <w:p w14:paraId="5DEC6887" w14:textId="77777777" w:rsidR="00B1578D" w:rsidRDefault="00B1578D">
            <w:pPr>
              <w:rPr>
                <w:rFonts w:ascii="宋体"/>
                <w:vanish/>
              </w:rPr>
            </w:pPr>
          </w:p>
        </w:tc>
        <w:tc>
          <w:tcPr>
            <w:tcW w:w="0" w:type="auto"/>
            <w:gridSpan w:val="3"/>
            <w:shd w:val="clear" w:color="auto" w:fill="auto"/>
            <w:vAlign w:val="bottom"/>
          </w:tcPr>
          <w:p w14:paraId="5DEC6888" w14:textId="77777777" w:rsidR="00B1578D" w:rsidRDefault="00B1578D">
            <w:pPr>
              <w:rPr>
                <w:rFonts w:ascii="宋体"/>
                <w:vanish/>
              </w:rPr>
            </w:pPr>
          </w:p>
        </w:tc>
        <w:tc>
          <w:tcPr>
            <w:tcW w:w="0" w:type="auto"/>
            <w:gridSpan w:val="3"/>
            <w:shd w:val="clear" w:color="auto" w:fill="auto"/>
            <w:vAlign w:val="bottom"/>
          </w:tcPr>
          <w:p w14:paraId="5DEC6889" w14:textId="77777777" w:rsidR="00B1578D" w:rsidRDefault="00B1578D">
            <w:pPr>
              <w:rPr>
                <w:rFonts w:ascii="宋体"/>
                <w:vanish/>
              </w:rPr>
            </w:pPr>
          </w:p>
        </w:tc>
      </w:tr>
      <w:tr w:rsidR="00B1578D" w14:paraId="5DEC6896" w14:textId="77777777">
        <w:tc>
          <w:tcPr>
            <w:tcW w:w="0" w:type="auto"/>
            <w:gridSpan w:val="3"/>
            <w:shd w:val="clear" w:color="auto" w:fill="auto"/>
            <w:tcMar>
              <w:top w:w="0" w:type="dxa"/>
              <w:left w:w="20" w:type="dxa"/>
              <w:bottom w:w="0" w:type="dxa"/>
              <w:right w:w="20" w:type="dxa"/>
            </w:tcMar>
            <w:vAlign w:val="bottom"/>
          </w:tcPr>
          <w:p w14:paraId="5DEC688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88C"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bottom"/>
          </w:tcPr>
          <w:p w14:paraId="5DEC688D"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88E" w14:textId="77777777" w:rsidR="00B1578D" w:rsidRDefault="00B1578D">
            <w:pPr>
              <w:rPr>
                <w:rFonts w:ascii="宋体"/>
                <w:vanish/>
              </w:rPr>
            </w:pPr>
          </w:p>
        </w:tc>
        <w:tc>
          <w:tcPr>
            <w:tcW w:w="0" w:type="auto"/>
            <w:shd w:val="clear" w:color="auto" w:fill="auto"/>
            <w:vAlign w:val="bottom"/>
          </w:tcPr>
          <w:p w14:paraId="5DEC688F" w14:textId="77777777" w:rsidR="00B1578D" w:rsidRDefault="00B1578D">
            <w:pPr>
              <w:rPr>
                <w:rFonts w:ascii="宋体"/>
                <w:vanish/>
              </w:rPr>
            </w:pPr>
          </w:p>
        </w:tc>
        <w:tc>
          <w:tcPr>
            <w:tcW w:w="0" w:type="auto"/>
            <w:shd w:val="clear" w:color="auto" w:fill="auto"/>
            <w:vAlign w:val="bottom"/>
          </w:tcPr>
          <w:p w14:paraId="5DEC6890" w14:textId="77777777" w:rsidR="00B1578D" w:rsidRDefault="00B1578D">
            <w:pPr>
              <w:rPr>
                <w:rFonts w:ascii="宋体"/>
              </w:rPr>
            </w:pPr>
          </w:p>
        </w:tc>
        <w:tc>
          <w:tcPr>
            <w:tcW w:w="0" w:type="auto"/>
            <w:shd w:val="clear" w:color="auto" w:fill="auto"/>
            <w:vAlign w:val="bottom"/>
          </w:tcPr>
          <w:p w14:paraId="5DEC6891" w14:textId="77777777" w:rsidR="00B1578D" w:rsidRDefault="00B1578D">
            <w:pPr>
              <w:rPr>
                <w:rFonts w:ascii="宋体"/>
              </w:rPr>
            </w:pPr>
          </w:p>
        </w:tc>
        <w:tc>
          <w:tcPr>
            <w:tcW w:w="0" w:type="auto"/>
            <w:shd w:val="clear" w:color="auto" w:fill="auto"/>
            <w:vAlign w:val="bottom"/>
          </w:tcPr>
          <w:p w14:paraId="5DEC6892" w14:textId="77777777" w:rsidR="00B1578D" w:rsidRDefault="00B1578D">
            <w:pPr>
              <w:rPr>
                <w:rFonts w:ascii="宋体"/>
              </w:rPr>
            </w:pPr>
          </w:p>
        </w:tc>
        <w:tc>
          <w:tcPr>
            <w:tcW w:w="0" w:type="auto"/>
            <w:shd w:val="clear" w:color="auto" w:fill="auto"/>
            <w:vAlign w:val="bottom"/>
          </w:tcPr>
          <w:p w14:paraId="5DEC6893" w14:textId="77777777" w:rsidR="00B1578D" w:rsidRDefault="00B1578D">
            <w:pPr>
              <w:rPr>
                <w:rFonts w:ascii="宋体"/>
              </w:rPr>
            </w:pPr>
          </w:p>
        </w:tc>
        <w:tc>
          <w:tcPr>
            <w:tcW w:w="0" w:type="auto"/>
            <w:shd w:val="clear" w:color="auto" w:fill="auto"/>
            <w:vAlign w:val="bottom"/>
          </w:tcPr>
          <w:p w14:paraId="5DEC6894" w14:textId="77777777" w:rsidR="00B1578D" w:rsidRDefault="00B1578D">
            <w:pPr>
              <w:rPr>
                <w:rFonts w:ascii="宋体"/>
              </w:rPr>
            </w:pPr>
          </w:p>
        </w:tc>
        <w:tc>
          <w:tcPr>
            <w:tcW w:w="0" w:type="auto"/>
            <w:shd w:val="clear" w:color="auto" w:fill="auto"/>
            <w:vAlign w:val="bottom"/>
          </w:tcPr>
          <w:p w14:paraId="5DEC6895" w14:textId="77777777" w:rsidR="00B1578D" w:rsidRDefault="00B1578D">
            <w:pPr>
              <w:rPr>
                <w:rFonts w:ascii="宋体"/>
              </w:rPr>
            </w:pPr>
          </w:p>
        </w:tc>
      </w:tr>
      <w:tr w:rsidR="00B1578D" w14:paraId="5DEC68A0" w14:textId="77777777">
        <w:tc>
          <w:tcPr>
            <w:tcW w:w="0" w:type="auto"/>
            <w:gridSpan w:val="3"/>
            <w:shd w:val="clear" w:color="auto" w:fill="auto"/>
            <w:tcMar>
              <w:top w:w="40" w:type="dxa"/>
              <w:left w:w="20" w:type="dxa"/>
              <w:bottom w:w="40" w:type="dxa"/>
              <w:right w:w="20" w:type="dxa"/>
            </w:tcMar>
            <w:vAlign w:val="bottom"/>
          </w:tcPr>
          <w:p w14:paraId="5DEC6897" w14:textId="77777777" w:rsidR="00B1578D" w:rsidRDefault="004D2C04">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5DEC6898"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899"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89A"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89B"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89C" w14:textId="77777777" w:rsidR="00B1578D" w:rsidRDefault="00B1578D">
            <w:pPr>
              <w:rPr>
                <w:rFonts w:ascii="宋体"/>
                <w:vanish/>
              </w:rPr>
            </w:pPr>
          </w:p>
        </w:tc>
        <w:tc>
          <w:tcPr>
            <w:tcW w:w="0" w:type="auto"/>
            <w:shd w:val="clear" w:color="auto" w:fill="auto"/>
            <w:vAlign w:val="bottom"/>
          </w:tcPr>
          <w:p w14:paraId="5DEC689D" w14:textId="77777777" w:rsidR="00B1578D" w:rsidRDefault="00B1578D">
            <w:pPr>
              <w:rPr>
                <w:rFonts w:ascii="宋体"/>
                <w:vanish/>
              </w:rPr>
            </w:pPr>
          </w:p>
        </w:tc>
        <w:tc>
          <w:tcPr>
            <w:tcW w:w="0" w:type="auto"/>
            <w:gridSpan w:val="3"/>
            <w:shd w:val="clear" w:color="auto" w:fill="auto"/>
            <w:vAlign w:val="bottom"/>
          </w:tcPr>
          <w:p w14:paraId="5DEC689E" w14:textId="77777777" w:rsidR="00B1578D" w:rsidRDefault="00B1578D">
            <w:pPr>
              <w:rPr>
                <w:rFonts w:ascii="宋体"/>
                <w:vanish/>
              </w:rPr>
            </w:pPr>
          </w:p>
        </w:tc>
        <w:tc>
          <w:tcPr>
            <w:tcW w:w="0" w:type="auto"/>
            <w:gridSpan w:val="3"/>
            <w:shd w:val="clear" w:color="auto" w:fill="auto"/>
            <w:vAlign w:val="bottom"/>
          </w:tcPr>
          <w:p w14:paraId="5DEC689F" w14:textId="77777777" w:rsidR="00B1578D" w:rsidRDefault="00B1578D">
            <w:pPr>
              <w:rPr>
                <w:rFonts w:ascii="宋体"/>
                <w:vanish/>
              </w:rPr>
            </w:pPr>
          </w:p>
        </w:tc>
      </w:tr>
      <w:tr w:rsidR="00B1578D" w14:paraId="5DEC68AE" w14:textId="77777777">
        <w:tc>
          <w:tcPr>
            <w:tcW w:w="0" w:type="auto"/>
            <w:gridSpan w:val="3"/>
            <w:shd w:val="clear" w:color="auto" w:fill="CCEEFF"/>
            <w:tcMar>
              <w:top w:w="40" w:type="dxa"/>
              <w:left w:w="20" w:type="dxa"/>
              <w:bottom w:w="40" w:type="dxa"/>
              <w:right w:w="20" w:type="dxa"/>
            </w:tcMar>
            <w:vAlign w:val="center"/>
          </w:tcPr>
          <w:p w14:paraId="5DEC68A1" w14:textId="77777777" w:rsidR="00B1578D" w:rsidRDefault="004D2C04">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5DEC68A2"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8A3"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8A4" w14:textId="77777777" w:rsidR="00B1578D" w:rsidRDefault="004D2C04">
            <w:pPr>
              <w:jc w:val="right"/>
              <w:textAlignment w:val="center"/>
            </w:pPr>
            <w:r>
              <w:rPr>
                <w:rFonts w:ascii="Times New Roman" w:eastAsia="宋体" w:hAnsi="Times New Roman"/>
                <w:color w:val="000000"/>
                <w:sz w:val="16"/>
                <w:szCs w:val="16"/>
              </w:rPr>
              <w:t>141,569 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8A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8A6"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8A7"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8A8" w14:textId="77777777" w:rsidR="00B1578D" w:rsidRDefault="004D2C04">
            <w:pPr>
              <w:jc w:val="right"/>
              <w:textAlignment w:val="center"/>
            </w:pPr>
            <w:r>
              <w:rPr>
                <w:rFonts w:ascii="Times New Roman" w:eastAsia="宋体" w:hAnsi="Times New Roman"/>
                <w:color w:val="000000"/>
                <w:sz w:val="16"/>
                <w:szCs w:val="16"/>
              </w:rPr>
              <w:t>138,310 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8A9" w14:textId="77777777" w:rsidR="00B1578D" w:rsidRDefault="00B1578D">
            <w:pPr>
              <w:jc w:val="right"/>
              <w:rPr>
                <w:rFonts w:ascii="宋体"/>
              </w:rPr>
            </w:pPr>
          </w:p>
        </w:tc>
        <w:tc>
          <w:tcPr>
            <w:tcW w:w="0" w:type="auto"/>
            <w:shd w:val="clear" w:color="auto" w:fill="auto"/>
            <w:vAlign w:val="bottom"/>
          </w:tcPr>
          <w:p w14:paraId="5DEC68AA" w14:textId="77777777" w:rsidR="00B1578D" w:rsidRDefault="00B1578D">
            <w:pPr>
              <w:rPr>
                <w:rFonts w:ascii="宋体"/>
                <w:vanish/>
              </w:rPr>
            </w:pPr>
          </w:p>
        </w:tc>
        <w:tc>
          <w:tcPr>
            <w:tcW w:w="0" w:type="auto"/>
            <w:shd w:val="clear" w:color="auto" w:fill="auto"/>
            <w:vAlign w:val="bottom"/>
          </w:tcPr>
          <w:p w14:paraId="5DEC68AB" w14:textId="77777777" w:rsidR="00B1578D" w:rsidRDefault="00B1578D">
            <w:pPr>
              <w:rPr>
                <w:rFonts w:ascii="宋体"/>
                <w:vanish/>
              </w:rPr>
            </w:pPr>
          </w:p>
        </w:tc>
        <w:tc>
          <w:tcPr>
            <w:tcW w:w="0" w:type="auto"/>
            <w:gridSpan w:val="3"/>
            <w:shd w:val="clear" w:color="auto" w:fill="auto"/>
            <w:vAlign w:val="bottom"/>
          </w:tcPr>
          <w:p w14:paraId="5DEC68AC" w14:textId="77777777" w:rsidR="00B1578D" w:rsidRDefault="00B1578D">
            <w:pPr>
              <w:rPr>
                <w:rFonts w:ascii="宋体"/>
                <w:vanish/>
              </w:rPr>
            </w:pPr>
          </w:p>
        </w:tc>
        <w:tc>
          <w:tcPr>
            <w:tcW w:w="0" w:type="auto"/>
            <w:gridSpan w:val="3"/>
            <w:shd w:val="clear" w:color="auto" w:fill="auto"/>
            <w:vAlign w:val="bottom"/>
          </w:tcPr>
          <w:p w14:paraId="5DEC68AD" w14:textId="77777777" w:rsidR="00B1578D" w:rsidRDefault="00B1578D">
            <w:pPr>
              <w:rPr>
                <w:rFonts w:ascii="宋体"/>
                <w:vanish/>
              </w:rPr>
            </w:pPr>
          </w:p>
        </w:tc>
      </w:tr>
      <w:tr w:rsidR="00B1578D" w14:paraId="5DEC68B8" w14:textId="77777777">
        <w:tc>
          <w:tcPr>
            <w:tcW w:w="0" w:type="auto"/>
            <w:gridSpan w:val="3"/>
            <w:shd w:val="clear" w:color="auto" w:fill="FFFFFF"/>
            <w:tcMar>
              <w:top w:w="40" w:type="dxa"/>
              <w:left w:w="20" w:type="dxa"/>
              <w:bottom w:w="40" w:type="dxa"/>
              <w:right w:w="20" w:type="dxa"/>
            </w:tcMar>
            <w:vAlign w:val="center"/>
          </w:tcPr>
          <w:p w14:paraId="5DEC68AF" w14:textId="77777777" w:rsidR="00B1578D" w:rsidRDefault="004D2C04">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5DEC68B0"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B1" w14:textId="77777777" w:rsidR="00B1578D" w:rsidRDefault="004D2C04">
            <w:pPr>
              <w:jc w:val="right"/>
              <w:textAlignment w:val="center"/>
            </w:pPr>
            <w:r>
              <w:rPr>
                <w:rFonts w:ascii="Times New Roman" w:eastAsia="宋体" w:hAnsi="Times New Roman"/>
                <w:color w:val="000000"/>
                <w:sz w:val="16"/>
                <w:szCs w:val="16"/>
              </w:rPr>
              <w:t>2.4%</w:t>
            </w:r>
          </w:p>
        </w:tc>
        <w:tc>
          <w:tcPr>
            <w:tcW w:w="0" w:type="auto"/>
            <w:gridSpan w:val="3"/>
            <w:shd w:val="clear" w:color="auto" w:fill="FFFFFF"/>
            <w:tcMar>
              <w:top w:w="0" w:type="dxa"/>
              <w:left w:w="20" w:type="dxa"/>
              <w:bottom w:w="0" w:type="dxa"/>
              <w:right w:w="20" w:type="dxa"/>
            </w:tcMar>
            <w:vAlign w:val="bottom"/>
          </w:tcPr>
          <w:p w14:paraId="5DEC68B2"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B3" w14:textId="77777777" w:rsidR="00B1578D" w:rsidRDefault="004D2C04">
            <w:pPr>
              <w:jc w:val="right"/>
              <w:textAlignment w:val="center"/>
            </w:pPr>
            <w:r>
              <w:rPr>
                <w:rFonts w:ascii="Times New Roman" w:eastAsia="宋体" w:hAnsi="Times New Roman"/>
                <w:color w:val="000000"/>
                <w:sz w:val="16"/>
                <w:szCs w:val="16"/>
              </w:rPr>
              <w:t>2.7%</w:t>
            </w:r>
          </w:p>
        </w:tc>
        <w:tc>
          <w:tcPr>
            <w:tcW w:w="0" w:type="auto"/>
            <w:shd w:val="clear" w:color="auto" w:fill="auto"/>
            <w:vAlign w:val="bottom"/>
          </w:tcPr>
          <w:p w14:paraId="5DEC68B4" w14:textId="77777777" w:rsidR="00B1578D" w:rsidRDefault="00B1578D">
            <w:pPr>
              <w:rPr>
                <w:rFonts w:ascii="宋体"/>
                <w:vanish/>
              </w:rPr>
            </w:pPr>
          </w:p>
        </w:tc>
        <w:tc>
          <w:tcPr>
            <w:tcW w:w="0" w:type="auto"/>
            <w:shd w:val="clear" w:color="auto" w:fill="auto"/>
            <w:vAlign w:val="bottom"/>
          </w:tcPr>
          <w:p w14:paraId="5DEC68B5" w14:textId="77777777" w:rsidR="00B1578D" w:rsidRDefault="00B1578D">
            <w:pPr>
              <w:rPr>
                <w:rFonts w:ascii="宋体"/>
                <w:vanish/>
              </w:rPr>
            </w:pPr>
          </w:p>
        </w:tc>
        <w:tc>
          <w:tcPr>
            <w:tcW w:w="0" w:type="auto"/>
            <w:gridSpan w:val="3"/>
            <w:shd w:val="clear" w:color="auto" w:fill="auto"/>
            <w:vAlign w:val="bottom"/>
          </w:tcPr>
          <w:p w14:paraId="5DEC68B6" w14:textId="77777777" w:rsidR="00B1578D" w:rsidRDefault="00B1578D">
            <w:pPr>
              <w:rPr>
                <w:rFonts w:ascii="宋体"/>
                <w:vanish/>
              </w:rPr>
            </w:pPr>
          </w:p>
        </w:tc>
        <w:tc>
          <w:tcPr>
            <w:tcW w:w="0" w:type="auto"/>
            <w:gridSpan w:val="3"/>
            <w:shd w:val="clear" w:color="auto" w:fill="auto"/>
            <w:vAlign w:val="bottom"/>
          </w:tcPr>
          <w:p w14:paraId="5DEC68B7" w14:textId="77777777" w:rsidR="00B1578D" w:rsidRDefault="00B1578D">
            <w:pPr>
              <w:rPr>
                <w:rFonts w:ascii="宋体"/>
                <w:vanish/>
              </w:rPr>
            </w:pPr>
          </w:p>
        </w:tc>
      </w:tr>
      <w:tr w:rsidR="00B1578D" w14:paraId="5DEC68C6" w14:textId="77777777">
        <w:tc>
          <w:tcPr>
            <w:tcW w:w="0" w:type="auto"/>
            <w:gridSpan w:val="3"/>
            <w:shd w:val="clear" w:color="auto" w:fill="CCEEFF"/>
            <w:tcMar>
              <w:top w:w="40" w:type="dxa"/>
              <w:left w:w="20" w:type="dxa"/>
              <w:bottom w:w="40" w:type="dxa"/>
              <w:right w:w="20" w:type="dxa"/>
            </w:tcMar>
            <w:vAlign w:val="center"/>
          </w:tcPr>
          <w:p w14:paraId="5DEC68B9"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5DEC68BA"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8BB"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8BC" w14:textId="77777777" w:rsidR="00B1578D" w:rsidRDefault="004D2C04">
            <w:pPr>
              <w:jc w:val="right"/>
              <w:textAlignment w:val="center"/>
            </w:pPr>
            <w:r>
              <w:rPr>
                <w:rFonts w:ascii="Times New Roman" w:eastAsia="宋体" w:hAnsi="Times New Roman"/>
                <w:color w:val="000000"/>
                <w:sz w:val="16"/>
                <w:szCs w:val="16"/>
              </w:rPr>
              <w:t>140,288 </w:t>
            </w:r>
          </w:p>
        </w:tc>
        <w:tc>
          <w:tcPr>
            <w:tcW w:w="0" w:type="auto"/>
            <w:shd w:val="clear" w:color="auto" w:fill="CCEEFF"/>
            <w:tcMar>
              <w:top w:w="40" w:type="dxa"/>
              <w:left w:w="0" w:type="dxa"/>
              <w:bottom w:w="40" w:type="dxa"/>
              <w:right w:w="20" w:type="dxa"/>
            </w:tcMar>
            <w:vAlign w:val="center"/>
          </w:tcPr>
          <w:p w14:paraId="5DEC68B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8BE"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8BF"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8C0" w14:textId="77777777" w:rsidR="00B1578D" w:rsidRDefault="004D2C04">
            <w:pPr>
              <w:jc w:val="right"/>
              <w:textAlignment w:val="center"/>
            </w:pPr>
            <w:r>
              <w:rPr>
                <w:rFonts w:ascii="Times New Roman" w:eastAsia="宋体" w:hAnsi="Times New Roman"/>
                <w:color w:val="000000"/>
                <w:sz w:val="16"/>
                <w:szCs w:val="16"/>
              </w:rPr>
              <w:t>137,159 </w:t>
            </w:r>
          </w:p>
        </w:tc>
        <w:tc>
          <w:tcPr>
            <w:tcW w:w="0" w:type="auto"/>
            <w:shd w:val="clear" w:color="auto" w:fill="CCEEFF"/>
            <w:tcMar>
              <w:top w:w="40" w:type="dxa"/>
              <w:left w:w="0" w:type="dxa"/>
              <w:bottom w:w="40" w:type="dxa"/>
              <w:right w:w="20" w:type="dxa"/>
            </w:tcMar>
            <w:vAlign w:val="center"/>
          </w:tcPr>
          <w:p w14:paraId="5DEC68C1" w14:textId="77777777" w:rsidR="00B1578D" w:rsidRDefault="00B1578D">
            <w:pPr>
              <w:jc w:val="right"/>
              <w:rPr>
                <w:rFonts w:ascii="宋体"/>
              </w:rPr>
            </w:pPr>
          </w:p>
        </w:tc>
        <w:tc>
          <w:tcPr>
            <w:tcW w:w="0" w:type="auto"/>
            <w:shd w:val="clear" w:color="auto" w:fill="auto"/>
            <w:vAlign w:val="bottom"/>
          </w:tcPr>
          <w:p w14:paraId="5DEC68C2" w14:textId="77777777" w:rsidR="00B1578D" w:rsidRDefault="00B1578D">
            <w:pPr>
              <w:rPr>
                <w:rFonts w:ascii="宋体"/>
                <w:vanish/>
              </w:rPr>
            </w:pPr>
          </w:p>
        </w:tc>
        <w:tc>
          <w:tcPr>
            <w:tcW w:w="0" w:type="auto"/>
            <w:shd w:val="clear" w:color="auto" w:fill="auto"/>
            <w:vAlign w:val="bottom"/>
          </w:tcPr>
          <w:p w14:paraId="5DEC68C3" w14:textId="77777777" w:rsidR="00B1578D" w:rsidRDefault="00B1578D">
            <w:pPr>
              <w:rPr>
                <w:rFonts w:ascii="宋体"/>
                <w:vanish/>
              </w:rPr>
            </w:pPr>
          </w:p>
        </w:tc>
        <w:tc>
          <w:tcPr>
            <w:tcW w:w="0" w:type="auto"/>
            <w:gridSpan w:val="3"/>
            <w:shd w:val="clear" w:color="auto" w:fill="auto"/>
            <w:vAlign w:val="bottom"/>
          </w:tcPr>
          <w:p w14:paraId="5DEC68C4" w14:textId="77777777" w:rsidR="00B1578D" w:rsidRDefault="00B1578D">
            <w:pPr>
              <w:rPr>
                <w:rFonts w:ascii="宋体"/>
                <w:vanish/>
              </w:rPr>
            </w:pPr>
          </w:p>
        </w:tc>
        <w:tc>
          <w:tcPr>
            <w:tcW w:w="0" w:type="auto"/>
            <w:gridSpan w:val="3"/>
            <w:shd w:val="clear" w:color="auto" w:fill="auto"/>
            <w:vAlign w:val="bottom"/>
          </w:tcPr>
          <w:p w14:paraId="5DEC68C5" w14:textId="77777777" w:rsidR="00B1578D" w:rsidRDefault="00B1578D">
            <w:pPr>
              <w:rPr>
                <w:rFonts w:ascii="宋体"/>
                <w:vanish/>
              </w:rPr>
            </w:pPr>
          </w:p>
        </w:tc>
      </w:tr>
      <w:tr w:rsidR="00B1578D" w14:paraId="5DEC68D0" w14:textId="77777777">
        <w:tc>
          <w:tcPr>
            <w:tcW w:w="0" w:type="auto"/>
            <w:gridSpan w:val="3"/>
            <w:shd w:val="clear" w:color="auto" w:fill="FFFFFF"/>
            <w:tcMar>
              <w:top w:w="40" w:type="dxa"/>
              <w:left w:w="20" w:type="dxa"/>
              <w:bottom w:w="40" w:type="dxa"/>
              <w:right w:w="20" w:type="dxa"/>
            </w:tcMar>
            <w:vAlign w:val="center"/>
          </w:tcPr>
          <w:p w14:paraId="5DEC68C7" w14:textId="77777777" w:rsidR="00B1578D" w:rsidRDefault="004D2C04">
            <w:pPr>
              <w:textAlignment w:val="center"/>
            </w:pPr>
            <w:r>
              <w:rPr>
                <w:rFonts w:ascii="Times New Roman" w:eastAsia="宋体" w:hAnsi="Times New Roman"/>
                <w:color w:val="000000"/>
                <w:sz w:val="16"/>
                <w:szCs w:val="16"/>
              </w:rPr>
              <w:t>Percentage</w:t>
            </w:r>
            <w:r>
              <w:rPr>
                <w:rFonts w:ascii="Times New Roman" w:eastAsia="宋体" w:hAnsi="Times New Roman"/>
                <w:color w:val="000000"/>
                <w:sz w:val="16"/>
                <w:szCs w:val="16"/>
              </w:rPr>
              <w:t xml:space="preserve"> change from comparable period</w:t>
            </w:r>
          </w:p>
        </w:tc>
        <w:tc>
          <w:tcPr>
            <w:tcW w:w="0" w:type="auto"/>
            <w:gridSpan w:val="3"/>
            <w:shd w:val="clear" w:color="auto" w:fill="FFFFFF"/>
            <w:tcMar>
              <w:top w:w="0" w:type="dxa"/>
              <w:left w:w="20" w:type="dxa"/>
              <w:bottom w:w="0" w:type="dxa"/>
              <w:right w:w="20" w:type="dxa"/>
            </w:tcMar>
            <w:vAlign w:val="bottom"/>
          </w:tcPr>
          <w:p w14:paraId="5DEC68C8"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C9" w14:textId="77777777" w:rsidR="00B1578D" w:rsidRDefault="004D2C04">
            <w:pPr>
              <w:jc w:val="right"/>
              <w:textAlignment w:val="center"/>
            </w:pPr>
            <w:r>
              <w:rPr>
                <w:rFonts w:ascii="Times New Roman" w:eastAsia="宋体" w:hAnsi="Times New Roman"/>
                <w:color w:val="000000"/>
                <w:sz w:val="16"/>
                <w:szCs w:val="16"/>
              </w:rPr>
              <w:t>2.3%</w:t>
            </w:r>
          </w:p>
        </w:tc>
        <w:tc>
          <w:tcPr>
            <w:tcW w:w="0" w:type="auto"/>
            <w:gridSpan w:val="3"/>
            <w:shd w:val="clear" w:color="auto" w:fill="FFFFFF"/>
            <w:tcMar>
              <w:top w:w="0" w:type="dxa"/>
              <w:left w:w="20" w:type="dxa"/>
              <w:bottom w:w="0" w:type="dxa"/>
              <w:right w:w="20" w:type="dxa"/>
            </w:tcMar>
            <w:vAlign w:val="bottom"/>
          </w:tcPr>
          <w:p w14:paraId="5DEC68CA"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CB" w14:textId="77777777" w:rsidR="00B1578D" w:rsidRDefault="004D2C04">
            <w:pPr>
              <w:jc w:val="right"/>
              <w:textAlignment w:val="center"/>
            </w:pPr>
            <w:r>
              <w:rPr>
                <w:rFonts w:ascii="Times New Roman" w:eastAsia="宋体" w:hAnsi="Times New Roman"/>
                <w:color w:val="000000"/>
                <w:sz w:val="16"/>
                <w:szCs w:val="16"/>
              </w:rPr>
              <w:t>2.6%</w:t>
            </w:r>
          </w:p>
        </w:tc>
        <w:tc>
          <w:tcPr>
            <w:tcW w:w="0" w:type="auto"/>
            <w:shd w:val="clear" w:color="auto" w:fill="auto"/>
            <w:vAlign w:val="bottom"/>
          </w:tcPr>
          <w:p w14:paraId="5DEC68CC" w14:textId="77777777" w:rsidR="00B1578D" w:rsidRDefault="00B1578D">
            <w:pPr>
              <w:rPr>
                <w:rFonts w:ascii="宋体"/>
                <w:vanish/>
              </w:rPr>
            </w:pPr>
          </w:p>
        </w:tc>
        <w:tc>
          <w:tcPr>
            <w:tcW w:w="0" w:type="auto"/>
            <w:shd w:val="clear" w:color="auto" w:fill="auto"/>
            <w:vAlign w:val="bottom"/>
          </w:tcPr>
          <w:p w14:paraId="5DEC68CD" w14:textId="77777777" w:rsidR="00B1578D" w:rsidRDefault="00B1578D">
            <w:pPr>
              <w:rPr>
                <w:rFonts w:ascii="宋体"/>
                <w:vanish/>
              </w:rPr>
            </w:pPr>
          </w:p>
        </w:tc>
        <w:tc>
          <w:tcPr>
            <w:tcW w:w="0" w:type="auto"/>
            <w:gridSpan w:val="3"/>
            <w:shd w:val="clear" w:color="auto" w:fill="auto"/>
            <w:vAlign w:val="bottom"/>
          </w:tcPr>
          <w:p w14:paraId="5DEC68CE" w14:textId="77777777" w:rsidR="00B1578D" w:rsidRDefault="00B1578D">
            <w:pPr>
              <w:rPr>
                <w:rFonts w:ascii="宋体"/>
                <w:vanish/>
              </w:rPr>
            </w:pPr>
          </w:p>
        </w:tc>
        <w:tc>
          <w:tcPr>
            <w:tcW w:w="0" w:type="auto"/>
            <w:gridSpan w:val="3"/>
            <w:shd w:val="clear" w:color="auto" w:fill="auto"/>
            <w:vAlign w:val="bottom"/>
          </w:tcPr>
          <w:p w14:paraId="5DEC68CF" w14:textId="77777777" w:rsidR="00B1578D" w:rsidRDefault="00B1578D">
            <w:pPr>
              <w:rPr>
                <w:rFonts w:ascii="宋体"/>
                <w:vanish/>
              </w:rPr>
            </w:pPr>
          </w:p>
        </w:tc>
      </w:tr>
      <w:tr w:rsidR="00B1578D" w14:paraId="5DEC68DA" w14:textId="77777777">
        <w:tc>
          <w:tcPr>
            <w:tcW w:w="0" w:type="auto"/>
            <w:gridSpan w:val="3"/>
            <w:shd w:val="clear" w:color="auto" w:fill="CCEEFF"/>
            <w:tcMar>
              <w:top w:w="40" w:type="dxa"/>
              <w:left w:w="20" w:type="dxa"/>
              <w:bottom w:w="40" w:type="dxa"/>
              <w:right w:w="20" w:type="dxa"/>
            </w:tcMar>
            <w:vAlign w:val="center"/>
          </w:tcPr>
          <w:p w14:paraId="5DEC68D1" w14:textId="77777777" w:rsidR="00B1578D" w:rsidRDefault="004D2C04">
            <w:pPr>
              <w:textAlignment w:val="center"/>
            </w:pPr>
            <w:r>
              <w:rPr>
                <w:rFonts w:ascii="Times New Roman" w:eastAsia="宋体" w:hAnsi="Times New Roman"/>
                <w:color w:val="000000"/>
                <w:sz w:val="16"/>
                <w:szCs w:val="16"/>
              </w:rPr>
              <w:t>Total U.S. calendar comparable sales increase</w:t>
            </w:r>
          </w:p>
        </w:tc>
        <w:tc>
          <w:tcPr>
            <w:tcW w:w="0" w:type="auto"/>
            <w:gridSpan w:val="3"/>
            <w:shd w:val="clear" w:color="auto" w:fill="CCEEFF"/>
            <w:tcMar>
              <w:top w:w="0" w:type="dxa"/>
              <w:left w:w="20" w:type="dxa"/>
              <w:bottom w:w="0" w:type="dxa"/>
              <w:right w:w="20" w:type="dxa"/>
            </w:tcMar>
            <w:vAlign w:val="bottom"/>
          </w:tcPr>
          <w:p w14:paraId="5DEC68D2" w14:textId="77777777" w:rsidR="00B1578D" w:rsidRDefault="00B1578D">
            <w:pPr>
              <w:rPr>
                <w:rFonts w:ascii="宋体"/>
              </w:rPr>
            </w:pPr>
          </w:p>
        </w:tc>
        <w:tc>
          <w:tcPr>
            <w:tcW w:w="0" w:type="auto"/>
            <w:gridSpan w:val="3"/>
            <w:shd w:val="clear" w:color="auto" w:fill="CCEEFF"/>
            <w:tcMar>
              <w:top w:w="40" w:type="dxa"/>
              <w:left w:w="20" w:type="dxa"/>
              <w:bottom w:w="40" w:type="dxa"/>
              <w:right w:w="140" w:type="dxa"/>
            </w:tcMar>
            <w:vAlign w:val="center"/>
          </w:tcPr>
          <w:p w14:paraId="5DEC68D3" w14:textId="77777777" w:rsidR="00B1578D" w:rsidRDefault="004D2C04">
            <w:pPr>
              <w:jc w:val="right"/>
              <w:textAlignment w:val="center"/>
            </w:pPr>
            <w:r>
              <w:rPr>
                <w:rFonts w:ascii="Times New Roman" w:eastAsia="宋体" w:hAnsi="Times New Roman"/>
                <w:color w:val="000000"/>
                <w:sz w:val="16"/>
                <w:szCs w:val="16"/>
              </w:rPr>
              <w:t>6.0%</w:t>
            </w:r>
          </w:p>
        </w:tc>
        <w:tc>
          <w:tcPr>
            <w:tcW w:w="0" w:type="auto"/>
            <w:gridSpan w:val="3"/>
            <w:shd w:val="clear" w:color="auto" w:fill="CCEEFF"/>
            <w:tcMar>
              <w:top w:w="0" w:type="dxa"/>
              <w:left w:w="20" w:type="dxa"/>
              <w:bottom w:w="0" w:type="dxa"/>
              <w:right w:w="20" w:type="dxa"/>
            </w:tcMar>
            <w:vAlign w:val="bottom"/>
          </w:tcPr>
          <w:p w14:paraId="5DEC68D4" w14:textId="77777777" w:rsidR="00B1578D" w:rsidRDefault="00B1578D">
            <w:pPr>
              <w:rPr>
                <w:rFonts w:ascii="宋体"/>
              </w:rPr>
            </w:pPr>
          </w:p>
        </w:tc>
        <w:tc>
          <w:tcPr>
            <w:tcW w:w="0" w:type="auto"/>
            <w:gridSpan w:val="3"/>
            <w:shd w:val="clear" w:color="auto" w:fill="CCEEFF"/>
            <w:tcMar>
              <w:top w:w="40" w:type="dxa"/>
              <w:left w:w="20" w:type="dxa"/>
              <w:bottom w:w="40" w:type="dxa"/>
              <w:right w:w="140" w:type="dxa"/>
            </w:tcMar>
            <w:vAlign w:val="center"/>
          </w:tcPr>
          <w:p w14:paraId="5DEC68D5" w14:textId="77777777" w:rsidR="00B1578D" w:rsidRDefault="004D2C04">
            <w:pPr>
              <w:jc w:val="right"/>
              <w:textAlignment w:val="center"/>
            </w:pPr>
            <w:r>
              <w:rPr>
                <w:rFonts w:ascii="Times New Roman" w:eastAsia="宋体" w:hAnsi="Times New Roman"/>
                <w:color w:val="000000"/>
                <w:sz w:val="16"/>
                <w:szCs w:val="16"/>
              </w:rPr>
              <w:t>6.0%</w:t>
            </w:r>
          </w:p>
        </w:tc>
        <w:tc>
          <w:tcPr>
            <w:tcW w:w="0" w:type="auto"/>
            <w:shd w:val="clear" w:color="auto" w:fill="auto"/>
            <w:vAlign w:val="bottom"/>
          </w:tcPr>
          <w:p w14:paraId="5DEC68D6" w14:textId="77777777" w:rsidR="00B1578D" w:rsidRDefault="00B1578D">
            <w:pPr>
              <w:rPr>
                <w:rFonts w:ascii="宋体"/>
                <w:vanish/>
              </w:rPr>
            </w:pPr>
          </w:p>
        </w:tc>
        <w:tc>
          <w:tcPr>
            <w:tcW w:w="0" w:type="auto"/>
            <w:shd w:val="clear" w:color="auto" w:fill="auto"/>
            <w:vAlign w:val="bottom"/>
          </w:tcPr>
          <w:p w14:paraId="5DEC68D7" w14:textId="77777777" w:rsidR="00B1578D" w:rsidRDefault="00B1578D">
            <w:pPr>
              <w:rPr>
                <w:rFonts w:ascii="宋体"/>
                <w:vanish/>
              </w:rPr>
            </w:pPr>
          </w:p>
        </w:tc>
        <w:tc>
          <w:tcPr>
            <w:tcW w:w="0" w:type="auto"/>
            <w:gridSpan w:val="3"/>
            <w:shd w:val="clear" w:color="auto" w:fill="auto"/>
            <w:vAlign w:val="bottom"/>
          </w:tcPr>
          <w:p w14:paraId="5DEC68D8" w14:textId="77777777" w:rsidR="00B1578D" w:rsidRDefault="00B1578D">
            <w:pPr>
              <w:rPr>
                <w:rFonts w:ascii="宋体"/>
                <w:vanish/>
              </w:rPr>
            </w:pPr>
          </w:p>
        </w:tc>
        <w:tc>
          <w:tcPr>
            <w:tcW w:w="0" w:type="auto"/>
            <w:gridSpan w:val="3"/>
            <w:shd w:val="clear" w:color="auto" w:fill="auto"/>
            <w:vAlign w:val="bottom"/>
          </w:tcPr>
          <w:p w14:paraId="5DEC68D9" w14:textId="77777777" w:rsidR="00B1578D" w:rsidRDefault="00B1578D">
            <w:pPr>
              <w:rPr>
                <w:rFonts w:ascii="宋体"/>
                <w:vanish/>
              </w:rPr>
            </w:pPr>
          </w:p>
        </w:tc>
      </w:tr>
      <w:tr w:rsidR="00B1578D" w14:paraId="5DEC68E4" w14:textId="77777777">
        <w:tc>
          <w:tcPr>
            <w:tcW w:w="0" w:type="auto"/>
            <w:gridSpan w:val="3"/>
            <w:shd w:val="clear" w:color="auto" w:fill="FFFFFF"/>
            <w:tcMar>
              <w:top w:w="40" w:type="dxa"/>
              <w:left w:w="20" w:type="dxa"/>
              <w:bottom w:w="40" w:type="dxa"/>
              <w:right w:w="20" w:type="dxa"/>
            </w:tcMar>
            <w:vAlign w:val="center"/>
          </w:tcPr>
          <w:p w14:paraId="5DEC68DB" w14:textId="77777777" w:rsidR="00B1578D" w:rsidRDefault="004D2C04">
            <w:pPr>
              <w:textAlignment w:val="center"/>
            </w:pPr>
            <w:r>
              <w:rPr>
                <w:rFonts w:ascii="Times New Roman" w:eastAsia="宋体" w:hAnsi="Times New Roman"/>
                <w:color w:val="000000"/>
                <w:sz w:val="16"/>
                <w:szCs w:val="16"/>
              </w:rPr>
              <w:t>Gross profit margin as a percentage of net sales</w:t>
            </w:r>
          </w:p>
        </w:tc>
        <w:tc>
          <w:tcPr>
            <w:tcW w:w="0" w:type="auto"/>
            <w:gridSpan w:val="3"/>
            <w:shd w:val="clear" w:color="auto" w:fill="FFFFFF"/>
            <w:tcMar>
              <w:top w:w="0" w:type="dxa"/>
              <w:left w:w="20" w:type="dxa"/>
              <w:bottom w:w="0" w:type="dxa"/>
              <w:right w:w="20" w:type="dxa"/>
            </w:tcMar>
            <w:vAlign w:val="bottom"/>
          </w:tcPr>
          <w:p w14:paraId="5DEC68DC"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DD" w14:textId="77777777" w:rsidR="00B1578D" w:rsidRDefault="004D2C04">
            <w:pPr>
              <w:jc w:val="right"/>
              <w:textAlignment w:val="center"/>
            </w:pPr>
            <w:r>
              <w:rPr>
                <w:rFonts w:ascii="Times New Roman" w:eastAsia="宋体" w:hAnsi="Times New Roman"/>
                <w:color w:val="000000"/>
                <w:sz w:val="16"/>
                <w:szCs w:val="16"/>
              </w:rPr>
              <w:t>23.8%</w:t>
            </w:r>
          </w:p>
        </w:tc>
        <w:tc>
          <w:tcPr>
            <w:tcW w:w="0" w:type="auto"/>
            <w:gridSpan w:val="3"/>
            <w:shd w:val="clear" w:color="auto" w:fill="FFFFFF"/>
            <w:tcMar>
              <w:top w:w="0" w:type="dxa"/>
              <w:left w:w="20" w:type="dxa"/>
              <w:bottom w:w="0" w:type="dxa"/>
              <w:right w:w="20" w:type="dxa"/>
            </w:tcMar>
            <w:vAlign w:val="bottom"/>
          </w:tcPr>
          <w:p w14:paraId="5DEC68DE"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DF" w14:textId="77777777" w:rsidR="00B1578D" w:rsidRDefault="004D2C04">
            <w:pPr>
              <w:jc w:val="right"/>
              <w:textAlignment w:val="center"/>
            </w:pPr>
            <w:r>
              <w:rPr>
                <w:rFonts w:ascii="Times New Roman" w:eastAsia="宋体" w:hAnsi="Times New Roman"/>
                <w:color w:val="000000"/>
                <w:sz w:val="16"/>
                <w:szCs w:val="16"/>
              </w:rPr>
              <w:t>24.7%</w:t>
            </w:r>
          </w:p>
        </w:tc>
        <w:tc>
          <w:tcPr>
            <w:tcW w:w="0" w:type="auto"/>
            <w:shd w:val="clear" w:color="auto" w:fill="auto"/>
            <w:vAlign w:val="bottom"/>
          </w:tcPr>
          <w:p w14:paraId="5DEC68E0" w14:textId="77777777" w:rsidR="00B1578D" w:rsidRDefault="00B1578D">
            <w:pPr>
              <w:rPr>
                <w:rFonts w:ascii="宋体"/>
                <w:vanish/>
              </w:rPr>
            </w:pPr>
          </w:p>
        </w:tc>
        <w:tc>
          <w:tcPr>
            <w:tcW w:w="0" w:type="auto"/>
            <w:shd w:val="clear" w:color="auto" w:fill="auto"/>
            <w:vAlign w:val="bottom"/>
          </w:tcPr>
          <w:p w14:paraId="5DEC68E1" w14:textId="77777777" w:rsidR="00B1578D" w:rsidRDefault="00B1578D">
            <w:pPr>
              <w:rPr>
                <w:rFonts w:ascii="宋体"/>
                <w:vanish/>
              </w:rPr>
            </w:pPr>
          </w:p>
        </w:tc>
        <w:tc>
          <w:tcPr>
            <w:tcW w:w="0" w:type="auto"/>
            <w:gridSpan w:val="3"/>
            <w:shd w:val="clear" w:color="auto" w:fill="auto"/>
            <w:vAlign w:val="bottom"/>
          </w:tcPr>
          <w:p w14:paraId="5DEC68E2" w14:textId="77777777" w:rsidR="00B1578D" w:rsidRDefault="00B1578D">
            <w:pPr>
              <w:rPr>
                <w:rFonts w:ascii="宋体"/>
                <w:vanish/>
              </w:rPr>
            </w:pPr>
          </w:p>
        </w:tc>
        <w:tc>
          <w:tcPr>
            <w:tcW w:w="0" w:type="auto"/>
            <w:gridSpan w:val="3"/>
            <w:shd w:val="clear" w:color="auto" w:fill="auto"/>
            <w:vAlign w:val="bottom"/>
          </w:tcPr>
          <w:p w14:paraId="5DEC68E3" w14:textId="77777777" w:rsidR="00B1578D" w:rsidRDefault="00B1578D">
            <w:pPr>
              <w:rPr>
                <w:rFonts w:ascii="宋体"/>
                <w:vanish/>
              </w:rPr>
            </w:pPr>
          </w:p>
        </w:tc>
      </w:tr>
      <w:tr w:rsidR="00B1578D" w14:paraId="5DEC68F2" w14:textId="77777777">
        <w:tc>
          <w:tcPr>
            <w:tcW w:w="0" w:type="auto"/>
            <w:gridSpan w:val="3"/>
            <w:shd w:val="clear" w:color="auto" w:fill="CCEEFF"/>
            <w:tcMar>
              <w:top w:w="40" w:type="dxa"/>
              <w:left w:w="20" w:type="dxa"/>
              <w:bottom w:w="40" w:type="dxa"/>
              <w:right w:w="20" w:type="dxa"/>
            </w:tcMar>
            <w:vAlign w:val="center"/>
          </w:tcPr>
          <w:p w14:paraId="5DEC68E5" w14:textId="77777777" w:rsidR="00B1578D" w:rsidRDefault="004D2C04">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5DEC68E6"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8E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8E8" w14:textId="77777777" w:rsidR="00B1578D" w:rsidRDefault="004D2C04">
            <w:pPr>
              <w:jc w:val="right"/>
              <w:textAlignment w:val="center"/>
            </w:pPr>
            <w:r>
              <w:rPr>
                <w:rFonts w:ascii="Times New Roman" w:eastAsia="宋体" w:hAnsi="Times New Roman"/>
                <w:color w:val="000000"/>
                <w:sz w:val="16"/>
                <w:szCs w:val="16"/>
              </w:rPr>
              <w:t>5,318 </w:t>
            </w:r>
          </w:p>
        </w:tc>
        <w:tc>
          <w:tcPr>
            <w:tcW w:w="0" w:type="auto"/>
            <w:shd w:val="clear" w:color="auto" w:fill="CCEEFF"/>
            <w:tcMar>
              <w:top w:w="40" w:type="dxa"/>
              <w:left w:w="0" w:type="dxa"/>
              <w:bottom w:w="40" w:type="dxa"/>
              <w:right w:w="20" w:type="dxa"/>
            </w:tcMar>
            <w:vAlign w:val="center"/>
          </w:tcPr>
          <w:p w14:paraId="5DEC68E9"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8EA"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8EB"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8EC" w14:textId="77777777" w:rsidR="00B1578D" w:rsidRDefault="004D2C04">
            <w:pPr>
              <w:jc w:val="right"/>
              <w:textAlignment w:val="center"/>
            </w:pPr>
            <w:r>
              <w:rPr>
                <w:rFonts w:ascii="Times New Roman" w:eastAsia="宋体" w:hAnsi="Times New Roman"/>
                <w:color w:val="000000"/>
                <w:sz w:val="16"/>
                <w:szCs w:val="16"/>
              </w:rPr>
              <w:t>6,909 </w:t>
            </w:r>
          </w:p>
        </w:tc>
        <w:tc>
          <w:tcPr>
            <w:tcW w:w="0" w:type="auto"/>
            <w:shd w:val="clear" w:color="auto" w:fill="CCEEFF"/>
            <w:tcMar>
              <w:top w:w="40" w:type="dxa"/>
              <w:left w:w="0" w:type="dxa"/>
              <w:bottom w:w="40" w:type="dxa"/>
              <w:right w:w="20" w:type="dxa"/>
            </w:tcMar>
            <w:vAlign w:val="center"/>
          </w:tcPr>
          <w:p w14:paraId="5DEC68ED" w14:textId="77777777" w:rsidR="00B1578D" w:rsidRDefault="00B1578D">
            <w:pPr>
              <w:jc w:val="right"/>
              <w:rPr>
                <w:rFonts w:ascii="宋体"/>
              </w:rPr>
            </w:pPr>
          </w:p>
        </w:tc>
        <w:tc>
          <w:tcPr>
            <w:tcW w:w="0" w:type="auto"/>
            <w:shd w:val="clear" w:color="auto" w:fill="auto"/>
            <w:vAlign w:val="bottom"/>
          </w:tcPr>
          <w:p w14:paraId="5DEC68EE" w14:textId="77777777" w:rsidR="00B1578D" w:rsidRDefault="00B1578D">
            <w:pPr>
              <w:rPr>
                <w:rFonts w:ascii="宋体"/>
                <w:vanish/>
              </w:rPr>
            </w:pPr>
          </w:p>
        </w:tc>
        <w:tc>
          <w:tcPr>
            <w:tcW w:w="0" w:type="auto"/>
            <w:shd w:val="clear" w:color="auto" w:fill="auto"/>
            <w:vAlign w:val="bottom"/>
          </w:tcPr>
          <w:p w14:paraId="5DEC68EF" w14:textId="77777777" w:rsidR="00B1578D" w:rsidRDefault="00B1578D">
            <w:pPr>
              <w:rPr>
                <w:rFonts w:ascii="宋体"/>
                <w:vanish/>
              </w:rPr>
            </w:pPr>
          </w:p>
        </w:tc>
        <w:tc>
          <w:tcPr>
            <w:tcW w:w="0" w:type="auto"/>
            <w:gridSpan w:val="3"/>
            <w:shd w:val="clear" w:color="auto" w:fill="auto"/>
            <w:vAlign w:val="bottom"/>
          </w:tcPr>
          <w:p w14:paraId="5DEC68F0" w14:textId="77777777" w:rsidR="00B1578D" w:rsidRDefault="00B1578D">
            <w:pPr>
              <w:rPr>
                <w:rFonts w:ascii="宋体"/>
                <w:vanish/>
              </w:rPr>
            </w:pPr>
          </w:p>
        </w:tc>
        <w:tc>
          <w:tcPr>
            <w:tcW w:w="0" w:type="auto"/>
            <w:gridSpan w:val="3"/>
            <w:shd w:val="clear" w:color="auto" w:fill="auto"/>
            <w:vAlign w:val="bottom"/>
          </w:tcPr>
          <w:p w14:paraId="5DEC68F1" w14:textId="77777777" w:rsidR="00B1578D" w:rsidRDefault="00B1578D">
            <w:pPr>
              <w:rPr>
                <w:rFonts w:ascii="宋体"/>
                <w:vanish/>
              </w:rPr>
            </w:pPr>
          </w:p>
        </w:tc>
      </w:tr>
      <w:tr w:rsidR="00B1578D" w14:paraId="5DEC68FC" w14:textId="77777777">
        <w:tc>
          <w:tcPr>
            <w:tcW w:w="0" w:type="auto"/>
            <w:gridSpan w:val="3"/>
            <w:shd w:val="clear" w:color="auto" w:fill="FFFFFF"/>
            <w:tcMar>
              <w:top w:w="40" w:type="dxa"/>
              <w:left w:w="20" w:type="dxa"/>
              <w:bottom w:w="40" w:type="dxa"/>
              <w:right w:w="20" w:type="dxa"/>
            </w:tcMar>
            <w:vAlign w:val="center"/>
          </w:tcPr>
          <w:p w14:paraId="5DEC68F3" w14:textId="77777777" w:rsidR="00B1578D" w:rsidRDefault="004D2C04">
            <w:pPr>
              <w:textAlignment w:val="center"/>
            </w:pPr>
            <w:r>
              <w:rPr>
                <w:rFonts w:ascii="Times New Roman" w:eastAsia="宋体" w:hAnsi="Times New Roman"/>
                <w:color w:val="000000"/>
                <w:sz w:val="16"/>
                <w:szCs w:val="16"/>
              </w:rPr>
              <w:t xml:space="preserve">Operating </w:t>
            </w:r>
            <w:r>
              <w:rPr>
                <w:rFonts w:ascii="Times New Roman" w:eastAsia="宋体" w:hAnsi="Times New Roman"/>
                <w:color w:val="000000"/>
                <w:sz w:val="16"/>
                <w:szCs w:val="16"/>
              </w:rPr>
              <w:t>income as a percentage of net sales</w:t>
            </w:r>
          </w:p>
        </w:tc>
        <w:tc>
          <w:tcPr>
            <w:tcW w:w="0" w:type="auto"/>
            <w:gridSpan w:val="3"/>
            <w:shd w:val="clear" w:color="auto" w:fill="FFFFFF"/>
            <w:tcMar>
              <w:top w:w="0" w:type="dxa"/>
              <w:left w:w="20" w:type="dxa"/>
              <w:bottom w:w="0" w:type="dxa"/>
              <w:right w:w="20" w:type="dxa"/>
            </w:tcMar>
            <w:vAlign w:val="bottom"/>
          </w:tcPr>
          <w:p w14:paraId="5DEC68F4"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F5" w14:textId="77777777" w:rsidR="00B1578D" w:rsidRDefault="004D2C04">
            <w:pPr>
              <w:jc w:val="right"/>
              <w:textAlignment w:val="center"/>
            </w:pPr>
            <w:r>
              <w:rPr>
                <w:rFonts w:ascii="Times New Roman" w:eastAsia="宋体" w:hAnsi="Times New Roman"/>
                <w:color w:val="000000"/>
                <w:sz w:val="16"/>
                <w:szCs w:val="16"/>
              </w:rPr>
              <w:t>3.8%</w:t>
            </w:r>
          </w:p>
        </w:tc>
        <w:tc>
          <w:tcPr>
            <w:tcW w:w="0" w:type="auto"/>
            <w:gridSpan w:val="3"/>
            <w:shd w:val="clear" w:color="auto" w:fill="FFFFFF"/>
            <w:tcMar>
              <w:top w:w="0" w:type="dxa"/>
              <w:left w:w="20" w:type="dxa"/>
              <w:bottom w:w="0" w:type="dxa"/>
              <w:right w:w="20" w:type="dxa"/>
            </w:tcMar>
            <w:vAlign w:val="bottom"/>
          </w:tcPr>
          <w:p w14:paraId="5DEC68F6" w14:textId="77777777" w:rsidR="00B1578D" w:rsidRDefault="00B1578D">
            <w:pPr>
              <w:rPr>
                <w:rFonts w:ascii="宋体"/>
              </w:rPr>
            </w:pPr>
          </w:p>
        </w:tc>
        <w:tc>
          <w:tcPr>
            <w:tcW w:w="0" w:type="auto"/>
            <w:gridSpan w:val="3"/>
            <w:shd w:val="clear" w:color="auto" w:fill="FFFFFF"/>
            <w:tcMar>
              <w:top w:w="40" w:type="dxa"/>
              <w:left w:w="20" w:type="dxa"/>
              <w:bottom w:w="40" w:type="dxa"/>
              <w:right w:w="140" w:type="dxa"/>
            </w:tcMar>
            <w:vAlign w:val="center"/>
          </w:tcPr>
          <w:p w14:paraId="5DEC68F7" w14:textId="77777777" w:rsidR="00B1578D" w:rsidRDefault="004D2C04">
            <w:pPr>
              <w:jc w:val="right"/>
              <w:textAlignment w:val="center"/>
            </w:pPr>
            <w:r>
              <w:rPr>
                <w:rFonts w:ascii="Times New Roman" w:eastAsia="宋体" w:hAnsi="Times New Roman"/>
                <w:color w:val="000000"/>
                <w:sz w:val="16"/>
                <w:szCs w:val="16"/>
              </w:rPr>
              <w:t>5.0%</w:t>
            </w:r>
          </w:p>
        </w:tc>
        <w:tc>
          <w:tcPr>
            <w:tcW w:w="0" w:type="auto"/>
            <w:shd w:val="clear" w:color="auto" w:fill="auto"/>
            <w:vAlign w:val="bottom"/>
          </w:tcPr>
          <w:p w14:paraId="5DEC68F8" w14:textId="77777777" w:rsidR="00B1578D" w:rsidRDefault="00B1578D">
            <w:pPr>
              <w:rPr>
                <w:rFonts w:ascii="宋体"/>
                <w:vanish/>
              </w:rPr>
            </w:pPr>
          </w:p>
        </w:tc>
        <w:tc>
          <w:tcPr>
            <w:tcW w:w="0" w:type="auto"/>
            <w:shd w:val="clear" w:color="auto" w:fill="auto"/>
            <w:vAlign w:val="bottom"/>
          </w:tcPr>
          <w:p w14:paraId="5DEC68F9" w14:textId="77777777" w:rsidR="00B1578D" w:rsidRDefault="00B1578D">
            <w:pPr>
              <w:rPr>
                <w:rFonts w:ascii="宋体"/>
                <w:vanish/>
              </w:rPr>
            </w:pPr>
          </w:p>
        </w:tc>
        <w:tc>
          <w:tcPr>
            <w:tcW w:w="0" w:type="auto"/>
            <w:gridSpan w:val="3"/>
            <w:shd w:val="clear" w:color="auto" w:fill="auto"/>
            <w:vAlign w:val="bottom"/>
          </w:tcPr>
          <w:p w14:paraId="5DEC68FA" w14:textId="77777777" w:rsidR="00B1578D" w:rsidRDefault="00B1578D">
            <w:pPr>
              <w:rPr>
                <w:rFonts w:ascii="宋体"/>
                <w:vanish/>
              </w:rPr>
            </w:pPr>
          </w:p>
        </w:tc>
        <w:tc>
          <w:tcPr>
            <w:tcW w:w="0" w:type="auto"/>
            <w:gridSpan w:val="3"/>
            <w:shd w:val="clear" w:color="auto" w:fill="auto"/>
            <w:vAlign w:val="bottom"/>
          </w:tcPr>
          <w:p w14:paraId="5DEC68FB" w14:textId="77777777" w:rsidR="00B1578D" w:rsidRDefault="00B1578D">
            <w:pPr>
              <w:rPr>
                <w:rFonts w:ascii="宋体"/>
                <w:vanish/>
              </w:rPr>
            </w:pPr>
          </w:p>
        </w:tc>
      </w:tr>
      <w:tr w:rsidR="00B1578D" w14:paraId="5DEC6906" w14:textId="77777777">
        <w:trPr>
          <w:hidden/>
        </w:trPr>
        <w:tc>
          <w:tcPr>
            <w:tcW w:w="0" w:type="auto"/>
            <w:gridSpan w:val="3"/>
            <w:shd w:val="clear" w:color="auto" w:fill="auto"/>
            <w:vAlign w:val="bottom"/>
          </w:tcPr>
          <w:p w14:paraId="5DEC68FD" w14:textId="77777777" w:rsidR="00B1578D" w:rsidRDefault="00B1578D">
            <w:pPr>
              <w:rPr>
                <w:rFonts w:ascii="宋体"/>
                <w:vanish/>
              </w:rPr>
            </w:pPr>
          </w:p>
        </w:tc>
        <w:tc>
          <w:tcPr>
            <w:tcW w:w="0" w:type="auto"/>
            <w:gridSpan w:val="3"/>
            <w:shd w:val="clear" w:color="auto" w:fill="auto"/>
            <w:vAlign w:val="bottom"/>
          </w:tcPr>
          <w:p w14:paraId="5DEC68FE" w14:textId="77777777" w:rsidR="00B1578D" w:rsidRDefault="00B1578D">
            <w:pPr>
              <w:rPr>
                <w:rFonts w:ascii="宋体"/>
                <w:vanish/>
              </w:rPr>
            </w:pPr>
          </w:p>
        </w:tc>
        <w:tc>
          <w:tcPr>
            <w:tcW w:w="0" w:type="auto"/>
            <w:gridSpan w:val="3"/>
            <w:shd w:val="clear" w:color="auto" w:fill="auto"/>
            <w:vAlign w:val="bottom"/>
          </w:tcPr>
          <w:p w14:paraId="5DEC68FF" w14:textId="77777777" w:rsidR="00B1578D" w:rsidRDefault="00B1578D">
            <w:pPr>
              <w:rPr>
                <w:rFonts w:ascii="宋体"/>
                <w:vanish/>
              </w:rPr>
            </w:pPr>
          </w:p>
        </w:tc>
        <w:tc>
          <w:tcPr>
            <w:tcW w:w="0" w:type="auto"/>
            <w:gridSpan w:val="3"/>
            <w:shd w:val="clear" w:color="auto" w:fill="auto"/>
            <w:vAlign w:val="bottom"/>
          </w:tcPr>
          <w:p w14:paraId="5DEC6900" w14:textId="77777777" w:rsidR="00B1578D" w:rsidRDefault="00B1578D">
            <w:pPr>
              <w:rPr>
                <w:rFonts w:ascii="宋体"/>
                <w:vanish/>
              </w:rPr>
            </w:pPr>
          </w:p>
        </w:tc>
        <w:tc>
          <w:tcPr>
            <w:tcW w:w="0" w:type="auto"/>
            <w:gridSpan w:val="3"/>
            <w:shd w:val="clear" w:color="auto" w:fill="auto"/>
            <w:vAlign w:val="bottom"/>
          </w:tcPr>
          <w:p w14:paraId="5DEC6901" w14:textId="77777777" w:rsidR="00B1578D" w:rsidRDefault="00B1578D">
            <w:pPr>
              <w:rPr>
                <w:rFonts w:ascii="宋体"/>
                <w:vanish/>
              </w:rPr>
            </w:pPr>
          </w:p>
        </w:tc>
        <w:tc>
          <w:tcPr>
            <w:tcW w:w="0" w:type="auto"/>
            <w:shd w:val="clear" w:color="auto" w:fill="auto"/>
            <w:vAlign w:val="bottom"/>
          </w:tcPr>
          <w:p w14:paraId="5DEC6902" w14:textId="77777777" w:rsidR="00B1578D" w:rsidRDefault="00B1578D">
            <w:pPr>
              <w:rPr>
                <w:rFonts w:ascii="宋体"/>
                <w:vanish/>
              </w:rPr>
            </w:pPr>
          </w:p>
        </w:tc>
        <w:tc>
          <w:tcPr>
            <w:tcW w:w="0" w:type="auto"/>
            <w:shd w:val="clear" w:color="auto" w:fill="auto"/>
            <w:vAlign w:val="bottom"/>
          </w:tcPr>
          <w:p w14:paraId="5DEC6903" w14:textId="77777777" w:rsidR="00B1578D" w:rsidRDefault="00B1578D">
            <w:pPr>
              <w:rPr>
                <w:rFonts w:ascii="宋体"/>
                <w:vanish/>
              </w:rPr>
            </w:pPr>
          </w:p>
        </w:tc>
        <w:tc>
          <w:tcPr>
            <w:tcW w:w="0" w:type="auto"/>
            <w:gridSpan w:val="3"/>
            <w:shd w:val="clear" w:color="auto" w:fill="auto"/>
            <w:vAlign w:val="bottom"/>
          </w:tcPr>
          <w:p w14:paraId="5DEC6904" w14:textId="77777777" w:rsidR="00B1578D" w:rsidRDefault="00B1578D">
            <w:pPr>
              <w:rPr>
                <w:rFonts w:ascii="宋体"/>
                <w:vanish/>
              </w:rPr>
            </w:pPr>
          </w:p>
        </w:tc>
        <w:tc>
          <w:tcPr>
            <w:tcW w:w="0" w:type="auto"/>
            <w:gridSpan w:val="3"/>
            <w:shd w:val="clear" w:color="auto" w:fill="auto"/>
            <w:vAlign w:val="bottom"/>
          </w:tcPr>
          <w:p w14:paraId="5DEC6905" w14:textId="77777777" w:rsidR="00B1578D" w:rsidRDefault="00B1578D">
            <w:pPr>
              <w:rPr>
                <w:rFonts w:ascii="宋体"/>
                <w:vanish/>
              </w:rPr>
            </w:pPr>
          </w:p>
        </w:tc>
      </w:tr>
      <w:tr w:rsidR="00B1578D" w14:paraId="5DEC6914" w14:textId="77777777">
        <w:tc>
          <w:tcPr>
            <w:tcW w:w="0" w:type="auto"/>
            <w:gridSpan w:val="3"/>
            <w:shd w:val="clear" w:color="auto" w:fill="CCEEFF"/>
            <w:tcMar>
              <w:top w:w="40" w:type="dxa"/>
              <w:left w:w="20" w:type="dxa"/>
              <w:bottom w:w="40" w:type="dxa"/>
              <w:right w:w="20" w:type="dxa"/>
            </w:tcMar>
            <w:vAlign w:val="center"/>
          </w:tcPr>
          <w:p w14:paraId="5DEC6907" w14:textId="77777777" w:rsidR="00B1578D" w:rsidRDefault="004D2C04">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5DEC6908" w14:textId="77777777" w:rsidR="00B1578D" w:rsidRDefault="00B1578D">
            <w:pPr>
              <w:rPr>
                <w:rFonts w:ascii="宋体"/>
              </w:rPr>
            </w:pPr>
          </w:p>
        </w:tc>
        <w:tc>
          <w:tcPr>
            <w:tcW w:w="0" w:type="auto"/>
            <w:shd w:val="clear" w:color="auto" w:fill="CCEEFF"/>
            <w:tcMar>
              <w:top w:w="40" w:type="dxa"/>
              <w:left w:w="20" w:type="dxa"/>
              <w:bottom w:w="40" w:type="dxa"/>
              <w:right w:w="0" w:type="dxa"/>
            </w:tcMar>
          </w:tcPr>
          <w:p w14:paraId="5DEC6909" w14:textId="77777777" w:rsidR="00B1578D" w:rsidRDefault="004D2C04">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5DEC690A" w14:textId="77777777" w:rsidR="00B1578D" w:rsidRDefault="004D2C04">
            <w:pPr>
              <w:jc w:val="right"/>
              <w:textAlignment w:val="top"/>
            </w:pPr>
            <w:r>
              <w:rPr>
                <w:rFonts w:ascii="Times New Roman" w:eastAsia="宋体" w:hAnsi="Times New Roman"/>
                <w:color w:val="000000"/>
                <w:sz w:val="16"/>
                <w:szCs w:val="16"/>
              </w:rPr>
              <w:t>1,998 </w:t>
            </w:r>
          </w:p>
        </w:tc>
        <w:tc>
          <w:tcPr>
            <w:tcW w:w="0" w:type="auto"/>
            <w:shd w:val="clear" w:color="auto" w:fill="CCEEFF"/>
            <w:tcMar>
              <w:top w:w="40" w:type="dxa"/>
              <w:left w:w="0" w:type="dxa"/>
              <w:bottom w:w="40" w:type="dxa"/>
              <w:right w:w="20" w:type="dxa"/>
            </w:tcMar>
          </w:tcPr>
          <w:p w14:paraId="5DEC690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90C" w14:textId="77777777" w:rsidR="00B1578D" w:rsidRDefault="00B1578D">
            <w:pPr>
              <w:rPr>
                <w:rFonts w:ascii="宋体"/>
              </w:rPr>
            </w:pPr>
          </w:p>
        </w:tc>
        <w:tc>
          <w:tcPr>
            <w:tcW w:w="0" w:type="auto"/>
            <w:shd w:val="clear" w:color="auto" w:fill="CCEEFF"/>
            <w:tcMar>
              <w:top w:w="40" w:type="dxa"/>
              <w:left w:w="20" w:type="dxa"/>
              <w:bottom w:w="40" w:type="dxa"/>
              <w:right w:w="0" w:type="dxa"/>
            </w:tcMar>
          </w:tcPr>
          <w:p w14:paraId="5DEC690D" w14:textId="77777777" w:rsidR="00B1578D" w:rsidRDefault="004D2C04">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5DEC690E" w14:textId="77777777" w:rsidR="00B1578D" w:rsidRDefault="004D2C04">
            <w:pPr>
              <w:jc w:val="right"/>
              <w:textAlignment w:val="top"/>
            </w:pPr>
            <w:r>
              <w:rPr>
                <w:rFonts w:ascii="Times New Roman" w:eastAsia="宋体" w:hAnsi="Times New Roman"/>
                <w:color w:val="000000"/>
                <w:sz w:val="16"/>
                <w:szCs w:val="16"/>
              </w:rPr>
              <w:t>2,529 </w:t>
            </w:r>
          </w:p>
        </w:tc>
        <w:tc>
          <w:tcPr>
            <w:tcW w:w="0" w:type="auto"/>
            <w:shd w:val="clear" w:color="auto" w:fill="CCEEFF"/>
            <w:tcMar>
              <w:top w:w="40" w:type="dxa"/>
              <w:left w:w="0" w:type="dxa"/>
              <w:bottom w:w="40" w:type="dxa"/>
              <w:right w:w="20" w:type="dxa"/>
            </w:tcMar>
          </w:tcPr>
          <w:p w14:paraId="5DEC690F" w14:textId="77777777" w:rsidR="00B1578D" w:rsidRDefault="00B1578D">
            <w:pPr>
              <w:jc w:val="right"/>
              <w:rPr>
                <w:rFonts w:ascii="宋体"/>
              </w:rPr>
            </w:pPr>
          </w:p>
        </w:tc>
        <w:tc>
          <w:tcPr>
            <w:tcW w:w="0" w:type="auto"/>
            <w:shd w:val="clear" w:color="auto" w:fill="auto"/>
            <w:vAlign w:val="bottom"/>
          </w:tcPr>
          <w:p w14:paraId="5DEC6910" w14:textId="77777777" w:rsidR="00B1578D" w:rsidRDefault="00B1578D">
            <w:pPr>
              <w:rPr>
                <w:rFonts w:ascii="宋体"/>
                <w:vanish/>
              </w:rPr>
            </w:pPr>
          </w:p>
        </w:tc>
        <w:tc>
          <w:tcPr>
            <w:tcW w:w="0" w:type="auto"/>
            <w:shd w:val="clear" w:color="auto" w:fill="auto"/>
            <w:vAlign w:val="bottom"/>
          </w:tcPr>
          <w:p w14:paraId="5DEC6911" w14:textId="77777777" w:rsidR="00B1578D" w:rsidRDefault="00B1578D">
            <w:pPr>
              <w:rPr>
                <w:rFonts w:ascii="宋体"/>
                <w:vanish/>
              </w:rPr>
            </w:pPr>
          </w:p>
        </w:tc>
        <w:tc>
          <w:tcPr>
            <w:tcW w:w="0" w:type="auto"/>
            <w:gridSpan w:val="3"/>
            <w:shd w:val="clear" w:color="auto" w:fill="auto"/>
            <w:vAlign w:val="bottom"/>
          </w:tcPr>
          <w:p w14:paraId="5DEC6912" w14:textId="77777777" w:rsidR="00B1578D" w:rsidRDefault="00B1578D">
            <w:pPr>
              <w:rPr>
                <w:rFonts w:ascii="宋体"/>
                <w:vanish/>
              </w:rPr>
            </w:pPr>
          </w:p>
        </w:tc>
        <w:tc>
          <w:tcPr>
            <w:tcW w:w="0" w:type="auto"/>
            <w:gridSpan w:val="3"/>
            <w:shd w:val="clear" w:color="auto" w:fill="auto"/>
            <w:vAlign w:val="bottom"/>
          </w:tcPr>
          <w:p w14:paraId="5DEC6913" w14:textId="77777777" w:rsidR="00B1578D" w:rsidRDefault="00B1578D">
            <w:pPr>
              <w:rPr>
                <w:rFonts w:ascii="宋体"/>
                <w:vanish/>
              </w:rPr>
            </w:pPr>
          </w:p>
        </w:tc>
      </w:tr>
      <w:tr w:rsidR="00B1578D" w14:paraId="5DEC6922" w14:textId="77777777">
        <w:tc>
          <w:tcPr>
            <w:tcW w:w="0" w:type="auto"/>
            <w:gridSpan w:val="3"/>
            <w:shd w:val="clear" w:color="auto" w:fill="FFFFFF"/>
            <w:tcMar>
              <w:top w:w="40" w:type="dxa"/>
              <w:left w:w="20" w:type="dxa"/>
              <w:bottom w:w="40" w:type="dxa"/>
              <w:right w:w="20" w:type="dxa"/>
            </w:tcMar>
            <w:vAlign w:val="center"/>
          </w:tcPr>
          <w:p w14:paraId="5DEC6915" w14:textId="77777777" w:rsidR="00B1578D" w:rsidRDefault="004D2C04">
            <w:pPr>
              <w:textAlignment w:val="center"/>
            </w:pPr>
            <w:r>
              <w:rPr>
                <w:rFonts w:ascii="Times New Roman" w:eastAsia="宋体" w:hAnsi="Times New Roman"/>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5DEC6916"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91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918" w14:textId="77777777" w:rsidR="00B1578D" w:rsidRDefault="004D2C04">
            <w:pPr>
              <w:jc w:val="right"/>
              <w:textAlignment w:val="center"/>
            </w:pPr>
            <w:r>
              <w:rPr>
                <w:rFonts w:ascii="Times New Roman" w:eastAsia="宋体" w:hAnsi="Times New Roman"/>
                <w:color w:val="000000"/>
                <w:sz w:val="16"/>
                <w:szCs w:val="16"/>
              </w:rPr>
              <w:t>2,103 </w:t>
            </w:r>
          </w:p>
        </w:tc>
        <w:tc>
          <w:tcPr>
            <w:tcW w:w="0" w:type="auto"/>
            <w:shd w:val="clear" w:color="auto" w:fill="FFFFFF"/>
            <w:tcMar>
              <w:top w:w="40" w:type="dxa"/>
              <w:left w:w="0" w:type="dxa"/>
              <w:bottom w:w="40" w:type="dxa"/>
              <w:right w:w="20" w:type="dxa"/>
            </w:tcMar>
            <w:vAlign w:val="center"/>
          </w:tcPr>
          <w:p w14:paraId="5DEC691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91A"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91B"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91C" w14:textId="77777777" w:rsidR="00B1578D" w:rsidRDefault="004D2C04">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5DEC691D" w14:textId="77777777" w:rsidR="00B1578D" w:rsidRDefault="00B1578D">
            <w:pPr>
              <w:jc w:val="right"/>
              <w:rPr>
                <w:rFonts w:ascii="宋体"/>
              </w:rPr>
            </w:pPr>
          </w:p>
        </w:tc>
        <w:tc>
          <w:tcPr>
            <w:tcW w:w="0" w:type="auto"/>
            <w:shd w:val="clear" w:color="auto" w:fill="auto"/>
            <w:vAlign w:val="bottom"/>
          </w:tcPr>
          <w:p w14:paraId="5DEC691E" w14:textId="77777777" w:rsidR="00B1578D" w:rsidRDefault="00B1578D">
            <w:pPr>
              <w:rPr>
                <w:rFonts w:ascii="宋体"/>
                <w:vanish/>
              </w:rPr>
            </w:pPr>
          </w:p>
        </w:tc>
        <w:tc>
          <w:tcPr>
            <w:tcW w:w="0" w:type="auto"/>
            <w:shd w:val="clear" w:color="auto" w:fill="auto"/>
            <w:vAlign w:val="bottom"/>
          </w:tcPr>
          <w:p w14:paraId="5DEC691F" w14:textId="77777777" w:rsidR="00B1578D" w:rsidRDefault="00B1578D">
            <w:pPr>
              <w:rPr>
                <w:rFonts w:ascii="宋体"/>
                <w:vanish/>
              </w:rPr>
            </w:pPr>
          </w:p>
        </w:tc>
        <w:tc>
          <w:tcPr>
            <w:tcW w:w="0" w:type="auto"/>
            <w:gridSpan w:val="3"/>
            <w:shd w:val="clear" w:color="auto" w:fill="auto"/>
            <w:vAlign w:val="bottom"/>
          </w:tcPr>
          <w:p w14:paraId="5DEC6920" w14:textId="77777777" w:rsidR="00B1578D" w:rsidRDefault="00B1578D">
            <w:pPr>
              <w:rPr>
                <w:rFonts w:ascii="宋体"/>
                <w:vanish/>
              </w:rPr>
            </w:pPr>
          </w:p>
        </w:tc>
        <w:tc>
          <w:tcPr>
            <w:tcW w:w="0" w:type="auto"/>
            <w:gridSpan w:val="3"/>
            <w:shd w:val="clear" w:color="auto" w:fill="auto"/>
            <w:vAlign w:val="bottom"/>
          </w:tcPr>
          <w:p w14:paraId="5DEC6921" w14:textId="77777777" w:rsidR="00B1578D" w:rsidRDefault="00B1578D">
            <w:pPr>
              <w:rPr>
                <w:rFonts w:ascii="宋体"/>
                <w:vanish/>
              </w:rPr>
            </w:pPr>
          </w:p>
        </w:tc>
      </w:tr>
      <w:tr w:rsidR="00B1578D" w14:paraId="5DEC692E" w14:textId="77777777">
        <w:tc>
          <w:tcPr>
            <w:tcW w:w="0" w:type="auto"/>
            <w:gridSpan w:val="3"/>
            <w:shd w:val="clear" w:color="auto" w:fill="CCEEFF"/>
            <w:tcMar>
              <w:top w:w="40" w:type="dxa"/>
              <w:left w:w="20" w:type="dxa"/>
              <w:bottom w:w="40" w:type="dxa"/>
              <w:right w:w="20" w:type="dxa"/>
            </w:tcMar>
            <w:vAlign w:val="center"/>
          </w:tcPr>
          <w:p w14:paraId="5DEC6923" w14:textId="77777777" w:rsidR="00B1578D" w:rsidRDefault="004D2C04">
            <w:pPr>
              <w:textAlignment w:val="center"/>
            </w:pPr>
            <w:r>
              <w:rPr>
                <w:rFonts w:ascii="Times New Roman" w:eastAsia="宋体" w:hAnsi="Times New Roman"/>
                <w:color w:val="000000"/>
                <w:sz w:val="16"/>
                <w:szCs w:val="16"/>
              </w:rPr>
              <w:t>Unit count</w:t>
            </w:r>
            <w:r>
              <w:rPr>
                <w:rFonts w:ascii="Times New Roman" w:eastAsia="宋体" w:hAnsi="Times New Roman"/>
                <w:color w:val="000000"/>
                <w:sz w:val="16"/>
                <w:szCs w:val="16"/>
              </w:rPr>
              <w:t>s at period end</w:t>
            </w:r>
          </w:p>
        </w:tc>
        <w:tc>
          <w:tcPr>
            <w:tcW w:w="0" w:type="auto"/>
            <w:gridSpan w:val="3"/>
            <w:shd w:val="clear" w:color="auto" w:fill="CCEEFF"/>
            <w:tcMar>
              <w:top w:w="0" w:type="dxa"/>
              <w:left w:w="20" w:type="dxa"/>
              <w:bottom w:w="0" w:type="dxa"/>
              <w:right w:w="20" w:type="dxa"/>
            </w:tcMar>
            <w:vAlign w:val="bottom"/>
          </w:tcPr>
          <w:p w14:paraId="5DEC692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25" w14:textId="77777777" w:rsidR="00B1578D" w:rsidRDefault="004D2C04">
            <w:pPr>
              <w:jc w:val="right"/>
              <w:textAlignment w:val="center"/>
            </w:pPr>
            <w:r>
              <w:rPr>
                <w:rFonts w:ascii="Times New Roman" w:eastAsia="宋体" w:hAnsi="Times New Roman"/>
                <w:color w:val="000000"/>
                <w:sz w:val="16"/>
                <w:szCs w:val="16"/>
              </w:rPr>
              <w:t>10,585 </w:t>
            </w:r>
          </w:p>
        </w:tc>
        <w:tc>
          <w:tcPr>
            <w:tcW w:w="0" w:type="auto"/>
            <w:shd w:val="clear" w:color="auto" w:fill="CCEEFF"/>
            <w:tcMar>
              <w:top w:w="40" w:type="dxa"/>
              <w:left w:w="0" w:type="dxa"/>
              <w:bottom w:w="40" w:type="dxa"/>
              <w:right w:w="20" w:type="dxa"/>
            </w:tcMar>
            <w:vAlign w:val="center"/>
          </w:tcPr>
          <w:p w14:paraId="5DEC6926"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92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28" w14:textId="77777777" w:rsidR="00B1578D" w:rsidRDefault="004D2C04">
            <w:pPr>
              <w:jc w:val="right"/>
              <w:textAlignment w:val="center"/>
            </w:pPr>
            <w:r>
              <w:rPr>
                <w:rFonts w:ascii="Times New Roman" w:eastAsia="宋体" w:hAnsi="Times New Roman"/>
                <w:color w:val="000000"/>
                <w:sz w:val="16"/>
                <w:szCs w:val="16"/>
              </w:rPr>
              <w:t>10,526 </w:t>
            </w:r>
          </w:p>
        </w:tc>
        <w:tc>
          <w:tcPr>
            <w:tcW w:w="0" w:type="auto"/>
            <w:shd w:val="clear" w:color="auto" w:fill="CCEEFF"/>
            <w:tcMar>
              <w:top w:w="40" w:type="dxa"/>
              <w:left w:w="0" w:type="dxa"/>
              <w:bottom w:w="40" w:type="dxa"/>
              <w:right w:w="20" w:type="dxa"/>
            </w:tcMar>
            <w:vAlign w:val="center"/>
          </w:tcPr>
          <w:p w14:paraId="5DEC6929" w14:textId="77777777" w:rsidR="00B1578D" w:rsidRDefault="00B1578D">
            <w:pPr>
              <w:jc w:val="right"/>
              <w:rPr>
                <w:rFonts w:ascii="宋体"/>
              </w:rPr>
            </w:pPr>
          </w:p>
        </w:tc>
        <w:tc>
          <w:tcPr>
            <w:tcW w:w="0" w:type="auto"/>
            <w:shd w:val="clear" w:color="auto" w:fill="auto"/>
            <w:vAlign w:val="bottom"/>
          </w:tcPr>
          <w:p w14:paraId="5DEC692A" w14:textId="77777777" w:rsidR="00B1578D" w:rsidRDefault="00B1578D">
            <w:pPr>
              <w:rPr>
                <w:rFonts w:ascii="宋体"/>
                <w:vanish/>
              </w:rPr>
            </w:pPr>
          </w:p>
        </w:tc>
        <w:tc>
          <w:tcPr>
            <w:tcW w:w="0" w:type="auto"/>
            <w:shd w:val="clear" w:color="auto" w:fill="auto"/>
            <w:vAlign w:val="bottom"/>
          </w:tcPr>
          <w:p w14:paraId="5DEC692B" w14:textId="77777777" w:rsidR="00B1578D" w:rsidRDefault="00B1578D">
            <w:pPr>
              <w:rPr>
                <w:rFonts w:ascii="宋体"/>
                <w:vanish/>
              </w:rPr>
            </w:pPr>
          </w:p>
        </w:tc>
        <w:tc>
          <w:tcPr>
            <w:tcW w:w="0" w:type="auto"/>
            <w:gridSpan w:val="3"/>
            <w:shd w:val="clear" w:color="auto" w:fill="auto"/>
            <w:vAlign w:val="bottom"/>
          </w:tcPr>
          <w:p w14:paraId="5DEC692C" w14:textId="77777777" w:rsidR="00B1578D" w:rsidRDefault="00B1578D">
            <w:pPr>
              <w:rPr>
                <w:rFonts w:ascii="宋体"/>
                <w:vanish/>
              </w:rPr>
            </w:pPr>
          </w:p>
        </w:tc>
        <w:tc>
          <w:tcPr>
            <w:tcW w:w="0" w:type="auto"/>
            <w:gridSpan w:val="3"/>
            <w:shd w:val="clear" w:color="auto" w:fill="auto"/>
            <w:vAlign w:val="bottom"/>
          </w:tcPr>
          <w:p w14:paraId="5DEC692D" w14:textId="77777777" w:rsidR="00B1578D" w:rsidRDefault="00B1578D">
            <w:pPr>
              <w:rPr>
                <w:rFonts w:ascii="宋体"/>
                <w:vanish/>
              </w:rPr>
            </w:pPr>
          </w:p>
        </w:tc>
      </w:tr>
      <w:tr w:rsidR="00B1578D" w14:paraId="5DEC693A" w14:textId="77777777">
        <w:tc>
          <w:tcPr>
            <w:tcW w:w="0" w:type="auto"/>
            <w:gridSpan w:val="3"/>
            <w:shd w:val="clear" w:color="auto" w:fill="FFFFFF"/>
            <w:tcMar>
              <w:top w:w="40" w:type="dxa"/>
              <w:left w:w="20" w:type="dxa"/>
              <w:bottom w:w="40" w:type="dxa"/>
              <w:right w:w="20" w:type="dxa"/>
            </w:tcMar>
            <w:vAlign w:val="center"/>
          </w:tcPr>
          <w:p w14:paraId="5DEC692F" w14:textId="77777777" w:rsidR="00B1578D" w:rsidRDefault="004D2C04">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5DEC693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931" w14:textId="77777777" w:rsidR="00B1578D" w:rsidRDefault="004D2C04">
            <w:pPr>
              <w:jc w:val="right"/>
              <w:textAlignment w:val="center"/>
            </w:pPr>
            <w:r>
              <w:rPr>
                <w:rFonts w:ascii="Times New Roman" w:eastAsia="宋体" w:hAnsi="Times New Roman"/>
                <w:color w:val="000000"/>
                <w:sz w:val="16"/>
                <w:szCs w:val="16"/>
              </w:rPr>
              <w:t>1,059 </w:t>
            </w:r>
          </w:p>
        </w:tc>
        <w:tc>
          <w:tcPr>
            <w:tcW w:w="0" w:type="auto"/>
            <w:shd w:val="clear" w:color="auto" w:fill="FFFFFF"/>
            <w:tcMar>
              <w:top w:w="40" w:type="dxa"/>
              <w:left w:w="0" w:type="dxa"/>
              <w:bottom w:w="40" w:type="dxa"/>
              <w:right w:w="20" w:type="dxa"/>
            </w:tcMar>
            <w:vAlign w:val="center"/>
          </w:tcPr>
          <w:p w14:paraId="5DEC6932"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93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934" w14:textId="77777777" w:rsidR="00B1578D" w:rsidRDefault="004D2C04">
            <w:pPr>
              <w:jc w:val="right"/>
              <w:textAlignment w:val="center"/>
            </w:pPr>
            <w:r>
              <w:rPr>
                <w:rFonts w:ascii="Times New Roman" w:eastAsia="宋体" w:hAnsi="Times New Roman"/>
                <w:color w:val="000000"/>
                <w:sz w:val="16"/>
                <w:szCs w:val="16"/>
              </w:rPr>
              <w:t>1,065 </w:t>
            </w:r>
          </w:p>
        </w:tc>
        <w:tc>
          <w:tcPr>
            <w:tcW w:w="0" w:type="auto"/>
            <w:shd w:val="clear" w:color="auto" w:fill="FFFFFF"/>
            <w:tcMar>
              <w:top w:w="40" w:type="dxa"/>
              <w:left w:w="0" w:type="dxa"/>
              <w:bottom w:w="40" w:type="dxa"/>
              <w:right w:w="20" w:type="dxa"/>
            </w:tcMar>
            <w:vAlign w:val="center"/>
          </w:tcPr>
          <w:p w14:paraId="5DEC6935" w14:textId="77777777" w:rsidR="00B1578D" w:rsidRDefault="00B1578D">
            <w:pPr>
              <w:jc w:val="right"/>
              <w:rPr>
                <w:rFonts w:ascii="宋体"/>
              </w:rPr>
            </w:pPr>
          </w:p>
        </w:tc>
        <w:tc>
          <w:tcPr>
            <w:tcW w:w="0" w:type="auto"/>
            <w:shd w:val="clear" w:color="auto" w:fill="auto"/>
            <w:vAlign w:val="bottom"/>
          </w:tcPr>
          <w:p w14:paraId="5DEC6936" w14:textId="77777777" w:rsidR="00B1578D" w:rsidRDefault="00B1578D">
            <w:pPr>
              <w:rPr>
                <w:rFonts w:ascii="宋体"/>
                <w:vanish/>
              </w:rPr>
            </w:pPr>
          </w:p>
        </w:tc>
        <w:tc>
          <w:tcPr>
            <w:tcW w:w="0" w:type="auto"/>
            <w:shd w:val="clear" w:color="auto" w:fill="auto"/>
            <w:vAlign w:val="bottom"/>
          </w:tcPr>
          <w:p w14:paraId="5DEC6937" w14:textId="77777777" w:rsidR="00B1578D" w:rsidRDefault="00B1578D">
            <w:pPr>
              <w:rPr>
                <w:rFonts w:ascii="宋体"/>
                <w:vanish/>
              </w:rPr>
            </w:pPr>
          </w:p>
        </w:tc>
        <w:tc>
          <w:tcPr>
            <w:tcW w:w="0" w:type="auto"/>
            <w:gridSpan w:val="3"/>
            <w:shd w:val="clear" w:color="auto" w:fill="auto"/>
            <w:vAlign w:val="bottom"/>
          </w:tcPr>
          <w:p w14:paraId="5DEC6938" w14:textId="77777777" w:rsidR="00B1578D" w:rsidRDefault="00B1578D">
            <w:pPr>
              <w:rPr>
                <w:rFonts w:ascii="宋体"/>
                <w:vanish/>
              </w:rPr>
            </w:pPr>
          </w:p>
        </w:tc>
        <w:tc>
          <w:tcPr>
            <w:tcW w:w="0" w:type="auto"/>
            <w:gridSpan w:val="3"/>
            <w:shd w:val="clear" w:color="auto" w:fill="auto"/>
            <w:vAlign w:val="bottom"/>
          </w:tcPr>
          <w:p w14:paraId="5DEC6939" w14:textId="77777777" w:rsidR="00B1578D" w:rsidRDefault="00B1578D">
            <w:pPr>
              <w:rPr>
                <w:rFonts w:ascii="宋体"/>
                <w:vanish/>
              </w:rPr>
            </w:pPr>
          </w:p>
        </w:tc>
      </w:tr>
    </w:tbl>
    <w:p w14:paraId="5DEC693B" w14:textId="77777777" w:rsidR="00B1578D" w:rsidRDefault="004D2C04">
      <w:pPr>
        <w:spacing w:before="100"/>
      </w:pPr>
      <w:r>
        <w:rPr>
          <w:rFonts w:ascii="Times New Roman" w:eastAsia="宋体" w:hAnsi="Times New Roman"/>
          <w:color w:val="000000"/>
          <w:sz w:val="20"/>
          <w:szCs w:val="20"/>
        </w:rPr>
        <w:t xml:space="preserve">Our total revenues, which are mostly comprised of net sales, but also include membership and other income, increased $3.3 billion or 2.4% for the three </w:t>
      </w:r>
      <w:r>
        <w:rPr>
          <w:rFonts w:ascii="Times New Roman" w:eastAsia="宋体" w:hAnsi="Times New Roman"/>
          <w:color w:val="000000"/>
          <w:sz w:val="20"/>
          <w:szCs w:val="20"/>
        </w:rPr>
        <w:t>months ended April 30, 2022, when compared to the same period in the previous fiscal year. The increase in revenue was primarily due to strong positive comparable sales for the Walmart U.S. and Sam's Club segments which was impacted by higher inflation, al</w:t>
      </w:r>
      <w:r>
        <w:rPr>
          <w:rFonts w:ascii="Times New Roman" w:eastAsia="宋体" w:hAnsi="Times New Roman"/>
          <w:color w:val="000000"/>
          <w:sz w:val="20"/>
          <w:szCs w:val="20"/>
        </w:rPr>
        <w:t xml:space="preserve">ong with positive comparable sales in each of our international markets. The increase in net sales was partially offset by a $5.0 billion decrease related to the divestiture of our operations in the U.K. and Japan, which closed in the first quarter fiscal </w:t>
      </w:r>
      <w:r>
        <w:rPr>
          <w:rFonts w:ascii="Times New Roman" w:eastAsia="宋体" w:hAnsi="Times New Roman"/>
          <w:color w:val="000000"/>
          <w:sz w:val="20"/>
          <w:szCs w:val="20"/>
        </w:rPr>
        <w:t>2022. Net sales for the three months ended April 30, 2022 included a $0.4 billion negative impact of fluctuations in currency exchange rates.</w:t>
      </w:r>
    </w:p>
    <w:p w14:paraId="5DEC693C" w14:textId="77777777" w:rsidR="00B1578D" w:rsidRDefault="004D2C04">
      <w:pPr>
        <w:spacing w:before="100"/>
      </w:pPr>
      <w:r>
        <w:rPr>
          <w:rFonts w:ascii="Times New Roman" w:eastAsia="宋体" w:hAnsi="Times New Roman"/>
          <w:color w:val="000000"/>
          <w:sz w:val="20"/>
          <w:szCs w:val="20"/>
        </w:rPr>
        <w:t>Gross profit as a percentage of net sales ("gross profit rate") decreased 87 basis points for the three months end</w:t>
      </w:r>
      <w:r>
        <w:rPr>
          <w:rFonts w:ascii="Times New Roman" w:eastAsia="宋体" w:hAnsi="Times New Roman"/>
          <w:color w:val="000000"/>
          <w:sz w:val="20"/>
          <w:szCs w:val="20"/>
        </w:rPr>
        <w:t>ed April 30, 2022, when compared to the same period in the previous fiscal year driven by higher supply chain costs, product and fuel mix, and inflation.</w:t>
      </w:r>
    </w:p>
    <w:p w14:paraId="5DEC693D" w14:textId="77777777" w:rsidR="00B1578D" w:rsidRDefault="004D2C04">
      <w:pPr>
        <w:spacing w:before="100"/>
      </w:pPr>
      <w:r>
        <w:rPr>
          <w:rFonts w:ascii="Times New Roman" w:eastAsia="宋体" w:hAnsi="Times New Roman"/>
          <w:color w:val="000000"/>
          <w:sz w:val="20"/>
          <w:szCs w:val="20"/>
        </w:rPr>
        <w:t>Operating expenses as a percentage of net sales increased 45 basis points for the three months ended A</w:t>
      </w:r>
      <w:r>
        <w:rPr>
          <w:rFonts w:ascii="Times New Roman" w:eastAsia="宋体" w:hAnsi="Times New Roman"/>
          <w:color w:val="000000"/>
          <w:sz w:val="20"/>
          <w:szCs w:val="20"/>
        </w:rPr>
        <w:t xml:space="preserve">pril 30, 2022, primarily driven by increased wage costs in the Walmart U.S. segment, partially offset by net sales growth. </w:t>
      </w:r>
    </w:p>
    <w:p w14:paraId="5DEC693E" w14:textId="77777777" w:rsidR="00B1578D" w:rsidRDefault="004D2C04">
      <w:pPr>
        <w:spacing w:before="100"/>
      </w:pPr>
      <w:r>
        <w:rPr>
          <w:rFonts w:ascii="Times New Roman" w:eastAsia="宋体" w:hAnsi="Times New Roman"/>
          <w:color w:val="000000"/>
          <w:sz w:val="20"/>
          <w:szCs w:val="20"/>
        </w:rPr>
        <w:t xml:space="preserve">Other gains and losses for the three months ended April 30, 2022 consisted of a net loss of $2.0 billion primarily </w:t>
      </w:r>
      <w:r>
        <w:rPr>
          <w:rFonts w:ascii="Times New Roman" w:eastAsia="宋体" w:hAnsi="Times New Roman"/>
          <w:color w:val="000000"/>
          <w:sz w:val="20"/>
          <w:szCs w:val="20"/>
        </w:rPr>
        <w:t xml:space="preserve">associated with the fair value changes of our equity investments. For the three months ended April 30, 2021, other gains and losses consisted of a net loss of $2.5 billion, which primarily reflects $2.1 billion in net losses associated with the fair value </w:t>
      </w:r>
      <w:r>
        <w:rPr>
          <w:rFonts w:ascii="Times New Roman" w:eastAsia="宋体" w:hAnsi="Times New Roman"/>
          <w:color w:val="000000"/>
          <w:sz w:val="20"/>
          <w:szCs w:val="20"/>
        </w:rPr>
        <w:t>changes of our equity investments, as well as $0.4 billion in incremental losses associated with the divestiture of our operations in the U.K. and Japan upon closing of the transactions during the first quarter of fiscal 2022.</w:t>
      </w:r>
    </w:p>
    <w:p w14:paraId="5DEC693F" w14:textId="77777777" w:rsidR="00B1578D" w:rsidRDefault="004D2C04">
      <w:pPr>
        <w:spacing w:before="100"/>
      </w:pPr>
      <w:r>
        <w:rPr>
          <w:rFonts w:ascii="Times New Roman" w:eastAsia="宋体" w:hAnsi="Times New Roman"/>
          <w:color w:val="000000"/>
          <w:sz w:val="20"/>
          <w:szCs w:val="20"/>
        </w:rPr>
        <w:t>Our effective income tax rate</w:t>
      </w:r>
      <w:r>
        <w:rPr>
          <w:rFonts w:ascii="Times New Roman" w:eastAsia="宋体" w:hAnsi="Times New Roman"/>
          <w:color w:val="000000"/>
          <w:sz w:val="20"/>
          <w:szCs w:val="20"/>
        </w:rPr>
        <w:t xml:space="preserve"> was 27.5% for the three months ended April 30, 2022, compared to 26.9% for the same period in the previous fiscal year. Our effective income tax rate may fluctuate from quarter to quarter as a result of factors including changes in our assessment of certa</w:t>
      </w:r>
      <w:r>
        <w:rPr>
          <w:rFonts w:ascii="Times New Roman" w:eastAsia="宋体" w:hAnsi="Times New Roman"/>
          <w:color w:val="000000"/>
          <w:sz w:val="20"/>
          <w:szCs w:val="20"/>
        </w:rPr>
        <w:t>in tax contingencies, valuation allowances, changes in tax law, outcomes of administrative audits, the impact of discrete items and the mix and size of earnings among our U.S. operations and international operations, which are subject to statutory rates th</w:t>
      </w:r>
      <w:r>
        <w:rPr>
          <w:rFonts w:ascii="Times New Roman" w:eastAsia="宋体" w:hAnsi="Times New Roman"/>
          <w:color w:val="000000"/>
          <w:sz w:val="20"/>
          <w:szCs w:val="20"/>
        </w:rPr>
        <w:t xml:space="preserve">at may be different than the U.S. statutory rate. </w:t>
      </w:r>
    </w:p>
    <w:p w14:paraId="5DEC6940" w14:textId="77777777" w:rsidR="00B1578D" w:rsidRDefault="004D2C04">
      <w:pPr>
        <w:spacing w:before="100"/>
      </w:pPr>
      <w:r>
        <w:rPr>
          <w:rFonts w:ascii="Times New Roman" w:eastAsia="宋体" w:hAnsi="Times New Roman"/>
          <w:color w:val="000000"/>
          <w:sz w:val="20"/>
          <w:szCs w:val="20"/>
        </w:rPr>
        <w:t>As a result of the factors discussed above, consolidated net income decreased $0.7 billion for the three months ended April 30, 2022, when compared to the same period in the previous fiscal year. According</w:t>
      </w:r>
      <w:r>
        <w:rPr>
          <w:rFonts w:ascii="Times New Roman" w:eastAsia="宋体" w:hAnsi="Times New Roman"/>
          <w:color w:val="000000"/>
          <w:sz w:val="20"/>
          <w:szCs w:val="20"/>
        </w:rPr>
        <w:t>ly, diluted net income per common share attributable to Walmart was $0.74 for the three months ended April 30, 2022, which represents a decrease of $0.23 when compared to the same period in the previous fiscal year.</w:t>
      </w:r>
    </w:p>
    <w:p w14:paraId="5DEC6941" w14:textId="77777777" w:rsidR="00B1578D" w:rsidRDefault="004D2C04">
      <w:pPr>
        <w:spacing w:before="240"/>
      </w:pPr>
      <w:r>
        <w:rPr>
          <w:rFonts w:ascii="Times New Roman" w:eastAsia="宋体" w:hAnsi="Times New Roman"/>
          <w:b/>
          <w:bCs/>
          <w:i/>
          <w:iCs/>
          <w:color w:val="000000"/>
          <w:sz w:val="20"/>
          <w:szCs w:val="20"/>
        </w:rPr>
        <w:t>Walmart U.S.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00"/>
        <w:gridCol w:w="726"/>
        <w:gridCol w:w="154"/>
        <w:gridCol w:w="36"/>
        <w:gridCol w:w="36"/>
        <w:gridCol w:w="36"/>
        <w:gridCol w:w="100"/>
        <w:gridCol w:w="724"/>
        <w:gridCol w:w="154"/>
        <w:gridCol w:w="36"/>
        <w:gridCol w:w="36"/>
        <w:gridCol w:w="36"/>
        <w:gridCol w:w="36"/>
        <w:gridCol w:w="36"/>
        <w:gridCol w:w="36"/>
        <w:gridCol w:w="36"/>
        <w:gridCol w:w="36"/>
      </w:tblGrid>
      <w:tr w:rsidR="00B1578D" w14:paraId="5DEC6955" w14:textId="77777777">
        <w:trPr>
          <w:jc w:val="center"/>
        </w:trPr>
        <w:tc>
          <w:tcPr>
            <w:tcW w:w="50" w:type="pct"/>
            <w:shd w:val="clear" w:color="auto" w:fill="auto"/>
            <w:vAlign w:val="bottom"/>
          </w:tcPr>
          <w:p w14:paraId="5DEC6942" w14:textId="77777777" w:rsidR="00B1578D" w:rsidRDefault="00B1578D">
            <w:pPr>
              <w:rPr>
                <w:rFonts w:ascii="宋体"/>
              </w:rPr>
            </w:pPr>
          </w:p>
        </w:tc>
        <w:tc>
          <w:tcPr>
            <w:tcW w:w="3695" w:type="pct"/>
            <w:shd w:val="clear" w:color="auto" w:fill="auto"/>
            <w:vAlign w:val="bottom"/>
          </w:tcPr>
          <w:p w14:paraId="5DEC6943" w14:textId="77777777" w:rsidR="00B1578D" w:rsidRDefault="00B1578D">
            <w:pPr>
              <w:rPr>
                <w:rFonts w:ascii="宋体"/>
              </w:rPr>
            </w:pPr>
          </w:p>
        </w:tc>
        <w:tc>
          <w:tcPr>
            <w:tcW w:w="5" w:type="pct"/>
            <w:shd w:val="clear" w:color="auto" w:fill="auto"/>
            <w:vAlign w:val="bottom"/>
          </w:tcPr>
          <w:p w14:paraId="5DEC6944" w14:textId="77777777" w:rsidR="00B1578D" w:rsidRDefault="00B1578D">
            <w:pPr>
              <w:rPr>
                <w:rFonts w:ascii="宋体"/>
              </w:rPr>
            </w:pPr>
          </w:p>
        </w:tc>
        <w:tc>
          <w:tcPr>
            <w:tcW w:w="5" w:type="pct"/>
            <w:shd w:val="clear" w:color="auto" w:fill="auto"/>
            <w:vAlign w:val="bottom"/>
          </w:tcPr>
          <w:p w14:paraId="5DEC6945" w14:textId="77777777" w:rsidR="00B1578D" w:rsidRDefault="00B1578D">
            <w:pPr>
              <w:rPr>
                <w:rFonts w:ascii="宋体"/>
              </w:rPr>
            </w:pPr>
          </w:p>
        </w:tc>
        <w:tc>
          <w:tcPr>
            <w:tcW w:w="63" w:type="pct"/>
            <w:shd w:val="clear" w:color="auto" w:fill="auto"/>
            <w:vAlign w:val="bottom"/>
          </w:tcPr>
          <w:p w14:paraId="5DEC6946" w14:textId="77777777" w:rsidR="00B1578D" w:rsidRDefault="00B1578D">
            <w:pPr>
              <w:rPr>
                <w:rFonts w:ascii="宋体"/>
              </w:rPr>
            </w:pPr>
          </w:p>
        </w:tc>
        <w:tc>
          <w:tcPr>
            <w:tcW w:w="5" w:type="pct"/>
            <w:shd w:val="clear" w:color="auto" w:fill="auto"/>
            <w:vAlign w:val="bottom"/>
          </w:tcPr>
          <w:p w14:paraId="5DEC6947" w14:textId="77777777" w:rsidR="00B1578D" w:rsidRDefault="00B1578D">
            <w:pPr>
              <w:rPr>
                <w:rFonts w:ascii="宋体"/>
              </w:rPr>
            </w:pPr>
          </w:p>
        </w:tc>
        <w:tc>
          <w:tcPr>
            <w:tcW w:w="50" w:type="pct"/>
            <w:shd w:val="clear" w:color="auto" w:fill="auto"/>
            <w:vAlign w:val="bottom"/>
          </w:tcPr>
          <w:p w14:paraId="5DEC6948" w14:textId="77777777" w:rsidR="00B1578D" w:rsidRDefault="00B1578D">
            <w:pPr>
              <w:rPr>
                <w:rFonts w:ascii="宋体"/>
              </w:rPr>
            </w:pPr>
          </w:p>
        </w:tc>
        <w:tc>
          <w:tcPr>
            <w:tcW w:w="529" w:type="pct"/>
            <w:shd w:val="clear" w:color="auto" w:fill="auto"/>
            <w:vAlign w:val="bottom"/>
          </w:tcPr>
          <w:p w14:paraId="5DEC6949" w14:textId="77777777" w:rsidR="00B1578D" w:rsidRDefault="00B1578D">
            <w:pPr>
              <w:rPr>
                <w:rFonts w:ascii="宋体"/>
              </w:rPr>
            </w:pPr>
          </w:p>
        </w:tc>
        <w:tc>
          <w:tcPr>
            <w:tcW w:w="5" w:type="pct"/>
            <w:shd w:val="clear" w:color="auto" w:fill="auto"/>
            <w:vAlign w:val="bottom"/>
          </w:tcPr>
          <w:p w14:paraId="5DEC694A" w14:textId="77777777" w:rsidR="00B1578D" w:rsidRDefault="00B1578D">
            <w:pPr>
              <w:rPr>
                <w:rFonts w:ascii="宋体"/>
              </w:rPr>
            </w:pPr>
          </w:p>
        </w:tc>
        <w:tc>
          <w:tcPr>
            <w:tcW w:w="5" w:type="pct"/>
            <w:shd w:val="clear" w:color="auto" w:fill="auto"/>
            <w:vAlign w:val="bottom"/>
          </w:tcPr>
          <w:p w14:paraId="5DEC694B" w14:textId="77777777" w:rsidR="00B1578D" w:rsidRDefault="00B1578D">
            <w:pPr>
              <w:rPr>
                <w:rFonts w:ascii="宋体"/>
              </w:rPr>
            </w:pPr>
          </w:p>
        </w:tc>
        <w:tc>
          <w:tcPr>
            <w:tcW w:w="19" w:type="pct"/>
            <w:shd w:val="clear" w:color="auto" w:fill="auto"/>
            <w:vAlign w:val="bottom"/>
          </w:tcPr>
          <w:p w14:paraId="5DEC694C" w14:textId="77777777" w:rsidR="00B1578D" w:rsidRDefault="00B1578D">
            <w:pPr>
              <w:rPr>
                <w:rFonts w:ascii="宋体"/>
              </w:rPr>
            </w:pPr>
          </w:p>
        </w:tc>
        <w:tc>
          <w:tcPr>
            <w:tcW w:w="5" w:type="pct"/>
            <w:shd w:val="clear" w:color="auto" w:fill="auto"/>
            <w:vAlign w:val="bottom"/>
          </w:tcPr>
          <w:p w14:paraId="5DEC694D" w14:textId="77777777" w:rsidR="00B1578D" w:rsidRDefault="00B1578D">
            <w:pPr>
              <w:rPr>
                <w:rFonts w:ascii="宋体"/>
              </w:rPr>
            </w:pPr>
          </w:p>
        </w:tc>
        <w:tc>
          <w:tcPr>
            <w:tcW w:w="50" w:type="pct"/>
            <w:shd w:val="clear" w:color="auto" w:fill="auto"/>
            <w:vAlign w:val="bottom"/>
          </w:tcPr>
          <w:p w14:paraId="5DEC694E" w14:textId="77777777" w:rsidR="00B1578D" w:rsidRDefault="00B1578D">
            <w:pPr>
              <w:rPr>
                <w:rFonts w:ascii="宋体"/>
              </w:rPr>
            </w:pPr>
          </w:p>
        </w:tc>
        <w:tc>
          <w:tcPr>
            <w:tcW w:w="508" w:type="pct"/>
            <w:shd w:val="clear" w:color="auto" w:fill="auto"/>
            <w:vAlign w:val="bottom"/>
          </w:tcPr>
          <w:p w14:paraId="5DEC694F" w14:textId="77777777" w:rsidR="00B1578D" w:rsidRDefault="00B1578D">
            <w:pPr>
              <w:rPr>
                <w:rFonts w:ascii="宋体"/>
              </w:rPr>
            </w:pPr>
          </w:p>
        </w:tc>
        <w:tc>
          <w:tcPr>
            <w:tcW w:w="5" w:type="pct"/>
            <w:shd w:val="clear" w:color="auto" w:fill="auto"/>
            <w:vAlign w:val="bottom"/>
          </w:tcPr>
          <w:p w14:paraId="5DEC6950" w14:textId="77777777" w:rsidR="00B1578D" w:rsidRDefault="00B1578D">
            <w:pPr>
              <w:rPr>
                <w:rFonts w:ascii="宋体"/>
              </w:rPr>
            </w:pPr>
          </w:p>
        </w:tc>
        <w:tc>
          <w:tcPr>
            <w:tcW w:w="0" w:type="auto"/>
            <w:shd w:val="clear" w:color="auto" w:fill="auto"/>
            <w:vAlign w:val="bottom"/>
          </w:tcPr>
          <w:p w14:paraId="5DEC6951" w14:textId="77777777" w:rsidR="00B1578D" w:rsidRDefault="00B1578D">
            <w:pPr>
              <w:rPr>
                <w:rFonts w:ascii="宋体"/>
                <w:vanish/>
              </w:rPr>
            </w:pPr>
          </w:p>
        </w:tc>
        <w:tc>
          <w:tcPr>
            <w:tcW w:w="0" w:type="auto"/>
            <w:shd w:val="clear" w:color="auto" w:fill="auto"/>
            <w:vAlign w:val="bottom"/>
          </w:tcPr>
          <w:p w14:paraId="5DEC6952" w14:textId="77777777" w:rsidR="00B1578D" w:rsidRDefault="00B1578D">
            <w:pPr>
              <w:rPr>
                <w:rFonts w:ascii="宋体"/>
                <w:vanish/>
              </w:rPr>
            </w:pPr>
          </w:p>
        </w:tc>
        <w:tc>
          <w:tcPr>
            <w:tcW w:w="0" w:type="auto"/>
            <w:gridSpan w:val="3"/>
            <w:shd w:val="clear" w:color="auto" w:fill="auto"/>
            <w:vAlign w:val="bottom"/>
          </w:tcPr>
          <w:p w14:paraId="5DEC6953" w14:textId="77777777" w:rsidR="00B1578D" w:rsidRDefault="00B1578D">
            <w:pPr>
              <w:rPr>
                <w:rFonts w:ascii="宋体"/>
                <w:vanish/>
              </w:rPr>
            </w:pPr>
          </w:p>
        </w:tc>
        <w:tc>
          <w:tcPr>
            <w:tcW w:w="0" w:type="auto"/>
            <w:gridSpan w:val="3"/>
            <w:shd w:val="clear" w:color="auto" w:fill="auto"/>
            <w:vAlign w:val="bottom"/>
          </w:tcPr>
          <w:p w14:paraId="5DEC6954" w14:textId="77777777" w:rsidR="00B1578D" w:rsidRDefault="00B1578D">
            <w:pPr>
              <w:rPr>
                <w:rFonts w:ascii="宋体"/>
                <w:vanish/>
              </w:rPr>
            </w:pPr>
          </w:p>
        </w:tc>
      </w:tr>
      <w:tr w:rsidR="00B1578D" w14:paraId="5DEC6961" w14:textId="77777777">
        <w:trPr>
          <w:jc w:val="center"/>
        </w:trPr>
        <w:tc>
          <w:tcPr>
            <w:tcW w:w="0" w:type="auto"/>
            <w:gridSpan w:val="3"/>
            <w:shd w:val="clear" w:color="auto" w:fill="auto"/>
            <w:tcMar>
              <w:top w:w="40" w:type="dxa"/>
              <w:left w:w="20" w:type="dxa"/>
              <w:bottom w:w="40" w:type="dxa"/>
              <w:right w:w="20" w:type="dxa"/>
            </w:tcMar>
            <w:vAlign w:val="center"/>
          </w:tcPr>
          <w:p w14:paraId="5DEC6956"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957"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center"/>
          </w:tcPr>
          <w:p w14:paraId="5DEC6958" w14:textId="77777777" w:rsidR="00B1578D" w:rsidRDefault="004D2C04">
            <w:pPr>
              <w:jc w:val="center"/>
              <w:textAlignment w:val="center"/>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959" w14:textId="77777777" w:rsidR="00B1578D" w:rsidRDefault="00B1578D">
            <w:pPr>
              <w:rPr>
                <w:rFonts w:ascii="宋体"/>
                <w:vanish/>
              </w:rPr>
            </w:pPr>
          </w:p>
        </w:tc>
        <w:tc>
          <w:tcPr>
            <w:tcW w:w="0" w:type="auto"/>
            <w:shd w:val="clear" w:color="auto" w:fill="auto"/>
            <w:vAlign w:val="bottom"/>
          </w:tcPr>
          <w:p w14:paraId="5DEC695A" w14:textId="77777777" w:rsidR="00B1578D" w:rsidRDefault="00B1578D">
            <w:pPr>
              <w:rPr>
                <w:rFonts w:ascii="宋体"/>
                <w:vanish/>
              </w:rPr>
            </w:pPr>
          </w:p>
        </w:tc>
        <w:tc>
          <w:tcPr>
            <w:tcW w:w="0" w:type="auto"/>
            <w:shd w:val="clear" w:color="auto" w:fill="auto"/>
            <w:vAlign w:val="bottom"/>
          </w:tcPr>
          <w:p w14:paraId="5DEC695B" w14:textId="77777777" w:rsidR="00B1578D" w:rsidRDefault="00B1578D">
            <w:pPr>
              <w:rPr>
                <w:rFonts w:ascii="宋体"/>
              </w:rPr>
            </w:pPr>
          </w:p>
        </w:tc>
        <w:tc>
          <w:tcPr>
            <w:tcW w:w="0" w:type="auto"/>
            <w:shd w:val="clear" w:color="auto" w:fill="auto"/>
            <w:vAlign w:val="bottom"/>
          </w:tcPr>
          <w:p w14:paraId="5DEC695C" w14:textId="77777777" w:rsidR="00B1578D" w:rsidRDefault="00B1578D">
            <w:pPr>
              <w:rPr>
                <w:rFonts w:ascii="宋体"/>
              </w:rPr>
            </w:pPr>
          </w:p>
        </w:tc>
        <w:tc>
          <w:tcPr>
            <w:tcW w:w="0" w:type="auto"/>
            <w:shd w:val="clear" w:color="auto" w:fill="auto"/>
            <w:vAlign w:val="bottom"/>
          </w:tcPr>
          <w:p w14:paraId="5DEC695D" w14:textId="77777777" w:rsidR="00B1578D" w:rsidRDefault="00B1578D">
            <w:pPr>
              <w:rPr>
                <w:rFonts w:ascii="宋体"/>
              </w:rPr>
            </w:pPr>
          </w:p>
        </w:tc>
        <w:tc>
          <w:tcPr>
            <w:tcW w:w="0" w:type="auto"/>
            <w:shd w:val="clear" w:color="auto" w:fill="auto"/>
            <w:vAlign w:val="bottom"/>
          </w:tcPr>
          <w:p w14:paraId="5DEC695E" w14:textId="77777777" w:rsidR="00B1578D" w:rsidRDefault="00B1578D">
            <w:pPr>
              <w:rPr>
                <w:rFonts w:ascii="宋体"/>
              </w:rPr>
            </w:pPr>
          </w:p>
        </w:tc>
        <w:tc>
          <w:tcPr>
            <w:tcW w:w="0" w:type="auto"/>
            <w:shd w:val="clear" w:color="auto" w:fill="auto"/>
            <w:vAlign w:val="bottom"/>
          </w:tcPr>
          <w:p w14:paraId="5DEC695F" w14:textId="77777777" w:rsidR="00B1578D" w:rsidRDefault="00B1578D">
            <w:pPr>
              <w:rPr>
                <w:rFonts w:ascii="宋体"/>
              </w:rPr>
            </w:pPr>
          </w:p>
        </w:tc>
        <w:tc>
          <w:tcPr>
            <w:tcW w:w="0" w:type="auto"/>
            <w:shd w:val="clear" w:color="auto" w:fill="auto"/>
            <w:vAlign w:val="bottom"/>
          </w:tcPr>
          <w:p w14:paraId="5DEC6960" w14:textId="77777777" w:rsidR="00B1578D" w:rsidRDefault="00B1578D">
            <w:pPr>
              <w:rPr>
                <w:rFonts w:ascii="宋体"/>
              </w:rPr>
            </w:pPr>
          </w:p>
        </w:tc>
      </w:tr>
      <w:tr w:rsidR="00B1578D" w14:paraId="5DEC696B" w14:textId="77777777">
        <w:trPr>
          <w:jc w:val="center"/>
        </w:trPr>
        <w:tc>
          <w:tcPr>
            <w:tcW w:w="0" w:type="auto"/>
            <w:gridSpan w:val="3"/>
            <w:shd w:val="clear" w:color="auto" w:fill="auto"/>
            <w:tcMar>
              <w:top w:w="40" w:type="dxa"/>
              <w:left w:w="20" w:type="dxa"/>
              <w:bottom w:w="40" w:type="dxa"/>
              <w:right w:w="20" w:type="dxa"/>
            </w:tcMar>
            <w:vAlign w:val="center"/>
          </w:tcPr>
          <w:p w14:paraId="5DEC6962" w14:textId="77777777" w:rsidR="00B1578D" w:rsidRDefault="004D2C04">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5DEC6963"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center"/>
          </w:tcPr>
          <w:p w14:paraId="5DEC6964" w14:textId="77777777" w:rsidR="00B1578D" w:rsidRDefault="004D2C04">
            <w:pPr>
              <w:jc w:val="center"/>
              <w:textAlignment w:val="center"/>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5DEC6965"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center"/>
          </w:tcPr>
          <w:p w14:paraId="5DEC6966" w14:textId="77777777" w:rsidR="00B1578D" w:rsidRDefault="004D2C04">
            <w:pPr>
              <w:jc w:val="center"/>
              <w:textAlignment w:val="center"/>
            </w:pPr>
            <w:r>
              <w:rPr>
                <w:rFonts w:ascii="Times New Roman" w:eastAsia="宋体" w:hAnsi="Times New Roman"/>
                <w:b/>
                <w:bCs/>
                <w:color w:val="000000"/>
                <w:sz w:val="16"/>
                <w:szCs w:val="16"/>
              </w:rPr>
              <w:t>2021</w:t>
            </w:r>
          </w:p>
        </w:tc>
        <w:tc>
          <w:tcPr>
            <w:tcW w:w="0" w:type="auto"/>
            <w:shd w:val="clear" w:color="auto" w:fill="auto"/>
            <w:vAlign w:val="bottom"/>
          </w:tcPr>
          <w:p w14:paraId="5DEC6967" w14:textId="77777777" w:rsidR="00B1578D" w:rsidRDefault="00B1578D">
            <w:pPr>
              <w:rPr>
                <w:rFonts w:ascii="宋体"/>
                <w:vanish/>
              </w:rPr>
            </w:pPr>
          </w:p>
        </w:tc>
        <w:tc>
          <w:tcPr>
            <w:tcW w:w="0" w:type="auto"/>
            <w:shd w:val="clear" w:color="auto" w:fill="auto"/>
            <w:vAlign w:val="bottom"/>
          </w:tcPr>
          <w:p w14:paraId="5DEC6968" w14:textId="77777777" w:rsidR="00B1578D" w:rsidRDefault="00B1578D">
            <w:pPr>
              <w:rPr>
                <w:rFonts w:ascii="宋体"/>
                <w:vanish/>
              </w:rPr>
            </w:pPr>
          </w:p>
        </w:tc>
        <w:tc>
          <w:tcPr>
            <w:tcW w:w="0" w:type="auto"/>
            <w:gridSpan w:val="3"/>
            <w:shd w:val="clear" w:color="auto" w:fill="auto"/>
            <w:vAlign w:val="bottom"/>
          </w:tcPr>
          <w:p w14:paraId="5DEC6969" w14:textId="77777777" w:rsidR="00B1578D" w:rsidRDefault="00B1578D">
            <w:pPr>
              <w:rPr>
                <w:rFonts w:ascii="宋体"/>
                <w:vanish/>
              </w:rPr>
            </w:pPr>
          </w:p>
        </w:tc>
        <w:tc>
          <w:tcPr>
            <w:tcW w:w="0" w:type="auto"/>
            <w:gridSpan w:val="3"/>
            <w:shd w:val="clear" w:color="auto" w:fill="auto"/>
            <w:vAlign w:val="bottom"/>
          </w:tcPr>
          <w:p w14:paraId="5DEC696A" w14:textId="77777777" w:rsidR="00B1578D" w:rsidRDefault="00B1578D">
            <w:pPr>
              <w:rPr>
                <w:rFonts w:ascii="宋体"/>
                <w:vanish/>
              </w:rPr>
            </w:pPr>
          </w:p>
        </w:tc>
      </w:tr>
      <w:tr w:rsidR="00B1578D" w14:paraId="5DEC6979" w14:textId="77777777">
        <w:trPr>
          <w:jc w:val="center"/>
        </w:trPr>
        <w:tc>
          <w:tcPr>
            <w:tcW w:w="0" w:type="auto"/>
            <w:gridSpan w:val="3"/>
            <w:shd w:val="clear" w:color="auto" w:fill="CCEEFF"/>
            <w:tcMar>
              <w:top w:w="40" w:type="dxa"/>
              <w:left w:w="20" w:type="dxa"/>
              <w:bottom w:w="40" w:type="dxa"/>
              <w:right w:w="20" w:type="dxa"/>
            </w:tcMar>
            <w:vAlign w:val="center"/>
          </w:tcPr>
          <w:p w14:paraId="5DEC696C"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5DEC696D"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96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96F" w14:textId="77777777" w:rsidR="00B1578D" w:rsidRDefault="004D2C04">
            <w:pPr>
              <w:jc w:val="right"/>
              <w:textAlignment w:val="center"/>
            </w:pPr>
            <w:r>
              <w:rPr>
                <w:rFonts w:ascii="Times New Roman" w:eastAsia="宋体" w:hAnsi="Times New Roman"/>
                <w:color w:val="000000"/>
                <w:sz w:val="16"/>
                <w:szCs w:val="16"/>
              </w:rPr>
              <w:t>96,904 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97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971"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972"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973" w14:textId="77777777" w:rsidR="00B1578D" w:rsidRDefault="004D2C04">
            <w:pPr>
              <w:jc w:val="right"/>
              <w:textAlignment w:val="center"/>
            </w:pPr>
            <w:r>
              <w:rPr>
                <w:rFonts w:ascii="Times New Roman" w:eastAsia="宋体" w:hAnsi="Times New Roman"/>
                <w:color w:val="000000"/>
                <w:sz w:val="16"/>
                <w:szCs w:val="16"/>
              </w:rPr>
              <w:t>93,167 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974" w14:textId="77777777" w:rsidR="00B1578D" w:rsidRDefault="00B1578D">
            <w:pPr>
              <w:jc w:val="right"/>
              <w:rPr>
                <w:rFonts w:ascii="宋体"/>
              </w:rPr>
            </w:pPr>
          </w:p>
        </w:tc>
        <w:tc>
          <w:tcPr>
            <w:tcW w:w="0" w:type="auto"/>
            <w:shd w:val="clear" w:color="auto" w:fill="auto"/>
            <w:vAlign w:val="bottom"/>
          </w:tcPr>
          <w:p w14:paraId="5DEC6975" w14:textId="77777777" w:rsidR="00B1578D" w:rsidRDefault="00B1578D">
            <w:pPr>
              <w:rPr>
                <w:rFonts w:ascii="宋体"/>
                <w:vanish/>
              </w:rPr>
            </w:pPr>
          </w:p>
        </w:tc>
        <w:tc>
          <w:tcPr>
            <w:tcW w:w="0" w:type="auto"/>
            <w:shd w:val="clear" w:color="auto" w:fill="auto"/>
            <w:vAlign w:val="bottom"/>
          </w:tcPr>
          <w:p w14:paraId="5DEC6976" w14:textId="77777777" w:rsidR="00B1578D" w:rsidRDefault="00B1578D">
            <w:pPr>
              <w:rPr>
                <w:rFonts w:ascii="宋体"/>
                <w:vanish/>
              </w:rPr>
            </w:pPr>
          </w:p>
        </w:tc>
        <w:tc>
          <w:tcPr>
            <w:tcW w:w="0" w:type="auto"/>
            <w:gridSpan w:val="3"/>
            <w:shd w:val="clear" w:color="auto" w:fill="auto"/>
            <w:vAlign w:val="bottom"/>
          </w:tcPr>
          <w:p w14:paraId="5DEC6977" w14:textId="77777777" w:rsidR="00B1578D" w:rsidRDefault="00B1578D">
            <w:pPr>
              <w:rPr>
                <w:rFonts w:ascii="宋体"/>
                <w:vanish/>
              </w:rPr>
            </w:pPr>
          </w:p>
        </w:tc>
        <w:tc>
          <w:tcPr>
            <w:tcW w:w="0" w:type="auto"/>
            <w:gridSpan w:val="3"/>
            <w:shd w:val="clear" w:color="auto" w:fill="auto"/>
            <w:vAlign w:val="bottom"/>
          </w:tcPr>
          <w:p w14:paraId="5DEC6978" w14:textId="77777777" w:rsidR="00B1578D" w:rsidRDefault="00B1578D">
            <w:pPr>
              <w:rPr>
                <w:rFonts w:ascii="宋体"/>
                <w:vanish/>
              </w:rPr>
            </w:pPr>
          </w:p>
        </w:tc>
      </w:tr>
      <w:tr w:rsidR="00B1578D" w14:paraId="5DEC6985" w14:textId="77777777">
        <w:trPr>
          <w:jc w:val="center"/>
        </w:trPr>
        <w:tc>
          <w:tcPr>
            <w:tcW w:w="0" w:type="auto"/>
            <w:gridSpan w:val="3"/>
            <w:shd w:val="clear" w:color="auto" w:fill="FFFFFF"/>
            <w:tcMar>
              <w:top w:w="40" w:type="dxa"/>
              <w:left w:w="20" w:type="dxa"/>
              <w:bottom w:w="40" w:type="dxa"/>
              <w:right w:w="20" w:type="dxa"/>
            </w:tcMar>
            <w:vAlign w:val="center"/>
          </w:tcPr>
          <w:p w14:paraId="5DEC697A" w14:textId="77777777" w:rsidR="00B1578D" w:rsidRDefault="004D2C04">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5DEC697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97C" w14:textId="77777777" w:rsidR="00B1578D" w:rsidRDefault="004D2C04">
            <w:pPr>
              <w:jc w:val="right"/>
              <w:textAlignment w:val="center"/>
            </w:pPr>
            <w:r>
              <w:rPr>
                <w:rFonts w:ascii="Times New Roman" w:eastAsia="宋体" w:hAnsi="Times New Roman"/>
                <w:color w:val="000000"/>
                <w:sz w:val="16"/>
                <w:szCs w:val="16"/>
              </w:rPr>
              <w:t>4.0 </w:t>
            </w:r>
          </w:p>
        </w:tc>
        <w:tc>
          <w:tcPr>
            <w:tcW w:w="0" w:type="auto"/>
            <w:shd w:val="clear" w:color="auto" w:fill="FFFFFF"/>
            <w:tcMar>
              <w:top w:w="40" w:type="dxa"/>
              <w:left w:w="0" w:type="dxa"/>
              <w:bottom w:w="40" w:type="dxa"/>
              <w:right w:w="20" w:type="dxa"/>
            </w:tcMar>
            <w:vAlign w:val="center"/>
          </w:tcPr>
          <w:p w14:paraId="5DEC697D"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97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97F" w14:textId="77777777" w:rsidR="00B1578D" w:rsidRDefault="004D2C04">
            <w:pPr>
              <w:jc w:val="right"/>
              <w:textAlignment w:val="center"/>
            </w:pPr>
            <w:r>
              <w:rPr>
                <w:rFonts w:ascii="Times New Roman" w:eastAsia="宋体" w:hAnsi="Times New Roman"/>
                <w:color w:val="000000"/>
                <w:sz w:val="16"/>
                <w:szCs w:val="16"/>
              </w:rPr>
              <w:t>5.0 </w:t>
            </w:r>
          </w:p>
        </w:tc>
        <w:tc>
          <w:tcPr>
            <w:tcW w:w="0" w:type="auto"/>
            <w:shd w:val="clear" w:color="auto" w:fill="FFFFFF"/>
            <w:tcMar>
              <w:top w:w="40" w:type="dxa"/>
              <w:left w:w="0" w:type="dxa"/>
              <w:bottom w:w="40" w:type="dxa"/>
              <w:right w:w="20" w:type="dxa"/>
            </w:tcMar>
            <w:vAlign w:val="center"/>
          </w:tcPr>
          <w:p w14:paraId="5DEC6980"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981" w14:textId="77777777" w:rsidR="00B1578D" w:rsidRDefault="00B1578D">
            <w:pPr>
              <w:rPr>
                <w:rFonts w:ascii="宋体"/>
                <w:vanish/>
              </w:rPr>
            </w:pPr>
          </w:p>
        </w:tc>
        <w:tc>
          <w:tcPr>
            <w:tcW w:w="0" w:type="auto"/>
            <w:shd w:val="clear" w:color="auto" w:fill="auto"/>
            <w:vAlign w:val="bottom"/>
          </w:tcPr>
          <w:p w14:paraId="5DEC6982" w14:textId="77777777" w:rsidR="00B1578D" w:rsidRDefault="00B1578D">
            <w:pPr>
              <w:rPr>
                <w:rFonts w:ascii="宋体"/>
                <w:vanish/>
              </w:rPr>
            </w:pPr>
          </w:p>
        </w:tc>
        <w:tc>
          <w:tcPr>
            <w:tcW w:w="0" w:type="auto"/>
            <w:gridSpan w:val="3"/>
            <w:shd w:val="clear" w:color="auto" w:fill="auto"/>
            <w:vAlign w:val="bottom"/>
          </w:tcPr>
          <w:p w14:paraId="5DEC6983" w14:textId="77777777" w:rsidR="00B1578D" w:rsidRDefault="00B1578D">
            <w:pPr>
              <w:rPr>
                <w:rFonts w:ascii="宋体"/>
                <w:vanish/>
              </w:rPr>
            </w:pPr>
          </w:p>
        </w:tc>
        <w:tc>
          <w:tcPr>
            <w:tcW w:w="0" w:type="auto"/>
            <w:gridSpan w:val="3"/>
            <w:shd w:val="clear" w:color="auto" w:fill="auto"/>
            <w:vAlign w:val="bottom"/>
          </w:tcPr>
          <w:p w14:paraId="5DEC6984" w14:textId="77777777" w:rsidR="00B1578D" w:rsidRDefault="00B1578D">
            <w:pPr>
              <w:rPr>
                <w:rFonts w:ascii="宋体"/>
                <w:vanish/>
              </w:rPr>
            </w:pPr>
          </w:p>
        </w:tc>
      </w:tr>
      <w:tr w:rsidR="00B1578D" w14:paraId="5DEC6991" w14:textId="77777777">
        <w:trPr>
          <w:jc w:val="center"/>
        </w:trPr>
        <w:tc>
          <w:tcPr>
            <w:tcW w:w="0" w:type="auto"/>
            <w:gridSpan w:val="3"/>
            <w:shd w:val="clear" w:color="auto" w:fill="CCEEFF"/>
            <w:tcMar>
              <w:top w:w="40" w:type="dxa"/>
              <w:left w:w="20" w:type="dxa"/>
              <w:bottom w:w="40" w:type="dxa"/>
              <w:right w:w="20" w:type="dxa"/>
            </w:tcMar>
            <w:vAlign w:val="center"/>
          </w:tcPr>
          <w:p w14:paraId="5DEC6986" w14:textId="77777777" w:rsidR="00B1578D" w:rsidRDefault="004D2C04">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5DEC698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88" w14:textId="77777777" w:rsidR="00B1578D" w:rsidRDefault="004D2C04">
            <w:pPr>
              <w:jc w:val="right"/>
              <w:textAlignment w:val="center"/>
            </w:pPr>
            <w:r>
              <w:rPr>
                <w:rFonts w:ascii="Times New Roman" w:eastAsia="宋体" w:hAnsi="Times New Roman"/>
                <w:color w:val="000000"/>
                <w:sz w:val="16"/>
                <w:szCs w:val="16"/>
              </w:rPr>
              <w:t>4.0 </w:t>
            </w:r>
          </w:p>
        </w:tc>
        <w:tc>
          <w:tcPr>
            <w:tcW w:w="0" w:type="auto"/>
            <w:shd w:val="clear" w:color="auto" w:fill="CCEEFF"/>
            <w:tcMar>
              <w:top w:w="40" w:type="dxa"/>
              <w:left w:w="0" w:type="dxa"/>
              <w:bottom w:w="40" w:type="dxa"/>
              <w:right w:w="20" w:type="dxa"/>
            </w:tcMar>
            <w:vAlign w:val="center"/>
          </w:tcPr>
          <w:p w14:paraId="5DEC6989"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98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8B" w14:textId="77777777" w:rsidR="00B1578D" w:rsidRDefault="004D2C04">
            <w:pPr>
              <w:jc w:val="right"/>
              <w:textAlignment w:val="center"/>
            </w:pPr>
            <w:r>
              <w:rPr>
                <w:rFonts w:ascii="Times New Roman" w:eastAsia="宋体" w:hAnsi="Times New Roman"/>
                <w:color w:val="000000"/>
                <w:sz w:val="16"/>
                <w:szCs w:val="16"/>
              </w:rPr>
              <w:t>5.3 </w:t>
            </w:r>
          </w:p>
        </w:tc>
        <w:tc>
          <w:tcPr>
            <w:tcW w:w="0" w:type="auto"/>
            <w:shd w:val="clear" w:color="auto" w:fill="CCEEFF"/>
            <w:tcMar>
              <w:top w:w="40" w:type="dxa"/>
              <w:left w:w="0" w:type="dxa"/>
              <w:bottom w:w="40" w:type="dxa"/>
              <w:right w:w="20" w:type="dxa"/>
            </w:tcMar>
            <w:vAlign w:val="center"/>
          </w:tcPr>
          <w:p w14:paraId="5DEC698C"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98D" w14:textId="77777777" w:rsidR="00B1578D" w:rsidRDefault="00B1578D">
            <w:pPr>
              <w:rPr>
                <w:rFonts w:ascii="宋体"/>
                <w:vanish/>
              </w:rPr>
            </w:pPr>
          </w:p>
        </w:tc>
        <w:tc>
          <w:tcPr>
            <w:tcW w:w="0" w:type="auto"/>
            <w:shd w:val="clear" w:color="auto" w:fill="auto"/>
            <w:vAlign w:val="bottom"/>
          </w:tcPr>
          <w:p w14:paraId="5DEC698E" w14:textId="77777777" w:rsidR="00B1578D" w:rsidRDefault="00B1578D">
            <w:pPr>
              <w:rPr>
                <w:rFonts w:ascii="宋体"/>
                <w:vanish/>
              </w:rPr>
            </w:pPr>
          </w:p>
        </w:tc>
        <w:tc>
          <w:tcPr>
            <w:tcW w:w="0" w:type="auto"/>
            <w:gridSpan w:val="3"/>
            <w:shd w:val="clear" w:color="auto" w:fill="auto"/>
            <w:vAlign w:val="bottom"/>
          </w:tcPr>
          <w:p w14:paraId="5DEC698F" w14:textId="77777777" w:rsidR="00B1578D" w:rsidRDefault="00B1578D">
            <w:pPr>
              <w:rPr>
                <w:rFonts w:ascii="宋体"/>
                <w:vanish/>
              </w:rPr>
            </w:pPr>
          </w:p>
        </w:tc>
        <w:tc>
          <w:tcPr>
            <w:tcW w:w="0" w:type="auto"/>
            <w:gridSpan w:val="3"/>
            <w:shd w:val="clear" w:color="auto" w:fill="auto"/>
            <w:vAlign w:val="bottom"/>
          </w:tcPr>
          <w:p w14:paraId="5DEC6990" w14:textId="77777777" w:rsidR="00B1578D" w:rsidRDefault="00B1578D">
            <w:pPr>
              <w:rPr>
                <w:rFonts w:ascii="宋体"/>
                <w:vanish/>
              </w:rPr>
            </w:pPr>
          </w:p>
        </w:tc>
      </w:tr>
      <w:tr w:rsidR="00B1578D" w14:paraId="5DEC699F" w14:textId="77777777">
        <w:trPr>
          <w:jc w:val="center"/>
        </w:trPr>
        <w:tc>
          <w:tcPr>
            <w:tcW w:w="0" w:type="auto"/>
            <w:gridSpan w:val="3"/>
            <w:shd w:val="clear" w:color="auto" w:fill="FFFFFF"/>
            <w:tcMar>
              <w:top w:w="40" w:type="dxa"/>
              <w:left w:w="20" w:type="dxa"/>
              <w:bottom w:w="40" w:type="dxa"/>
              <w:right w:w="20" w:type="dxa"/>
            </w:tcMar>
            <w:vAlign w:val="center"/>
          </w:tcPr>
          <w:p w14:paraId="5DEC6992" w14:textId="77777777" w:rsidR="00B1578D" w:rsidRDefault="004D2C04">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5DEC6993"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994"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995" w14:textId="77777777" w:rsidR="00B1578D" w:rsidRDefault="004D2C04">
            <w:pPr>
              <w:jc w:val="right"/>
              <w:textAlignment w:val="center"/>
            </w:pPr>
            <w:r>
              <w:rPr>
                <w:rFonts w:ascii="Times New Roman" w:eastAsia="宋体" w:hAnsi="Times New Roman"/>
                <w:color w:val="000000"/>
                <w:sz w:val="16"/>
                <w:szCs w:val="16"/>
              </w:rPr>
              <w:t>4,462 </w:t>
            </w:r>
          </w:p>
        </w:tc>
        <w:tc>
          <w:tcPr>
            <w:tcW w:w="0" w:type="auto"/>
            <w:shd w:val="clear" w:color="auto" w:fill="FFFFFF"/>
            <w:tcMar>
              <w:top w:w="40" w:type="dxa"/>
              <w:left w:w="0" w:type="dxa"/>
              <w:bottom w:w="40" w:type="dxa"/>
              <w:right w:w="20" w:type="dxa"/>
            </w:tcMar>
            <w:vAlign w:val="center"/>
          </w:tcPr>
          <w:p w14:paraId="5DEC699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997"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998"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999" w14:textId="77777777" w:rsidR="00B1578D" w:rsidRDefault="004D2C04">
            <w:pPr>
              <w:jc w:val="right"/>
              <w:textAlignment w:val="center"/>
            </w:pPr>
            <w:r>
              <w:rPr>
                <w:rFonts w:ascii="Times New Roman" w:eastAsia="宋体" w:hAnsi="Times New Roman"/>
                <w:color w:val="000000"/>
                <w:sz w:val="16"/>
                <w:szCs w:val="16"/>
              </w:rPr>
              <w:t>5,455 </w:t>
            </w:r>
          </w:p>
        </w:tc>
        <w:tc>
          <w:tcPr>
            <w:tcW w:w="0" w:type="auto"/>
            <w:shd w:val="clear" w:color="auto" w:fill="FFFFFF"/>
            <w:tcMar>
              <w:top w:w="40" w:type="dxa"/>
              <w:left w:w="0" w:type="dxa"/>
              <w:bottom w:w="40" w:type="dxa"/>
              <w:right w:w="20" w:type="dxa"/>
            </w:tcMar>
            <w:vAlign w:val="center"/>
          </w:tcPr>
          <w:p w14:paraId="5DEC699A" w14:textId="77777777" w:rsidR="00B1578D" w:rsidRDefault="00B1578D">
            <w:pPr>
              <w:jc w:val="right"/>
              <w:rPr>
                <w:rFonts w:ascii="宋体"/>
              </w:rPr>
            </w:pPr>
          </w:p>
        </w:tc>
        <w:tc>
          <w:tcPr>
            <w:tcW w:w="0" w:type="auto"/>
            <w:shd w:val="clear" w:color="auto" w:fill="auto"/>
            <w:vAlign w:val="bottom"/>
          </w:tcPr>
          <w:p w14:paraId="5DEC699B" w14:textId="77777777" w:rsidR="00B1578D" w:rsidRDefault="00B1578D">
            <w:pPr>
              <w:rPr>
                <w:rFonts w:ascii="宋体"/>
                <w:vanish/>
              </w:rPr>
            </w:pPr>
          </w:p>
        </w:tc>
        <w:tc>
          <w:tcPr>
            <w:tcW w:w="0" w:type="auto"/>
            <w:shd w:val="clear" w:color="auto" w:fill="auto"/>
            <w:vAlign w:val="bottom"/>
          </w:tcPr>
          <w:p w14:paraId="5DEC699C" w14:textId="77777777" w:rsidR="00B1578D" w:rsidRDefault="00B1578D">
            <w:pPr>
              <w:rPr>
                <w:rFonts w:ascii="宋体"/>
                <w:vanish/>
              </w:rPr>
            </w:pPr>
          </w:p>
        </w:tc>
        <w:tc>
          <w:tcPr>
            <w:tcW w:w="0" w:type="auto"/>
            <w:gridSpan w:val="3"/>
            <w:shd w:val="clear" w:color="auto" w:fill="auto"/>
            <w:vAlign w:val="bottom"/>
          </w:tcPr>
          <w:p w14:paraId="5DEC699D" w14:textId="77777777" w:rsidR="00B1578D" w:rsidRDefault="00B1578D">
            <w:pPr>
              <w:rPr>
                <w:rFonts w:ascii="宋体"/>
                <w:vanish/>
              </w:rPr>
            </w:pPr>
          </w:p>
        </w:tc>
        <w:tc>
          <w:tcPr>
            <w:tcW w:w="0" w:type="auto"/>
            <w:gridSpan w:val="3"/>
            <w:shd w:val="clear" w:color="auto" w:fill="auto"/>
            <w:vAlign w:val="bottom"/>
          </w:tcPr>
          <w:p w14:paraId="5DEC699E" w14:textId="77777777" w:rsidR="00B1578D" w:rsidRDefault="00B1578D">
            <w:pPr>
              <w:rPr>
                <w:rFonts w:ascii="宋体"/>
                <w:vanish/>
              </w:rPr>
            </w:pPr>
          </w:p>
        </w:tc>
      </w:tr>
      <w:tr w:rsidR="00B1578D" w14:paraId="5DEC69AB" w14:textId="77777777">
        <w:trPr>
          <w:jc w:val="center"/>
        </w:trPr>
        <w:tc>
          <w:tcPr>
            <w:tcW w:w="0" w:type="auto"/>
            <w:gridSpan w:val="3"/>
            <w:shd w:val="clear" w:color="auto" w:fill="CCEEFF"/>
            <w:tcMar>
              <w:top w:w="40" w:type="dxa"/>
              <w:left w:w="20" w:type="dxa"/>
              <w:bottom w:w="40" w:type="dxa"/>
              <w:right w:w="20" w:type="dxa"/>
            </w:tcMar>
            <w:vAlign w:val="center"/>
          </w:tcPr>
          <w:p w14:paraId="5DEC69A0" w14:textId="77777777" w:rsidR="00B1578D" w:rsidRDefault="004D2C04">
            <w:pPr>
              <w:textAlignment w:val="center"/>
            </w:pPr>
            <w:r>
              <w:rPr>
                <w:rFonts w:ascii="Times New Roman" w:eastAsia="宋体" w:hAnsi="Times New Roman"/>
                <w:color w:val="000000"/>
                <w:sz w:val="16"/>
                <w:szCs w:val="16"/>
              </w:rPr>
              <w:t>Opera</w:t>
            </w:r>
            <w:r>
              <w:rPr>
                <w:rFonts w:ascii="Times New Roman" w:eastAsia="宋体" w:hAnsi="Times New Roman"/>
                <w:color w:val="000000"/>
                <w:sz w:val="16"/>
                <w:szCs w:val="16"/>
              </w:rPr>
              <w:t>ting income as a percentage of net sales</w:t>
            </w:r>
          </w:p>
        </w:tc>
        <w:tc>
          <w:tcPr>
            <w:tcW w:w="0" w:type="auto"/>
            <w:gridSpan w:val="3"/>
            <w:shd w:val="clear" w:color="auto" w:fill="CCEEFF"/>
            <w:tcMar>
              <w:top w:w="0" w:type="dxa"/>
              <w:left w:w="20" w:type="dxa"/>
              <w:bottom w:w="0" w:type="dxa"/>
              <w:right w:w="20" w:type="dxa"/>
            </w:tcMar>
            <w:vAlign w:val="bottom"/>
          </w:tcPr>
          <w:p w14:paraId="5DEC69A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A2" w14:textId="77777777" w:rsidR="00B1578D" w:rsidRDefault="004D2C04">
            <w:pPr>
              <w:jc w:val="right"/>
              <w:textAlignment w:val="center"/>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center"/>
          </w:tcPr>
          <w:p w14:paraId="5DEC69A3"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9A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A5" w14:textId="77777777" w:rsidR="00B1578D" w:rsidRDefault="004D2C04">
            <w:pPr>
              <w:jc w:val="right"/>
              <w:textAlignment w:val="center"/>
            </w:pPr>
            <w:r>
              <w:rPr>
                <w:rFonts w:ascii="Times New Roman" w:eastAsia="宋体" w:hAnsi="Times New Roman"/>
                <w:color w:val="000000"/>
                <w:sz w:val="16"/>
                <w:szCs w:val="16"/>
              </w:rPr>
              <w:t>5.9 </w:t>
            </w:r>
          </w:p>
        </w:tc>
        <w:tc>
          <w:tcPr>
            <w:tcW w:w="0" w:type="auto"/>
            <w:shd w:val="clear" w:color="auto" w:fill="CCEEFF"/>
            <w:tcMar>
              <w:top w:w="40" w:type="dxa"/>
              <w:left w:w="0" w:type="dxa"/>
              <w:bottom w:w="40" w:type="dxa"/>
              <w:right w:w="20" w:type="dxa"/>
            </w:tcMar>
            <w:vAlign w:val="center"/>
          </w:tcPr>
          <w:p w14:paraId="5DEC69A6"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9A7" w14:textId="77777777" w:rsidR="00B1578D" w:rsidRDefault="00B1578D">
            <w:pPr>
              <w:rPr>
                <w:rFonts w:ascii="宋体"/>
                <w:vanish/>
              </w:rPr>
            </w:pPr>
          </w:p>
        </w:tc>
        <w:tc>
          <w:tcPr>
            <w:tcW w:w="0" w:type="auto"/>
            <w:shd w:val="clear" w:color="auto" w:fill="auto"/>
            <w:vAlign w:val="bottom"/>
          </w:tcPr>
          <w:p w14:paraId="5DEC69A8" w14:textId="77777777" w:rsidR="00B1578D" w:rsidRDefault="00B1578D">
            <w:pPr>
              <w:rPr>
                <w:rFonts w:ascii="宋体"/>
                <w:vanish/>
              </w:rPr>
            </w:pPr>
          </w:p>
        </w:tc>
        <w:tc>
          <w:tcPr>
            <w:tcW w:w="0" w:type="auto"/>
            <w:gridSpan w:val="3"/>
            <w:shd w:val="clear" w:color="auto" w:fill="auto"/>
            <w:vAlign w:val="bottom"/>
          </w:tcPr>
          <w:p w14:paraId="5DEC69A9" w14:textId="77777777" w:rsidR="00B1578D" w:rsidRDefault="00B1578D">
            <w:pPr>
              <w:rPr>
                <w:rFonts w:ascii="宋体"/>
                <w:vanish/>
              </w:rPr>
            </w:pPr>
          </w:p>
        </w:tc>
        <w:tc>
          <w:tcPr>
            <w:tcW w:w="0" w:type="auto"/>
            <w:gridSpan w:val="3"/>
            <w:shd w:val="clear" w:color="auto" w:fill="auto"/>
            <w:vAlign w:val="bottom"/>
          </w:tcPr>
          <w:p w14:paraId="5DEC69AA" w14:textId="77777777" w:rsidR="00B1578D" w:rsidRDefault="00B1578D">
            <w:pPr>
              <w:rPr>
                <w:rFonts w:ascii="宋体"/>
                <w:vanish/>
              </w:rPr>
            </w:pPr>
          </w:p>
        </w:tc>
      </w:tr>
      <w:tr w:rsidR="00B1578D" w14:paraId="5DEC69B7" w14:textId="77777777">
        <w:trPr>
          <w:jc w:val="center"/>
        </w:trPr>
        <w:tc>
          <w:tcPr>
            <w:tcW w:w="0" w:type="auto"/>
            <w:gridSpan w:val="3"/>
            <w:shd w:val="clear" w:color="auto" w:fill="FFFFFF"/>
            <w:tcMar>
              <w:top w:w="40" w:type="dxa"/>
              <w:left w:w="20" w:type="dxa"/>
              <w:bottom w:w="40" w:type="dxa"/>
              <w:right w:w="20" w:type="dxa"/>
            </w:tcMar>
            <w:vAlign w:val="center"/>
          </w:tcPr>
          <w:p w14:paraId="5DEC69AC" w14:textId="77777777" w:rsidR="00B1578D" w:rsidRDefault="004D2C04">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5DEC69A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9AE" w14:textId="77777777" w:rsidR="00B1578D" w:rsidRDefault="004D2C04">
            <w:pPr>
              <w:jc w:val="right"/>
              <w:textAlignment w:val="center"/>
            </w:pPr>
            <w:r>
              <w:rPr>
                <w:rFonts w:ascii="Times New Roman" w:eastAsia="宋体" w:hAnsi="Times New Roman"/>
                <w:color w:val="000000"/>
                <w:sz w:val="16"/>
                <w:szCs w:val="16"/>
              </w:rPr>
              <w:t>4,735 </w:t>
            </w:r>
          </w:p>
        </w:tc>
        <w:tc>
          <w:tcPr>
            <w:tcW w:w="0" w:type="auto"/>
            <w:shd w:val="clear" w:color="auto" w:fill="FFFFFF"/>
            <w:tcMar>
              <w:top w:w="40" w:type="dxa"/>
              <w:left w:w="0" w:type="dxa"/>
              <w:bottom w:w="40" w:type="dxa"/>
              <w:right w:w="20" w:type="dxa"/>
            </w:tcMar>
            <w:vAlign w:val="center"/>
          </w:tcPr>
          <w:p w14:paraId="5DEC69A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9B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9B1" w14:textId="77777777" w:rsidR="00B1578D" w:rsidRDefault="004D2C04">
            <w:pPr>
              <w:jc w:val="right"/>
              <w:textAlignment w:val="center"/>
            </w:pPr>
            <w:r>
              <w:rPr>
                <w:rFonts w:ascii="Times New Roman" w:eastAsia="宋体" w:hAnsi="Times New Roman"/>
                <w:color w:val="000000"/>
                <w:sz w:val="16"/>
                <w:szCs w:val="16"/>
              </w:rPr>
              <w:t>4,743 </w:t>
            </w:r>
          </w:p>
        </w:tc>
        <w:tc>
          <w:tcPr>
            <w:tcW w:w="0" w:type="auto"/>
            <w:shd w:val="clear" w:color="auto" w:fill="FFFFFF"/>
            <w:tcMar>
              <w:top w:w="40" w:type="dxa"/>
              <w:left w:w="0" w:type="dxa"/>
              <w:bottom w:w="40" w:type="dxa"/>
              <w:right w:w="20" w:type="dxa"/>
            </w:tcMar>
            <w:vAlign w:val="center"/>
          </w:tcPr>
          <w:p w14:paraId="5DEC69B2" w14:textId="77777777" w:rsidR="00B1578D" w:rsidRDefault="00B1578D">
            <w:pPr>
              <w:jc w:val="right"/>
              <w:rPr>
                <w:rFonts w:ascii="宋体"/>
              </w:rPr>
            </w:pPr>
          </w:p>
        </w:tc>
        <w:tc>
          <w:tcPr>
            <w:tcW w:w="0" w:type="auto"/>
            <w:shd w:val="clear" w:color="auto" w:fill="auto"/>
            <w:vAlign w:val="bottom"/>
          </w:tcPr>
          <w:p w14:paraId="5DEC69B3" w14:textId="77777777" w:rsidR="00B1578D" w:rsidRDefault="00B1578D">
            <w:pPr>
              <w:rPr>
                <w:rFonts w:ascii="宋体"/>
                <w:vanish/>
              </w:rPr>
            </w:pPr>
          </w:p>
        </w:tc>
        <w:tc>
          <w:tcPr>
            <w:tcW w:w="0" w:type="auto"/>
            <w:shd w:val="clear" w:color="auto" w:fill="auto"/>
            <w:vAlign w:val="bottom"/>
          </w:tcPr>
          <w:p w14:paraId="5DEC69B4" w14:textId="77777777" w:rsidR="00B1578D" w:rsidRDefault="00B1578D">
            <w:pPr>
              <w:rPr>
                <w:rFonts w:ascii="宋体"/>
                <w:vanish/>
              </w:rPr>
            </w:pPr>
          </w:p>
        </w:tc>
        <w:tc>
          <w:tcPr>
            <w:tcW w:w="0" w:type="auto"/>
            <w:gridSpan w:val="3"/>
            <w:shd w:val="clear" w:color="auto" w:fill="auto"/>
            <w:vAlign w:val="bottom"/>
          </w:tcPr>
          <w:p w14:paraId="5DEC69B5" w14:textId="77777777" w:rsidR="00B1578D" w:rsidRDefault="00B1578D">
            <w:pPr>
              <w:rPr>
                <w:rFonts w:ascii="宋体"/>
                <w:vanish/>
              </w:rPr>
            </w:pPr>
          </w:p>
        </w:tc>
        <w:tc>
          <w:tcPr>
            <w:tcW w:w="0" w:type="auto"/>
            <w:gridSpan w:val="3"/>
            <w:shd w:val="clear" w:color="auto" w:fill="auto"/>
            <w:vAlign w:val="bottom"/>
          </w:tcPr>
          <w:p w14:paraId="5DEC69B6" w14:textId="77777777" w:rsidR="00B1578D" w:rsidRDefault="00B1578D">
            <w:pPr>
              <w:rPr>
                <w:rFonts w:ascii="宋体"/>
                <w:vanish/>
              </w:rPr>
            </w:pPr>
          </w:p>
        </w:tc>
      </w:tr>
      <w:tr w:rsidR="00B1578D" w14:paraId="5DEC69C3" w14:textId="77777777">
        <w:trPr>
          <w:jc w:val="center"/>
        </w:trPr>
        <w:tc>
          <w:tcPr>
            <w:tcW w:w="0" w:type="auto"/>
            <w:gridSpan w:val="3"/>
            <w:shd w:val="clear" w:color="auto" w:fill="CCEEFF"/>
            <w:tcMar>
              <w:top w:w="40" w:type="dxa"/>
              <w:left w:w="20" w:type="dxa"/>
              <w:bottom w:w="40" w:type="dxa"/>
              <w:right w:w="20" w:type="dxa"/>
            </w:tcMar>
            <w:vAlign w:val="center"/>
          </w:tcPr>
          <w:p w14:paraId="5DEC69B8" w14:textId="77777777" w:rsidR="00B1578D" w:rsidRDefault="004D2C04">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5DEC69B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BA" w14:textId="77777777" w:rsidR="00B1578D" w:rsidRDefault="004D2C04">
            <w:pPr>
              <w:jc w:val="right"/>
              <w:textAlignment w:val="center"/>
            </w:pPr>
            <w:r>
              <w:rPr>
                <w:rFonts w:ascii="Times New Roman" w:eastAsia="宋体" w:hAnsi="Times New Roman"/>
                <w:color w:val="000000"/>
                <w:sz w:val="16"/>
                <w:szCs w:val="16"/>
              </w:rPr>
              <w:t>702 </w:t>
            </w:r>
          </w:p>
        </w:tc>
        <w:tc>
          <w:tcPr>
            <w:tcW w:w="0" w:type="auto"/>
            <w:shd w:val="clear" w:color="auto" w:fill="CCEEFF"/>
            <w:tcMar>
              <w:top w:w="40" w:type="dxa"/>
              <w:left w:w="0" w:type="dxa"/>
              <w:bottom w:w="40" w:type="dxa"/>
              <w:right w:w="20" w:type="dxa"/>
            </w:tcMar>
            <w:vAlign w:val="center"/>
          </w:tcPr>
          <w:p w14:paraId="5DEC69B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9B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9BD" w14:textId="77777777" w:rsidR="00B1578D" w:rsidRDefault="004D2C04">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5DEC69BE" w14:textId="77777777" w:rsidR="00B1578D" w:rsidRDefault="00B1578D">
            <w:pPr>
              <w:jc w:val="right"/>
              <w:rPr>
                <w:rFonts w:ascii="宋体"/>
              </w:rPr>
            </w:pPr>
          </w:p>
        </w:tc>
        <w:tc>
          <w:tcPr>
            <w:tcW w:w="0" w:type="auto"/>
            <w:shd w:val="clear" w:color="auto" w:fill="auto"/>
            <w:vAlign w:val="bottom"/>
          </w:tcPr>
          <w:p w14:paraId="5DEC69BF" w14:textId="77777777" w:rsidR="00B1578D" w:rsidRDefault="00B1578D">
            <w:pPr>
              <w:rPr>
                <w:rFonts w:ascii="宋体"/>
                <w:vanish/>
              </w:rPr>
            </w:pPr>
          </w:p>
        </w:tc>
        <w:tc>
          <w:tcPr>
            <w:tcW w:w="0" w:type="auto"/>
            <w:shd w:val="clear" w:color="auto" w:fill="auto"/>
            <w:vAlign w:val="bottom"/>
          </w:tcPr>
          <w:p w14:paraId="5DEC69C0" w14:textId="77777777" w:rsidR="00B1578D" w:rsidRDefault="00B1578D">
            <w:pPr>
              <w:rPr>
                <w:rFonts w:ascii="宋体"/>
                <w:vanish/>
              </w:rPr>
            </w:pPr>
          </w:p>
        </w:tc>
        <w:tc>
          <w:tcPr>
            <w:tcW w:w="0" w:type="auto"/>
            <w:gridSpan w:val="3"/>
            <w:shd w:val="clear" w:color="auto" w:fill="auto"/>
            <w:vAlign w:val="bottom"/>
          </w:tcPr>
          <w:p w14:paraId="5DEC69C1" w14:textId="77777777" w:rsidR="00B1578D" w:rsidRDefault="00B1578D">
            <w:pPr>
              <w:rPr>
                <w:rFonts w:ascii="宋体"/>
                <w:vanish/>
              </w:rPr>
            </w:pPr>
          </w:p>
        </w:tc>
        <w:tc>
          <w:tcPr>
            <w:tcW w:w="0" w:type="auto"/>
            <w:gridSpan w:val="3"/>
            <w:shd w:val="clear" w:color="auto" w:fill="auto"/>
            <w:vAlign w:val="bottom"/>
          </w:tcPr>
          <w:p w14:paraId="5DEC69C2" w14:textId="77777777" w:rsidR="00B1578D" w:rsidRDefault="00B1578D">
            <w:pPr>
              <w:rPr>
                <w:rFonts w:ascii="宋体"/>
                <w:vanish/>
              </w:rPr>
            </w:pPr>
          </w:p>
        </w:tc>
      </w:tr>
    </w:tbl>
    <w:p w14:paraId="5DEC69C4" w14:textId="77777777" w:rsidR="00B1578D" w:rsidRDefault="004D2C04">
      <w:r>
        <w:rPr>
          <w:rFonts w:ascii="Times New Roman" w:eastAsia="宋体" w:hAnsi="Times New Roman"/>
          <w:color w:val="000000"/>
          <w:sz w:val="20"/>
          <w:szCs w:val="20"/>
        </w:rPr>
        <w:t>Net sales for the Walmart U.S. segment increased $3.7 billion or 4.0% for the three months ended April 30, 2022, when compared to the same period in the previous fiscal year. The increase was due to comparable sales of 4.0% for the three months ended April</w:t>
      </w:r>
      <w:r>
        <w:rPr>
          <w:rFonts w:ascii="Times New Roman" w:eastAsia="宋体" w:hAnsi="Times New Roman"/>
          <w:color w:val="000000"/>
          <w:sz w:val="20"/>
          <w:szCs w:val="20"/>
        </w:rPr>
        <w:t xml:space="preserve"> 30, 2022, driven by growth in average ticket, including strong sales in grocery and some higher inflation </w:t>
      </w:r>
    </w:p>
    <w:p w14:paraId="5DEC69C5" w14:textId="77777777" w:rsidR="00B1578D" w:rsidRDefault="004D2C04">
      <w:pPr>
        <w:jc w:val="center"/>
      </w:pPr>
      <w:r>
        <w:rPr>
          <w:rFonts w:ascii="Times New Roman" w:eastAsia="宋体" w:hAnsi="Times New Roman"/>
          <w:color w:val="000000"/>
          <w:sz w:val="20"/>
          <w:szCs w:val="20"/>
        </w:rPr>
        <w:t>20</w:t>
      </w:r>
    </w:p>
    <w:p w14:paraId="5DEC69C6" w14:textId="77777777" w:rsidR="00B1578D" w:rsidRDefault="004D2C04">
      <w:r>
        <w:pict w14:anchorId="5DEC6F39">
          <v:rect id="_x0000_i1044" style="width:415.3pt;height:1.5pt" o:hralign="center" o:hrstd="t" o:hr="t" fillcolor="#a0a0a0" stroked="f"/>
        </w:pict>
      </w:r>
    </w:p>
    <w:p w14:paraId="5DEC69C7" w14:textId="77777777" w:rsidR="00B1578D" w:rsidRDefault="004D2C04">
      <w:hyperlink r:id="rId64" w:anchor="ia92fe4e1fa654d85928fb72942eadb02_7" w:history="1">
        <w:r>
          <w:rPr>
            <w:rStyle w:val="a5"/>
            <w:rFonts w:ascii="Times New Roman" w:eastAsia="宋体" w:hAnsi="Times New Roman"/>
            <w:sz w:val="20"/>
            <w:szCs w:val="20"/>
          </w:rPr>
          <w:t>Table of Contents</w:t>
        </w:r>
      </w:hyperlink>
    </w:p>
    <w:p w14:paraId="5DEC69C8" w14:textId="77777777" w:rsidR="00B1578D" w:rsidRDefault="004D2C04">
      <w:r>
        <w:rPr>
          <w:rFonts w:ascii="Times New Roman" w:eastAsia="宋体" w:hAnsi="Times New Roman"/>
          <w:color w:val="000000"/>
          <w:sz w:val="20"/>
          <w:szCs w:val="20"/>
        </w:rPr>
        <w:t>impacts in certain merchandise categories, while transactions were relatively flat. Th</w:t>
      </w:r>
      <w:r>
        <w:rPr>
          <w:rFonts w:ascii="Times New Roman" w:eastAsia="宋体" w:hAnsi="Times New Roman"/>
          <w:color w:val="000000"/>
          <w:sz w:val="20"/>
          <w:szCs w:val="20"/>
        </w:rPr>
        <w:t xml:space="preserve">e Walmart U.S. segment's eCommerce sales grew at a slower rate than total comparable sales which negatively contributed approximately 0.4% to comparable sales for the three months ended April 30, 2022. </w:t>
      </w:r>
    </w:p>
    <w:p w14:paraId="5DEC69C9" w14:textId="77777777" w:rsidR="00B1578D" w:rsidRDefault="004D2C04">
      <w:pPr>
        <w:spacing w:before="100"/>
      </w:pPr>
      <w:r>
        <w:rPr>
          <w:rFonts w:ascii="Times New Roman" w:eastAsia="宋体" w:hAnsi="Times New Roman"/>
          <w:color w:val="000000"/>
          <w:sz w:val="20"/>
          <w:szCs w:val="20"/>
        </w:rPr>
        <w:t>Gross profit rate decreased 38 basis points for the t</w:t>
      </w:r>
      <w:r>
        <w:rPr>
          <w:rFonts w:ascii="Times New Roman" w:eastAsia="宋体" w:hAnsi="Times New Roman"/>
          <w:color w:val="000000"/>
          <w:sz w:val="20"/>
          <w:szCs w:val="20"/>
        </w:rPr>
        <w:t>hree months ended April 30, 2022, when compared to the same period in the previous fiscal year, primarily driven by increased supply chain costs and product mix shifts into lower margin categories, partially offset by price management impacts driven by hig</w:t>
      </w:r>
      <w:r>
        <w:rPr>
          <w:rFonts w:ascii="Times New Roman" w:eastAsia="宋体" w:hAnsi="Times New Roman"/>
          <w:color w:val="000000"/>
          <w:sz w:val="20"/>
          <w:szCs w:val="20"/>
        </w:rPr>
        <w:t xml:space="preserve">her cost inflation. </w:t>
      </w:r>
    </w:p>
    <w:p w14:paraId="5DEC69CA" w14:textId="77777777" w:rsidR="00B1578D" w:rsidRDefault="004D2C04">
      <w:pPr>
        <w:spacing w:before="100"/>
      </w:pPr>
      <w:r>
        <w:rPr>
          <w:rFonts w:ascii="Times New Roman" w:eastAsia="宋体" w:hAnsi="Times New Roman"/>
          <w:color w:val="000000"/>
          <w:sz w:val="20"/>
          <w:szCs w:val="20"/>
        </w:rPr>
        <w:t>Operating expenses as a percentage of net sales increased 95 basis points for the three months ended April 30, 2022, when compared to the same period in the previous fiscal year, primarily driven by increased wage costs, partially offs</w:t>
      </w:r>
      <w:r>
        <w:rPr>
          <w:rFonts w:ascii="Times New Roman" w:eastAsia="宋体" w:hAnsi="Times New Roman"/>
          <w:color w:val="000000"/>
          <w:sz w:val="20"/>
          <w:szCs w:val="20"/>
        </w:rPr>
        <w:t xml:space="preserve">et by strong sales growth and $0.2 billion of lower incremental COVID-19 costs. </w:t>
      </w:r>
    </w:p>
    <w:p w14:paraId="5DEC69CB" w14:textId="77777777" w:rsidR="00B1578D" w:rsidRDefault="004D2C04">
      <w:pPr>
        <w:spacing w:before="100"/>
      </w:pPr>
      <w:r>
        <w:rPr>
          <w:rFonts w:ascii="Times New Roman" w:eastAsia="宋体" w:hAnsi="Times New Roman"/>
          <w:color w:val="000000"/>
          <w:sz w:val="20"/>
          <w:szCs w:val="20"/>
        </w:rPr>
        <w:t>As a result of the factors discussed above, operating income decreased $1.0 billion for the three months ended April 30, 2022, when compared to the same period in the previous</w:t>
      </w:r>
      <w:r>
        <w:rPr>
          <w:rFonts w:ascii="Times New Roman" w:eastAsia="宋体" w:hAnsi="Times New Roman"/>
          <w:color w:val="000000"/>
          <w:sz w:val="20"/>
          <w:szCs w:val="20"/>
        </w:rPr>
        <w:t xml:space="preserve"> fiscal year. </w:t>
      </w:r>
    </w:p>
    <w:p w14:paraId="5DEC69CC" w14:textId="77777777" w:rsidR="00B1578D" w:rsidRDefault="004D2C04">
      <w:pPr>
        <w:spacing w:before="240"/>
      </w:pPr>
      <w:r>
        <w:rPr>
          <w:rFonts w:ascii="Times New Roman" w:eastAsia="宋体" w:hAnsi="Times New Roman"/>
          <w:b/>
          <w:bCs/>
          <w:i/>
          <w:iCs/>
          <w:color w:val="000000"/>
          <w:sz w:val="20"/>
          <w:szCs w:val="20"/>
        </w:rPr>
        <w:t>Walmart International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19"/>
        <w:gridCol w:w="37"/>
        <w:gridCol w:w="36"/>
        <w:gridCol w:w="36"/>
        <w:gridCol w:w="36"/>
        <w:gridCol w:w="100"/>
        <w:gridCol w:w="731"/>
        <w:gridCol w:w="154"/>
        <w:gridCol w:w="36"/>
        <w:gridCol w:w="36"/>
        <w:gridCol w:w="36"/>
        <w:gridCol w:w="100"/>
        <w:gridCol w:w="699"/>
        <w:gridCol w:w="154"/>
        <w:gridCol w:w="36"/>
        <w:gridCol w:w="36"/>
        <w:gridCol w:w="36"/>
        <w:gridCol w:w="36"/>
        <w:gridCol w:w="36"/>
        <w:gridCol w:w="36"/>
        <w:gridCol w:w="36"/>
        <w:gridCol w:w="36"/>
      </w:tblGrid>
      <w:tr w:rsidR="00B1578D" w14:paraId="5DEC69E0" w14:textId="77777777">
        <w:trPr>
          <w:jc w:val="center"/>
        </w:trPr>
        <w:tc>
          <w:tcPr>
            <w:tcW w:w="50" w:type="pct"/>
            <w:shd w:val="clear" w:color="auto" w:fill="auto"/>
            <w:vAlign w:val="bottom"/>
          </w:tcPr>
          <w:p w14:paraId="5DEC69CD" w14:textId="77777777" w:rsidR="00B1578D" w:rsidRDefault="00B1578D">
            <w:pPr>
              <w:rPr>
                <w:rFonts w:ascii="宋体"/>
              </w:rPr>
            </w:pPr>
          </w:p>
        </w:tc>
        <w:tc>
          <w:tcPr>
            <w:tcW w:w="3738" w:type="pct"/>
            <w:shd w:val="clear" w:color="auto" w:fill="auto"/>
            <w:vAlign w:val="bottom"/>
          </w:tcPr>
          <w:p w14:paraId="5DEC69CE" w14:textId="77777777" w:rsidR="00B1578D" w:rsidRDefault="00B1578D">
            <w:pPr>
              <w:rPr>
                <w:rFonts w:ascii="宋体"/>
              </w:rPr>
            </w:pPr>
          </w:p>
        </w:tc>
        <w:tc>
          <w:tcPr>
            <w:tcW w:w="5" w:type="pct"/>
            <w:shd w:val="clear" w:color="auto" w:fill="auto"/>
            <w:vAlign w:val="bottom"/>
          </w:tcPr>
          <w:p w14:paraId="5DEC69CF" w14:textId="77777777" w:rsidR="00B1578D" w:rsidRDefault="00B1578D">
            <w:pPr>
              <w:rPr>
                <w:rFonts w:ascii="宋体"/>
              </w:rPr>
            </w:pPr>
          </w:p>
        </w:tc>
        <w:tc>
          <w:tcPr>
            <w:tcW w:w="5" w:type="pct"/>
            <w:shd w:val="clear" w:color="auto" w:fill="auto"/>
            <w:vAlign w:val="bottom"/>
          </w:tcPr>
          <w:p w14:paraId="5DEC69D0" w14:textId="77777777" w:rsidR="00B1578D" w:rsidRDefault="00B1578D">
            <w:pPr>
              <w:rPr>
                <w:rFonts w:ascii="宋体"/>
              </w:rPr>
            </w:pPr>
          </w:p>
        </w:tc>
        <w:tc>
          <w:tcPr>
            <w:tcW w:w="19" w:type="pct"/>
            <w:shd w:val="clear" w:color="auto" w:fill="auto"/>
            <w:vAlign w:val="bottom"/>
          </w:tcPr>
          <w:p w14:paraId="5DEC69D1" w14:textId="77777777" w:rsidR="00B1578D" w:rsidRDefault="00B1578D">
            <w:pPr>
              <w:rPr>
                <w:rFonts w:ascii="宋体"/>
              </w:rPr>
            </w:pPr>
          </w:p>
        </w:tc>
        <w:tc>
          <w:tcPr>
            <w:tcW w:w="5" w:type="pct"/>
            <w:shd w:val="clear" w:color="auto" w:fill="auto"/>
            <w:vAlign w:val="bottom"/>
          </w:tcPr>
          <w:p w14:paraId="5DEC69D2" w14:textId="77777777" w:rsidR="00B1578D" w:rsidRDefault="00B1578D">
            <w:pPr>
              <w:rPr>
                <w:rFonts w:ascii="宋体"/>
              </w:rPr>
            </w:pPr>
          </w:p>
        </w:tc>
        <w:tc>
          <w:tcPr>
            <w:tcW w:w="50" w:type="pct"/>
            <w:shd w:val="clear" w:color="auto" w:fill="auto"/>
            <w:vAlign w:val="bottom"/>
          </w:tcPr>
          <w:p w14:paraId="5DEC69D3" w14:textId="77777777" w:rsidR="00B1578D" w:rsidRDefault="00B1578D">
            <w:pPr>
              <w:rPr>
                <w:rFonts w:ascii="宋体"/>
              </w:rPr>
            </w:pPr>
          </w:p>
        </w:tc>
        <w:tc>
          <w:tcPr>
            <w:tcW w:w="529" w:type="pct"/>
            <w:shd w:val="clear" w:color="auto" w:fill="auto"/>
            <w:vAlign w:val="bottom"/>
          </w:tcPr>
          <w:p w14:paraId="5DEC69D4" w14:textId="77777777" w:rsidR="00B1578D" w:rsidRDefault="00B1578D">
            <w:pPr>
              <w:rPr>
                <w:rFonts w:ascii="宋体"/>
              </w:rPr>
            </w:pPr>
          </w:p>
        </w:tc>
        <w:tc>
          <w:tcPr>
            <w:tcW w:w="5" w:type="pct"/>
            <w:shd w:val="clear" w:color="auto" w:fill="auto"/>
            <w:vAlign w:val="bottom"/>
          </w:tcPr>
          <w:p w14:paraId="5DEC69D5" w14:textId="77777777" w:rsidR="00B1578D" w:rsidRDefault="00B1578D">
            <w:pPr>
              <w:rPr>
                <w:rFonts w:ascii="宋体"/>
              </w:rPr>
            </w:pPr>
          </w:p>
        </w:tc>
        <w:tc>
          <w:tcPr>
            <w:tcW w:w="5" w:type="pct"/>
            <w:shd w:val="clear" w:color="auto" w:fill="auto"/>
            <w:vAlign w:val="bottom"/>
          </w:tcPr>
          <w:p w14:paraId="5DEC69D6" w14:textId="77777777" w:rsidR="00B1578D" w:rsidRDefault="00B1578D">
            <w:pPr>
              <w:rPr>
                <w:rFonts w:ascii="宋体"/>
              </w:rPr>
            </w:pPr>
          </w:p>
        </w:tc>
        <w:tc>
          <w:tcPr>
            <w:tcW w:w="19" w:type="pct"/>
            <w:shd w:val="clear" w:color="auto" w:fill="auto"/>
            <w:vAlign w:val="bottom"/>
          </w:tcPr>
          <w:p w14:paraId="5DEC69D7" w14:textId="77777777" w:rsidR="00B1578D" w:rsidRDefault="00B1578D">
            <w:pPr>
              <w:rPr>
                <w:rFonts w:ascii="宋体"/>
              </w:rPr>
            </w:pPr>
          </w:p>
        </w:tc>
        <w:tc>
          <w:tcPr>
            <w:tcW w:w="5" w:type="pct"/>
            <w:shd w:val="clear" w:color="auto" w:fill="auto"/>
            <w:vAlign w:val="bottom"/>
          </w:tcPr>
          <w:p w14:paraId="5DEC69D8" w14:textId="77777777" w:rsidR="00B1578D" w:rsidRDefault="00B1578D">
            <w:pPr>
              <w:rPr>
                <w:rFonts w:ascii="宋体"/>
              </w:rPr>
            </w:pPr>
          </w:p>
        </w:tc>
        <w:tc>
          <w:tcPr>
            <w:tcW w:w="50" w:type="pct"/>
            <w:shd w:val="clear" w:color="auto" w:fill="auto"/>
            <w:vAlign w:val="bottom"/>
          </w:tcPr>
          <w:p w14:paraId="5DEC69D9" w14:textId="77777777" w:rsidR="00B1578D" w:rsidRDefault="00B1578D">
            <w:pPr>
              <w:rPr>
                <w:rFonts w:ascii="宋体"/>
              </w:rPr>
            </w:pPr>
          </w:p>
        </w:tc>
        <w:tc>
          <w:tcPr>
            <w:tcW w:w="508" w:type="pct"/>
            <w:shd w:val="clear" w:color="auto" w:fill="auto"/>
            <w:vAlign w:val="bottom"/>
          </w:tcPr>
          <w:p w14:paraId="5DEC69DA" w14:textId="77777777" w:rsidR="00B1578D" w:rsidRDefault="00B1578D">
            <w:pPr>
              <w:rPr>
                <w:rFonts w:ascii="宋体"/>
              </w:rPr>
            </w:pPr>
          </w:p>
        </w:tc>
        <w:tc>
          <w:tcPr>
            <w:tcW w:w="5" w:type="pct"/>
            <w:shd w:val="clear" w:color="auto" w:fill="auto"/>
            <w:vAlign w:val="bottom"/>
          </w:tcPr>
          <w:p w14:paraId="5DEC69DB" w14:textId="77777777" w:rsidR="00B1578D" w:rsidRDefault="00B1578D">
            <w:pPr>
              <w:rPr>
                <w:rFonts w:ascii="宋体"/>
              </w:rPr>
            </w:pPr>
          </w:p>
        </w:tc>
        <w:tc>
          <w:tcPr>
            <w:tcW w:w="0" w:type="auto"/>
            <w:shd w:val="clear" w:color="auto" w:fill="auto"/>
            <w:vAlign w:val="bottom"/>
          </w:tcPr>
          <w:p w14:paraId="5DEC69DC" w14:textId="77777777" w:rsidR="00B1578D" w:rsidRDefault="00B1578D">
            <w:pPr>
              <w:rPr>
                <w:rFonts w:ascii="宋体"/>
                <w:vanish/>
              </w:rPr>
            </w:pPr>
          </w:p>
        </w:tc>
        <w:tc>
          <w:tcPr>
            <w:tcW w:w="0" w:type="auto"/>
            <w:shd w:val="clear" w:color="auto" w:fill="auto"/>
            <w:vAlign w:val="bottom"/>
          </w:tcPr>
          <w:p w14:paraId="5DEC69DD" w14:textId="77777777" w:rsidR="00B1578D" w:rsidRDefault="00B1578D">
            <w:pPr>
              <w:rPr>
                <w:rFonts w:ascii="宋体"/>
                <w:vanish/>
              </w:rPr>
            </w:pPr>
          </w:p>
        </w:tc>
        <w:tc>
          <w:tcPr>
            <w:tcW w:w="0" w:type="auto"/>
            <w:gridSpan w:val="3"/>
            <w:shd w:val="clear" w:color="auto" w:fill="auto"/>
            <w:vAlign w:val="bottom"/>
          </w:tcPr>
          <w:p w14:paraId="5DEC69DE" w14:textId="77777777" w:rsidR="00B1578D" w:rsidRDefault="00B1578D">
            <w:pPr>
              <w:rPr>
                <w:rFonts w:ascii="宋体"/>
                <w:vanish/>
              </w:rPr>
            </w:pPr>
          </w:p>
        </w:tc>
        <w:tc>
          <w:tcPr>
            <w:tcW w:w="0" w:type="auto"/>
            <w:gridSpan w:val="3"/>
            <w:shd w:val="clear" w:color="auto" w:fill="auto"/>
            <w:vAlign w:val="bottom"/>
          </w:tcPr>
          <w:p w14:paraId="5DEC69DF" w14:textId="77777777" w:rsidR="00B1578D" w:rsidRDefault="00B1578D">
            <w:pPr>
              <w:rPr>
                <w:rFonts w:ascii="宋体"/>
                <w:vanish/>
              </w:rPr>
            </w:pPr>
          </w:p>
        </w:tc>
      </w:tr>
      <w:tr w:rsidR="00B1578D" w14:paraId="5DEC69EC" w14:textId="77777777">
        <w:trPr>
          <w:jc w:val="center"/>
        </w:trPr>
        <w:tc>
          <w:tcPr>
            <w:tcW w:w="0" w:type="auto"/>
            <w:gridSpan w:val="3"/>
            <w:shd w:val="clear" w:color="auto" w:fill="auto"/>
            <w:tcMar>
              <w:top w:w="40" w:type="dxa"/>
              <w:left w:w="20" w:type="dxa"/>
              <w:bottom w:w="40" w:type="dxa"/>
              <w:right w:w="20" w:type="dxa"/>
            </w:tcMar>
            <w:vAlign w:val="center"/>
          </w:tcPr>
          <w:p w14:paraId="5DEC69E1"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9E2"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center"/>
          </w:tcPr>
          <w:p w14:paraId="5DEC69E3" w14:textId="77777777" w:rsidR="00B1578D" w:rsidRDefault="004D2C04">
            <w:pPr>
              <w:jc w:val="center"/>
              <w:textAlignment w:val="center"/>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9E4" w14:textId="77777777" w:rsidR="00B1578D" w:rsidRDefault="00B1578D">
            <w:pPr>
              <w:rPr>
                <w:rFonts w:ascii="宋体"/>
                <w:vanish/>
              </w:rPr>
            </w:pPr>
          </w:p>
        </w:tc>
        <w:tc>
          <w:tcPr>
            <w:tcW w:w="0" w:type="auto"/>
            <w:shd w:val="clear" w:color="auto" w:fill="auto"/>
            <w:vAlign w:val="bottom"/>
          </w:tcPr>
          <w:p w14:paraId="5DEC69E5" w14:textId="77777777" w:rsidR="00B1578D" w:rsidRDefault="00B1578D">
            <w:pPr>
              <w:rPr>
                <w:rFonts w:ascii="宋体"/>
                <w:vanish/>
              </w:rPr>
            </w:pPr>
          </w:p>
        </w:tc>
        <w:tc>
          <w:tcPr>
            <w:tcW w:w="0" w:type="auto"/>
            <w:shd w:val="clear" w:color="auto" w:fill="auto"/>
            <w:vAlign w:val="bottom"/>
          </w:tcPr>
          <w:p w14:paraId="5DEC69E6" w14:textId="77777777" w:rsidR="00B1578D" w:rsidRDefault="00B1578D">
            <w:pPr>
              <w:rPr>
                <w:rFonts w:ascii="宋体"/>
              </w:rPr>
            </w:pPr>
          </w:p>
        </w:tc>
        <w:tc>
          <w:tcPr>
            <w:tcW w:w="0" w:type="auto"/>
            <w:shd w:val="clear" w:color="auto" w:fill="auto"/>
            <w:vAlign w:val="bottom"/>
          </w:tcPr>
          <w:p w14:paraId="5DEC69E7" w14:textId="77777777" w:rsidR="00B1578D" w:rsidRDefault="00B1578D">
            <w:pPr>
              <w:rPr>
                <w:rFonts w:ascii="宋体"/>
              </w:rPr>
            </w:pPr>
          </w:p>
        </w:tc>
        <w:tc>
          <w:tcPr>
            <w:tcW w:w="0" w:type="auto"/>
            <w:shd w:val="clear" w:color="auto" w:fill="auto"/>
            <w:vAlign w:val="bottom"/>
          </w:tcPr>
          <w:p w14:paraId="5DEC69E8" w14:textId="77777777" w:rsidR="00B1578D" w:rsidRDefault="00B1578D">
            <w:pPr>
              <w:rPr>
                <w:rFonts w:ascii="宋体"/>
              </w:rPr>
            </w:pPr>
          </w:p>
        </w:tc>
        <w:tc>
          <w:tcPr>
            <w:tcW w:w="0" w:type="auto"/>
            <w:shd w:val="clear" w:color="auto" w:fill="auto"/>
            <w:vAlign w:val="bottom"/>
          </w:tcPr>
          <w:p w14:paraId="5DEC69E9" w14:textId="77777777" w:rsidR="00B1578D" w:rsidRDefault="00B1578D">
            <w:pPr>
              <w:rPr>
                <w:rFonts w:ascii="宋体"/>
              </w:rPr>
            </w:pPr>
          </w:p>
        </w:tc>
        <w:tc>
          <w:tcPr>
            <w:tcW w:w="0" w:type="auto"/>
            <w:shd w:val="clear" w:color="auto" w:fill="auto"/>
            <w:vAlign w:val="bottom"/>
          </w:tcPr>
          <w:p w14:paraId="5DEC69EA" w14:textId="77777777" w:rsidR="00B1578D" w:rsidRDefault="00B1578D">
            <w:pPr>
              <w:rPr>
                <w:rFonts w:ascii="宋体"/>
              </w:rPr>
            </w:pPr>
          </w:p>
        </w:tc>
        <w:tc>
          <w:tcPr>
            <w:tcW w:w="0" w:type="auto"/>
            <w:shd w:val="clear" w:color="auto" w:fill="auto"/>
            <w:vAlign w:val="bottom"/>
          </w:tcPr>
          <w:p w14:paraId="5DEC69EB" w14:textId="77777777" w:rsidR="00B1578D" w:rsidRDefault="00B1578D">
            <w:pPr>
              <w:rPr>
                <w:rFonts w:ascii="宋体"/>
              </w:rPr>
            </w:pPr>
          </w:p>
        </w:tc>
      </w:tr>
      <w:tr w:rsidR="00B1578D" w14:paraId="5DEC69F6" w14:textId="77777777">
        <w:trPr>
          <w:jc w:val="center"/>
        </w:trPr>
        <w:tc>
          <w:tcPr>
            <w:tcW w:w="0" w:type="auto"/>
            <w:gridSpan w:val="3"/>
            <w:shd w:val="clear" w:color="auto" w:fill="auto"/>
            <w:tcMar>
              <w:top w:w="40" w:type="dxa"/>
              <w:left w:w="20" w:type="dxa"/>
              <w:bottom w:w="40" w:type="dxa"/>
              <w:right w:w="20" w:type="dxa"/>
            </w:tcMar>
            <w:vAlign w:val="center"/>
          </w:tcPr>
          <w:p w14:paraId="5DEC69ED" w14:textId="77777777" w:rsidR="00B1578D" w:rsidRDefault="004D2C04">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5DEC69EE"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9EF" w14:textId="77777777" w:rsidR="00B1578D" w:rsidRDefault="004D2C04">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9F0"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9F1" w14:textId="77777777" w:rsidR="00B1578D" w:rsidRDefault="004D2C04">
            <w:pPr>
              <w:jc w:val="center"/>
              <w:textAlignment w:val="center"/>
            </w:pPr>
            <w:r>
              <w:rPr>
                <w:rFonts w:ascii="Times New Roman" w:eastAsia="宋体" w:hAnsi="Times New Roman"/>
                <w:b/>
                <w:bCs/>
                <w:color w:val="000000"/>
                <w:sz w:val="16"/>
                <w:szCs w:val="16"/>
              </w:rPr>
              <w:t>2021</w:t>
            </w:r>
          </w:p>
        </w:tc>
        <w:tc>
          <w:tcPr>
            <w:tcW w:w="0" w:type="auto"/>
            <w:shd w:val="clear" w:color="auto" w:fill="auto"/>
            <w:vAlign w:val="bottom"/>
          </w:tcPr>
          <w:p w14:paraId="5DEC69F2" w14:textId="77777777" w:rsidR="00B1578D" w:rsidRDefault="00B1578D">
            <w:pPr>
              <w:rPr>
                <w:rFonts w:ascii="宋体"/>
                <w:vanish/>
              </w:rPr>
            </w:pPr>
          </w:p>
        </w:tc>
        <w:tc>
          <w:tcPr>
            <w:tcW w:w="0" w:type="auto"/>
            <w:shd w:val="clear" w:color="auto" w:fill="auto"/>
            <w:vAlign w:val="bottom"/>
          </w:tcPr>
          <w:p w14:paraId="5DEC69F3" w14:textId="77777777" w:rsidR="00B1578D" w:rsidRDefault="00B1578D">
            <w:pPr>
              <w:rPr>
                <w:rFonts w:ascii="宋体"/>
                <w:vanish/>
              </w:rPr>
            </w:pPr>
          </w:p>
        </w:tc>
        <w:tc>
          <w:tcPr>
            <w:tcW w:w="0" w:type="auto"/>
            <w:gridSpan w:val="3"/>
            <w:shd w:val="clear" w:color="auto" w:fill="auto"/>
            <w:vAlign w:val="bottom"/>
          </w:tcPr>
          <w:p w14:paraId="5DEC69F4" w14:textId="77777777" w:rsidR="00B1578D" w:rsidRDefault="00B1578D">
            <w:pPr>
              <w:rPr>
                <w:rFonts w:ascii="宋体"/>
                <w:vanish/>
              </w:rPr>
            </w:pPr>
          </w:p>
        </w:tc>
        <w:tc>
          <w:tcPr>
            <w:tcW w:w="0" w:type="auto"/>
            <w:gridSpan w:val="3"/>
            <w:shd w:val="clear" w:color="auto" w:fill="auto"/>
            <w:vAlign w:val="bottom"/>
          </w:tcPr>
          <w:p w14:paraId="5DEC69F5" w14:textId="77777777" w:rsidR="00B1578D" w:rsidRDefault="00B1578D">
            <w:pPr>
              <w:rPr>
                <w:rFonts w:ascii="宋体"/>
                <w:vanish/>
              </w:rPr>
            </w:pPr>
          </w:p>
        </w:tc>
      </w:tr>
      <w:tr w:rsidR="00B1578D" w14:paraId="5DEC6A04" w14:textId="77777777">
        <w:trPr>
          <w:jc w:val="center"/>
        </w:trPr>
        <w:tc>
          <w:tcPr>
            <w:tcW w:w="0" w:type="auto"/>
            <w:gridSpan w:val="3"/>
            <w:shd w:val="clear" w:color="auto" w:fill="CCEEFF"/>
            <w:tcMar>
              <w:top w:w="40" w:type="dxa"/>
              <w:left w:w="20" w:type="dxa"/>
              <w:bottom w:w="40" w:type="dxa"/>
              <w:right w:w="20" w:type="dxa"/>
            </w:tcMar>
            <w:vAlign w:val="center"/>
          </w:tcPr>
          <w:p w14:paraId="5DEC69F7"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5DEC69F8"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9F9"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9FA" w14:textId="77777777" w:rsidR="00B1578D" w:rsidRDefault="004D2C04">
            <w:pPr>
              <w:jc w:val="right"/>
              <w:textAlignment w:val="center"/>
            </w:pPr>
            <w:r>
              <w:rPr>
                <w:rFonts w:ascii="Times New Roman" w:eastAsia="宋体" w:hAnsi="Times New Roman"/>
                <w:color w:val="000000"/>
                <w:sz w:val="16"/>
                <w:szCs w:val="16"/>
              </w:rPr>
              <w:t>23,763 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9F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9FC"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9F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9FE" w14:textId="77777777" w:rsidR="00B1578D" w:rsidRDefault="004D2C04">
            <w:pPr>
              <w:jc w:val="right"/>
              <w:textAlignment w:val="center"/>
            </w:pPr>
            <w:r>
              <w:rPr>
                <w:rFonts w:ascii="Times New Roman" w:eastAsia="宋体" w:hAnsi="Times New Roman"/>
                <w:color w:val="000000"/>
                <w:sz w:val="16"/>
                <w:szCs w:val="16"/>
              </w:rPr>
              <w:t>27,300 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9FF" w14:textId="77777777" w:rsidR="00B1578D" w:rsidRDefault="00B1578D">
            <w:pPr>
              <w:jc w:val="right"/>
              <w:rPr>
                <w:rFonts w:ascii="宋体"/>
              </w:rPr>
            </w:pPr>
          </w:p>
        </w:tc>
        <w:tc>
          <w:tcPr>
            <w:tcW w:w="0" w:type="auto"/>
            <w:shd w:val="clear" w:color="auto" w:fill="auto"/>
            <w:vAlign w:val="bottom"/>
          </w:tcPr>
          <w:p w14:paraId="5DEC6A00" w14:textId="77777777" w:rsidR="00B1578D" w:rsidRDefault="00B1578D">
            <w:pPr>
              <w:rPr>
                <w:rFonts w:ascii="宋体"/>
                <w:vanish/>
              </w:rPr>
            </w:pPr>
          </w:p>
        </w:tc>
        <w:tc>
          <w:tcPr>
            <w:tcW w:w="0" w:type="auto"/>
            <w:shd w:val="clear" w:color="auto" w:fill="auto"/>
            <w:vAlign w:val="bottom"/>
          </w:tcPr>
          <w:p w14:paraId="5DEC6A01" w14:textId="77777777" w:rsidR="00B1578D" w:rsidRDefault="00B1578D">
            <w:pPr>
              <w:rPr>
                <w:rFonts w:ascii="宋体"/>
                <w:vanish/>
              </w:rPr>
            </w:pPr>
          </w:p>
        </w:tc>
        <w:tc>
          <w:tcPr>
            <w:tcW w:w="0" w:type="auto"/>
            <w:gridSpan w:val="3"/>
            <w:shd w:val="clear" w:color="auto" w:fill="auto"/>
            <w:vAlign w:val="bottom"/>
          </w:tcPr>
          <w:p w14:paraId="5DEC6A02" w14:textId="77777777" w:rsidR="00B1578D" w:rsidRDefault="00B1578D">
            <w:pPr>
              <w:rPr>
                <w:rFonts w:ascii="宋体"/>
                <w:vanish/>
              </w:rPr>
            </w:pPr>
          </w:p>
        </w:tc>
        <w:tc>
          <w:tcPr>
            <w:tcW w:w="0" w:type="auto"/>
            <w:gridSpan w:val="3"/>
            <w:shd w:val="clear" w:color="auto" w:fill="auto"/>
            <w:vAlign w:val="bottom"/>
          </w:tcPr>
          <w:p w14:paraId="5DEC6A03" w14:textId="77777777" w:rsidR="00B1578D" w:rsidRDefault="00B1578D">
            <w:pPr>
              <w:rPr>
                <w:rFonts w:ascii="宋体"/>
                <w:vanish/>
              </w:rPr>
            </w:pPr>
          </w:p>
        </w:tc>
      </w:tr>
      <w:tr w:rsidR="00B1578D" w14:paraId="5DEC6A10" w14:textId="77777777">
        <w:trPr>
          <w:jc w:val="center"/>
        </w:trPr>
        <w:tc>
          <w:tcPr>
            <w:tcW w:w="0" w:type="auto"/>
            <w:gridSpan w:val="3"/>
            <w:shd w:val="clear" w:color="auto" w:fill="FFFFFF"/>
            <w:tcMar>
              <w:top w:w="40" w:type="dxa"/>
              <w:left w:w="20" w:type="dxa"/>
              <w:bottom w:w="40" w:type="dxa"/>
              <w:right w:w="20" w:type="dxa"/>
            </w:tcMar>
            <w:vAlign w:val="center"/>
          </w:tcPr>
          <w:p w14:paraId="5DEC6A05" w14:textId="77777777" w:rsidR="00B1578D" w:rsidRDefault="004D2C04">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5DEC6A06"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07" w14:textId="77777777" w:rsidR="00B1578D" w:rsidRDefault="004D2C04">
            <w:pPr>
              <w:jc w:val="right"/>
              <w:textAlignment w:val="center"/>
            </w:pPr>
            <w:r>
              <w:rPr>
                <w:rFonts w:ascii="Times New Roman" w:eastAsia="宋体" w:hAnsi="Times New Roman"/>
                <w:color w:val="000000"/>
                <w:sz w:val="16"/>
                <w:szCs w:val="16"/>
              </w:rPr>
              <w:t>(13.0)</w:t>
            </w:r>
          </w:p>
        </w:tc>
        <w:tc>
          <w:tcPr>
            <w:tcW w:w="0" w:type="auto"/>
            <w:shd w:val="clear" w:color="auto" w:fill="FFFFFF"/>
            <w:tcMar>
              <w:top w:w="40" w:type="dxa"/>
              <w:left w:w="0" w:type="dxa"/>
              <w:bottom w:w="40" w:type="dxa"/>
              <w:right w:w="20" w:type="dxa"/>
            </w:tcMar>
            <w:vAlign w:val="center"/>
          </w:tcPr>
          <w:p w14:paraId="5DEC6A08"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A09"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0A" w14:textId="77777777" w:rsidR="00B1578D" w:rsidRDefault="004D2C04">
            <w:pPr>
              <w:jc w:val="right"/>
              <w:textAlignment w:val="center"/>
            </w:pPr>
            <w:r>
              <w:rPr>
                <w:rFonts w:ascii="Times New Roman" w:eastAsia="宋体" w:hAnsi="Times New Roman"/>
                <w:color w:val="000000"/>
                <w:sz w:val="16"/>
                <w:szCs w:val="16"/>
              </w:rPr>
              <w:t>(8.3)</w:t>
            </w:r>
          </w:p>
        </w:tc>
        <w:tc>
          <w:tcPr>
            <w:tcW w:w="0" w:type="auto"/>
            <w:shd w:val="clear" w:color="auto" w:fill="FFFFFF"/>
            <w:tcMar>
              <w:top w:w="40" w:type="dxa"/>
              <w:left w:w="0" w:type="dxa"/>
              <w:bottom w:w="40" w:type="dxa"/>
              <w:right w:w="20" w:type="dxa"/>
            </w:tcMar>
            <w:vAlign w:val="center"/>
          </w:tcPr>
          <w:p w14:paraId="5DEC6A0B"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A0C" w14:textId="77777777" w:rsidR="00B1578D" w:rsidRDefault="00B1578D">
            <w:pPr>
              <w:rPr>
                <w:rFonts w:ascii="宋体"/>
                <w:vanish/>
              </w:rPr>
            </w:pPr>
          </w:p>
        </w:tc>
        <w:tc>
          <w:tcPr>
            <w:tcW w:w="0" w:type="auto"/>
            <w:shd w:val="clear" w:color="auto" w:fill="auto"/>
            <w:vAlign w:val="bottom"/>
          </w:tcPr>
          <w:p w14:paraId="5DEC6A0D" w14:textId="77777777" w:rsidR="00B1578D" w:rsidRDefault="00B1578D">
            <w:pPr>
              <w:rPr>
                <w:rFonts w:ascii="宋体"/>
                <w:vanish/>
              </w:rPr>
            </w:pPr>
          </w:p>
        </w:tc>
        <w:tc>
          <w:tcPr>
            <w:tcW w:w="0" w:type="auto"/>
            <w:gridSpan w:val="3"/>
            <w:shd w:val="clear" w:color="auto" w:fill="auto"/>
            <w:vAlign w:val="bottom"/>
          </w:tcPr>
          <w:p w14:paraId="5DEC6A0E" w14:textId="77777777" w:rsidR="00B1578D" w:rsidRDefault="00B1578D">
            <w:pPr>
              <w:rPr>
                <w:rFonts w:ascii="宋体"/>
                <w:vanish/>
              </w:rPr>
            </w:pPr>
          </w:p>
        </w:tc>
        <w:tc>
          <w:tcPr>
            <w:tcW w:w="0" w:type="auto"/>
            <w:gridSpan w:val="3"/>
            <w:shd w:val="clear" w:color="auto" w:fill="auto"/>
            <w:vAlign w:val="bottom"/>
          </w:tcPr>
          <w:p w14:paraId="5DEC6A0F" w14:textId="77777777" w:rsidR="00B1578D" w:rsidRDefault="00B1578D">
            <w:pPr>
              <w:rPr>
                <w:rFonts w:ascii="宋体"/>
                <w:vanish/>
              </w:rPr>
            </w:pPr>
          </w:p>
        </w:tc>
      </w:tr>
      <w:tr w:rsidR="00B1578D" w14:paraId="5DEC6A1E" w14:textId="77777777">
        <w:trPr>
          <w:jc w:val="center"/>
        </w:trPr>
        <w:tc>
          <w:tcPr>
            <w:tcW w:w="0" w:type="auto"/>
            <w:gridSpan w:val="3"/>
            <w:shd w:val="clear" w:color="auto" w:fill="CCEEFF"/>
            <w:tcMar>
              <w:top w:w="40" w:type="dxa"/>
              <w:left w:w="20" w:type="dxa"/>
              <w:bottom w:w="40" w:type="dxa"/>
              <w:right w:w="20" w:type="dxa"/>
            </w:tcMar>
            <w:vAlign w:val="center"/>
          </w:tcPr>
          <w:p w14:paraId="5DEC6A11" w14:textId="77777777" w:rsidR="00B1578D" w:rsidRDefault="004D2C04">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5DEC6A12"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A13"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A14" w14:textId="77777777" w:rsidR="00B1578D" w:rsidRDefault="004D2C04">
            <w:pPr>
              <w:jc w:val="right"/>
              <w:textAlignment w:val="center"/>
            </w:pPr>
            <w:r>
              <w:rPr>
                <w:rFonts w:ascii="Times New Roman" w:eastAsia="宋体" w:hAnsi="Times New Roman"/>
                <w:color w:val="000000"/>
                <w:sz w:val="16"/>
                <w:szCs w:val="16"/>
              </w:rPr>
              <w:t>772 </w:t>
            </w:r>
          </w:p>
        </w:tc>
        <w:tc>
          <w:tcPr>
            <w:tcW w:w="0" w:type="auto"/>
            <w:shd w:val="clear" w:color="auto" w:fill="CCEEFF"/>
            <w:tcMar>
              <w:top w:w="40" w:type="dxa"/>
              <w:left w:w="0" w:type="dxa"/>
              <w:bottom w:w="40" w:type="dxa"/>
              <w:right w:w="20" w:type="dxa"/>
            </w:tcMar>
            <w:vAlign w:val="center"/>
          </w:tcPr>
          <w:p w14:paraId="5DEC6A15"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A16"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A17"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A18" w14:textId="77777777" w:rsidR="00B1578D" w:rsidRDefault="004D2C04">
            <w:pPr>
              <w:jc w:val="right"/>
              <w:textAlignment w:val="center"/>
            </w:pPr>
            <w:r>
              <w:rPr>
                <w:rFonts w:ascii="Times New Roman" w:eastAsia="宋体" w:hAnsi="Times New Roman"/>
                <w:color w:val="000000"/>
                <w:sz w:val="16"/>
                <w:szCs w:val="16"/>
              </w:rPr>
              <w:t>1,194 </w:t>
            </w:r>
          </w:p>
        </w:tc>
        <w:tc>
          <w:tcPr>
            <w:tcW w:w="0" w:type="auto"/>
            <w:shd w:val="clear" w:color="auto" w:fill="CCEEFF"/>
            <w:tcMar>
              <w:top w:w="40" w:type="dxa"/>
              <w:left w:w="0" w:type="dxa"/>
              <w:bottom w:w="40" w:type="dxa"/>
              <w:right w:w="20" w:type="dxa"/>
            </w:tcMar>
            <w:vAlign w:val="center"/>
          </w:tcPr>
          <w:p w14:paraId="5DEC6A19" w14:textId="77777777" w:rsidR="00B1578D" w:rsidRDefault="00B1578D">
            <w:pPr>
              <w:jc w:val="right"/>
              <w:rPr>
                <w:rFonts w:ascii="宋体"/>
              </w:rPr>
            </w:pPr>
          </w:p>
        </w:tc>
        <w:tc>
          <w:tcPr>
            <w:tcW w:w="0" w:type="auto"/>
            <w:shd w:val="clear" w:color="auto" w:fill="auto"/>
            <w:vAlign w:val="bottom"/>
          </w:tcPr>
          <w:p w14:paraId="5DEC6A1A" w14:textId="77777777" w:rsidR="00B1578D" w:rsidRDefault="00B1578D">
            <w:pPr>
              <w:rPr>
                <w:rFonts w:ascii="宋体"/>
                <w:vanish/>
              </w:rPr>
            </w:pPr>
          </w:p>
        </w:tc>
        <w:tc>
          <w:tcPr>
            <w:tcW w:w="0" w:type="auto"/>
            <w:shd w:val="clear" w:color="auto" w:fill="auto"/>
            <w:vAlign w:val="bottom"/>
          </w:tcPr>
          <w:p w14:paraId="5DEC6A1B" w14:textId="77777777" w:rsidR="00B1578D" w:rsidRDefault="00B1578D">
            <w:pPr>
              <w:rPr>
                <w:rFonts w:ascii="宋体"/>
                <w:vanish/>
              </w:rPr>
            </w:pPr>
          </w:p>
        </w:tc>
        <w:tc>
          <w:tcPr>
            <w:tcW w:w="0" w:type="auto"/>
            <w:gridSpan w:val="3"/>
            <w:shd w:val="clear" w:color="auto" w:fill="auto"/>
            <w:vAlign w:val="bottom"/>
          </w:tcPr>
          <w:p w14:paraId="5DEC6A1C" w14:textId="77777777" w:rsidR="00B1578D" w:rsidRDefault="00B1578D">
            <w:pPr>
              <w:rPr>
                <w:rFonts w:ascii="宋体"/>
                <w:vanish/>
              </w:rPr>
            </w:pPr>
          </w:p>
        </w:tc>
        <w:tc>
          <w:tcPr>
            <w:tcW w:w="0" w:type="auto"/>
            <w:gridSpan w:val="3"/>
            <w:shd w:val="clear" w:color="auto" w:fill="auto"/>
            <w:vAlign w:val="bottom"/>
          </w:tcPr>
          <w:p w14:paraId="5DEC6A1D" w14:textId="77777777" w:rsidR="00B1578D" w:rsidRDefault="00B1578D">
            <w:pPr>
              <w:rPr>
                <w:rFonts w:ascii="宋体"/>
                <w:vanish/>
              </w:rPr>
            </w:pPr>
          </w:p>
        </w:tc>
      </w:tr>
      <w:tr w:rsidR="00B1578D" w14:paraId="5DEC6A2A" w14:textId="77777777">
        <w:trPr>
          <w:jc w:val="center"/>
        </w:trPr>
        <w:tc>
          <w:tcPr>
            <w:tcW w:w="0" w:type="auto"/>
            <w:gridSpan w:val="3"/>
            <w:shd w:val="clear" w:color="auto" w:fill="FFFFFF"/>
            <w:tcMar>
              <w:top w:w="40" w:type="dxa"/>
              <w:left w:w="20" w:type="dxa"/>
              <w:bottom w:w="40" w:type="dxa"/>
              <w:right w:w="20" w:type="dxa"/>
            </w:tcMar>
            <w:vAlign w:val="center"/>
          </w:tcPr>
          <w:p w14:paraId="5DEC6A1F" w14:textId="77777777" w:rsidR="00B1578D" w:rsidRDefault="004D2C04">
            <w:pPr>
              <w:textAlignment w:val="center"/>
            </w:pPr>
            <w:r>
              <w:rPr>
                <w:rFonts w:ascii="Times New Roman" w:eastAsia="宋体" w:hAnsi="Times New Roman"/>
                <w:color w:val="000000"/>
                <w:sz w:val="16"/>
                <w:szCs w:val="16"/>
              </w:rPr>
              <w:t>Opera</w:t>
            </w:r>
            <w:r>
              <w:rPr>
                <w:rFonts w:ascii="Times New Roman" w:eastAsia="宋体" w:hAnsi="Times New Roman"/>
                <w:color w:val="000000"/>
                <w:sz w:val="16"/>
                <w:szCs w:val="16"/>
              </w:rPr>
              <w:t>ting income as a percentage of net sales</w:t>
            </w:r>
          </w:p>
        </w:tc>
        <w:tc>
          <w:tcPr>
            <w:tcW w:w="0" w:type="auto"/>
            <w:gridSpan w:val="3"/>
            <w:shd w:val="clear" w:color="auto" w:fill="FFFFFF"/>
            <w:tcMar>
              <w:top w:w="0" w:type="dxa"/>
              <w:left w:w="20" w:type="dxa"/>
              <w:bottom w:w="0" w:type="dxa"/>
              <w:right w:w="20" w:type="dxa"/>
            </w:tcMar>
            <w:vAlign w:val="bottom"/>
          </w:tcPr>
          <w:p w14:paraId="5DEC6A2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21" w14:textId="77777777" w:rsidR="00B1578D" w:rsidRDefault="004D2C04">
            <w:pPr>
              <w:jc w:val="right"/>
              <w:textAlignment w:val="center"/>
            </w:pPr>
            <w:r>
              <w:rPr>
                <w:rFonts w:ascii="Times New Roman" w:eastAsia="宋体" w:hAnsi="Times New Roman"/>
                <w:color w:val="000000"/>
                <w:sz w:val="16"/>
                <w:szCs w:val="16"/>
              </w:rPr>
              <w:t>3.2 </w:t>
            </w:r>
          </w:p>
        </w:tc>
        <w:tc>
          <w:tcPr>
            <w:tcW w:w="0" w:type="auto"/>
            <w:shd w:val="clear" w:color="auto" w:fill="FFFFFF"/>
            <w:tcMar>
              <w:top w:w="40" w:type="dxa"/>
              <w:left w:w="0" w:type="dxa"/>
              <w:bottom w:w="40" w:type="dxa"/>
              <w:right w:w="20" w:type="dxa"/>
            </w:tcMar>
            <w:vAlign w:val="center"/>
          </w:tcPr>
          <w:p w14:paraId="5DEC6A22"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A23"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24" w14:textId="77777777" w:rsidR="00B1578D" w:rsidRDefault="004D2C04">
            <w:pPr>
              <w:jc w:val="right"/>
              <w:textAlignment w:val="center"/>
            </w:pPr>
            <w:r>
              <w:rPr>
                <w:rFonts w:ascii="Times New Roman" w:eastAsia="宋体" w:hAnsi="Times New Roman"/>
                <w:color w:val="000000"/>
                <w:sz w:val="16"/>
                <w:szCs w:val="16"/>
              </w:rPr>
              <w:t>4.4 </w:t>
            </w:r>
          </w:p>
        </w:tc>
        <w:tc>
          <w:tcPr>
            <w:tcW w:w="0" w:type="auto"/>
            <w:shd w:val="clear" w:color="auto" w:fill="FFFFFF"/>
            <w:tcMar>
              <w:top w:w="40" w:type="dxa"/>
              <w:left w:w="0" w:type="dxa"/>
              <w:bottom w:w="40" w:type="dxa"/>
              <w:right w:w="20" w:type="dxa"/>
            </w:tcMar>
            <w:vAlign w:val="center"/>
          </w:tcPr>
          <w:p w14:paraId="5DEC6A25"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A26" w14:textId="77777777" w:rsidR="00B1578D" w:rsidRDefault="00B1578D">
            <w:pPr>
              <w:rPr>
                <w:rFonts w:ascii="宋体"/>
                <w:vanish/>
              </w:rPr>
            </w:pPr>
          </w:p>
        </w:tc>
        <w:tc>
          <w:tcPr>
            <w:tcW w:w="0" w:type="auto"/>
            <w:shd w:val="clear" w:color="auto" w:fill="auto"/>
            <w:vAlign w:val="bottom"/>
          </w:tcPr>
          <w:p w14:paraId="5DEC6A27" w14:textId="77777777" w:rsidR="00B1578D" w:rsidRDefault="00B1578D">
            <w:pPr>
              <w:rPr>
                <w:rFonts w:ascii="宋体"/>
                <w:vanish/>
              </w:rPr>
            </w:pPr>
          </w:p>
        </w:tc>
        <w:tc>
          <w:tcPr>
            <w:tcW w:w="0" w:type="auto"/>
            <w:gridSpan w:val="3"/>
            <w:shd w:val="clear" w:color="auto" w:fill="auto"/>
            <w:vAlign w:val="bottom"/>
          </w:tcPr>
          <w:p w14:paraId="5DEC6A28" w14:textId="77777777" w:rsidR="00B1578D" w:rsidRDefault="00B1578D">
            <w:pPr>
              <w:rPr>
                <w:rFonts w:ascii="宋体"/>
                <w:vanish/>
              </w:rPr>
            </w:pPr>
          </w:p>
        </w:tc>
        <w:tc>
          <w:tcPr>
            <w:tcW w:w="0" w:type="auto"/>
            <w:gridSpan w:val="3"/>
            <w:shd w:val="clear" w:color="auto" w:fill="auto"/>
            <w:vAlign w:val="bottom"/>
          </w:tcPr>
          <w:p w14:paraId="5DEC6A29" w14:textId="77777777" w:rsidR="00B1578D" w:rsidRDefault="00B1578D">
            <w:pPr>
              <w:rPr>
                <w:rFonts w:ascii="宋体"/>
                <w:vanish/>
              </w:rPr>
            </w:pPr>
          </w:p>
        </w:tc>
      </w:tr>
      <w:tr w:rsidR="00B1578D" w14:paraId="5DEC6A36" w14:textId="77777777">
        <w:trPr>
          <w:jc w:val="center"/>
        </w:trPr>
        <w:tc>
          <w:tcPr>
            <w:tcW w:w="0" w:type="auto"/>
            <w:gridSpan w:val="3"/>
            <w:shd w:val="clear" w:color="auto" w:fill="CCEEFF"/>
            <w:tcMar>
              <w:top w:w="40" w:type="dxa"/>
              <w:left w:w="20" w:type="dxa"/>
              <w:bottom w:w="40" w:type="dxa"/>
              <w:right w:w="20" w:type="dxa"/>
            </w:tcMar>
            <w:vAlign w:val="center"/>
          </w:tcPr>
          <w:p w14:paraId="5DEC6A2B" w14:textId="77777777" w:rsidR="00B1578D" w:rsidRDefault="004D2C04">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5DEC6A2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2D" w14:textId="77777777" w:rsidR="00B1578D" w:rsidRDefault="004D2C04">
            <w:pPr>
              <w:jc w:val="right"/>
              <w:textAlignment w:val="center"/>
            </w:pPr>
            <w:r>
              <w:rPr>
                <w:rFonts w:ascii="Times New Roman" w:eastAsia="宋体" w:hAnsi="Times New Roman"/>
                <w:color w:val="000000"/>
                <w:sz w:val="16"/>
                <w:szCs w:val="16"/>
              </w:rPr>
              <w:t>5,250 </w:t>
            </w:r>
          </w:p>
        </w:tc>
        <w:tc>
          <w:tcPr>
            <w:tcW w:w="0" w:type="auto"/>
            <w:shd w:val="clear" w:color="auto" w:fill="CCEEFF"/>
            <w:tcMar>
              <w:top w:w="40" w:type="dxa"/>
              <w:left w:w="0" w:type="dxa"/>
              <w:bottom w:w="40" w:type="dxa"/>
              <w:right w:w="20" w:type="dxa"/>
            </w:tcMar>
            <w:vAlign w:val="center"/>
          </w:tcPr>
          <w:p w14:paraId="5DEC6A2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A2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30" w14:textId="77777777" w:rsidR="00B1578D" w:rsidRDefault="004D2C04">
            <w:pPr>
              <w:jc w:val="right"/>
              <w:textAlignment w:val="center"/>
            </w:pPr>
            <w:r>
              <w:rPr>
                <w:rFonts w:ascii="Times New Roman" w:eastAsia="宋体" w:hAnsi="Times New Roman"/>
                <w:color w:val="000000"/>
                <w:sz w:val="16"/>
                <w:szCs w:val="16"/>
              </w:rPr>
              <w:t>5,184 </w:t>
            </w:r>
          </w:p>
        </w:tc>
        <w:tc>
          <w:tcPr>
            <w:tcW w:w="0" w:type="auto"/>
            <w:shd w:val="clear" w:color="auto" w:fill="CCEEFF"/>
            <w:tcMar>
              <w:top w:w="40" w:type="dxa"/>
              <w:left w:w="0" w:type="dxa"/>
              <w:bottom w:w="40" w:type="dxa"/>
              <w:right w:w="20" w:type="dxa"/>
            </w:tcMar>
            <w:vAlign w:val="center"/>
          </w:tcPr>
          <w:p w14:paraId="5DEC6A31" w14:textId="77777777" w:rsidR="00B1578D" w:rsidRDefault="00B1578D">
            <w:pPr>
              <w:jc w:val="right"/>
              <w:rPr>
                <w:rFonts w:ascii="宋体"/>
              </w:rPr>
            </w:pPr>
          </w:p>
        </w:tc>
        <w:tc>
          <w:tcPr>
            <w:tcW w:w="0" w:type="auto"/>
            <w:shd w:val="clear" w:color="auto" w:fill="auto"/>
            <w:vAlign w:val="bottom"/>
          </w:tcPr>
          <w:p w14:paraId="5DEC6A32" w14:textId="77777777" w:rsidR="00B1578D" w:rsidRDefault="00B1578D">
            <w:pPr>
              <w:rPr>
                <w:rFonts w:ascii="宋体"/>
                <w:vanish/>
              </w:rPr>
            </w:pPr>
          </w:p>
        </w:tc>
        <w:tc>
          <w:tcPr>
            <w:tcW w:w="0" w:type="auto"/>
            <w:shd w:val="clear" w:color="auto" w:fill="auto"/>
            <w:vAlign w:val="bottom"/>
          </w:tcPr>
          <w:p w14:paraId="5DEC6A33" w14:textId="77777777" w:rsidR="00B1578D" w:rsidRDefault="00B1578D">
            <w:pPr>
              <w:rPr>
                <w:rFonts w:ascii="宋体"/>
                <w:vanish/>
              </w:rPr>
            </w:pPr>
          </w:p>
        </w:tc>
        <w:tc>
          <w:tcPr>
            <w:tcW w:w="0" w:type="auto"/>
            <w:gridSpan w:val="3"/>
            <w:shd w:val="clear" w:color="auto" w:fill="auto"/>
            <w:vAlign w:val="bottom"/>
          </w:tcPr>
          <w:p w14:paraId="5DEC6A34" w14:textId="77777777" w:rsidR="00B1578D" w:rsidRDefault="00B1578D">
            <w:pPr>
              <w:rPr>
                <w:rFonts w:ascii="宋体"/>
                <w:vanish/>
              </w:rPr>
            </w:pPr>
          </w:p>
        </w:tc>
        <w:tc>
          <w:tcPr>
            <w:tcW w:w="0" w:type="auto"/>
            <w:gridSpan w:val="3"/>
            <w:shd w:val="clear" w:color="auto" w:fill="auto"/>
            <w:vAlign w:val="bottom"/>
          </w:tcPr>
          <w:p w14:paraId="5DEC6A35" w14:textId="77777777" w:rsidR="00B1578D" w:rsidRDefault="00B1578D">
            <w:pPr>
              <w:rPr>
                <w:rFonts w:ascii="宋体"/>
                <w:vanish/>
              </w:rPr>
            </w:pPr>
          </w:p>
        </w:tc>
      </w:tr>
      <w:tr w:rsidR="00B1578D" w14:paraId="5DEC6A42" w14:textId="77777777">
        <w:trPr>
          <w:jc w:val="center"/>
        </w:trPr>
        <w:tc>
          <w:tcPr>
            <w:tcW w:w="0" w:type="auto"/>
            <w:gridSpan w:val="3"/>
            <w:shd w:val="clear" w:color="auto" w:fill="FFFFFF"/>
            <w:tcMar>
              <w:top w:w="40" w:type="dxa"/>
              <w:left w:w="20" w:type="dxa"/>
              <w:bottom w:w="40" w:type="dxa"/>
              <w:right w:w="20" w:type="dxa"/>
            </w:tcMar>
            <w:vAlign w:val="center"/>
          </w:tcPr>
          <w:p w14:paraId="5DEC6A37" w14:textId="77777777" w:rsidR="00B1578D" w:rsidRDefault="004D2C04">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5DEC6A38"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39" w14:textId="77777777" w:rsidR="00B1578D" w:rsidRDefault="004D2C04">
            <w:pPr>
              <w:jc w:val="right"/>
              <w:textAlignment w:val="center"/>
            </w:pPr>
            <w:r>
              <w:rPr>
                <w:rFonts w:ascii="Times New Roman" w:eastAsia="宋体" w:hAnsi="Times New Roman"/>
                <w:color w:val="000000"/>
                <w:sz w:val="16"/>
                <w:szCs w:val="16"/>
              </w:rPr>
              <w:t>277 </w:t>
            </w:r>
          </w:p>
        </w:tc>
        <w:tc>
          <w:tcPr>
            <w:tcW w:w="0" w:type="auto"/>
            <w:shd w:val="clear" w:color="auto" w:fill="FFFFFF"/>
            <w:tcMar>
              <w:top w:w="40" w:type="dxa"/>
              <w:left w:w="0" w:type="dxa"/>
              <w:bottom w:w="40" w:type="dxa"/>
              <w:right w:w="20" w:type="dxa"/>
            </w:tcMar>
            <w:vAlign w:val="center"/>
          </w:tcPr>
          <w:p w14:paraId="5DEC6A3A"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A3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3C" w14:textId="77777777" w:rsidR="00B1578D" w:rsidRDefault="004D2C04">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5DEC6A3D" w14:textId="77777777" w:rsidR="00B1578D" w:rsidRDefault="00B1578D">
            <w:pPr>
              <w:jc w:val="right"/>
              <w:rPr>
                <w:rFonts w:ascii="宋体"/>
              </w:rPr>
            </w:pPr>
          </w:p>
        </w:tc>
        <w:tc>
          <w:tcPr>
            <w:tcW w:w="0" w:type="auto"/>
            <w:shd w:val="clear" w:color="auto" w:fill="auto"/>
            <w:vAlign w:val="bottom"/>
          </w:tcPr>
          <w:p w14:paraId="5DEC6A3E" w14:textId="77777777" w:rsidR="00B1578D" w:rsidRDefault="00B1578D">
            <w:pPr>
              <w:rPr>
                <w:rFonts w:ascii="宋体"/>
                <w:vanish/>
              </w:rPr>
            </w:pPr>
          </w:p>
        </w:tc>
        <w:tc>
          <w:tcPr>
            <w:tcW w:w="0" w:type="auto"/>
            <w:shd w:val="clear" w:color="auto" w:fill="auto"/>
            <w:vAlign w:val="bottom"/>
          </w:tcPr>
          <w:p w14:paraId="5DEC6A3F" w14:textId="77777777" w:rsidR="00B1578D" w:rsidRDefault="00B1578D">
            <w:pPr>
              <w:rPr>
                <w:rFonts w:ascii="宋体"/>
                <w:vanish/>
              </w:rPr>
            </w:pPr>
          </w:p>
        </w:tc>
        <w:tc>
          <w:tcPr>
            <w:tcW w:w="0" w:type="auto"/>
            <w:gridSpan w:val="3"/>
            <w:shd w:val="clear" w:color="auto" w:fill="auto"/>
            <w:vAlign w:val="bottom"/>
          </w:tcPr>
          <w:p w14:paraId="5DEC6A40" w14:textId="77777777" w:rsidR="00B1578D" w:rsidRDefault="00B1578D">
            <w:pPr>
              <w:rPr>
                <w:rFonts w:ascii="宋体"/>
                <w:vanish/>
              </w:rPr>
            </w:pPr>
          </w:p>
        </w:tc>
        <w:tc>
          <w:tcPr>
            <w:tcW w:w="0" w:type="auto"/>
            <w:gridSpan w:val="3"/>
            <w:shd w:val="clear" w:color="auto" w:fill="auto"/>
            <w:vAlign w:val="bottom"/>
          </w:tcPr>
          <w:p w14:paraId="5DEC6A41" w14:textId="77777777" w:rsidR="00B1578D" w:rsidRDefault="00B1578D">
            <w:pPr>
              <w:rPr>
                <w:rFonts w:ascii="宋体"/>
                <w:vanish/>
              </w:rPr>
            </w:pPr>
          </w:p>
        </w:tc>
      </w:tr>
    </w:tbl>
    <w:p w14:paraId="5DEC6A43" w14:textId="77777777" w:rsidR="00B1578D" w:rsidRDefault="004D2C04">
      <w:pPr>
        <w:spacing w:before="60"/>
      </w:pPr>
      <w:r>
        <w:rPr>
          <w:rFonts w:ascii="Times New Roman" w:eastAsia="宋体" w:hAnsi="Times New Roman"/>
          <w:color w:val="000000"/>
          <w:sz w:val="20"/>
          <w:szCs w:val="20"/>
        </w:rPr>
        <w:t xml:space="preserve">Net sales for the Walmart International segment decreased $3.5 billion or 13.0% for the </w:t>
      </w:r>
      <w:r>
        <w:rPr>
          <w:rFonts w:ascii="Times New Roman" w:eastAsia="宋体" w:hAnsi="Times New Roman"/>
          <w:color w:val="000000"/>
          <w:sz w:val="20"/>
          <w:szCs w:val="20"/>
        </w:rPr>
        <w:t>three months ended April 30, 2022, when compared to the same period in the previous fiscal year. The reduction in net sales was due to a $5.0 billion decrease related to the divestiture of our operations in the U.K. and Japan during the first quarter of fi</w:t>
      </w:r>
      <w:r>
        <w:rPr>
          <w:rFonts w:ascii="Times New Roman" w:eastAsia="宋体" w:hAnsi="Times New Roman"/>
          <w:color w:val="000000"/>
          <w:sz w:val="20"/>
          <w:szCs w:val="20"/>
        </w:rPr>
        <w:t>scal 2022, partially offset by positive comparables sales in each of our remaining markets. Net sales for the three months ended April 30, 2022 included negative fluctuations in currency exchange rates of $0.4 billion.</w:t>
      </w:r>
    </w:p>
    <w:p w14:paraId="5DEC6A44" w14:textId="77777777" w:rsidR="00B1578D" w:rsidRDefault="004D2C04">
      <w:pPr>
        <w:spacing w:before="100"/>
      </w:pPr>
      <w:r>
        <w:rPr>
          <w:rFonts w:ascii="Times New Roman" w:eastAsia="宋体" w:hAnsi="Times New Roman"/>
          <w:color w:val="000000"/>
          <w:sz w:val="20"/>
          <w:szCs w:val="20"/>
        </w:rPr>
        <w:t>Gross profit rate decreased 108 basis</w:t>
      </w:r>
      <w:r>
        <w:rPr>
          <w:rFonts w:ascii="Times New Roman" w:eastAsia="宋体" w:hAnsi="Times New Roman"/>
          <w:color w:val="000000"/>
          <w:sz w:val="20"/>
          <w:szCs w:val="20"/>
        </w:rPr>
        <w:t xml:space="preserve"> points for the three months ended April 30, 2022, when compared to the same period in the previous fiscal year, primarily driven by higher markdowns and shifts into lower margin formats and channels in China, as well as the impact related to our divested </w:t>
      </w:r>
      <w:r>
        <w:rPr>
          <w:rFonts w:ascii="Times New Roman" w:eastAsia="宋体" w:hAnsi="Times New Roman"/>
          <w:color w:val="000000"/>
          <w:sz w:val="20"/>
          <w:szCs w:val="20"/>
        </w:rPr>
        <w:t>markets.</w:t>
      </w:r>
    </w:p>
    <w:p w14:paraId="5DEC6A45" w14:textId="77777777" w:rsidR="00B1578D" w:rsidRDefault="004D2C04">
      <w:pPr>
        <w:spacing w:before="100"/>
      </w:pPr>
      <w:r>
        <w:rPr>
          <w:rFonts w:ascii="Times New Roman" w:eastAsia="宋体" w:hAnsi="Times New Roman"/>
          <w:color w:val="000000"/>
          <w:sz w:val="20"/>
          <w:szCs w:val="20"/>
        </w:rPr>
        <w:t xml:space="preserve">Operating expenses as a percentage of net sales increased 12 basis points for the three months ended April 30, 2022, when compared to the same period in the previous fiscal year, due to impacts from the divested markets. </w:t>
      </w:r>
    </w:p>
    <w:p w14:paraId="5DEC6A46" w14:textId="77777777" w:rsidR="00B1578D" w:rsidRDefault="004D2C04">
      <w:pPr>
        <w:spacing w:before="100"/>
      </w:pPr>
      <w:r>
        <w:rPr>
          <w:rFonts w:ascii="Times New Roman" w:eastAsia="宋体" w:hAnsi="Times New Roman"/>
          <w:color w:val="000000"/>
          <w:sz w:val="20"/>
          <w:szCs w:val="20"/>
        </w:rPr>
        <w:t>As a result of the factors discuss</w:t>
      </w:r>
      <w:r>
        <w:rPr>
          <w:rFonts w:ascii="Times New Roman" w:eastAsia="宋体" w:hAnsi="Times New Roman"/>
          <w:color w:val="000000"/>
          <w:sz w:val="20"/>
          <w:szCs w:val="20"/>
        </w:rPr>
        <w:t xml:space="preserve">ed above, operating income decreased $0.4 billion for the three months ended April 30, 2022, when compared to the same period in the previous fiscal year. </w:t>
      </w:r>
    </w:p>
    <w:p w14:paraId="5DEC6A47" w14:textId="77777777" w:rsidR="00B1578D" w:rsidRDefault="004D2C04">
      <w:pPr>
        <w:spacing w:before="240"/>
      </w:pPr>
      <w:r>
        <w:rPr>
          <w:rFonts w:ascii="Times New Roman" w:eastAsia="宋体" w:hAnsi="Times New Roman"/>
          <w:b/>
          <w:bCs/>
          <w:i/>
          <w:iCs/>
          <w:color w:val="000000"/>
          <w:sz w:val="20"/>
          <w:szCs w:val="20"/>
        </w:rPr>
        <w:t>Sam's Club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81"/>
        <w:gridCol w:w="37"/>
        <w:gridCol w:w="36"/>
        <w:gridCol w:w="36"/>
        <w:gridCol w:w="36"/>
        <w:gridCol w:w="100"/>
        <w:gridCol w:w="700"/>
        <w:gridCol w:w="154"/>
        <w:gridCol w:w="36"/>
        <w:gridCol w:w="36"/>
        <w:gridCol w:w="36"/>
        <w:gridCol w:w="100"/>
        <w:gridCol w:w="668"/>
        <w:gridCol w:w="154"/>
        <w:gridCol w:w="36"/>
        <w:gridCol w:w="36"/>
        <w:gridCol w:w="36"/>
        <w:gridCol w:w="36"/>
        <w:gridCol w:w="36"/>
        <w:gridCol w:w="36"/>
        <w:gridCol w:w="36"/>
        <w:gridCol w:w="36"/>
      </w:tblGrid>
      <w:tr w:rsidR="00B1578D" w14:paraId="5DEC6A5B" w14:textId="77777777">
        <w:trPr>
          <w:jc w:val="center"/>
        </w:trPr>
        <w:tc>
          <w:tcPr>
            <w:tcW w:w="50" w:type="pct"/>
            <w:shd w:val="clear" w:color="auto" w:fill="auto"/>
            <w:vAlign w:val="bottom"/>
          </w:tcPr>
          <w:p w14:paraId="5DEC6A48" w14:textId="77777777" w:rsidR="00B1578D" w:rsidRDefault="00B1578D">
            <w:pPr>
              <w:rPr>
                <w:rFonts w:ascii="宋体"/>
              </w:rPr>
            </w:pPr>
          </w:p>
        </w:tc>
        <w:tc>
          <w:tcPr>
            <w:tcW w:w="3724" w:type="pct"/>
            <w:shd w:val="clear" w:color="auto" w:fill="auto"/>
            <w:vAlign w:val="bottom"/>
          </w:tcPr>
          <w:p w14:paraId="5DEC6A49" w14:textId="77777777" w:rsidR="00B1578D" w:rsidRDefault="00B1578D">
            <w:pPr>
              <w:rPr>
                <w:rFonts w:ascii="宋体"/>
              </w:rPr>
            </w:pPr>
          </w:p>
        </w:tc>
        <w:tc>
          <w:tcPr>
            <w:tcW w:w="5" w:type="pct"/>
            <w:shd w:val="clear" w:color="auto" w:fill="auto"/>
            <w:vAlign w:val="bottom"/>
          </w:tcPr>
          <w:p w14:paraId="5DEC6A4A" w14:textId="77777777" w:rsidR="00B1578D" w:rsidRDefault="00B1578D">
            <w:pPr>
              <w:rPr>
                <w:rFonts w:ascii="宋体"/>
              </w:rPr>
            </w:pPr>
          </w:p>
        </w:tc>
        <w:tc>
          <w:tcPr>
            <w:tcW w:w="5" w:type="pct"/>
            <w:shd w:val="clear" w:color="auto" w:fill="auto"/>
            <w:vAlign w:val="bottom"/>
          </w:tcPr>
          <w:p w14:paraId="5DEC6A4B" w14:textId="77777777" w:rsidR="00B1578D" w:rsidRDefault="00B1578D">
            <w:pPr>
              <w:rPr>
                <w:rFonts w:ascii="宋体"/>
              </w:rPr>
            </w:pPr>
          </w:p>
        </w:tc>
        <w:tc>
          <w:tcPr>
            <w:tcW w:w="26" w:type="pct"/>
            <w:shd w:val="clear" w:color="auto" w:fill="auto"/>
            <w:vAlign w:val="bottom"/>
          </w:tcPr>
          <w:p w14:paraId="5DEC6A4C" w14:textId="77777777" w:rsidR="00B1578D" w:rsidRDefault="00B1578D">
            <w:pPr>
              <w:rPr>
                <w:rFonts w:ascii="宋体"/>
              </w:rPr>
            </w:pPr>
          </w:p>
        </w:tc>
        <w:tc>
          <w:tcPr>
            <w:tcW w:w="5" w:type="pct"/>
            <w:shd w:val="clear" w:color="auto" w:fill="auto"/>
            <w:vAlign w:val="bottom"/>
          </w:tcPr>
          <w:p w14:paraId="5DEC6A4D" w14:textId="77777777" w:rsidR="00B1578D" w:rsidRDefault="00B1578D">
            <w:pPr>
              <w:rPr>
                <w:rFonts w:ascii="宋体"/>
              </w:rPr>
            </w:pPr>
          </w:p>
        </w:tc>
        <w:tc>
          <w:tcPr>
            <w:tcW w:w="50" w:type="pct"/>
            <w:shd w:val="clear" w:color="auto" w:fill="auto"/>
            <w:vAlign w:val="bottom"/>
          </w:tcPr>
          <w:p w14:paraId="5DEC6A4E" w14:textId="77777777" w:rsidR="00B1578D" w:rsidRDefault="00B1578D">
            <w:pPr>
              <w:rPr>
                <w:rFonts w:ascii="宋体"/>
              </w:rPr>
            </w:pPr>
          </w:p>
        </w:tc>
        <w:tc>
          <w:tcPr>
            <w:tcW w:w="529" w:type="pct"/>
            <w:shd w:val="clear" w:color="auto" w:fill="auto"/>
            <w:vAlign w:val="bottom"/>
          </w:tcPr>
          <w:p w14:paraId="5DEC6A4F" w14:textId="77777777" w:rsidR="00B1578D" w:rsidRDefault="00B1578D">
            <w:pPr>
              <w:rPr>
                <w:rFonts w:ascii="宋体"/>
              </w:rPr>
            </w:pPr>
          </w:p>
        </w:tc>
        <w:tc>
          <w:tcPr>
            <w:tcW w:w="5" w:type="pct"/>
            <w:shd w:val="clear" w:color="auto" w:fill="auto"/>
            <w:vAlign w:val="bottom"/>
          </w:tcPr>
          <w:p w14:paraId="5DEC6A50" w14:textId="77777777" w:rsidR="00B1578D" w:rsidRDefault="00B1578D">
            <w:pPr>
              <w:rPr>
                <w:rFonts w:ascii="宋体"/>
              </w:rPr>
            </w:pPr>
          </w:p>
        </w:tc>
        <w:tc>
          <w:tcPr>
            <w:tcW w:w="5" w:type="pct"/>
            <w:shd w:val="clear" w:color="auto" w:fill="auto"/>
            <w:vAlign w:val="bottom"/>
          </w:tcPr>
          <w:p w14:paraId="5DEC6A51" w14:textId="77777777" w:rsidR="00B1578D" w:rsidRDefault="00B1578D">
            <w:pPr>
              <w:rPr>
                <w:rFonts w:ascii="宋体"/>
              </w:rPr>
            </w:pPr>
          </w:p>
        </w:tc>
        <w:tc>
          <w:tcPr>
            <w:tcW w:w="26" w:type="pct"/>
            <w:shd w:val="clear" w:color="auto" w:fill="auto"/>
            <w:vAlign w:val="bottom"/>
          </w:tcPr>
          <w:p w14:paraId="5DEC6A52" w14:textId="77777777" w:rsidR="00B1578D" w:rsidRDefault="00B1578D">
            <w:pPr>
              <w:rPr>
                <w:rFonts w:ascii="宋体"/>
              </w:rPr>
            </w:pPr>
          </w:p>
        </w:tc>
        <w:tc>
          <w:tcPr>
            <w:tcW w:w="5" w:type="pct"/>
            <w:shd w:val="clear" w:color="auto" w:fill="auto"/>
            <w:vAlign w:val="bottom"/>
          </w:tcPr>
          <w:p w14:paraId="5DEC6A53" w14:textId="77777777" w:rsidR="00B1578D" w:rsidRDefault="00B1578D">
            <w:pPr>
              <w:rPr>
                <w:rFonts w:ascii="宋体"/>
              </w:rPr>
            </w:pPr>
          </w:p>
        </w:tc>
        <w:tc>
          <w:tcPr>
            <w:tcW w:w="50" w:type="pct"/>
            <w:shd w:val="clear" w:color="auto" w:fill="auto"/>
            <w:vAlign w:val="bottom"/>
          </w:tcPr>
          <w:p w14:paraId="5DEC6A54" w14:textId="77777777" w:rsidR="00B1578D" w:rsidRDefault="00B1578D">
            <w:pPr>
              <w:rPr>
                <w:rFonts w:ascii="宋体"/>
              </w:rPr>
            </w:pPr>
          </w:p>
        </w:tc>
        <w:tc>
          <w:tcPr>
            <w:tcW w:w="508" w:type="pct"/>
            <w:shd w:val="clear" w:color="auto" w:fill="auto"/>
            <w:vAlign w:val="bottom"/>
          </w:tcPr>
          <w:p w14:paraId="5DEC6A55" w14:textId="77777777" w:rsidR="00B1578D" w:rsidRDefault="00B1578D">
            <w:pPr>
              <w:rPr>
                <w:rFonts w:ascii="宋体"/>
              </w:rPr>
            </w:pPr>
          </w:p>
        </w:tc>
        <w:tc>
          <w:tcPr>
            <w:tcW w:w="5" w:type="pct"/>
            <w:shd w:val="clear" w:color="auto" w:fill="auto"/>
            <w:vAlign w:val="bottom"/>
          </w:tcPr>
          <w:p w14:paraId="5DEC6A56" w14:textId="77777777" w:rsidR="00B1578D" w:rsidRDefault="00B1578D">
            <w:pPr>
              <w:rPr>
                <w:rFonts w:ascii="宋体"/>
              </w:rPr>
            </w:pPr>
          </w:p>
        </w:tc>
        <w:tc>
          <w:tcPr>
            <w:tcW w:w="0" w:type="auto"/>
            <w:shd w:val="clear" w:color="auto" w:fill="auto"/>
            <w:vAlign w:val="bottom"/>
          </w:tcPr>
          <w:p w14:paraId="5DEC6A57" w14:textId="77777777" w:rsidR="00B1578D" w:rsidRDefault="00B1578D">
            <w:pPr>
              <w:rPr>
                <w:rFonts w:ascii="宋体"/>
                <w:vanish/>
              </w:rPr>
            </w:pPr>
          </w:p>
        </w:tc>
        <w:tc>
          <w:tcPr>
            <w:tcW w:w="0" w:type="auto"/>
            <w:shd w:val="clear" w:color="auto" w:fill="auto"/>
            <w:vAlign w:val="bottom"/>
          </w:tcPr>
          <w:p w14:paraId="5DEC6A58" w14:textId="77777777" w:rsidR="00B1578D" w:rsidRDefault="00B1578D">
            <w:pPr>
              <w:rPr>
                <w:rFonts w:ascii="宋体"/>
                <w:vanish/>
              </w:rPr>
            </w:pPr>
          </w:p>
        </w:tc>
        <w:tc>
          <w:tcPr>
            <w:tcW w:w="0" w:type="auto"/>
            <w:gridSpan w:val="3"/>
            <w:shd w:val="clear" w:color="auto" w:fill="auto"/>
            <w:vAlign w:val="bottom"/>
          </w:tcPr>
          <w:p w14:paraId="5DEC6A59" w14:textId="77777777" w:rsidR="00B1578D" w:rsidRDefault="00B1578D">
            <w:pPr>
              <w:rPr>
                <w:rFonts w:ascii="宋体"/>
                <w:vanish/>
              </w:rPr>
            </w:pPr>
          </w:p>
        </w:tc>
        <w:tc>
          <w:tcPr>
            <w:tcW w:w="0" w:type="auto"/>
            <w:gridSpan w:val="3"/>
            <w:shd w:val="clear" w:color="auto" w:fill="auto"/>
            <w:vAlign w:val="bottom"/>
          </w:tcPr>
          <w:p w14:paraId="5DEC6A5A" w14:textId="77777777" w:rsidR="00B1578D" w:rsidRDefault="00B1578D">
            <w:pPr>
              <w:rPr>
                <w:rFonts w:ascii="宋体"/>
                <w:vanish/>
              </w:rPr>
            </w:pPr>
          </w:p>
        </w:tc>
      </w:tr>
      <w:tr w:rsidR="00B1578D" w14:paraId="5DEC6A67" w14:textId="77777777">
        <w:trPr>
          <w:jc w:val="center"/>
        </w:trPr>
        <w:tc>
          <w:tcPr>
            <w:tcW w:w="0" w:type="auto"/>
            <w:gridSpan w:val="3"/>
            <w:shd w:val="clear" w:color="auto" w:fill="auto"/>
            <w:tcMar>
              <w:top w:w="40" w:type="dxa"/>
              <w:left w:w="20" w:type="dxa"/>
              <w:bottom w:w="40" w:type="dxa"/>
              <w:right w:w="20" w:type="dxa"/>
            </w:tcMar>
            <w:vAlign w:val="bottom"/>
          </w:tcPr>
          <w:p w14:paraId="5DEC6A5C"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A5D" w14:textId="77777777" w:rsidR="00B1578D" w:rsidRDefault="00B1578D">
            <w:pPr>
              <w:rPr>
                <w:rFonts w:ascii="宋体"/>
              </w:rPr>
            </w:pPr>
          </w:p>
        </w:tc>
        <w:tc>
          <w:tcPr>
            <w:tcW w:w="0" w:type="auto"/>
            <w:gridSpan w:val="9"/>
            <w:shd w:val="clear" w:color="auto" w:fill="auto"/>
            <w:tcMar>
              <w:top w:w="40" w:type="dxa"/>
              <w:left w:w="20" w:type="dxa"/>
              <w:bottom w:w="40" w:type="dxa"/>
              <w:right w:w="20" w:type="dxa"/>
            </w:tcMar>
            <w:vAlign w:val="center"/>
          </w:tcPr>
          <w:p w14:paraId="5DEC6A5E" w14:textId="77777777" w:rsidR="00B1578D" w:rsidRDefault="004D2C04">
            <w:pPr>
              <w:jc w:val="center"/>
              <w:textAlignment w:val="center"/>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A5F" w14:textId="77777777" w:rsidR="00B1578D" w:rsidRDefault="00B1578D">
            <w:pPr>
              <w:rPr>
                <w:rFonts w:ascii="宋体"/>
                <w:vanish/>
              </w:rPr>
            </w:pPr>
          </w:p>
        </w:tc>
        <w:tc>
          <w:tcPr>
            <w:tcW w:w="0" w:type="auto"/>
            <w:shd w:val="clear" w:color="auto" w:fill="auto"/>
            <w:vAlign w:val="bottom"/>
          </w:tcPr>
          <w:p w14:paraId="5DEC6A60" w14:textId="77777777" w:rsidR="00B1578D" w:rsidRDefault="00B1578D">
            <w:pPr>
              <w:rPr>
                <w:rFonts w:ascii="宋体"/>
                <w:vanish/>
              </w:rPr>
            </w:pPr>
          </w:p>
        </w:tc>
        <w:tc>
          <w:tcPr>
            <w:tcW w:w="0" w:type="auto"/>
            <w:shd w:val="clear" w:color="auto" w:fill="auto"/>
            <w:vAlign w:val="bottom"/>
          </w:tcPr>
          <w:p w14:paraId="5DEC6A61" w14:textId="77777777" w:rsidR="00B1578D" w:rsidRDefault="00B1578D">
            <w:pPr>
              <w:rPr>
                <w:rFonts w:ascii="宋体"/>
              </w:rPr>
            </w:pPr>
          </w:p>
        </w:tc>
        <w:tc>
          <w:tcPr>
            <w:tcW w:w="0" w:type="auto"/>
            <w:shd w:val="clear" w:color="auto" w:fill="auto"/>
            <w:vAlign w:val="bottom"/>
          </w:tcPr>
          <w:p w14:paraId="5DEC6A62" w14:textId="77777777" w:rsidR="00B1578D" w:rsidRDefault="00B1578D">
            <w:pPr>
              <w:rPr>
                <w:rFonts w:ascii="宋体"/>
              </w:rPr>
            </w:pPr>
          </w:p>
        </w:tc>
        <w:tc>
          <w:tcPr>
            <w:tcW w:w="0" w:type="auto"/>
            <w:shd w:val="clear" w:color="auto" w:fill="auto"/>
            <w:vAlign w:val="bottom"/>
          </w:tcPr>
          <w:p w14:paraId="5DEC6A63" w14:textId="77777777" w:rsidR="00B1578D" w:rsidRDefault="00B1578D">
            <w:pPr>
              <w:rPr>
                <w:rFonts w:ascii="宋体"/>
              </w:rPr>
            </w:pPr>
          </w:p>
        </w:tc>
        <w:tc>
          <w:tcPr>
            <w:tcW w:w="0" w:type="auto"/>
            <w:shd w:val="clear" w:color="auto" w:fill="auto"/>
            <w:vAlign w:val="bottom"/>
          </w:tcPr>
          <w:p w14:paraId="5DEC6A64" w14:textId="77777777" w:rsidR="00B1578D" w:rsidRDefault="00B1578D">
            <w:pPr>
              <w:rPr>
                <w:rFonts w:ascii="宋体"/>
              </w:rPr>
            </w:pPr>
          </w:p>
        </w:tc>
        <w:tc>
          <w:tcPr>
            <w:tcW w:w="0" w:type="auto"/>
            <w:shd w:val="clear" w:color="auto" w:fill="auto"/>
            <w:vAlign w:val="bottom"/>
          </w:tcPr>
          <w:p w14:paraId="5DEC6A65" w14:textId="77777777" w:rsidR="00B1578D" w:rsidRDefault="00B1578D">
            <w:pPr>
              <w:rPr>
                <w:rFonts w:ascii="宋体"/>
              </w:rPr>
            </w:pPr>
          </w:p>
        </w:tc>
        <w:tc>
          <w:tcPr>
            <w:tcW w:w="0" w:type="auto"/>
            <w:shd w:val="clear" w:color="auto" w:fill="auto"/>
            <w:vAlign w:val="bottom"/>
          </w:tcPr>
          <w:p w14:paraId="5DEC6A66" w14:textId="77777777" w:rsidR="00B1578D" w:rsidRDefault="00B1578D">
            <w:pPr>
              <w:rPr>
                <w:rFonts w:ascii="宋体"/>
              </w:rPr>
            </w:pPr>
          </w:p>
        </w:tc>
      </w:tr>
      <w:tr w:rsidR="00B1578D" w14:paraId="5DEC6A71" w14:textId="77777777">
        <w:trPr>
          <w:jc w:val="center"/>
        </w:trPr>
        <w:tc>
          <w:tcPr>
            <w:tcW w:w="0" w:type="auto"/>
            <w:gridSpan w:val="3"/>
            <w:shd w:val="clear" w:color="auto" w:fill="auto"/>
            <w:tcMar>
              <w:top w:w="40" w:type="dxa"/>
              <w:left w:w="20" w:type="dxa"/>
              <w:bottom w:w="40" w:type="dxa"/>
              <w:right w:w="20" w:type="dxa"/>
            </w:tcMar>
            <w:vAlign w:val="bottom"/>
          </w:tcPr>
          <w:p w14:paraId="5DEC6A68" w14:textId="77777777" w:rsidR="00B1578D" w:rsidRDefault="004D2C04">
            <w:pPr>
              <w:textAlignment w:val="bottom"/>
            </w:pPr>
            <w:r>
              <w:rPr>
                <w:rFonts w:ascii="Times New Roman" w:eastAsia="宋体" w:hAnsi="Times New Roman"/>
                <w:i/>
                <w:iCs/>
                <w:color w:val="000000"/>
                <w:sz w:val="16"/>
                <w:szCs w:val="16"/>
              </w:rPr>
              <w:t xml:space="preserve">(Amounts in </w:t>
            </w:r>
            <w:r>
              <w:rPr>
                <w:rFonts w:ascii="Times New Roman" w:eastAsia="宋体" w:hAnsi="Times New Roman"/>
                <w:i/>
                <w:iCs/>
                <w:color w:val="000000"/>
                <w:sz w:val="16"/>
                <w:szCs w:val="16"/>
              </w:rPr>
              <w:t>millions, except unit counts)</w:t>
            </w:r>
          </w:p>
        </w:tc>
        <w:tc>
          <w:tcPr>
            <w:tcW w:w="0" w:type="auto"/>
            <w:gridSpan w:val="3"/>
            <w:shd w:val="clear" w:color="auto" w:fill="auto"/>
            <w:tcMar>
              <w:top w:w="0" w:type="dxa"/>
              <w:left w:w="20" w:type="dxa"/>
              <w:bottom w:w="0" w:type="dxa"/>
              <w:right w:w="20" w:type="dxa"/>
            </w:tcMar>
            <w:vAlign w:val="bottom"/>
          </w:tcPr>
          <w:p w14:paraId="5DEC6A69"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A6A" w14:textId="77777777" w:rsidR="00B1578D" w:rsidRDefault="004D2C04">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A6B"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A6C"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5DEC6A6D" w14:textId="77777777" w:rsidR="00B1578D" w:rsidRDefault="00B1578D">
            <w:pPr>
              <w:rPr>
                <w:rFonts w:ascii="宋体"/>
                <w:vanish/>
              </w:rPr>
            </w:pPr>
          </w:p>
        </w:tc>
        <w:tc>
          <w:tcPr>
            <w:tcW w:w="0" w:type="auto"/>
            <w:shd w:val="clear" w:color="auto" w:fill="auto"/>
            <w:vAlign w:val="bottom"/>
          </w:tcPr>
          <w:p w14:paraId="5DEC6A6E" w14:textId="77777777" w:rsidR="00B1578D" w:rsidRDefault="00B1578D">
            <w:pPr>
              <w:rPr>
                <w:rFonts w:ascii="宋体"/>
                <w:vanish/>
              </w:rPr>
            </w:pPr>
          </w:p>
        </w:tc>
        <w:tc>
          <w:tcPr>
            <w:tcW w:w="0" w:type="auto"/>
            <w:gridSpan w:val="3"/>
            <w:shd w:val="clear" w:color="auto" w:fill="auto"/>
            <w:vAlign w:val="bottom"/>
          </w:tcPr>
          <w:p w14:paraId="5DEC6A6F" w14:textId="77777777" w:rsidR="00B1578D" w:rsidRDefault="00B1578D">
            <w:pPr>
              <w:rPr>
                <w:rFonts w:ascii="宋体"/>
                <w:vanish/>
              </w:rPr>
            </w:pPr>
          </w:p>
        </w:tc>
        <w:tc>
          <w:tcPr>
            <w:tcW w:w="0" w:type="auto"/>
            <w:gridSpan w:val="3"/>
            <w:shd w:val="clear" w:color="auto" w:fill="auto"/>
            <w:vAlign w:val="bottom"/>
          </w:tcPr>
          <w:p w14:paraId="5DEC6A70" w14:textId="77777777" w:rsidR="00B1578D" w:rsidRDefault="00B1578D">
            <w:pPr>
              <w:rPr>
                <w:rFonts w:ascii="宋体"/>
                <w:vanish/>
              </w:rPr>
            </w:pPr>
          </w:p>
        </w:tc>
      </w:tr>
      <w:tr w:rsidR="00B1578D" w14:paraId="5DEC6A7B" w14:textId="77777777">
        <w:trPr>
          <w:jc w:val="center"/>
        </w:trPr>
        <w:tc>
          <w:tcPr>
            <w:tcW w:w="0" w:type="auto"/>
            <w:gridSpan w:val="3"/>
            <w:shd w:val="clear" w:color="auto" w:fill="auto"/>
            <w:tcMar>
              <w:top w:w="40" w:type="dxa"/>
              <w:left w:w="20" w:type="dxa"/>
              <w:bottom w:w="40" w:type="dxa"/>
              <w:right w:w="20" w:type="dxa"/>
            </w:tcMar>
            <w:vAlign w:val="center"/>
          </w:tcPr>
          <w:p w14:paraId="5DEC6A72" w14:textId="77777777" w:rsidR="00B1578D" w:rsidRDefault="004D2C04">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auto"/>
            <w:tcMar>
              <w:top w:w="0" w:type="dxa"/>
              <w:left w:w="20" w:type="dxa"/>
              <w:bottom w:w="0" w:type="dxa"/>
              <w:right w:w="20" w:type="dxa"/>
            </w:tcMar>
            <w:vAlign w:val="bottom"/>
          </w:tcPr>
          <w:p w14:paraId="5DEC6A73"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A7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A75" w14:textId="77777777" w:rsidR="00B1578D" w:rsidRDefault="00B1578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A76" w14:textId="77777777" w:rsidR="00B1578D" w:rsidRDefault="00B1578D">
            <w:pPr>
              <w:rPr>
                <w:rFonts w:ascii="宋体"/>
              </w:rPr>
            </w:pPr>
          </w:p>
        </w:tc>
        <w:tc>
          <w:tcPr>
            <w:tcW w:w="0" w:type="auto"/>
            <w:shd w:val="clear" w:color="auto" w:fill="auto"/>
            <w:vAlign w:val="bottom"/>
          </w:tcPr>
          <w:p w14:paraId="5DEC6A77" w14:textId="77777777" w:rsidR="00B1578D" w:rsidRDefault="00B1578D">
            <w:pPr>
              <w:rPr>
                <w:rFonts w:ascii="宋体"/>
                <w:vanish/>
              </w:rPr>
            </w:pPr>
          </w:p>
        </w:tc>
        <w:tc>
          <w:tcPr>
            <w:tcW w:w="0" w:type="auto"/>
            <w:shd w:val="clear" w:color="auto" w:fill="auto"/>
            <w:vAlign w:val="bottom"/>
          </w:tcPr>
          <w:p w14:paraId="5DEC6A78" w14:textId="77777777" w:rsidR="00B1578D" w:rsidRDefault="00B1578D">
            <w:pPr>
              <w:rPr>
                <w:rFonts w:ascii="宋体"/>
                <w:vanish/>
              </w:rPr>
            </w:pPr>
          </w:p>
        </w:tc>
        <w:tc>
          <w:tcPr>
            <w:tcW w:w="0" w:type="auto"/>
            <w:gridSpan w:val="3"/>
            <w:shd w:val="clear" w:color="auto" w:fill="auto"/>
            <w:vAlign w:val="bottom"/>
          </w:tcPr>
          <w:p w14:paraId="5DEC6A79" w14:textId="77777777" w:rsidR="00B1578D" w:rsidRDefault="00B1578D">
            <w:pPr>
              <w:rPr>
                <w:rFonts w:ascii="宋体"/>
                <w:vanish/>
              </w:rPr>
            </w:pPr>
          </w:p>
        </w:tc>
        <w:tc>
          <w:tcPr>
            <w:tcW w:w="0" w:type="auto"/>
            <w:gridSpan w:val="3"/>
            <w:shd w:val="clear" w:color="auto" w:fill="auto"/>
            <w:vAlign w:val="bottom"/>
          </w:tcPr>
          <w:p w14:paraId="5DEC6A7A" w14:textId="77777777" w:rsidR="00B1578D" w:rsidRDefault="00B1578D">
            <w:pPr>
              <w:rPr>
                <w:rFonts w:ascii="宋体"/>
                <w:vanish/>
              </w:rPr>
            </w:pPr>
          </w:p>
        </w:tc>
      </w:tr>
      <w:tr w:rsidR="00B1578D" w14:paraId="5DEC6A89" w14:textId="77777777">
        <w:trPr>
          <w:jc w:val="center"/>
        </w:trPr>
        <w:tc>
          <w:tcPr>
            <w:tcW w:w="0" w:type="auto"/>
            <w:gridSpan w:val="3"/>
            <w:shd w:val="clear" w:color="auto" w:fill="CCEEFF"/>
            <w:tcMar>
              <w:top w:w="40" w:type="dxa"/>
              <w:left w:w="245" w:type="dxa"/>
              <w:bottom w:w="40" w:type="dxa"/>
              <w:right w:w="20" w:type="dxa"/>
            </w:tcMar>
            <w:vAlign w:val="center"/>
          </w:tcPr>
          <w:p w14:paraId="5DEC6A7C"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5DEC6A7D"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A7E"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A7F" w14:textId="77777777" w:rsidR="00B1578D" w:rsidRDefault="004D2C04">
            <w:pPr>
              <w:jc w:val="right"/>
              <w:textAlignment w:val="center"/>
            </w:pPr>
            <w:r>
              <w:rPr>
                <w:rFonts w:ascii="Times New Roman" w:eastAsia="宋体" w:hAnsi="Times New Roman"/>
                <w:color w:val="000000"/>
                <w:sz w:val="16"/>
                <w:szCs w:val="16"/>
              </w:rPr>
              <w:t>19,621 </w:t>
            </w:r>
          </w:p>
        </w:tc>
        <w:tc>
          <w:tcPr>
            <w:tcW w:w="0" w:type="auto"/>
            <w:shd w:val="clear" w:color="auto" w:fill="CCEEFF"/>
            <w:tcMar>
              <w:top w:w="40" w:type="dxa"/>
              <w:left w:w="0" w:type="dxa"/>
              <w:bottom w:w="40" w:type="dxa"/>
              <w:right w:w="20" w:type="dxa"/>
            </w:tcMar>
            <w:vAlign w:val="center"/>
          </w:tcPr>
          <w:p w14:paraId="5DEC6A8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A81" w14:textId="77777777" w:rsidR="00B1578D" w:rsidRDefault="00B1578D">
            <w:pPr>
              <w:rPr>
                <w:rFonts w:ascii="宋体"/>
              </w:rPr>
            </w:pPr>
          </w:p>
        </w:tc>
        <w:tc>
          <w:tcPr>
            <w:tcW w:w="0" w:type="auto"/>
            <w:shd w:val="clear" w:color="auto" w:fill="CCEEFF"/>
            <w:tcMar>
              <w:top w:w="40" w:type="dxa"/>
              <w:left w:w="20" w:type="dxa"/>
              <w:bottom w:w="40" w:type="dxa"/>
              <w:right w:w="0" w:type="dxa"/>
            </w:tcMar>
            <w:vAlign w:val="center"/>
          </w:tcPr>
          <w:p w14:paraId="5DEC6A82"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A83" w14:textId="77777777" w:rsidR="00B1578D" w:rsidRDefault="004D2C04">
            <w:pPr>
              <w:jc w:val="right"/>
              <w:textAlignment w:val="center"/>
            </w:pPr>
            <w:r>
              <w:rPr>
                <w:rFonts w:ascii="Times New Roman" w:eastAsia="宋体" w:hAnsi="Times New Roman"/>
                <w:color w:val="000000"/>
                <w:sz w:val="16"/>
                <w:szCs w:val="16"/>
              </w:rPr>
              <w:t>16,692 </w:t>
            </w:r>
          </w:p>
        </w:tc>
        <w:tc>
          <w:tcPr>
            <w:tcW w:w="0" w:type="auto"/>
            <w:shd w:val="clear" w:color="auto" w:fill="CCEEFF"/>
            <w:tcMar>
              <w:top w:w="40" w:type="dxa"/>
              <w:left w:w="0" w:type="dxa"/>
              <w:bottom w:w="40" w:type="dxa"/>
              <w:right w:w="20" w:type="dxa"/>
            </w:tcMar>
            <w:vAlign w:val="center"/>
          </w:tcPr>
          <w:p w14:paraId="5DEC6A84" w14:textId="77777777" w:rsidR="00B1578D" w:rsidRDefault="00B1578D">
            <w:pPr>
              <w:jc w:val="right"/>
              <w:rPr>
                <w:rFonts w:ascii="宋体"/>
              </w:rPr>
            </w:pPr>
          </w:p>
        </w:tc>
        <w:tc>
          <w:tcPr>
            <w:tcW w:w="0" w:type="auto"/>
            <w:shd w:val="clear" w:color="auto" w:fill="auto"/>
            <w:vAlign w:val="bottom"/>
          </w:tcPr>
          <w:p w14:paraId="5DEC6A85" w14:textId="77777777" w:rsidR="00B1578D" w:rsidRDefault="00B1578D">
            <w:pPr>
              <w:rPr>
                <w:rFonts w:ascii="宋体"/>
                <w:vanish/>
              </w:rPr>
            </w:pPr>
          </w:p>
        </w:tc>
        <w:tc>
          <w:tcPr>
            <w:tcW w:w="0" w:type="auto"/>
            <w:shd w:val="clear" w:color="auto" w:fill="auto"/>
            <w:vAlign w:val="bottom"/>
          </w:tcPr>
          <w:p w14:paraId="5DEC6A86" w14:textId="77777777" w:rsidR="00B1578D" w:rsidRDefault="00B1578D">
            <w:pPr>
              <w:rPr>
                <w:rFonts w:ascii="宋体"/>
                <w:vanish/>
              </w:rPr>
            </w:pPr>
          </w:p>
        </w:tc>
        <w:tc>
          <w:tcPr>
            <w:tcW w:w="0" w:type="auto"/>
            <w:gridSpan w:val="3"/>
            <w:shd w:val="clear" w:color="auto" w:fill="auto"/>
            <w:vAlign w:val="bottom"/>
          </w:tcPr>
          <w:p w14:paraId="5DEC6A87" w14:textId="77777777" w:rsidR="00B1578D" w:rsidRDefault="00B1578D">
            <w:pPr>
              <w:rPr>
                <w:rFonts w:ascii="宋体"/>
                <w:vanish/>
              </w:rPr>
            </w:pPr>
          </w:p>
        </w:tc>
        <w:tc>
          <w:tcPr>
            <w:tcW w:w="0" w:type="auto"/>
            <w:gridSpan w:val="3"/>
            <w:shd w:val="clear" w:color="auto" w:fill="auto"/>
            <w:vAlign w:val="bottom"/>
          </w:tcPr>
          <w:p w14:paraId="5DEC6A88" w14:textId="77777777" w:rsidR="00B1578D" w:rsidRDefault="00B1578D">
            <w:pPr>
              <w:rPr>
                <w:rFonts w:ascii="宋体"/>
                <w:vanish/>
              </w:rPr>
            </w:pPr>
          </w:p>
        </w:tc>
      </w:tr>
      <w:tr w:rsidR="00B1578D" w14:paraId="5DEC6A95" w14:textId="77777777">
        <w:trPr>
          <w:jc w:val="center"/>
        </w:trPr>
        <w:tc>
          <w:tcPr>
            <w:tcW w:w="0" w:type="auto"/>
            <w:gridSpan w:val="3"/>
            <w:shd w:val="clear" w:color="auto" w:fill="FFFFFF"/>
            <w:tcMar>
              <w:top w:w="40" w:type="dxa"/>
              <w:left w:w="245" w:type="dxa"/>
              <w:bottom w:w="40" w:type="dxa"/>
              <w:right w:w="20" w:type="dxa"/>
            </w:tcMar>
            <w:vAlign w:val="center"/>
          </w:tcPr>
          <w:p w14:paraId="5DEC6A8A" w14:textId="77777777" w:rsidR="00B1578D" w:rsidRDefault="004D2C04">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5DEC6A8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8C" w14:textId="77777777" w:rsidR="00B1578D" w:rsidRDefault="004D2C04">
            <w:pPr>
              <w:jc w:val="right"/>
              <w:textAlignment w:val="center"/>
            </w:pPr>
            <w:r>
              <w:rPr>
                <w:rFonts w:ascii="Times New Roman" w:eastAsia="宋体" w:hAnsi="Times New Roman"/>
                <w:color w:val="000000"/>
                <w:sz w:val="16"/>
                <w:szCs w:val="16"/>
              </w:rPr>
              <w:t>17.5 </w:t>
            </w:r>
          </w:p>
        </w:tc>
        <w:tc>
          <w:tcPr>
            <w:tcW w:w="0" w:type="auto"/>
            <w:shd w:val="clear" w:color="auto" w:fill="FFFFFF"/>
            <w:tcMar>
              <w:top w:w="40" w:type="dxa"/>
              <w:left w:w="0" w:type="dxa"/>
              <w:bottom w:w="40" w:type="dxa"/>
              <w:right w:w="20" w:type="dxa"/>
            </w:tcMar>
            <w:vAlign w:val="center"/>
          </w:tcPr>
          <w:p w14:paraId="5DEC6A8D"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5DEC6A8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8F" w14:textId="77777777" w:rsidR="00B1578D" w:rsidRDefault="004D2C04">
            <w:pPr>
              <w:jc w:val="right"/>
              <w:textAlignment w:val="center"/>
            </w:pPr>
            <w:r>
              <w:rPr>
                <w:rFonts w:ascii="Times New Roman" w:eastAsia="宋体" w:hAnsi="Times New Roman"/>
                <w:color w:val="000000"/>
                <w:sz w:val="16"/>
                <w:szCs w:val="16"/>
              </w:rPr>
              <w:t>10.1 </w:t>
            </w:r>
          </w:p>
        </w:tc>
        <w:tc>
          <w:tcPr>
            <w:tcW w:w="0" w:type="auto"/>
            <w:shd w:val="clear" w:color="auto" w:fill="FFFFFF"/>
            <w:tcMar>
              <w:top w:w="40" w:type="dxa"/>
              <w:left w:w="0" w:type="dxa"/>
              <w:bottom w:w="40" w:type="dxa"/>
              <w:right w:w="20" w:type="dxa"/>
            </w:tcMar>
            <w:vAlign w:val="center"/>
          </w:tcPr>
          <w:p w14:paraId="5DEC6A90"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A91" w14:textId="77777777" w:rsidR="00B1578D" w:rsidRDefault="00B1578D">
            <w:pPr>
              <w:rPr>
                <w:rFonts w:ascii="宋体"/>
                <w:vanish/>
              </w:rPr>
            </w:pPr>
          </w:p>
        </w:tc>
        <w:tc>
          <w:tcPr>
            <w:tcW w:w="0" w:type="auto"/>
            <w:shd w:val="clear" w:color="auto" w:fill="auto"/>
            <w:vAlign w:val="bottom"/>
          </w:tcPr>
          <w:p w14:paraId="5DEC6A92" w14:textId="77777777" w:rsidR="00B1578D" w:rsidRDefault="00B1578D">
            <w:pPr>
              <w:rPr>
                <w:rFonts w:ascii="宋体"/>
                <w:vanish/>
              </w:rPr>
            </w:pPr>
          </w:p>
        </w:tc>
        <w:tc>
          <w:tcPr>
            <w:tcW w:w="0" w:type="auto"/>
            <w:gridSpan w:val="3"/>
            <w:shd w:val="clear" w:color="auto" w:fill="auto"/>
            <w:vAlign w:val="bottom"/>
          </w:tcPr>
          <w:p w14:paraId="5DEC6A93" w14:textId="77777777" w:rsidR="00B1578D" w:rsidRDefault="00B1578D">
            <w:pPr>
              <w:rPr>
                <w:rFonts w:ascii="宋体"/>
                <w:vanish/>
              </w:rPr>
            </w:pPr>
          </w:p>
        </w:tc>
        <w:tc>
          <w:tcPr>
            <w:tcW w:w="0" w:type="auto"/>
            <w:gridSpan w:val="3"/>
            <w:shd w:val="clear" w:color="auto" w:fill="auto"/>
            <w:vAlign w:val="bottom"/>
          </w:tcPr>
          <w:p w14:paraId="5DEC6A94" w14:textId="77777777" w:rsidR="00B1578D" w:rsidRDefault="00B1578D">
            <w:pPr>
              <w:rPr>
                <w:rFonts w:ascii="宋体"/>
                <w:vanish/>
              </w:rPr>
            </w:pPr>
          </w:p>
        </w:tc>
      </w:tr>
      <w:tr w:rsidR="00B1578D" w14:paraId="5DEC6AA1" w14:textId="77777777">
        <w:trPr>
          <w:jc w:val="center"/>
        </w:trPr>
        <w:tc>
          <w:tcPr>
            <w:tcW w:w="0" w:type="auto"/>
            <w:gridSpan w:val="3"/>
            <w:shd w:val="clear" w:color="auto" w:fill="CCEEFF"/>
            <w:tcMar>
              <w:top w:w="40" w:type="dxa"/>
              <w:left w:w="245" w:type="dxa"/>
              <w:bottom w:w="40" w:type="dxa"/>
              <w:right w:w="20" w:type="dxa"/>
            </w:tcMar>
            <w:vAlign w:val="center"/>
          </w:tcPr>
          <w:p w14:paraId="5DEC6A96" w14:textId="77777777" w:rsidR="00B1578D" w:rsidRDefault="004D2C04">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5DEC6A9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98" w14:textId="77777777" w:rsidR="00B1578D" w:rsidRDefault="004D2C04">
            <w:pPr>
              <w:jc w:val="right"/>
              <w:textAlignment w:val="center"/>
            </w:pPr>
            <w:r>
              <w:rPr>
                <w:rFonts w:ascii="Times New Roman" w:eastAsia="宋体" w:hAnsi="Times New Roman"/>
                <w:color w:val="000000"/>
                <w:sz w:val="16"/>
                <w:szCs w:val="16"/>
              </w:rPr>
              <w:t>17.4 </w:t>
            </w:r>
          </w:p>
        </w:tc>
        <w:tc>
          <w:tcPr>
            <w:tcW w:w="0" w:type="auto"/>
            <w:shd w:val="clear" w:color="auto" w:fill="CCEEFF"/>
            <w:tcMar>
              <w:top w:w="40" w:type="dxa"/>
              <w:left w:w="0" w:type="dxa"/>
              <w:bottom w:w="40" w:type="dxa"/>
              <w:right w:w="20" w:type="dxa"/>
            </w:tcMar>
            <w:vAlign w:val="center"/>
          </w:tcPr>
          <w:p w14:paraId="5DEC6A99"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A9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9B" w14:textId="77777777" w:rsidR="00B1578D" w:rsidRDefault="004D2C04">
            <w:pPr>
              <w:jc w:val="right"/>
              <w:textAlignment w:val="center"/>
            </w:pPr>
            <w:r>
              <w:rPr>
                <w:rFonts w:ascii="Times New Roman" w:eastAsia="宋体" w:hAnsi="Times New Roman"/>
                <w:color w:val="000000"/>
                <w:sz w:val="16"/>
                <w:szCs w:val="16"/>
              </w:rPr>
              <w:t>10.1 </w:t>
            </w:r>
          </w:p>
        </w:tc>
        <w:tc>
          <w:tcPr>
            <w:tcW w:w="0" w:type="auto"/>
            <w:shd w:val="clear" w:color="auto" w:fill="CCEEFF"/>
            <w:tcMar>
              <w:top w:w="40" w:type="dxa"/>
              <w:left w:w="0" w:type="dxa"/>
              <w:bottom w:w="40" w:type="dxa"/>
              <w:right w:w="20" w:type="dxa"/>
            </w:tcMar>
            <w:vAlign w:val="center"/>
          </w:tcPr>
          <w:p w14:paraId="5DEC6A9C"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A9D" w14:textId="77777777" w:rsidR="00B1578D" w:rsidRDefault="00B1578D">
            <w:pPr>
              <w:rPr>
                <w:rFonts w:ascii="宋体"/>
                <w:vanish/>
              </w:rPr>
            </w:pPr>
          </w:p>
        </w:tc>
        <w:tc>
          <w:tcPr>
            <w:tcW w:w="0" w:type="auto"/>
            <w:shd w:val="clear" w:color="auto" w:fill="auto"/>
            <w:vAlign w:val="bottom"/>
          </w:tcPr>
          <w:p w14:paraId="5DEC6A9E" w14:textId="77777777" w:rsidR="00B1578D" w:rsidRDefault="00B1578D">
            <w:pPr>
              <w:rPr>
                <w:rFonts w:ascii="宋体"/>
                <w:vanish/>
              </w:rPr>
            </w:pPr>
          </w:p>
        </w:tc>
        <w:tc>
          <w:tcPr>
            <w:tcW w:w="0" w:type="auto"/>
            <w:gridSpan w:val="3"/>
            <w:shd w:val="clear" w:color="auto" w:fill="auto"/>
            <w:vAlign w:val="bottom"/>
          </w:tcPr>
          <w:p w14:paraId="5DEC6A9F" w14:textId="77777777" w:rsidR="00B1578D" w:rsidRDefault="00B1578D">
            <w:pPr>
              <w:rPr>
                <w:rFonts w:ascii="宋体"/>
                <w:vanish/>
              </w:rPr>
            </w:pPr>
          </w:p>
        </w:tc>
        <w:tc>
          <w:tcPr>
            <w:tcW w:w="0" w:type="auto"/>
            <w:gridSpan w:val="3"/>
            <w:shd w:val="clear" w:color="auto" w:fill="auto"/>
            <w:vAlign w:val="bottom"/>
          </w:tcPr>
          <w:p w14:paraId="5DEC6AA0" w14:textId="77777777" w:rsidR="00B1578D" w:rsidRDefault="00B1578D">
            <w:pPr>
              <w:rPr>
                <w:rFonts w:ascii="宋体"/>
                <w:vanish/>
              </w:rPr>
            </w:pPr>
          </w:p>
        </w:tc>
      </w:tr>
      <w:tr w:rsidR="00B1578D" w14:paraId="5DEC6AAF" w14:textId="77777777">
        <w:trPr>
          <w:jc w:val="center"/>
        </w:trPr>
        <w:tc>
          <w:tcPr>
            <w:tcW w:w="0" w:type="auto"/>
            <w:gridSpan w:val="3"/>
            <w:shd w:val="clear" w:color="auto" w:fill="FFFFFF"/>
            <w:tcMar>
              <w:top w:w="40" w:type="dxa"/>
              <w:left w:w="245" w:type="dxa"/>
              <w:bottom w:w="40" w:type="dxa"/>
              <w:right w:w="20" w:type="dxa"/>
            </w:tcMar>
            <w:vAlign w:val="center"/>
          </w:tcPr>
          <w:p w14:paraId="5DEC6AA2" w14:textId="77777777" w:rsidR="00B1578D" w:rsidRDefault="004D2C04">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5DEC6AA3"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AA4"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AA5" w14:textId="77777777" w:rsidR="00B1578D" w:rsidRDefault="004D2C04">
            <w:pPr>
              <w:jc w:val="right"/>
              <w:textAlignment w:val="center"/>
            </w:pPr>
            <w:r>
              <w:rPr>
                <w:rFonts w:ascii="Times New Roman" w:eastAsia="宋体" w:hAnsi="Times New Roman"/>
                <w:color w:val="000000"/>
                <w:sz w:val="16"/>
                <w:szCs w:val="16"/>
              </w:rPr>
              <w:t>460 </w:t>
            </w:r>
          </w:p>
        </w:tc>
        <w:tc>
          <w:tcPr>
            <w:tcW w:w="0" w:type="auto"/>
            <w:shd w:val="clear" w:color="auto" w:fill="FFFFFF"/>
            <w:tcMar>
              <w:top w:w="40" w:type="dxa"/>
              <w:left w:w="0" w:type="dxa"/>
              <w:bottom w:w="40" w:type="dxa"/>
              <w:right w:w="20" w:type="dxa"/>
            </w:tcMar>
            <w:vAlign w:val="center"/>
          </w:tcPr>
          <w:p w14:paraId="5DEC6AA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AA7"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AA8"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AA9" w14:textId="77777777" w:rsidR="00B1578D" w:rsidRDefault="004D2C04">
            <w:pPr>
              <w:jc w:val="right"/>
              <w:textAlignment w:val="center"/>
            </w:pPr>
            <w:r>
              <w:rPr>
                <w:rFonts w:ascii="Times New Roman" w:eastAsia="宋体" w:hAnsi="Times New Roman"/>
                <w:color w:val="000000"/>
                <w:sz w:val="16"/>
                <w:szCs w:val="16"/>
              </w:rPr>
              <w:t>575 </w:t>
            </w:r>
          </w:p>
        </w:tc>
        <w:tc>
          <w:tcPr>
            <w:tcW w:w="0" w:type="auto"/>
            <w:shd w:val="clear" w:color="auto" w:fill="FFFFFF"/>
            <w:tcMar>
              <w:top w:w="40" w:type="dxa"/>
              <w:left w:w="0" w:type="dxa"/>
              <w:bottom w:w="40" w:type="dxa"/>
              <w:right w:w="20" w:type="dxa"/>
            </w:tcMar>
            <w:vAlign w:val="center"/>
          </w:tcPr>
          <w:p w14:paraId="5DEC6AAA" w14:textId="77777777" w:rsidR="00B1578D" w:rsidRDefault="00B1578D">
            <w:pPr>
              <w:jc w:val="right"/>
              <w:rPr>
                <w:rFonts w:ascii="宋体"/>
              </w:rPr>
            </w:pPr>
          </w:p>
        </w:tc>
        <w:tc>
          <w:tcPr>
            <w:tcW w:w="0" w:type="auto"/>
            <w:shd w:val="clear" w:color="auto" w:fill="auto"/>
            <w:vAlign w:val="bottom"/>
          </w:tcPr>
          <w:p w14:paraId="5DEC6AAB" w14:textId="77777777" w:rsidR="00B1578D" w:rsidRDefault="00B1578D">
            <w:pPr>
              <w:rPr>
                <w:rFonts w:ascii="宋体"/>
                <w:vanish/>
              </w:rPr>
            </w:pPr>
          </w:p>
        </w:tc>
        <w:tc>
          <w:tcPr>
            <w:tcW w:w="0" w:type="auto"/>
            <w:shd w:val="clear" w:color="auto" w:fill="auto"/>
            <w:vAlign w:val="bottom"/>
          </w:tcPr>
          <w:p w14:paraId="5DEC6AAC" w14:textId="77777777" w:rsidR="00B1578D" w:rsidRDefault="00B1578D">
            <w:pPr>
              <w:rPr>
                <w:rFonts w:ascii="宋体"/>
                <w:vanish/>
              </w:rPr>
            </w:pPr>
          </w:p>
        </w:tc>
        <w:tc>
          <w:tcPr>
            <w:tcW w:w="0" w:type="auto"/>
            <w:gridSpan w:val="3"/>
            <w:shd w:val="clear" w:color="auto" w:fill="auto"/>
            <w:vAlign w:val="bottom"/>
          </w:tcPr>
          <w:p w14:paraId="5DEC6AAD" w14:textId="77777777" w:rsidR="00B1578D" w:rsidRDefault="00B1578D">
            <w:pPr>
              <w:rPr>
                <w:rFonts w:ascii="宋体"/>
                <w:vanish/>
              </w:rPr>
            </w:pPr>
          </w:p>
        </w:tc>
        <w:tc>
          <w:tcPr>
            <w:tcW w:w="0" w:type="auto"/>
            <w:gridSpan w:val="3"/>
            <w:shd w:val="clear" w:color="auto" w:fill="auto"/>
            <w:vAlign w:val="bottom"/>
          </w:tcPr>
          <w:p w14:paraId="5DEC6AAE" w14:textId="77777777" w:rsidR="00B1578D" w:rsidRDefault="00B1578D">
            <w:pPr>
              <w:rPr>
                <w:rFonts w:ascii="宋体"/>
                <w:vanish/>
              </w:rPr>
            </w:pPr>
          </w:p>
        </w:tc>
      </w:tr>
      <w:tr w:rsidR="00B1578D" w14:paraId="5DEC6ABB" w14:textId="77777777">
        <w:trPr>
          <w:jc w:val="center"/>
        </w:trPr>
        <w:tc>
          <w:tcPr>
            <w:tcW w:w="0" w:type="auto"/>
            <w:gridSpan w:val="3"/>
            <w:shd w:val="clear" w:color="auto" w:fill="CCEEFF"/>
            <w:tcMar>
              <w:top w:w="40" w:type="dxa"/>
              <w:left w:w="245" w:type="dxa"/>
              <w:bottom w:w="40" w:type="dxa"/>
              <w:right w:w="20" w:type="dxa"/>
            </w:tcMar>
            <w:vAlign w:val="center"/>
          </w:tcPr>
          <w:p w14:paraId="5DEC6AB0" w14:textId="77777777" w:rsidR="00B1578D" w:rsidRDefault="004D2C04">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5DEC6AB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B2" w14:textId="77777777" w:rsidR="00B1578D" w:rsidRDefault="004D2C04">
            <w:pPr>
              <w:jc w:val="right"/>
              <w:textAlignment w:val="center"/>
            </w:pPr>
            <w:r>
              <w:rPr>
                <w:rFonts w:ascii="Times New Roman" w:eastAsia="宋体" w:hAnsi="Times New Roman"/>
                <w:color w:val="000000"/>
                <w:sz w:val="16"/>
                <w:szCs w:val="16"/>
              </w:rPr>
              <w:t>2.3 </w:t>
            </w:r>
          </w:p>
        </w:tc>
        <w:tc>
          <w:tcPr>
            <w:tcW w:w="0" w:type="auto"/>
            <w:shd w:val="clear" w:color="auto" w:fill="CCEEFF"/>
            <w:tcMar>
              <w:top w:w="40" w:type="dxa"/>
              <w:left w:w="0" w:type="dxa"/>
              <w:bottom w:w="40" w:type="dxa"/>
              <w:right w:w="20" w:type="dxa"/>
            </w:tcMar>
            <w:vAlign w:val="center"/>
          </w:tcPr>
          <w:p w14:paraId="5DEC6AB3"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AB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B5" w14:textId="77777777" w:rsidR="00B1578D" w:rsidRDefault="004D2C04">
            <w:pPr>
              <w:jc w:val="right"/>
              <w:textAlignment w:val="center"/>
            </w:pPr>
            <w:r>
              <w:rPr>
                <w:rFonts w:ascii="Times New Roman" w:eastAsia="宋体" w:hAnsi="Times New Roman"/>
                <w:color w:val="000000"/>
                <w:sz w:val="16"/>
                <w:szCs w:val="16"/>
              </w:rPr>
              <w:t>3.4 </w:t>
            </w:r>
          </w:p>
        </w:tc>
        <w:tc>
          <w:tcPr>
            <w:tcW w:w="0" w:type="auto"/>
            <w:shd w:val="clear" w:color="auto" w:fill="CCEEFF"/>
            <w:tcMar>
              <w:top w:w="40" w:type="dxa"/>
              <w:left w:w="0" w:type="dxa"/>
              <w:bottom w:w="40" w:type="dxa"/>
              <w:right w:w="20" w:type="dxa"/>
            </w:tcMar>
            <w:vAlign w:val="center"/>
          </w:tcPr>
          <w:p w14:paraId="5DEC6AB6"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AB7" w14:textId="77777777" w:rsidR="00B1578D" w:rsidRDefault="00B1578D">
            <w:pPr>
              <w:rPr>
                <w:rFonts w:ascii="宋体"/>
                <w:vanish/>
              </w:rPr>
            </w:pPr>
          </w:p>
        </w:tc>
        <w:tc>
          <w:tcPr>
            <w:tcW w:w="0" w:type="auto"/>
            <w:shd w:val="clear" w:color="auto" w:fill="auto"/>
            <w:vAlign w:val="bottom"/>
          </w:tcPr>
          <w:p w14:paraId="5DEC6AB8" w14:textId="77777777" w:rsidR="00B1578D" w:rsidRDefault="00B1578D">
            <w:pPr>
              <w:rPr>
                <w:rFonts w:ascii="宋体"/>
                <w:vanish/>
              </w:rPr>
            </w:pPr>
          </w:p>
        </w:tc>
        <w:tc>
          <w:tcPr>
            <w:tcW w:w="0" w:type="auto"/>
            <w:gridSpan w:val="3"/>
            <w:shd w:val="clear" w:color="auto" w:fill="auto"/>
            <w:vAlign w:val="bottom"/>
          </w:tcPr>
          <w:p w14:paraId="5DEC6AB9" w14:textId="77777777" w:rsidR="00B1578D" w:rsidRDefault="00B1578D">
            <w:pPr>
              <w:rPr>
                <w:rFonts w:ascii="宋体"/>
                <w:vanish/>
              </w:rPr>
            </w:pPr>
          </w:p>
        </w:tc>
        <w:tc>
          <w:tcPr>
            <w:tcW w:w="0" w:type="auto"/>
            <w:gridSpan w:val="3"/>
            <w:shd w:val="clear" w:color="auto" w:fill="auto"/>
            <w:vAlign w:val="bottom"/>
          </w:tcPr>
          <w:p w14:paraId="5DEC6ABA" w14:textId="77777777" w:rsidR="00B1578D" w:rsidRDefault="00B1578D">
            <w:pPr>
              <w:rPr>
                <w:rFonts w:ascii="宋体"/>
                <w:vanish/>
              </w:rPr>
            </w:pPr>
          </w:p>
        </w:tc>
      </w:tr>
      <w:tr w:rsidR="00B1578D" w14:paraId="5DEC6AC7" w14:textId="77777777">
        <w:trPr>
          <w:jc w:val="center"/>
        </w:trPr>
        <w:tc>
          <w:tcPr>
            <w:tcW w:w="0" w:type="auto"/>
            <w:gridSpan w:val="3"/>
            <w:shd w:val="clear" w:color="auto" w:fill="FFFFFF"/>
            <w:tcMar>
              <w:top w:w="40" w:type="dxa"/>
              <w:left w:w="245" w:type="dxa"/>
              <w:bottom w:w="40" w:type="dxa"/>
              <w:right w:w="20" w:type="dxa"/>
            </w:tcMar>
            <w:vAlign w:val="center"/>
          </w:tcPr>
          <w:p w14:paraId="5DEC6ABC" w14:textId="77777777" w:rsidR="00B1578D" w:rsidRDefault="004D2C04">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5DEC6ABD"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BE" w14:textId="77777777" w:rsidR="00B1578D" w:rsidRDefault="004D2C04">
            <w:pPr>
              <w:jc w:val="right"/>
              <w:textAlignment w:val="center"/>
            </w:pPr>
            <w:r>
              <w:rPr>
                <w:rFonts w:ascii="Times New Roman" w:eastAsia="宋体" w:hAnsi="Times New Roman"/>
                <w:color w:val="000000"/>
                <w:sz w:val="16"/>
                <w:szCs w:val="16"/>
              </w:rPr>
              <w:t>600 </w:t>
            </w:r>
          </w:p>
        </w:tc>
        <w:tc>
          <w:tcPr>
            <w:tcW w:w="0" w:type="auto"/>
            <w:shd w:val="clear" w:color="auto" w:fill="FFFFFF"/>
            <w:tcMar>
              <w:top w:w="40" w:type="dxa"/>
              <w:left w:w="0" w:type="dxa"/>
              <w:bottom w:w="40" w:type="dxa"/>
              <w:right w:w="20" w:type="dxa"/>
            </w:tcMar>
            <w:vAlign w:val="center"/>
          </w:tcPr>
          <w:p w14:paraId="5DEC6ABF"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AC0"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AC1" w14:textId="77777777" w:rsidR="00B1578D" w:rsidRDefault="004D2C04">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5DEC6AC2" w14:textId="77777777" w:rsidR="00B1578D" w:rsidRDefault="00B1578D">
            <w:pPr>
              <w:jc w:val="right"/>
              <w:rPr>
                <w:rFonts w:ascii="宋体"/>
              </w:rPr>
            </w:pPr>
          </w:p>
        </w:tc>
        <w:tc>
          <w:tcPr>
            <w:tcW w:w="0" w:type="auto"/>
            <w:shd w:val="clear" w:color="auto" w:fill="auto"/>
            <w:vAlign w:val="bottom"/>
          </w:tcPr>
          <w:p w14:paraId="5DEC6AC3" w14:textId="77777777" w:rsidR="00B1578D" w:rsidRDefault="00B1578D">
            <w:pPr>
              <w:rPr>
                <w:rFonts w:ascii="宋体"/>
                <w:vanish/>
              </w:rPr>
            </w:pPr>
          </w:p>
        </w:tc>
        <w:tc>
          <w:tcPr>
            <w:tcW w:w="0" w:type="auto"/>
            <w:shd w:val="clear" w:color="auto" w:fill="auto"/>
            <w:vAlign w:val="bottom"/>
          </w:tcPr>
          <w:p w14:paraId="5DEC6AC4" w14:textId="77777777" w:rsidR="00B1578D" w:rsidRDefault="00B1578D">
            <w:pPr>
              <w:rPr>
                <w:rFonts w:ascii="宋体"/>
                <w:vanish/>
              </w:rPr>
            </w:pPr>
          </w:p>
        </w:tc>
        <w:tc>
          <w:tcPr>
            <w:tcW w:w="0" w:type="auto"/>
            <w:gridSpan w:val="3"/>
            <w:shd w:val="clear" w:color="auto" w:fill="auto"/>
            <w:vAlign w:val="bottom"/>
          </w:tcPr>
          <w:p w14:paraId="5DEC6AC5" w14:textId="77777777" w:rsidR="00B1578D" w:rsidRDefault="00B1578D">
            <w:pPr>
              <w:rPr>
                <w:rFonts w:ascii="宋体"/>
                <w:vanish/>
              </w:rPr>
            </w:pPr>
          </w:p>
        </w:tc>
        <w:tc>
          <w:tcPr>
            <w:tcW w:w="0" w:type="auto"/>
            <w:gridSpan w:val="3"/>
            <w:shd w:val="clear" w:color="auto" w:fill="auto"/>
            <w:vAlign w:val="bottom"/>
          </w:tcPr>
          <w:p w14:paraId="5DEC6AC6" w14:textId="77777777" w:rsidR="00B1578D" w:rsidRDefault="00B1578D">
            <w:pPr>
              <w:rPr>
                <w:rFonts w:ascii="宋体"/>
                <w:vanish/>
              </w:rPr>
            </w:pPr>
          </w:p>
        </w:tc>
      </w:tr>
      <w:tr w:rsidR="00B1578D" w14:paraId="5DEC6AD3" w14:textId="77777777">
        <w:trPr>
          <w:jc w:val="center"/>
        </w:trPr>
        <w:tc>
          <w:tcPr>
            <w:tcW w:w="0" w:type="auto"/>
            <w:gridSpan w:val="3"/>
            <w:shd w:val="clear" w:color="auto" w:fill="CCEEFF"/>
            <w:tcMar>
              <w:top w:w="40" w:type="dxa"/>
              <w:left w:w="245" w:type="dxa"/>
              <w:bottom w:w="40" w:type="dxa"/>
              <w:right w:w="20" w:type="dxa"/>
            </w:tcMar>
            <w:vAlign w:val="center"/>
          </w:tcPr>
          <w:p w14:paraId="5DEC6AC8" w14:textId="77777777" w:rsidR="00B1578D" w:rsidRDefault="004D2C04">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5DEC6AC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CA" w14:textId="77777777" w:rsidR="00B1578D" w:rsidRDefault="004D2C04">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5DEC6AC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AC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CD" w14:textId="77777777" w:rsidR="00B1578D" w:rsidRDefault="004D2C04">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5DEC6ACE" w14:textId="77777777" w:rsidR="00B1578D" w:rsidRDefault="00B1578D">
            <w:pPr>
              <w:jc w:val="right"/>
              <w:rPr>
                <w:rFonts w:ascii="宋体"/>
              </w:rPr>
            </w:pPr>
          </w:p>
        </w:tc>
        <w:tc>
          <w:tcPr>
            <w:tcW w:w="0" w:type="auto"/>
            <w:shd w:val="clear" w:color="auto" w:fill="auto"/>
            <w:vAlign w:val="bottom"/>
          </w:tcPr>
          <w:p w14:paraId="5DEC6ACF" w14:textId="77777777" w:rsidR="00B1578D" w:rsidRDefault="00B1578D">
            <w:pPr>
              <w:rPr>
                <w:rFonts w:ascii="宋体"/>
                <w:vanish/>
              </w:rPr>
            </w:pPr>
          </w:p>
        </w:tc>
        <w:tc>
          <w:tcPr>
            <w:tcW w:w="0" w:type="auto"/>
            <w:shd w:val="clear" w:color="auto" w:fill="auto"/>
            <w:vAlign w:val="bottom"/>
          </w:tcPr>
          <w:p w14:paraId="5DEC6AD0" w14:textId="77777777" w:rsidR="00B1578D" w:rsidRDefault="00B1578D">
            <w:pPr>
              <w:rPr>
                <w:rFonts w:ascii="宋体"/>
                <w:vanish/>
              </w:rPr>
            </w:pPr>
          </w:p>
        </w:tc>
        <w:tc>
          <w:tcPr>
            <w:tcW w:w="0" w:type="auto"/>
            <w:gridSpan w:val="3"/>
            <w:shd w:val="clear" w:color="auto" w:fill="auto"/>
            <w:vAlign w:val="bottom"/>
          </w:tcPr>
          <w:p w14:paraId="5DEC6AD1" w14:textId="77777777" w:rsidR="00B1578D" w:rsidRDefault="00B1578D">
            <w:pPr>
              <w:rPr>
                <w:rFonts w:ascii="宋体"/>
                <w:vanish/>
              </w:rPr>
            </w:pPr>
          </w:p>
        </w:tc>
        <w:tc>
          <w:tcPr>
            <w:tcW w:w="0" w:type="auto"/>
            <w:gridSpan w:val="3"/>
            <w:shd w:val="clear" w:color="auto" w:fill="auto"/>
            <w:vAlign w:val="bottom"/>
          </w:tcPr>
          <w:p w14:paraId="5DEC6AD2" w14:textId="77777777" w:rsidR="00B1578D" w:rsidRDefault="00B1578D">
            <w:pPr>
              <w:rPr>
                <w:rFonts w:ascii="宋体"/>
                <w:vanish/>
              </w:rPr>
            </w:pPr>
          </w:p>
        </w:tc>
      </w:tr>
      <w:tr w:rsidR="00B1578D" w14:paraId="5DEC6ADD" w14:textId="77777777">
        <w:trPr>
          <w:trHeight w:val="220"/>
          <w:jc w:val="center"/>
        </w:trPr>
        <w:tc>
          <w:tcPr>
            <w:tcW w:w="0" w:type="auto"/>
            <w:gridSpan w:val="3"/>
            <w:shd w:val="clear" w:color="auto" w:fill="FFFFFF"/>
            <w:tcMar>
              <w:top w:w="0" w:type="dxa"/>
              <w:left w:w="20" w:type="dxa"/>
              <w:bottom w:w="0" w:type="dxa"/>
              <w:right w:w="20" w:type="dxa"/>
            </w:tcMar>
            <w:vAlign w:val="bottom"/>
          </w:tcPr>
          <w:p w14:paraId="5DEC6AD4"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AD5"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AD6"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AD7"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AD8" w14:textId="77777777" w:rsidR="00B1578D" w:rsidRDefault="00B1578D">
            <w:pPr>
              <w:rPr>
                <w:rFonts w:ascii="宋体"/>
              </w:rPr>
            </w:pPr>
          </w:p>
        </w:tc>
        <w:tc>
          <w:tcPr>
            <w:tcW w:w="0" w:type="auto"/>
            <w:shd w:val="clear" w:color="auto" w:fill="auto"/>
            <w:vAlign w:val="bottom"/>
          </w:tcPr>
          <w:p w14:paraId="5DEC6AD9" w14:textId="77777777" w:rsidR="00B1578D" w:rsidRDefault="00B1578D">
            <w:pPr>
              <w:rPr>
                <w:rFonts w:ascii="宋体"/>
                <w:vanish/>
              </w:rPr>
            </w:pPr>
          </w:p>
        </w:tc>
        <w:tc>
          <w:tcPr>
            <w:tcW w:w="0" w:type="auto"/>
            <w:shd w:val="clear" w:color="auto" w:fill="auto"/>
            <w:vAlign w:val="bottom"/>
          </w:tcPr>
          <w:p w14:paraId="5DEC6ADA" w14:textId="77777777" w:rsidR="00B1578D" w:rsidRDefault="00B1578D">
            <w:pPr>
              <w:rPr>
                <w:rFonts w:ascii="宋体"/>
                <w:vanish/>
              </w:rPr>
            </w:pPr>
          </w:p>
        </w:tc>
        <w:tc>
          <w:tcPr>
            <w:tcW w:w="0" w:type="auto"/>
            <w:gridSpan w:val="3"/>
            <w:shd w:val="clear" w:color="auto" w:fill="auto"/>
            <w:vAlign w:val="bottom"/>
          </w:tcPr>
          <w:p w14:paraId="5DEC6ADB" w14:textId="77777777" w:rsidR="00B1578D" w:rsidRDefault="00B1578D">
            <w:pPr>
              <w:rPr>
                <w:rFonts w:ascii="宋体"/>
                <w:vanish/>
              </w:rPr>
            </w:pPr>
          </w:p>
        </w:tc>
        <w:tc>
          <w:tcPr>
            <w:tcW w:w="0" w:type="auto"/>
            <w:gridSpan w:val="3"/>
            <w:shd w:val="clear" w:color="auto" w:fill="auto"/>
            <w:vAlign w:val="bottom"/>
          </w:tcPr>
          <w:p w14:paraId="5DEC6ADC" w14:textId="77777777" w:rsidR="00B1578D" w:rsidRDefault="00B1578D">
            <w:pPr>
              <w:rPr>
                <w:rFonts w:ascii="宋体"/>
                <w:vanish/>
              </w:rPr>
            </w:pPr>
          </w:p>
        </w:tc>
      </w:tr>
      <w:tr w:rsidR="00B1578D" w14:paraId="5DEC6AE7" w14:textId="77777777">
        <w:trPr>
          <w:jc w:val="center"/>
        </w:trPr>
        <w:tc>
          <w:tcPr>
            <w:tcW w:w="0" w:type="auto"/>
            <w:gridSpan w:val="3"/>
            <w:shd w:val="clear" w:color="auto" w:fill="CCEEFF"/>
            <w:tcMar>
              <w:top w:w="40" w:type="dxa"/>
              <w:left w:w="20" w:type="dxa"/>
              <w:bottom w:w="40" w:type="dxa"/>
              <w:right w:w="20" w:type="dxa"/>
            </w:tcMar>
            <w:vAlign w:val="center"/>
          </w:tcPr>
          <w:p w14:paraId="5DEC6ADE" w14:textId="77777777" w:rsidR="00B1578D" w:rsidRDefault="004D2C04">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CCEEFF"/>
            <w:tcMar>
              <w:top w:w="0" w:type="dxa"/>
              <w:left w:w="20" w:type="dxa"/>
              <w:bottom w:w="0" w:type="dxa"/>
              <w:right w:w="20" w:type="dxa"/>
            </w:tcMar>
            <w:vAlign w:val="bottom"/>
          </w:tcPr>
          <w:p w14:paraId="5DEC6ADF"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AE0"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AE1" w14:textId="77777777" w:rsidR="00B1578D" w:rsidRDefault="00B1578D">
            <w:pPr>
              <w:rPr>
                <w:rFonts w:ascii="宋体"/>
              </w:rPr>
            </w:pPr>
          </w:p>
        </w:tc>
        <w:tc>
          <w:tcPr>
            <w:tcW w:w="0" w:type="auto"/>
            <w:gridSpan w:val="3"/>
            <w:shd w:val="clear" w:color="auto" w:fill="CCEEFF"/>
            <w:tcMar>
              <w:top w:w="0" w:type="dxa"/>
              <w:left w:w="20" w:type="dxa"/>
              <w:bottom w:w="0" w:type="dxa"/>
              <w:right w:w="20" w:type="dxa"/>
            </w:tcMar>
            <w:vAlign w:val="bottom"/>
          </w:tcPr>
          <w:p w14:paraId="5DEC6AE2" w14:textId="77777777" w:rsidR="00B1578D" w:rsidRDefault="00B1578D">
            <w:pPr>
              <w:rPr>
                <w:rFonts w:ascii="宋体"/>
              </w:rPr>
            </w:pPr>
          </w:p>
        </w:tc>
        <w:tc>
          <w:tcPr>
            <w:tcW w:w="0" w:type="auto"/>
            <w:shd w:val="clear" w:color="auto" w:fill="auto"/>
            <w:vAlign w:val="bottom"/>
          </w:tcPr>
          <w:p w14:paraId="5DEC6AE3" w14:textId="77777777" w:rsidR="00B1578D" w:rsidRDefault="00B1578D">
            <w:pPr>
              <w:rPr>
                <w:rFonts w:ascii="宋体"/>
                <w:vanish/>
              </w:rPr>
            </w:pPr>
          </w:p>
        </w:tc>
        <w:tc>
          <w:tcPr>
            <w:tcW w:w="0" w:type="auto"/>
            <w:shd w:val="clear" w:color="auto" w:fill="auto"/>
            <w:vAlign w:val="bottom"/>
          </w:tcPr>
          <w:p w14:paraId="5DEC6AE4" w14:textId="77777777" w:rsidR="00B1578D" w:rsidRDefault="00B1578D">
            <w:pPr>
              <w:rPr>
                <w:rFonts w:ascii="宋体"/>
                <w:vanish/>
              </w:rPr>
            </w:pPr>
          </w:p>
        </w:tc>
        <w:tc>
          <w:tcPr>
            <w:tcW w:w="0" w:type="auto"/>
            <w:gridSpan w:val="3"/>
            <w:shd w:val="clear" w:color="auto" w:fill="auto"/>
            <w:vAlign w:val="bottom"/>
          </w:tcPr>
          <w:p w14:paraId="5DEC6AE5" w14:textId="77777777" w:rsidR="00B1578D" w:rsidRDefault="00B1578D">
            <w:pPr>
              <w:rPr>
                <w:rFonts w:ascii="宋体"/>
                <w:vanish/>
              </w:rPr>
            </w:pPr>
          </w:p>
        </w:tc>
        <w:tc>
          <w:tcPr>
            <w:tcW w:w="0" w:type="auto"/>
            <w:gridSpan w:val="3"/>
            <w:shd w:val="clear" w:color="auto" w:fill="auto"/>
            <w:vAlign w:val="bottom"/>
          </w:tcPr>
          <w:p w14:paraId="5DEC6AE6" w14:textId="77777777" w:rsidR="00B1578D" w:rsidRDefault="00B1578D">
            <w:pPr>
              <w:rPr>
                <w:rFonts w:ascii="宋体"/>
                <w:vanish/>
              </w:rPr>
            </w:pPr>
          </w:p>
        </w:tc>
      </w:tr>
      <w:tr w:rsidR="00B1578D" w14:paraId="5DEC6AF5" w14:textId="77777777">
        <w:trPr>
          <w:jc w:val="center"/>
        </w:trPr>
        <w:tc>
          <w:tcPr>
            <w:tcW w:w="0" w:type="auto"/>
            <w:gridSpan w:val="3"/>
            <w:shd w:val="clear" w:color="auto" w:fill="FFFFFF"/>
            <w:tcMar>
              <w:top w:w="40" w:type="dxa"/>
              <w:left w:w="245" w:type="dxa"/>
              <w:bottom w:w="40" w:type="dxa"/>
              <w:right w:w="20" w:type="dxa"/>
            </w:tcMar>
            <w:vAlign w:val="center"/>
          </w:tcPr>
          <w:p w14:paraId="5DEC6AE8" w14:textId="77777777" w:rsidR="00B1578D" w:rsidRDefault="004D2C04">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5DEC6AE9"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AEA"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AEB" w14:textId="77777777" w:rsidR="00B1578D" w:rsidRDefault="004D2C04">
            <w:pPr>
              <w:jc w:val="right"/>
              <w:textAlignment w:val="center"/>
            </w:pPr>
            <w:r>
              <w:rPr>
                <w:rFonts w:ascii="Times New Roman" w:eastAsia="宋体" w:hAnsi="Times New Roman"/>
                <w:color w:val="000000"/>
                <w:sz w:val="16"/>
                <w:szCs w:val="16"/>
              </w:rPr>
              <w:t>16,532 </w:t>
            </w:r>
          </w:p>
        </w:tc>
        <w:tc>
          <w:tcPr>
            <w:tcW w:w="0" w:type="auto"/>
            <w:shd w:val="clear" w:color="auto" w:fill="FFFFFF"/>
            <w:tcMar>
              <w:top w:w="40" w:type="dxa"/>
              <w:left w:w="0" w:type="dxa"/>
              <w:bottom w:w="40" w:type="dxa"/>
              <w:right w:w="20" w:type="dxa"/>
            </w:tcMar>
            <w:vAlign w:val="center"/>
          </w:tcPr>
          <w:p w14:paraId="5DEC6AEC"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AED"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AEE"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AEF" w14:textId="77777777" w:rsidR="00B1578D" w:rsidRDefault="004D2C04">
            <w:pPr>
              <w:jc w:val="right"/>
              <w:textAlignment w:val="center"/>
            </w:pPr>
            <w:r>
              <w:rPr>
                <w:rFonts w:ascii="Times New Roman" w:eastAsia="宋体" w:hAnsi="Times New Roman"/>
                <w:color w:val="000000"/>
                <w:sz w:val="16"/>
                <w:szCs w:val="16"/>
              </w:rPr>
              <w:t>14,937 </w:t>
            </w:r>
          </w:p>
        </w:tc>
        <w:tc>
          <w:tcPr>
            <w:tcW w:w="0" w:type="auto"/>
            <w:shd w:val="clear" w:color="auto" w:fill="FFFFFF"/>
            <w:tcMar>
              <w:top w:w="40" w:type="dxa"/>
              <w:left w:w="0" w:type="dxa"/>
              <w:bottom w:w="40" w:type="dxa"/>
              <w:right w:w="20" w:type="dxa"/>
            </w:tcMar>
            <w:vAlign w:val="center"/>
          </w:tcPr>
          <w:p w14:paraId="5DEC6AF0" w14:textId="77777777" w:rsidR="00B1578D" w:rsidRDefault="00B1578D">
            <w:pPr>
              <w:jc w:val="right"/>
              <w:rPr>
                <w:rFonts w:ascii="宋体"/>
              </w:rPr>
            </w:pPr>
          </w:p>
        </w:tc>
        <w:tc>
          <w:tcPr>
            <w:tcW w:w="0" w:type="auto"/>
            <w:shd w:val="clear" w:color="auto" w:fill="auto"/>
            <w:vAlign w:val="bottom"/>
          </w:tcPr>
          <w:p w14:paraId="5DEC6AF1" w14:textId="77777777" w:rsidR="00B1578D" w:rsidRDefault="00B1578D">
            <w:pPr>
              <w:rPr>
                <w:rFonts w:ascii="宋体"/>
                <w:vanish/>
              </w:rPr>
            </w:pPr>
          </w:p>
        </w:tc>
        <w:tc>
          <w:tcPr>
            <w:tcW w:w="0" w:type="auto"/>
            <w:shd w:val="clear" w:color="auto" w:fill="auto"/>
            <w:vAlign w:val="bottom"/>
          </w:tcPr>
          <w:p w14:paraId="5DEC6AF2" w14:textId="77777777" w:rsidR="00B1578D" w:rsidRDefault="00B1578D">
            <w:pPr>
              <w:rPr>
                <w:rFonts w:ascii="宋体"/>
                <w:vanish/>
              </w:rPr>
            </w:pPr>
          </w:p>
        </w:tc>
        <w:tc>
          <w:tcPr>
            <w:tcW w:w="0" w:type="auto"/>
            <w:gridSpan w:val="3"/>
            <w:shd w:val="clear" w:color="auto" w:fill="auto"/>
            <w:vAlign w:val="bottom"/>
          </w:tcPr>
          <w:p w14:paraId="5DEC6AF3" w14:textId="77777777" w:rsidR="00B1578D" w:rsidRDefault="00B1578D">
            <w:pPr>
              <w:rPr>
                <w:rFonts w:ascii="宋体"/>
                <w:vanish/>
              </w:rPr>
            </w:pPr>
          </w:p>
        </w:tc>
        <w:tc>
          <w:tcPr>
            <w:tcW w:w="0" w:type="auto"/>
            <w:gridSpan w:val="3"/>
            <w:shd w:val="clear" w:color="auto" w:fill="auto"/>
            <w:vAlign w:val="bottom"/>
          </w:tcPr>
          <w:p w14:paraId="5DEC6AF4" w14:textId="77777777" w:rsidR="00B1578D" w:rsidRDefault="00B1578D">
            <w:pPr>
              <w:rPr>
                <w:rFonts w:ascii="宋体"/>
                <w:vanish/>
              </w:rPr>
            </w:pPr>
          </w:p>
        </w:tc>
      </w:tr>
      <w:tr w:rsidR="00B1578D" w14:paraId="5DEC6B01" w14:textId="77777777">
        <w:trPr>
          <w:jc w:val="center"/>
        </w:trPr>
        <w:tc>
          <w:tcPr>
            <w:tcW w:w="0" w:type="auto"/>
            <w:gridSpan w:val="3"/>
            <w:shd w:val="clear" w:color="auto" w:fill="CCEEFF"/>
            <w:tcMar>
              <w:top w:w="40" w:type="dxa"/>
              <w:left w:w="245" w:type="dxa"/>
              <w:bottom w:w="40" w:type="dxa"/>
              <w:right w:w="20" w:type="dxa"/>
            </w:tcMar>
            <w:vAlign w:val="center"/>
          </w:tcPr>
          <w:p w14:paraId="5DEC6AF6" w14:textId="77777777" w:rsidR="00B1578D" w:rsidRDefault="004D2C04">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vAlign w:val="bottom"/>
          </w:tcPr>
          <w:p w14:paraId="5DEC6AF7"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F8" w14:textId="77777777" w:rsidR="00B1578D" w:rsidRDefault="004D2C04">
            <w:pPr>
              <w:jc w:val="right"/>
              <w:textAlignment w:val="center"/>
            </w:pPr>
            <w:r>
              <w:rPr>
                <w:rFonts w:ascii="Times New Roman" w:eastAsia="宋体" w:hAnsi="Times New Roman"/>
                <w:color w:val="000000"/>
                <w:sz w:val="16"/>
                <w:szCs w:val="16"/>
              </w:rPr>
              <w:t>10.7 </w:t>
            </w:r>
          </w:p>
        </w:tc>
        <w:tc>
          <w:tcPr>
            <w:tcW w:w="0" w:type="auto"/>
            <w:shd w:val="clear" w:color="auto" w:fill="CCEEFF"/>
            <w:tcMar>
              <w:top w:w="40" w:type="dxa"/>
              <w:left w:w="0" w:type="dxa"/>
              <w:bottom w:w="40" w:type="dxa"/>
              <w:right w:w="20" w:type="dxa"/>
            </w:tcMar>
            <w:vAlign w:val="center"/>
          </w:tcPr>
          <w:p w14:paraId="5DEC6AF9"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AFA"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AFB" w14:textId="77777777" w:rsidR="00B1578D" w:rsidRDefault="004D2C04">
            <w:pPr>
              <w:jc w:val="right"/>
              <w:textAlignment w:val="center"/>
            </w:pPr>
            <w:r>
              <w:rPr>
                <w:rFonts w:ascii="Times New Roman" w:eastAsia="宋体" w:hAnsi="Times New Roman"/>
                <w:color w:val="000000"/>
                <w:sz w:val="16"/>
                <w:szCs w:val="16"/>
              </w:rPr>
              <w:t>6.2 </w:t>
            </w:r>
          </w:p>
        </w:tc>
        <w:tc>
          <w:tcPr>
            <w:tcW w:w="0" w:type="auto"/>
            <w:shd w:val="clear" w:color="auto" w:fill="CCEEFF"/>
            <w:tcMar>
              <w:top w:w="40" w:type="dxa"/>
              <w:left w:w="0" w:type="dxa"/>
              <w:bottom w:w="40" w:type="dxa"/>
              <w:right w:w="20" w:type="dxa"/>
            </w:tcMar>
            <w:vAlign w:val="center"/>
          </w:tcPr>
          <w:p w14:paraId="5DEC6AFC"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AFD" w14:textId="77777777" w:rsidR="00B1578D" w:rsidRDefault="00B1578D">
            <w:pPr>
              <w:rPr>
                <w:rFonts w:ascii="宋体"/>
                <w:vanish/>
              </w:rPr>
            </w:pPr>
          </w:p>
        </w:tc>
        <w:tc>
          <w:tcPr>
            <w:tcW w:w="0" w:type="auto"/>
            <w:shd w:val="clear" w:color="auto" w:fill="auto"/>
            <w:vAlign w:val="bottom"/>
          </w:tcPr>
          <w:p w14:paraId="5DEC6AFE" w14:textId="77777777" w:rsidR="00B1578D" w:rsidRDefault="00B1578D">
            <w:pPr>
              <w:rPr>
                <w:rFonts w:ascii="宋体"/>
                <w:vanish/>
              </w:rPr>
            </w:pPr>
          </w:p>
        </w:tc>
        <w:tc>
          <w:tcPr>
            <w:tcW w:w="0" w:type="auto"/>
            <w:gridSpan w:val="3"/>
            <w:shd w:val="clear" w:color="auto" w:fill="auto"/>
            <w:vAlign w:val="bottom"/>
          </w:tcPr>
          <w:p w14:paraId="5DEC6AFF" w14:textId="77777777" w:rsidR="00B1578D" w:rsidRDefault="00B1578D">
            <w:pPr>
              <w:rPr>
                <w:rFonts w:ascii="宋体"/>
                <w:vanish/>
              </w:rPr>
            </w:pPr>
          </w:p>
        </w:tc>
        <w:tc>
          <w:tcPr>
            <w:tcW w:w="0" w:type="auto"/>
            <w:gridSpan w:val="3"/>
            <w:shd w:val="clear" w:color="auto" w:fill="auto"/>
            <w:vAlign w:val="bottom"/>
          </w:tcPr>
          <w:p w14:paraId="5DEC6B00" w14:textId="77777777" w:rsidR="00B1578D" w:rsidRDefault="00B1578D">
            <w:pPr>
              <w:rPr>
                <w:rFonts w:ascii="宋体"/>
                <w:vanish/>
              </w:rPr>
            </w:pPr>
          </w:p>
        </w:tc>
      </w:tr>
      <w:tr w:rsidR="00B1578D" w14:paraId="5DEC6B0F" w14:textId="77777777">
        <w:trPr>
          <w:jc w:val="center"/>
        </w:trPr>
        <w:tc>
          <w:tcPr>
            <w:tcW w:w="0" w:type="auto"/>
            <w:gridSpan w:val="3"/>
            <w:shd w:val="clear" w:color="auto" w:fill="FFFFFF"/>
            <w:tcMar>
              <w:top w:w="40" w:type="dxa"/>
              <w:left w:w="245" w:type="dxa"/>
              <w:bottom w:w="40" w:type="dxa"/>
              <w:right w:w="20" w:type="dxa"/>
            </w:tcMar>
            <w:vAlign w:val="center"/>
          </w:tcPr>
          <w:p w14:paraId="5DEC6B02" w14:textId="77777777" w:rsidR="00B1578D" w:rsidRDefault="004D2C04">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5DEC6B03"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B04"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B05" w14:textId="77777777" w:rsidR="00B1578D" w:rsidRDefault="004D2C04">
            <w:pPr>
              <w:jc w:val="right"/>
              <w:textAlignment w:val="center"/>
            </w:pPr>
            <w:r>
              <w:rPr>
                <w:rFonts w:ascii="Times New Roman" w:eastAsia="宋体" w:hAnsi="Times New Roman"/>
                <w:color w:val="000000"/>
                <w:sz w:val="16"/>
                <w:szCs w:val="16"/>
              </w:rPr>
              <w:t>335 </w:t>
            </w:r>
          </w:p>
        </w:tc>
        <w:tc>
          <w:tcPr>
            <w:tcW w:w="0" w:type="auto"/>
            <w:shd w:val="clear" w:color="auto" w:fill="FFFFFF"/>
            <w:tcMar>
              <w:top w:w="40" w:type="dxa"/>
              <w:left w:w="0" w:type="dxa"/>
              <w:bottom w:w="40" w:type="dxa"/>
              <w:right w:w="20" w:type="dxa"/>
            </w:tcMar>
            <w:vAlign w:val="center"/>
          </w:tcPr>
          <w:p w14:paraId="5DEC6B0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B07" w14:textId="77777777" w:rsidR="00B1578D" w:rsidRDefault="00B1578D">
            <w:pPr>
              <w:rPr>
                <w:rFonts w:ascii="宋体"/>
              </w:rPr>
            </w:pPr>
          </w:p>
        </w:tc>
        <w:tc>
          <w:tcPr>
            <w:tcW w:w="0" w:type="auto"/>
            <w:shd w:val="clear" w:color="auto" w:fill="FFFFFF"/>
            <w:tcMar>
              <w:top w:w="40" w:type="dxa"/>
              <w:left w:w="20" w:type="dxa"/>
              <w:bottom w:w="40" w:type="dxa"/>
              <w:right w:w="0" w:type="dxa"/>
            </w:tcMar>
            <w:vAlign w:val="center"/>
          </w:tcPr>
          <w:p w14:paraId="5DEC6B08"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B09" w14:textId="77777777" w:rsidR="00B1578D" w:rsidRDefault="004D2C04">
            <w:pPr>
              <w:jc w:val="right"/>
              <w:textAlignment w:val="center"/>
            </w:pPr>
            <w:r>
              <w:rPr>
                <w:rFonts w:ascii="Times New Roman" w:eastAsia="宋体" w:hAnsi="Times New Roman"/>
                <w:color w:val="000000"/>
                <w:sz w:val="16"/>
                <w:szCs w:val="16"/>
              </w:rPr>
              <w:t>530 </w:t>
            </w:r>
          </w:p>
        </w:tc>
        <w:tc>
          <w:tcPr>
            <w:tcW w:w="0" w:type="auto"/>
            <w:shd w:val="clear" w:color="auto" w:fill="FFFFFF"/>
            <w:tcMar>
              <w:top w:w="40" w:type="dxa"/>
              <w:left w:w="0" w:type="dxa"/>
              <w:bottom w:w="40" w:type="dxa"/>
              <w:right w:w="20" w:type="dxa"/>
            </w:tcMar>
            <w:vAlign w:val="center"/>
          </w:tcPr>
          <w:p w14:paraId="5DEC6B0A" w14:textId="77777777" w:rsidR="00B1578D" w:rsidRDefault="00B1578D">
            <w:pPr>
              <w:jc w:val="right"/>
              <w:rPr>
                <w:rFonts w:ascii="宋体"/>
              </w:rPr>
            </w:pPr>
          </w:p>
        </w:tc>
        <w:tc>
          <w:tcPr>
            <w:tcW w:w="0" w:type="auto"/>
            <w:shd w:val="clear" w:color="auto" w:fill="auto"/>
            <w:vAlign w:val="bottom"/>
          </w:tcPr>
          <w:p w14:paraId="5DEC6B0B" w14:textId="77777777" w:rsidR="00B1578D" w:rsidRDefault="00B1578D">
            <w:pPr>
              <w:rPr>
                <w:rFonts w:ascii="宋体"/>
                <w:vanish/>
              </w:rPr>
            </w:pPr>
          </w:p>
        </w:tc>
        <w:tc>
          <w:tcPr>
            <w:tcW w:w="0" w:type="auto"/>
            <w:shd w:val="clear" w:color="auto" w:fill="auto"/>
            <w:vAlign w:val="bottom"/>
          </w:tcPr>
          <w:p w14:paraId="5DEC6B0C" w14:textId="77777777" w:rsidR="00B1578D" w:rsidRDefault="00B1578D">
            <w:pPr>
              <w:rPr>
                <w:rFonts w:ascii="宋体"/>
                <w:vanish/>
              </w:rPr>
            </w:pPr>
          </w:p>
        </w:tc>
        <w:tc>
          <w:tcPr>
            <w:tcW w:w="0" w:type="auto"/>
            <w:gridSpan w:val="3"/>
            <w:shd w:val="clear" w:color="auto" w:fill="auto"/>
            <w:vAlign w:val="bottom"/>
          </w:tcPr>
          <w:p w14:paraId="5DEC6B0D" w14:textId="77777777" w:rsidR="00B1578D" w:rsidRDefault="00B1578D">
            <w:pPr>
              <w:rPr>
                <w:rFonts w:ascii="宋体"/>
                <w:vanish/>
              </w:rPr>
            </w:pPr>
          </w:p>
        </w:tc>
        <w:tc>
          <w:tcPr>
            <w:tcW w:w="0" w:type="auto"/>
            <w:gridSpan w:val="3"/>
            <w:shd w:val="clear" w:color="auto" w:fill="auto"/>
            <w:vAlign w:val="bottom"/>
          </w:tcPr>
          <w:p w14:paraId="5DEC6B0E" w14:textId="77777777" w:rsidR="00B1578D" w:rsidRDefault="00B1578D">
            <w:pPr>
              <w:rPr>
                <w:rFonts w:ascii="宋体"/>
                <w:vanish/>
              </w:rPr>
            </w:pPr>
          </w:p>
        </w:tc>
      </w:tr>
      <w:tr w:rsidR="00B1578D" w14:paraId="5DEC6B1B" w14:textId="77777777">
        <w:trPr>
          <w:jc w:val="center"/>
        </w:trPr>
        <w:tc>
          <w:tcPr>
            <w:tcW w:w="0" w:type="auto"/>
            <w:gridSpan w:val="3"/>
            <w:shd w:val="clear" w:color="auto" w:fill="CCEEFF"/>
            <w:tcMar>
              <w:top w:w="40" w:type="dxa"/>
              <w:left w:w="245" w:type="dxa"/>
              <w:bottom w:w="40" w:type="dxa"/>
              <w:right w:w="20" w:type="dxa"/>
            </w:tcMar>
            <w:vAlign w:val="center"/>
          </w:tcPr>
          <w:p w14:paraId="5DEC6B10" w14:textId="77777777" w:rsidR="00B1578D" w:rsidRDefault="004D2C04">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5DEC6B11"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B12" w14:textId="77777777" w:rsidR="00B1578D" w:rsidRDefault="004D2C04">
            <w:pPr>
              <w:jc w:val="right"/>
              <w:textAlignment w:val="center"/>
            </w:pPr>
            <w:r>
              <w:rPr>
                <w:rFonts w:ascii="Times New Roman" w:eastAsia="宋体" w:hAnsi="Times New Roman"/>
                <w:color w:val="000000"/>
                <w:sz w:val="16"/>
                <w:szCs w:val="16"/>
              </w:rPr>
              <w:t>2.0 </w:t>
            </w:r>
          </w:p>
        </w:tc>
        <w:tc>
          <w:tcPr>
            <w:tcW w:w="0" w:type="auto"/>
            <w:shd w:val="clear" w:color="auto" w:fill="CCEEFF"/>
            <w:tcMar>
              <w:top w:w="40" w:type="dxa"/>
              <w:left w:w="0" w:type="dxa"/>
              <w:bottom w:w="40" w:type="dxa"/>
              <w:right w:w="20" w:type="dxa"/>
            </w:tcMar>
            <w:vAlign w:val="center"/>
          </w:tcPr>
          <w:p w14:paraId="5DEC6B13" w14:textId="77777777" w:rsidR="00B1578D" w:rsidRDefault="004D2C04">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5DEC6B14"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B15" w14:textId="77777777" w:rsidR="00B1578D" w:rsidRDefault="004D2C04">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5DEC6B16" w14:textId="77777777" w:rsidR="00B1578D" w:rsidRDefault="004D2C04">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5DEC6B17" w14:textId="77777777" w:rsidR="00B1578D" w:rsidRDefault="00B1578D">
            <w:pPr>
              <w:rPr>
                <w:rFonts w:ascii="宋体"/>
                <w:vanish/>
              </w:rPr>
            </w:pPr>
          </w:p>
        </w:tc>
        <w:tc>
          <w:tcPr>
            <w:tcW w:w="0" w:type="auto"/>
            <w:shd w:val="clear" w:color="auto" w:fill="auto"/>
            <w:vAlign w:val="bottom"/>
          </w:tcPr>
          <w:p w14:paraId="5DEC6B18" w14:textId="77777777" w:rsidR="00B1578D" w:rsidRDefault="00B1578D">
            <w:pPr>
              <w:rPr>
                <w:rFonts w:ascii="宋体"/>
                <w:vanish/>
              </w:rPr>
            </w:pPr>
          </w:p>
        </w:tc>
        <w:tc>
          <w:tcPr>
            <w:tcW w:w="0" w:type="auto"/>
            <w:gridSpan w:val="3"/>
            <w:shd w:val="clear" w:color="auto" w:fill="auto"/>
            <w:vAlign w:val="bottom"/>
          </w:tcPr>
          <w:p w14:paraId="5DEC6B19" w14:textId="77777777" w:rsidR="00B1578D" w:rsidRDefault="00B1578D">
            <w:pPr>
              <w:rPr>
                <w:rFonts w:ascii="宋体"/>
                <w:vanish/>
              </w:rPr>
            </w:pPr>
          </w:p>
        </w:tc>
        <w:tc>
          <w:tcPr>
            <w:tcW w:w="0" w:type="auto"/>
            <w:gridSpan w:val="3"/>
            <w:shd w:val="clear" w:color="auto" w:fill="auto"/>
            <w:vAlign w:val="bottom"/>
          </w:tcPr>
          <w:p w14:paraId="5DEC6B1A" w14:textId="77777777" w:rsidR="00B1578D" w:rsidRDefault="00B1578D">
            <w:pPr>
              <w:rPr>
                <w:rFonts w:ascii="宋体"/>
                <w:vanish/>
              </w:rPr>
            </w:pPr>
          </w:p>
        </w:tc>
      </w:tr>
    </w:tbl>
    <w:p w14:paraId="5DEC6B1C" w14:textId="77777777" w:rsidR="00B1578D" w:rsidRDefault="004D2C04">
      <w:pPr>
        <w:spacing w:after="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We believe the "Excluding Fuel" information is useful to investors because it permits investors to understand the effect of the Sam's Club segment's fuel sales on its results of operations, which are impacted by the volatility of fuel prices. Volatility i</w:t>
      </w:r>
      <w:r>
        <w:rPr>
          <w:rFonts w:ascii="Times New Roman" w:eastAsia="宋体" w:hAnsi="Times New Roman"/>
          <w:color w:val="000000"/>
          <w:sz w:val="16"/>
          <w:szCs w:val="16"/>
        </w:rPr>
        <w:t>n fuel prices may continue to impact the operating results of the Sam's Club segment in the future.</w:t>
      </w:r>
    </w:p>
    <w:p w14:paraId="5DEC6B1D" w14:textId="77777777" w:rsidR="00B1578D" w:rsidRDefault="004D2C04">
      <w:pPr>
        <w:spacing w:before="100"/>
      </w:pPr>
      <w:r>
        <w:rPr>
          <w:rFonts w:ascii="Times New Roman" w:eastAsia="宋体" w:hAnsi="Times New Roman"/>
          <w:color w:val="000000"/>
          <w:sz w:val="20"/>
          <w:szCs w:val="20"/>
        </w:rPr>
        <w:t>Net sales for the Sam's Club segment increased $2.9 billion or 17.5% for the three months ended April 30, 2022, when compared to the same period in the previous fiscal year. The increases were primarily due to comparable sales, including fuel, of 17.4% for</w:t>
      </w:r>
      <w:r>
        <w:rPr>
          <w:rFonts w:ascii="Times New Roman" w:eastAsia="宋体" w:hAnsi="Times New Roman"/>
          <w:color w:val="000000"/>
          <w:sz w:val="20"/>
          <w:szCs w:val="20"/>
        </w:rPr>
        <w:t xml:space="preserve"> the three months ended April 30, 2022. Growth in comparable sales benefited from growth in transactions and </w:t>
      </w:r>
    </w:p>
    <w:p w14:paraId="5DEC6B1E" w14:textId="77777777" w:rsidR="00B1578D" w:rsidRDefault="004D2C04">
      <w:pPr>
        <w:jc w:val="center"/>
      </w:pPr>
      <w:r>
        <w:rPr>
          <w:rFonts w:ascii="Times New Roman" w:eastAsia="宋体" w:hAnsi="Times New Roman"/>
          <w:color w:val="000000"/>
          <w:sz w:val="20"/>
          <w:szCs w:val="20"/>
        </w:rPr>
        <w:t>21</w:t>
      </w:r>
    </w:p>
    <w:p w14:paraId="5DEC6B1F" w14:textId="77777777" w:rsidR="00B1578D" w:rsidRDefault="004D2C04">
      <w:r>
        <w:pict w14:anchorId="5DEC6F3A">
          <v:rect id="_x0000_i1045" style="width:415.3pt;height:1.5pt" o:hralign="center" o:hrstd="t" o:hr="t" fillcolor="#a0a0a0" stroked="f"/>
        </w:pict>
      </w:r>
    </w:p>
    <w:p w14:paraId="5DEC6B20" w14:textId="77777777" w:rsidR="00B1578D" w:rsidRDefault="004D2C04">
      <w:hyperlink r:id="rId65" w:anchor="ia92fe4e1fa654d85928fb72942eadb02_7" w:history="1">
        <w:r>
          <w:rPr>
            <w:rStyle w:val="a5"/>
            <w:rFonts w:ascii="Times New Roman" w:eastAsia="宋体" w:hAnsi="Times New Roman"/>
            <w:sz w:val="20"/>
            <w:szCs w:val="20"/>
          </w:rPr>
          <w:t>Table of Contents</w:t>
        </w:r>
      </w:hyperlink>
    </w:p>
    <w:p w14:paraId="5DEC6B21" w14:textId="77777777" w:rsidR="00B1578D" w:rsidRDefault="004D2C04">
      <w:pPr>
        <w:spacing w:before="100"/>
      </w:pPr>
      <w:r>
        <w:rPr>
          <w:rFonts w:ascii="Times New Roman" w:eastAsia="宋体" w:hAnsi="Times New Roman"/>
          <w:color w:val="000000"/>
          <w:sz w:val="20"/>
          <w:szCs w:val="20"/>
        </w:rPr>
        <w:t xml:space="preserve">average ticket and included some higher inflation impacts in certain merchandise categories. Sam's Club eCommerce net sales positively contributed approximately 0.5% to comparable sales for the three months ended April 30, 2022. </w:t>
      </w:r>
    </w:p>
    <w:p w14:paraId="5DEC6B22" w14:textId="77777777" w:rsidR="00B1578D" w:rsidRDefault="004D2C04">
      <w:pPr>
        <w:spacing w:before="100"/>
      </w:pPr>
      <w:r>
        <w:rPr>
          <w:rFonts w:ascii="Times New Roman" w:eastAsia="宋体" w:hAnsi="Times New Roman"/>
          <w:color w:val="000000"/>
          <w:sz w:val="20"/>
          <w:szCs w:val="20"/>
        </w:rPr>
        <w:t>Gross profit rate decrease</w:t>
      </w:r>
      <w:r>
        <w:rPr>
          <w:rFonts w:ascii="Times New Roman" w:eastAsia="宋体" w:hAnsi="Times New Roman"/>
          <w:color w:val="000000"/>
          <w:sz w:val="20"/>
          <w:szCs w:val="20"/>
        </w:rPr>
        <w:t>d 216 basis points for the three months ended April 30, 2022, when compared to the same period in the previous fiscal year. The gross profit rate was negatively impacted by higher supply chain costs, elevated inflation and markdowns caused by inventory del</w:t>
      </w:r>
      <w:r>
        <w:rPr>
          <w:rFonts w:ascii="Times New Roman" w:eastAsia="宋体" w:hAnsi="Times New Roman"/>
          <w:color w:val="000000"/>
          <w:sz w:val="20"/>
          <w:szCs w:val="20"/>
        </w:rPr>
        <w:t xml:space="preserve">ays. </w:t>
      </w:r>
    </w:p>
    <w:p w14:paraId="5DEC6B23" w14:textId="77777777" w:rsidR="00B1578D" w:rsidRDefault="004D2C04">
      <w:pPr>
        <w:spacing w:before="100"/>
      </w:pPr>
      <w:r>
        <w:rPr>
          <w:rFonts w:ascii="Times New Roman" w:eastAsia="宋体" w:hAnsi="Times New Roman"/>
          <w:color w:val="000000"/>
          <w:sz w:val="20"/>
          <w:szCs w:val="20"/>
        </w:rPr>
        <w:t xml:space="preserve">Membership and other income increased 11.9% for the three months ended April 30, 2022, when compared to the same period in the previous fiscal year. The increase was due to increases in new member sign-ups and Plus penetration. </w:t>
      </w:r>
    </w:p>
    <w:p w14:paraId="5DEC6B24" w14:textId="77777777" w:rsidR="00B1578D" w:rsidRDefault="004D2C04">
      <w:pPr>
        <w:spacing w:before="100"/>
      </w:pPr>
      <w:r>
        <w:rPr>
          <w:rFonts w:ascii="Times New Roman" w:eastAsia="宋体" w:hAnsi="Times New Roman"/>
          <w:color w:val="000000"/>
          <w:sz w:val="20"/>
          <w:szCs w:val="20"/>
        </w:rPr>
        <w:t>Operating expenses as</w:t>
      </w:r>
      <w:r>
        <w:rPr>
          <w:rFonts w:ascii="Times New Roman" w:eastAsia="宋体" w:hAnsi="Times New Roman"/>
          <w:color w:val="000000"/>
          <w:sz w:val="20"/>
          <w:szCs w:val="20"/>
        </w:rPr>
        <w:t xml:space="preserve"> a percentage of segment net sales decreased 117 basis points for the three months ended April 30, 2022, when compared to the same period in the previous fiscal year, primarily driven by higher sales. </w:t>
      </w:r>
    </w:p>
    <w:p w14:paraId="5DEC6B25" w14:textId="77777777" w:rsidR="00B1578D" w:rsidRDefault="004D2C04">
      <w:pPr>
        <w:spacing w:before="100"/>
      </w:pPr>
      <w:r>
        <w:rPr>
          <w:rFonts w:ascii="Times New Roman" w:eastAsia="宋体" w:hAnsi="Times New Roman"/>
          <w:color w:val="000000"/>
          <w:sz w:val="20"/>
          <w:szCs w:val="20"/>
        </w:rPr>
        <w:t xml:space="preserve">As a result of the factors discussed above, operating </w:t>
      </w:r>
      <w:r>
        <w:rPr>
          <w:rFonts w:ascii="Times New Roman" w:eastAsia="宋体" w:hAnsi="Times New Roman"/>
          <w:color w:val="000000"/>
          <w:sz w:val="20"/>
          <w:szCs w:val="20"/>
        </w:rPr>
        <w:t xml:space="preserve">income decreased $115 million for the three months ended April 30, 2022, when compared to the same period in the previous fiscal year. </w:t>
      </w:r>
    </w:p>
    <w:p w14:paraId="5DEC6B26" w14:textId="77777777" w:rsidR="00B1578D" w:rsidRDefault="004D2C04">
      <w:pPr>
        <w:spacing w:before="180"/>
      </w:pPr>
      <w:r>
        <w:rPr>
          <w:rFonts w:ascii="Times New Roman" w:eastAsia="宋体" w:hAnsi="Times New Roman"/>
          <w:b/>
          <w:bCs/>
          <w:color w:val="000000"/>
          <w:sz w:val="20"/>
          <w:szCs w:val="20"/>
        </w:rPr>
        <w:t>Liquidity and Capital Resources</w:t>
      </w:r>
    </w:p>
    <w:p w14:paraId="5DEC6B27" w14:textId="77777777" w:rsidR="00B1578D" w:rsidRDefault="004D2C04">
      <w:pPr>
        <w:spacing w:before="100"/>
      </w:pPr>
      <w:r>
        <w:rPr>
          <w:rFonts w:ascii="Times New Roman" w:eastAsia="宋体" w:hAnsi="Times New Roman"/>
          <w:b/>
          <w:bCs/>
          <w:color w:val="000000"/>
          <w:sz w:val="20"/>
          <w:szCs w:val="20"/>
          <w:u w:val="single"/>
        </w:rPr>
        <w:t>Liquidity</w:t>
      </w:r>
    </w:p>
    <w:p w14:paraId="5DEC6B28" w14:textId="77777777" w:rsidR="00B1578D" w:rsidRDefault="004D2C04">
      <w:pPr>
        <w:spacing w:before="100"/>
      </w:pPr>
      <w:r>
        <w:rPr>
          <w:rFonts w:ascii="Times New Roman" w:eastAsia="宋体" w:hAnsi="Times New Roman"/>
          <w:color w:val="000000"/>
          <w:sz w:val="20"/>
          <w:szCs w:val="20"/>
        </w:rPr>
        <w:t>The strength and stability of our operations have historically supplied us wit</w:t>
      </w:r>
      <w:r>
        <w:rPr>
          <w:rFonts w:ascii="Times New Roman" w:eastAsia="宋体" w:hAnsi="Times New Roman"/>
          <w:color w:val="000000"/>
          <w:sz w:val="20"/>
          <w:szCs w:val="20"/>
        </w:rPr>
        <w:t>h a significant source of liquidity. Our cash flows provided by operating activities, supplemented with our long-term debt and short-term borrowings, have been sufficient to fund our operations while allowing us to invest in activities that support the lon</w:t>
      </w:r>
      <w:r>
        <w:rPr>
          <w:rFonts w:ascii="Times New Roman" w:eastAsia="宋体" w:hAnsi="Times New Roman"/>
          <w:color w:val="000000"/>
          <w:sz w:val="20"/>
          <w:szCs w:val="20"/>
        </w:rPr>
        <w:t>g-term growth of our operations. Generally, some or all of the remaining available cash flow has been used to fund dividends on our common stock and share repurchases. We believe our sources of liquidity will continue to be sufficient to fund operations, f</w:t>
      </w:r>
      <w:r>
        <w:rPr>
          <w:rFonts w:ascii="Times New Roman" w:eastAsia="宋体" w:hAnsi="Times New Roman"/>
          <w:color w:val="000000"/>
          <w:sz w:val="20"/>
          <w:szCs w:val="20"/>
        </w:rPr>
        <w:t xml:space="preserve">inance our global investment activities, pay dividends and fund our share repurchases for at least the next 12 months and thereafter for the foreseeable future. </w:t>
      </w:r>
    </w:p>
    <w:p w14:paraId="5DEC6B29" w14:textId="77777777" w:rsidR="00B1578D" w:rsidRDefault="004D2C04">
      <w:pPr>
        <w:spacing w:before="180"/>
      </w:pPr>
      <w:r>
        <w:rPr>
          <w:rFonts w:ascii="Times New Roman" w:eastAsia="宋体" w:hAnsi="Times New Roman"/>
          <w:b/>
          <w:bCs/>
          <w:i/>
          <w:iCs/>
          <w:color w:val="000000"/>
          <w:sz w:val="20"/>
          <w:szCs w:val="20"/>
        </w:rPr>
        <w:t>Net Cash Provided by or Used in Operating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83"/>
        <w:gridCol w:w="36"/>
        <w:gridCol w:w="36"/>
        <w:gridCol w:w="36"/>
        <w:gridCol w:w="46"/>
        <w:gridCol w:w="189"/>
        <w:gridCol w:w="188"/>
        <w:gridCol w:w="188"/>
        <w:gridCol w:w="36"/>
        <w:gridCol w:w="36"/>
        <w:gridCol w:w="36"/>
        <w:gridCol w:w="100"/>
        <w:gridCol w:w="699"/>
        <w:gridCol w:w="36"/>
        <w:gridCol w:w="36"/>
        <w:gridCol w:w="36"/>
        <w:gridCol w:w="36"/>
        <w:gridCol w:w="100"/>
        <w:gridCol w:w="702"/>
        <w:gridCol w:w="36"/>
        <w:gridCol w:w="36"/>
        <w:gridCol w:w="36"/>
        <w:gridCol w:w="36"/>
      </w:tblGrid>
      <w:tr w:rsidR="00B1578D" w14:paraId="5DEC6B40" w14:textId="77777777">
        <w:trPr>
          <w:jc w:val="center"/>
        </w:trPr>
        <w:tc>
          <w:tcPr>
            <w:tcW w:w="50" w:type="pct"/>
            <w:shd w:val="clear" w:color="auto" w:fill="auto"/>
            <w:vAlign w:val="bottom"/>
          </w:tcPr>
          <w:p w14:paraId="5DEC6B2A" w14:textId="77777777" w:rsidR="00B1578D" w:rsidRDefault="00B1578D">
            <w:pPr>
              <w:rPr>
                <w:rFonts w:ascii="宋体"/>
              </w:rPr>
            </w:pPr>
          </w:p>
        </w:tc>
        <w:tc>
          <w:tcPr>
            <w:tcW w:w="3760" w:type="pct"/>
            <w:shd w:val="clear" w:color="auto" w:fill="auto"/>
            <w:vAlign w:val="bottom"/>
          </w:tcPr>
          <w:p w14:paraId="5DEC6B2B" w14:textId="77777777" w:rsidR="00B1578D" w:rsidRDefault="00B1578D">
            <w:pPr>
              <w:rPr>
                <w:rFonts w:ascii="宋体"/>
              </w:rPr>
            </w:pPr>
          </w:p>
        </w:tc>
        <w:tc>
          <w:tcPr>
            <w:tcW w:w="5" w:type="pct"/>
            <w:shd w:val="clear" w:color="auto" w:fill="auto"/>
            <w:vAlign w:val="bottom"/>
          </w:tcPr>
          <w:p w14:paraId="5DEC6B2C" w14:textId="77777777" w:rsidR="00B1578D" w:rsidRDefault="00B1578D">
            <w:pPr>
              <w:rPr>
                <w:rFonts w:ascii="宋体"/>
              </w:rPr>
            </w:pPr>
          </w:p>
        </w:tc>
        <w:tc>
          <w:tcPr>
            <w:tcW w:w="0" w:type="auto"/>
            <w:shd w:val="clear" w:color="auto" w:fill="auto"/>
            <w:vAlign w:val="bottom"/>
          </w:tcPr>
          <w:p w14:paraId="5DEC6B2D" w14:textId="77777777" w:rsidR="00B1578D" w:rsidRDefault="00B1578D">
            <w:pPr>
              <w:rPr>
                <w:rFonts w:ascii="宋体"/>
                <w:vanish/>
              </w:rPr>
            </w:pPr>
          </w:p>
        </w:tc>
        <w:tc>
          <w:tcPr>
            <w:tcW w:w="0" w:type="auto"/>
            <w:shd w:val="clear" w:color="auto" w:fill="auto"/>
            <w:vAlign w:val="bottom"/>
          </w:tcPr>
          <w:p w14:paraId="5DEC6B2E" w14:textId="77777777" w:rsidR="00B1578D" w:rsidRDefault="00B1578D">
            <w:pPr>
              <w:rPr>
                <w:rFonts w:ascii="宋体"/>
                <w:vanish/>
              </w:rPr>
            </w:pPr>
          </w:p>
        </w:tc>
        <w:tc>
          <w:tcPr>
            <w:tcW w:w="0" w:type="auto"/>
            <w:shd w:val="clear" w:color="auto" w:fill="auto"/>
            <w:vAlign w:val="bottom"/>
          </w:tcPr>
          <w:p w14:paraId="5DEC6B2F" w14:textId="77777777" w:rsidR="00B1578D" w:rsidRDefault="00B1578D">
            <w:pPr>
              <w:rPr>
                <w:rFonts w:ascii="宋体"/>
                <w:vanish/>
              </w:rPr>
            </w:pPr>
          </w:p>
        </w:tc>
        <w:tc>
          <w:tcPr>
            <w:tcW w:w="0" w:type="auto"/>
            <w:shd w:val="clear" w:color="auto" w:fill="auto"/>
            <w:vAlign w:val="bottom"/>
          </w:tcPr>
          <w:p w14:paraId="5DEC6B30" w14:textId="77777777" w:rsidR="00B1578D" w:rsidRDefault="00B1578D">
            <w:pPr>
              <w:rPr>
                <w:rFonts w:ascii="宋体"/>
                <w:vanish/>
              </w:rPr>
            </w:pPr>
          </w:p>
        </w:tc>
        <w:tc>
          <w:tcPr>
            <w:tcW w:w="0" w:type="auto"/>
            <w:shd w:val="clear" w:color="auto" w:fill="auto"/>
            <w:vAlign w:val="bottom"/>
          </w:tcPr>
          <w:p w14:paraId="5DEC6B31" w14:textId="77777777" w:rsidR="00B1578D" w:rsidRDefault="00B1578D">
            <w:pPr>
              <w:rPr>
                <w:rFonts w:ascii="宋体"/>
                <w:vanish/>
              </w:rPr>
            </w:pPr>
          </w:p>
        </w:tc>
        <w:tc>
          <w:tcPr>
            <w:tcW w:w="0" w:type="auto"/>
            <w:shd w:val="clear" w:color="auto" w:fill="auto"/>
            <w:vAlign w:val="bottom"/>
          </w:tcPr>
          <w:p w14:paraId="5DEC6B32" w14:textId="77777777" w:rsidR="00B1578D" w:rsidRDefault="00B1578D">
            <w:pPr>
              <w:rPr>
                <w:rFonts w:ascii="宋体"/>
                <w:vanish/>
              </w:rPr>
            </w:pPr>
          </w:p>
        </w:tc>
        <w:tc>
          <w:tcPr>
            <w:tcW w:w="5" w:type="pct"/>
            <w:shd w:val="clear" w:color="auto" w:fill="auto"/>
            <w:vAlign w:val="bottom"/>
          </w:tcPr>
          <w:p w14:paraId="5DEC6B33" w14:textId="77777777" w:rsidR="00B1578D" w:rsidRDefault="00B1578D">
            <w:pPr>
              <w:rPr>
                <w:rFonts w:ascii="宋体"/>
              </w:rPr>
            </w:pPr>
          </w:p>
        </w:tc>
        <w:tc>
          <w:tcPr>
            <w:tcW w:w="19" w:type="pct"/>
            <w:shd w:val="clear" w:color="auto" w:fill="auto"/>
            <w:vAlign w:val="bottom"/>
          </w:tcPr>
          <w:p w14:paraId="5DEC6B34" w14:textId="77777777" w:rsidR="00B1578D" w:rsidRDefault="00B1578D">
            <w:pPr>
              <w:rPr>
                <w:rFonts w:ascii="宋体"/>
              </w:rPr>
            </w:pPr>
          </w:p>
        </w:tc>
        <w:tc>
          <w:tcPr>
            <w:tcW w:w="5" w:type="pct"/>
            <w:shd w:val="clear" w:color="auto" w:fill="auto"/>
            <w:vAlign w:val="bottom"/>
          </w:tcPr>
          <w:p w14:paraId="5DEC6B35" w14:textId="77777777" w:rsidR="00B1578D" w:rsidRDefault="00B1578D">
            <w:pPr>
              <w:rPr>
                <w:rFonts w:ascii="宋体"/>
              </w:rPr>
            </w:pPr>
          </w:p>
        </w:tc>
        <w:tc>
          <w:tcPr>
            <w:tcW w:w="50" w:type="pct"/>
            <w:shd w:val="clear" w:color="auto" w:fill="auto"/>
            <w:vAlign w:val="bottom"/>
          </w:tcPr>
          <w:p w14:paraId="5DEC6B36" w14:textId="77777777" w:rsidR="00B1578D" w:rsidRDefault="00B1578D">
            <w:pPr>
              <w:rPr>
                <w:rFonts w:ascii="宋体"/>
              </w:rPr>
            </w:pPr>
          </w:p>
        </w:tc>
        <w:tc>
          <w:tcPr>
            <w:tcW w:w="507" w:type="pct"/>
            <w:shd w:val="clear" w:color="auto" w:fill="auto"/>
            <w:vAlign w:val="bottom"/>
          </w:tcPr>
          <w:p w14:paraId="5DEC6B37" w14:textId="77777777" w:rsidR="00B1578D" w:rsidRDefault="00B1578D">
            <w:pPr>
              <w:rPr>
                <w:rFonts w:ascii="宋体"/>
              </w:rPr>
            </w:pPr>
          </w:p>
        </w:tc>
        <w:tc>
          <w:tcPr>
            <w:tcW w:w="5" w:type="pct"/>
            <w:shd w:val="clear" w:color="auto" w:fill="auto"/>
            <w:vAlign w:val="bottom"/>
          </w:tcPr>
          <w:p w14:paraId="5DEC6B38" w14:textId="77777777" w:rsidR="00B1578D" w:rsidRDefault="00B1578D">
            <w:pPr>
              <w:rPr>
                <w:rFonts w:ascii="宋体"/>
              </w:rPr>
            </w:pPr>
          </w:p>
        </w:tc>
        <w:tc>
          <w:tcPr>
            <w:tcW w:w="5" w:type="pct"/>
            <w:shd w:val="clear" w:color="auto" w:fill="auto"/>
            <w:vAlign w:val="bottom"/>
          </w:tcPr>
          <w:p w14:paraId="5DEC6B39" w14:textId="77777777" w:rsidR="00B1578D" w:rsidRDefault="00B1578D">
            <w:pPr>
              <w:rPr>
                <w:rFonts w:ascii="宋体"/>
              </w:rPr>
            </w:pPr>
          </w:p>
        </w:tc>
        <w:tc>
          <w:tcPr>
            <w:tcW w:w="19" w:type="pct"/>
            <w:shd w:val="clear" w:color="auto" w:fill="auto"/>
            <w:vAlign w:val="bottom"/>
          </w:tcPr>
          <w:p w14:paraId="5DEC6B3A" w14:textId="77777777" w:rsidR="00B1578D" w:rsidRDefault="00B1578D">
            <w:pPr>
              <w:rPr>
                <w:rFonts w:ascii="宋体"/>
              </w:rPr>
            </w:pPr>
          </w:p>
        </w:tc>
        <w:tc>
          <w:tcPr>
            <w:tcW w:w="5" w:type="pct"/>
            <w:shd w:val="clear" w:color="auto" w:fill="auto"/>
            <w:vAlign w:val="bottom"/>
          </w:tcPr>
          <w:p w14:paraId="5DEC6B3B" w14:textId="77777777" w:rsidR="00B1578D" w:rsidRDefault="00B1578D">
            <w:pPr>
              <w:rPr>
                <w:rFonts w:ascii="宋体"/>
              </w:rPr>
            </w:pPr>
          </w:p>
        </w:tc>
        <w:tc>
          <w:tcPr>
            <w:tcW w:w="50" w:type="pct"/>
            <w:shd w:val="clear" w:color="auto" w:fill="auto"/>
            <w:vAlign w:val="bottom"/>
          </w:tcPr>
          <w:p w14:paraId="5DEC6B3C" w14:textId="77777777" w:rsidR="00B1578D" w:rsidRDefault="00B1578D">
            <w:pPr>
              <w:rPr>
                <w:rFonts w:ascii="宋体"/>
              </w:rPr>
            </w:pPr>
          </w:p>
        </w:tc>
        <w:tc>
          <w:tcPr>
            <w:tcW w:w="508" w:type="pct"/>
            <w:shd w:val="clear" w:color="auto" w:fill="auto"/>
            <w:vAlign w:val="bottom"/>
          </w:tcPr>
          <w:p w14:paraId="5DEC6B3D" w14:textId="77777777" w:rsidR="00B1578D" w:rsidRDefault="00B1578D">
            <w:pPr>
              <w:rPr>
                <w:rFonts w:ascii="宋体"/>
              </w:rPr>
            </w:pPr>
          </w:p>
        </w:tc>
        <w:tc>
          <w:tcPr>
            <w:tcW w:w="5" w:type="pct"/>
            <w:shd w:val="clear" w:color="auto" w:fill="auto"/>
            <w:vAlign w:val="bottom"/>
          </w:tcPr>
          <w:p w14:paraId="5DEC6B3E" w14:textId="77777777" w:rsidR="00B1578D" w:rsidRDefault="00B1578D">
            <w:pPr>
              <w:rPr>
                <w:rFonts w:ascii="宋体"/>
              </w:rPr>
            </w:pPr>
          </w:p>
        </w:tc>
        <w:tc>
          <w:tcPr>
            <w:tcW w:w="0" w:type="auto"/>
            <w:gridSpan w:val="3"/>
            <w:shd w:val="clear" w:color="auto" w:fill="auto"/>
            <w:vAlign w:val="bottom"/>
          </w:tcPr>
          <w:p w14:paraId="5DEC6B3F" w14:textId="77777777" w:rsidR="00B1578D" w:rsidRDefault="00B1578D">
            <w:pPr>
              <w:rPr>
                <w:rFonts w:ascii="宋体"/>
                <w:vanish/>
              </w:rPr>
            </w:pPr>
          </w:p>
        </w:tc>
      </w:tr>
      <w:tr w:rsidR="00B1578D" w14:paraId="5DEC6B55" w14:textId="77777777">
        <w:trPr>
          <w:jc w:val="center"/>
        </w:trPr>
        <w:tc>
          <w:tcPr>
            <w:tcW w:w="0" w:type="auto"/>
            <w:gridSpan w:val="3"/>
            <w:shd w:val="clear" w:color="auto" w:fill="auto"/>
            <w:tcMar>
              <w:top w:w="0" w:type="dxa"/>
              <w:left w:w="20" w:type="dxa"/>
              <w:bottom w:w="0" w:type="dxa"/>
              <w:right w:w="20" w:type="dxa"/>
            </w:tcMar>
            <w:vAlign w:val="bottom"/>
          </w:tcPr>
          <w:p w14:paraId="5DEC6B41" w14:textId="77777777" w:rsidR="00B1578D" w:rsidRDefault="00B1578D">
            <w:pPr>
              <w:rPr>
                <w:rFonts w:ascii="宋体"/>
              </w:rPr>
            </w:pPr>
          </w:p>
        </w:tc>
        <w:tc>
          <w:tcPr>
            <w:tcW w:w="0" w:type="auto"/>
            <w:shd w:val="clear" w:color="auto" w:fill="auto"/>
            <w:vAlign w:val="bottom"/>
          </w:tcPr>
          <w:p w14:paraId="5DEC6B42" w14:textId="77777777" w:rsidR="00B1578D" w:rsidRDefault="00B1578D">
            <w:pPr>
              <w:rPr>
                <w:rFonts w:ascii="宋体"/>
                <w:vanish/>
              </w:rPr>
            </w:pPr>
          </w:p>
        </w:tc>
        <w:tc>
          <w:tcPr>
            <w:tcW w:w="0" w:type="auto"/>
            <w:shd w:val="clear" w:color="auto" w:fill="auto"/>
            <w:vAlign w:val="bottom"/>
          </w:tcPr>
          <w:p w14:paraId="5DEC6B43" w14:textId="77777777" w:rsidR="00B1578D" w:rsidRDefault="00B1578D">
            <w:pPr>
              <w:rPr>
                <w:rFonts w:ascii="宋体"/>
                <w:vanish/>
              </w:rPr>
            </w:pPr>
          </w:p>
        </w:tc>
        <w:tc>
          <w:tcPr>
            <w:tcW w:w="0" w:type="auto"/>
            <w:shd w:val="clear" w:color="auto" w:fill="auto"/>
            <w:tcMar>
              <w:top w:w="0" w:type="dxa"/>
              <w:left w:w="20" w:type="dxa"/>
              <w:bottom w:w="0" w:type="dxa"/>
              <w:right w:w="20" w:type="dxa"/>
            </w:tcMar>
            <w:vAlign w:val="bottom"/>
          </w:tcPr>
          <w:p w14:paraId="5DEC6B4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center"/>
          </w:tcPr>
          <w:p w14:paraId="5DEC6B45" w14:textId="77777777" w:rsidR="00B1578D" w:rsidRDefault="004D2C04">
            <w:pPr>
              <w:jc w:val="center"/>
              <w:textAlignment w:val="center"/>
            </w:pPr>
            <w:r>
              <w:rPr>
                <w:rFonts w:ascii="Times New Roman" w:eastAsia="宋体" w:hAnsi="Times New Roman"/>
                <w:b/>
                <w:bCs/>
                <w:color w:val="000000"/>
                <w:sz w:val="16"/>
                <w:szCs w:val="16"/>
              </w:rPr>
              <w:t>T</w:t>
            </w:r>
            <w:r>
              <w:rPr>
                <w:rFonts w:ascii="Times New Roman" w:eastAsia="宋体" w:hAnsi="Times New Roman"/>
                <w:b/>
                <w:bCs/>
                <w:color w:val="000000"/>
                <w:sz w:val="16"/>
                <w:szCs w:val="16"/>
              </w:rPr>
              <w:t>hree Months Ended April 30,</w:t>
            </w:r>
          </w:p>
        </w:tc>
        <w:tc>
          <w:tcPr>
            <w:tcW w:w="0" w:type="auto"/>
            <w:shd w:val="clear" w:color="auto" w:fill="auto"/>
            <w:vAlign w:val="bottom"/>
          </w:tcPr>
          <w:p w14:paraId="5DEC6B46" w14:textId="77777777" w:rsidR="00B1578D" w:rsidRDefault="00B1578D">
            <w:pPr>
              <w:rPr>
                <w:rFonts w:ascii="宋体"/>
              </w:rPr>
            </w:pPr>
          </w:p>
        </w:tc>
        <w:tc>
          <w:tcPr>
            <w:tcW w:w="0" w:type="auto"/>
            <w:shd w:val="clear" w:color="auto" w:fill="auto"/>
            <w:vAlign w:val="bottom"/>
          </w:tcPr>
          <w:p w14:paraId="5DEC6B47" w14:textId="77777777" w:rsidR="00B1578D" w:rsidRDefault="00B1578D">
            <w:pPr>
              <w:rPr>
                <w:rFonts w:ascii="宋体"/>
              </w:rPr>
            </w:pPr>
          </w:p>
        </w:tc>
        <w:tc>
          <w:tcPr>
            <w:tcW w:w="0" w:type="auto"/>
            <w:shd w:val="clear" w:color="auto" w:fill="auto"/>
            <w:vAlign w:val="bottom"/>
          </w:tcPr>
          <w:p w14:paraId="5DEC6B48" w14:textId="77777777" w:rsidR="00B1578D" w:rsidRDefault="00B1578D">
            <w:pPr>
              <w:rPr>
                <w:rFonts w:ascii="宋体"/>
              </w:rPr>
            </w:pPr>
          </w:p>
        </w:tc>
        <w:tc>
          <w:tcPr>
            <w:tcW w:w="0" w:type="auto"/>
            <w:shd w:val="clear" w:color="auto" w:fill="auto"/>
            <w:vAlign w:val="bottom"/>
          </w:tcPr>
          <w:p w14:paraId="5DEC6B49" w14:textId="77777777" w:rsidR="00B1578D" w:rsidRDefault="00B1578D">
            <w:pPr>
              <w:rPr>
                <w:rFonts w:ascii="宋体"/>
              </w:rPr>
            </w:pPr>
          </w:p>
        </w:tc>
        <w:tc>
          <w:tcPr>
            <w:tcW w:w="0" w:type="auto"/>
            <w:shd w:val="clear" w:color="auto" w:fill="auto"/>
            <w:vAlign w:val="bottom"/>
          </w:tcPr>
          <w:p w14:paraId="5DEC6B4A" w14:textId="77777777" w:rsidR="00B1578D" w:rsidRDefault="00B1578D">
            <w:pPr>
              <w:rPr>
                <w:rFonts w:ascii="宋体"/>
              </w:rPr>
            </w:pPr>
          </w:p>
        </w:tc>
        <w:tc>
          <w:tcPr>
            <w:tcW w:w="0" w:type="auto"/>
            <w:shd w:val="clear" w:color="auto" w:fill="auto"/>
            <w:vAlign w:val="bottom"/>
          </w:tcPr>
          <w:p w14:paraId="5DEC6B4B" w14:textId="77777777" w:rsidR="00B1578D" w:rsidRDefault="00B1578D">
            <w:pPr>
              <w:rPr>
                <w:rFonts w:ascii="宋体"/>
              </w:rPr>
            </w:pPr>
          </w:p>
        </w:tc>
        <w:tc>
          <w:tcPr>
            <w:tcW w:w="0" w:type="auto"/>
            <w:shd w:val="clear" w:color="auto" w:fill="auto"/>
            <w:vAlign w:val="bottom"/>
          </w:tcPr>
          <w:p w14:paraId="5DEC6B4C" w14:textId="77777777" w:rsidR="00B1578D" w:rsidRDefault="00B1578D">
            <w:pPr>
              <w:rPr>
                <w:rFonts w:ascii="宋体"/>
              </w:rPr>
            </w:pPr>
          </w:p>
        </w:tc>
        <w:tc>
          <w:tcPr>
            <w:tcW w:w="0" w:type="auto"/>
            <w:shd w:val="clear" w:color="auto" w:fill="auto"/>
            <w:vAlign w:val="bottom"/>
          </w:tcPr>
          <w:p w14:paraId="5DEC6B4D" w14:textId="77777777" w:rsidR="00B1578D" w:rsidRDefault="00B1578D">
            <w:pPr>
              <w:rPr>
                <w:rFonts w:ascii="宋体"/>
              </w:rPr>
            </w:pPr>
          </w:p>
        </w:tc>
        <w:tc>
          <w:tcPr>
            <w:tcW w:w="0" w:type="auto"/>
            <w:shd w:val="clear" w:color="auto" w:fill="auto"/>
            <w:vAlign w:val="bottom"/>
          </w:tcPr>
          <w:p w14:paraId="5DEC6B4E" w14:textId="77777777" w:rsidR="00B1578D" w:rsidRDefault="00B1578D">
            <w:pPr>
              <w:rPr>
                <w:rFonts w:ascii="宋体"/>
              </w:rPr>
            </w:pPr>
          </w:p>
        </w:tc>
        <w:tc>
          <w:tcPr>
            <w:tcW w:w="0" w:type="auto"/>
            <w:shd w:val="clear" w:color="auto" w:fill="auto"/>
            <w:vAlign w:val="bottom"/>
          </w:tcPr>
          <w:p w14:paraId="5DEC6B4F" w14:textId="77777777" w:rsidR="00B1578D" w:rsidRDefault="00B1578D">
            <w:pPr>
              <w:rPr>
                <w:rFonts w:ascii="宋体"/>
              </w:rPr>
            </w:pPr>
          </w:p>
        </w:tc>
        <w:tc>
          <w:tcPr>
            <w:tcW w:w="0" w:type="auto"/>
            <w:shd w:val="clear" w:color="auto" w:fill="auto"/>
            <w:vAlign w:val="bottom"/>
          </w:tcPr>
          <w:p w14:paraId="5DEC6B50" w14:textId="77777777" w:rsidR="00B1578D" w:rsidRDefault="00B1578D">
            <w:pPr>
              <w:rPr>
                <w:rFonts w:ascii="宋体"/>
              </w:rPr>
            </w:pPr>
          </w:p>
        </w:tc>
        <w:tc>
          <w:tcPr>
            <w:tcW w:w="0" w:type="auto"/>
            <w:shd w:val="clear" w:color="auto" w:fill="auto"/>
            <w:vAlign w:val="bottom"/>
          </w:tcPr>
          <w:p w14:paraId="5DEC6B51" w14:textId="77777777" w:rsidR="00B1578D" w:rsidRDefault="00B1578D">
            <w:pPr>
              <w:rPr>
                <w:rFonts w:ascii="宋体"/>
              </w:rPr>
            </w:pPr>
          </w:p>
        </w:tc>
        <w:tc>
          <w:tcPr>
            <w:tcW w:w="0" w:type="auto"/>
            <w:shd w:val="clear" w:color="auto" w:fill="auto"/>
            <w:vAlign w:val="bottom"/>
          </w:tcPr>
          <w:p w14:paraId="5DEC6B52" w14:textId="77777777" w:rsidR="00B1578D" w:rsidRDefault="00B1578D">
            <w:pPr>
              <w:rPr>
                <w:rFonts w:ascii="宋体"/>
              </w:rPr>
            </w:pPr>
          </w:p>
        </w:tc>
        <w:tc>
          <w:tcPr>
            <w:tcW w:w="0" w:type="auto"/>
            <w:shd w:val="clear" w:color="auto" w:fill="auto"/>
            <w:vAlign w:val="bottom"/>
          </w:tcPr>
          <w:p w14:paraId="5DEC6B53" w14:textId="77777777" w:rsidR="00B1578D" w:rsidRDefault="00B1578D">
            <w:pPr>
              <w:rPr>
                <w:rFonts w:ascii="宋体"/>
              </w:rPr>
            </w:pPr>
          </w:p>
        </w:tc>
        <w:tc>
          <w:tcPr>
            <w:tcW w:w="0" w:type="auto"/>
            <w:shd w:val="clear" w:color="auto" w:fill="auto"/>
            <w:vAlign w:val="bottom"/>
          </w:tcPr>
          <w:p w14:paraId="5DEC6B54" w14:textId="77777777" w:rsidR="00B1578D" w:rsidRDefault="00B1578D">
            <w:pPr>
              <w:rPr>
                <w:rFonts w:ascii="宋体"/>
              </w:rPr>
            </w:pPr>
          </w:p>
        </w:tc>
      </w:tr>
      <w:tr w:rsidR="00B1578D" w14:paraId="5DEC6B62" w14:textId="77777777">
        <w:trPr>
          <w:jc w:val="center"/>
        </w:trPr>
        <w:tc>
          <w:tcPr>
            <w:tcW w:w="0" w:type="auto"/>
            <w:gridSpan w:val="3"/>
            <w:shd w:val="clear" w:color="auto" w:fill="auto"/>
            <w:tcMar>
              <w:top w:w="40" w:type="dxa"/>
              <w:left w:w="20" w:type="dxa"/>
              <w:bottom w:w="40" w:type="dxa"/>
              <w:right w:w="20" w:type="dxa"/>
            </w:tcMar>
            <w:vAlign w:val="center"/>
          </w:tcPr>
          <w:p w14:paraId="5DEC6B56" w14:textId="77777777" w:rsidR="00B1578D" w:rsidRDefault="004D2C04">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5DEC6B57" w14:textId="77777777" w:rsidR="00B1578D" w:rsidRDefault="00B1578D">
            <w:pPr>
              <w:rPr>
                <w:rFonts w:ascii="宋体"/>
                <w:vanish/>
              </w:rPr>
            </w:pPr>
          </w:p>
        </w:tc>
        <w:tc>
          <w:tcPr>
            <w:tcW w:w="0" w:type="auto"/>
            <w:shd w:val="clear" w:color="auto" w:fill="auto"/>
            <w:vAlign w:val="bottom"/>
          </w:tcPr>
          <w:p w14:paraId="5DEC6B58" w14:textId="77777777" w:rsidR="00B1578D" w:rsidRDefault="00B1578D">
            <w:pPr>
              <w:rPr>
                <w:rFonts w:ascii="宋体"/>
                <w:vanish/>
              </w:rPr>
            </w:pPr>
          </w:p>
        </w:tc>
        <w:tc>
          <w:tcPr>
            <w:tcW w:w="0" w:type="auto"/>
            <w:shd w:val="clear" w:color="auto" w:fill="auto"/>
            <w:vAlign w:val="bottom"/>
          </w:tcPr>
          <w:p w14:paraId="5DEC6B59" w14:textId="77777777" w:rsidR="00B1578D" w:rsidRDefault="00B1578D">
            <w:pPr>
              <w:rPr>
                <w:rFonts w:ascii="宋体"/>
                <w:vanish/>
              </w:rPr>
            </w:pPr>
          </w:p>
        </w:tc>
        <w:tc>
          <w:tcPr>
            <w:tcW w:w="0" w:type="auto"/>
            <w:shd w:val="clear" w:color="auto" w:fill="auto"/>
            <w:vAlign w:val="bottom"/>
          </w:tcPr>
          <w:p w14:paraId="5DEC6B5A" w14:textId="77777777" w:rsidR="00B1578D" w:rsidRDefault="00B1578D">
            <w:pPr>
              <w:rPr>
                <w:rFonts w:ascii="宋体"/>
                <w:vanish/>
              </w:rPr>
            </w:pPr>
          </w:p>
        </w:tc>
        <w:tc>
          <w:tcPr>
            <w:tcW w:w="0" w:type="auto"/>
            <w:shd w:val="clear" w:color="auto" w:fill="auto"/>
            <w:vAlign w:val="bottom"/>
          </w:tcPr>
          <w:p w14:paraId="5DEC6B5B" w14:textId="77777777" w:rsidR="00B1578D" w:rsidRDefault="00B1578D">
            <w:pPr>
              <w:rPr>
                <w:rFonts w:ascii="宋体"/>
                <w:vanish/>
              </w:rPr>
            </w:pPr>
          </w:p>
        </w:tc>
        <w:tc>
          <w:tcPr>
            <w:tcW w:w="0" w:type="auto"/>
            <w:shd w:val="clear" w:color="auto" w:fill="auto"/>
            <w:vAlign w:val="bottom"/>
          </w:tcPr>
          <w:p w14:paraId="5DEC6B5C" w14:textId="77777777" w:rsidR="00B1578D" w:rsidRDefault="00B1578D">
            <w:pPr>
              <w:rPr>
                <w:rFonts w:ascii="宋体"/>
                <w:vanish/>
              </w:rPr>
            </w:pPr>
          </w:p>
        </w:tc>
        <w:tc>
          <w:tcPr>
            <w:tcW w:w="0" w:type="auto"/>
            <w:gridSpan w:val="3"/>
            <w:shd w:val="clear" w:color="auto" w:fill="auto"/>
            <w:tcMar>
              <w:top w:w="0" w:type="dxa"/>
              <w:left w:w="20" w:type="dxa"/>
              <w:bottom w:w="0" w:type="dxa"/>
              <w:right w:w="20" w:type="dxa"/>
            </w:tcMar>
            <w:vAlign w:val="bottom"/>
          </w:tcPr>
          <w:p w14:paraId="5DEC6B5D"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B5E"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B5F"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B60" w14:textId="77777777" w:rsidR="00B1578D" w:rsidRDefault="004D2C04">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vAlign w:val="bottom"/>
          </w:tcPr>
          <w:p w14:paraId="5DEC6B61" w14:textId="77777777" w:rsidR="00B1578D" w:rsidRDefault="00B1578D">
            <w:pPr>
              <w:rPr>
                <w:rFonts w:ascii="宋体"/>
                <w:vanish/>
              </w:rPr>
            </w:pPr>
          </w:p>
        </w:tc>
      </w:tr>
      <w:tr w:rsidR="00B1578D" w14:paraId="5DEC6B73" w14:textId="77777777">
        <w:trPr>
          <w:jc w:val="center"/>
        </w:trPr>
        <w:tc>
          <w:tcPr>
            <w:tcW w:w="0" w:type="auto"/>
            <w:gridSpan w:val="3"/>
            <w:shd w:val="clear" w:color="auto" w:fill="CCEEFF"/>
            <w:tcMar>
              <w:top w:w="40" w:type="dxa"/>
              <w:left w:w="20" w:type="dxa"/>
              <w:bottom w:w="40" w:type="dxa"/>
              <w:right w:w="20" w:type="dxa"/>
            </w:tcMar>
            <w:vAlign w:val="center"/>
          </w:tcPr>
          <w:p w14:paraId="5DEC6B63" w14:textId="77777777" w:rsidR="00B1578D" w:rsidRDefault="004D2C04">
            <w:pPr>
              <w:textAlignment w:val="center"/>
            </w:pPr>
            <w:r>
              <w:rPr>
                <w:rFonts w:ascii="Times New Roman" w:eastAsia="宋体" w:hAnsi="Times New Roman"/>
                <w:color w:val="000000"/>
                <w:sz w:val="16"/>
                <w:szCs w:val="16"/>
              </w:rPr>
              <w:t>Net cash provided by (used in) operating activities</w:t>
            </w:r>
          </w:p>
        </w:tc>
        <w:tc>
          <w:tcPr>
            <w:tcW w:w="0" w:type="auto"/>
            <w:shd w:val="clear" w:color="auto" w:fill="auto"/>
            <w:vAlign w:val="bottom"/>
          </w:tcPr>
          <w:p w14:paraId="5DEC6B64" w14:textId="77777777" w:rsidR="00B1578D" w:rsidRDefault="00B1578D">
            <w:pPr>
              <w:rPr>
                <w:rFonts w:ascii="宋体"/>
                <w:vanish/>
              </w:rPr>
            </w:pPr>
          </w:p>
        </w:tc>
        <w:tc>
          <w:tcPr>
            <w:tcW w:w="0" w:type="auto"/>
            <w:shd w:val="clear" w:color="auto" w:fill="auto"/>
            <w:vAlign w:val="bottom"/>
          </w:tcPr>
          <w:p w14:paraId="5DEC6B65" w14:textId="77777777" w:rsidR="00B1578D" w:rsidRDefault="00B1578D">
            <w:pPr>
              <w:rPr>
                <w:rFonts w:ascii="宋体"/>
                <w:vanish/>
              </w:rPr>
            </w:pPr>
          </w:p>
        </w:tc>
        <w:tc>
          <w:tcPr>
            <w:tcW w:w="0" w:type="auto"/>
            <w:shd w:val="clear" w:color="auto" w:fill="auto"/>
            <w:vAlign w:val="bottom"/>
          </w:tcPr>
          <w:p w14:paraId="5DEC6B66" w14:textId="77777777" w:rsidR="00B1578D" w:rsidRDefault="00B1578D">
            <w:pPr>
              <w:rPr>
                <w:rFonts w:ascii="宋体"/>
                <w:vanish/>
              </w:rPr>
            </w:pPr>
          </w:p>
        </w:tc>
        <w:tc>
          <w:tcPr>
            <w:tcW w:w="0" w:type="auto"/>
            <w:shd w:val="clear" w:color="auto" w:fill="auto"/>
            <w:vAlign w:val="bottom"/>
          </w:tcPr>
          <w:p w14:paraId="5DEC6B67" w14:textId="77777777" w:rsidR="00B1578D" w:rsidRDefault="00B1578D">
            <w:pPr>
              <w:rPr>
                <w:rFonts w:ascii="宋体"/>
                <w:vanish/>
              </w:rPr>
            </w:pPr>
          </w:p>
        </w:tc>
        <w:tc>
          <w:tcPr>
            <w:tcW w:w="0" w:type="auto"/>
            <w:shd w:val="clear" w:color="auto" w:fill="auto"/>
            <w:vAlign w:val="bottom"/>
          </w:tcPr>
          <w:p w14:paraId="5DEC6B68" w14:textId="77777777" w:rsidR="00B1578D" w:rsidRDefault="00B1578D">
            <w:pPr>
              <w:rPr>
                <w:rFonts w:ascii="宋体"/>
                <w:vanish/>
              </w:rPr>
            </w:pPr>
          </w:p>
        </w:tc>
        <w:tc>
          <w:tcPr>
            <w:tcW w:w="0" w:type="auto"/>
            <w:shd w:val="clear" w:color="auto" w:fill="auto"/>
            <w:vAlign w:val="bottom"/>
          </w:tcPr>
          <w:p w14:paraId="5DEC6B69" w14:textId="77777777" w:rsidR="00B1578D" w:rsidRDefault="00B1578D">
            <w:pPr>
              <w:rPr>
                <w:rFonts w:ascii="宋体"/>
                <w:vanish/>
              </w:rPr>
            </w:pPr>
          </w:p>
        </w:tc>
        <w:tc>
          <w:tcPr>
            <w:tcW w:w="0" w:type="auto"/>
            <w:gridSpan w:val="3"/>
            <w:shd w:val="clear" w:color="auto" w:fill="CCEEFF"/>
            <w:tcMar>
              <w:top w:w="0" w:type="dxa"/>
              <w:left w:w="20" w:type="dxa"/>
              <w:bottom w:w="0" w:type="dxa"/>
              <w:right w:w="20" w:type="dxa"/>
            </w:tcMar>
            <w:vAlign w:val="bottom"/>
          </w:tcPr>
          <w:p w14:paraId="5DEC6B6A"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B6B"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B6C" w14:textId="77777777" w:rsidR="00B1578D" w:rsidRDefault="004D2C04">
            <w:pPr>
              <w:jc w:val="right"/>
              <w:textAlignment w:val="center"/>
            </w:pPr>
            <w:r>
              <w:rPr>
                <w:rFonts w:ascii="Times New Roman" w:eastAsia="宋体" w:hAnsi="Times New Roman"/>
                <w:color w:val="000000"/>
                <w:sz w:val="16"/>
                <w:szCs w:val="16"/>
              </w:rPr>
              <w:t>(3,758)</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B6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B6E"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B6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B70" w14:textId="77777777" w:rsidR="00B1578D" w:rsidRDefault="004D2C04">
            <w:pPr>
              <w:jc w:val="right"/>
              <w:textAlignment w:val="center"/>
            </w:pPr>
            <w:r>
              <w:rPr>
                <w:rFonts w:ascii="Times New Roman" w:eastAsia="宋体" w:hAnsi="Times New Roman"/>
                <w:color w:val="000000"/>
                <w:sz w:val="16"/>
                <w:szCs w:val="16"/>
              </w:rPr>
              <w:t>2,858 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B71" w14:textId="77777777" w:rsidR="00B1578D" w:rsidRDefault="00B1578D">
            <w:pPr>
              <w:jc w:val="right"/>
              <w:rPr>
                <w:rFonts w:ascii="宋体"/>
              </w:rPr>
            </w:pPr>
          </w:p>
        </w:tc>
        <w:tc>
          <w:tcPr>
            <w:tcW w:w="0" w:type="auto"/>
            <w:gridSpan w:val="3"/>
            <w:shd w:val="clear" w:color="auto" w:fill="auto"/>
            <w:vAlign w:val="bottom"/>
          </w:tcPr>
          <w:p w14:paraId="5DEC6B72" w14:textId="77777777" w:rsidR="00B1578D" w:rsidRDefault="00B1578D">
            <w:pPr>
              <w:rPr>
                <w:rFonts w:ascii="宋体"/>
                <w:vanish/>
              </w:rPr>
            </w:pPr>
          </w:p>
        </w:tc>
      </w:tr>
    </w:tbl>
    <w:p w14:paraId="5DEC6B74" w14:textId="77777777" w:rsidR="00B1578D" w:rsidRDefault="004D2C04">
      <w:pPr>
        <w:spacing w:before="60"/>
      </w:pPr>
      <w:r>
        <w:rPr>
          <w:rFonts w:ascii="Times New Roman" w:eastAsia="宋体" w:hAnsi="Times New Roman"/>
          <w:color w:val="000000"/>
          <w:sz w:val="20"/>
          <w:szCs w:val="20"/>
        </w:rPr>
        <w:t xml:space="preserve">Net cash used in operating activities was $3.8 billion as compared to net cash provided by operating activities of $2.9 billion for the three months ended April 30, 2022 and 2021, respectively. The decline is primarily due </w:t>
      </w:r>
      <w:r>
        <w:rPr>
          <w:rFonts w:ascii="Times New Roman" w:eastAsia="宋体" w:hAnsi="Times New Roman"/>
          <w:color w:val="000000"/>
          <w:sz w:val="20"/>
          <w:szCs w:val="20"/>
        </w:rPr>
        <w:t xml:space="preserve">to an increase in inventory costs and purchases to support strong sales, lower operating income and the timing of certain payments and payables. </w:t>
      </w:r>
    </w:p>
    <w:p w14:paraId="5DEC6B75" w14:textId="77777777" w:rsidR="00B1578D" w:rsidRDefault="004D2C04">
      <w:pPr>
        <w:spacing w:before="180"/>
      </w:pPr>
      <w:r>
        <w:rPr>
          <w:rFonts w:ascii="Times New Roman" w:eastAsia="宋体" w:hAnsi="Times New Roman"/>
          <w:i/>
          <w:iCs/>
          <w:color w:val="000000"/>
          <w:sz w:val="20"/>
          <w:szCs w:val="20"/>
        </w:rPr>
        <w:t xml:space="preserve">Cash Equivalents and Working Capital Deficit </w:t>
      </w:r>
    </w:p>
    <w:p w14:paraId="5DEC6B76" w14:textId="77777777" w:rsidR="00B1578D" w:rsidRDefault="004D2C04">
      <w:pPr>
        <w:spacing w:before="100"/>
      </w:pPr>
      <w:r>
        <w:rPr>
          <w:rFonts w:ascii="Times New Roman" w:eastAsia="宋体" w:hAnsi="Times New Roman"/>
          <w:color w:val="000000"/>
          <w:sz w:val="20"/>
          <w:szCs w:val="20"/>
        </w:rPr>
        <w:t>Cash and cash equivalents were $11.8 billion and $22.8 billion a</w:t>
      </w:r>
      <w:r>
        <w:rPr>
          <w:rFonts w:ascii="Times New Roman" w:eastAsia="宋体" w:hAnsi="Times New Roman"/>
          <w:color w:val="000000"/>
          <w:sz w:val="20"/>
          <w:szCs w:val="20"/>
        </w:rPr>
        <w:t>t April 30, 2022 and 2021, respectively. Our working capital deficit was $13.3 billion as of April 30, 2022, which increased when compared to $4.3 billion as of April 30, 2021, primarily driven by an increase in short-term borrowings and a decrease in cash</w:t>
      </w:r>
      <w:r>
        <w:rPr>
          <w:rFonts w:ascii="Times New Roman" w:eastAsia="宋体" w:hAnsi="Times New Roman"/>
          <w:color w:val="000000"/>
          <w:sz w:val="20"/>
          <w:szCs w:val="20"/>
        </w:rPr>
        <w:t xml:space="preserve"> and cash equivalents, partially offset by the increase in inventory described above. We generally operate with a working capital deficit due to our efficient use of cash in funding operations, consistent access to the capital markets and returns provided </w:t>
      </w:r>
      <w:r>
        <w:rPr>
          <w:rFonts w:ascii="Times New Roman" w:eastAsia="宋体" w:hAnsi="Times New Roman"/>
          <w:color w:val="000000"/>
          <w:sz w:val="20"/>
          <w:szCs w:val="20"/>
        </w:rPr>
        <w:t xml:space="preserve">to our shareholders in the form of payments of cash dividends and share repurchases. </w:t>
      </w:r>
    </w:p>
    <w:p w14:paraId="5DEC6B77" w14:textId="77777777" w:rsidR="00B1578D" w:rsidRDefault="004D2C04">
      <w:pPr>
        <w:spacing w:before="100"/>
      </w:pPr>
      <w:r>
        <w:rPr>
          <w:rFonts w:ascii="Times New Roman" w:eastAsia="宋体" w:hAnsi="Times New Roman"/>
          <w:color w:val="000000"/>
          <w:sz w:val="20"/>
          <w:szCs w:val="20"/>
        </w:rPr>
        <w:t>As of April 30, 2022 and January 31, 2022, cash and cash equivalents of $3.3 billion and $4.3 billion, respectively, may not be freely transferable to the U.S. due to loc</w:t>
      </w:r>
      <w:r>
        <w:rPr>
          <w:rFonts w:ascii="Times New Roman" w:eastAsia="宋体" w:hAnsi="Times New Roman"/>
          <w:color w:val="000000"/>
          <w:sz w:val="20"/>
          <w:szCs w:val="20"/>
        </w:rPr>
        <w:t xml:space="preserve">al laws or other restrictions. Of the $3.3 billion at April 30, 2022, approximately $1.5 billion can only be accessed through dividends or intercompany financing arrangements subject to approval of the Flipkart minority shareholders; however, this cash is </w:t>
      </w:r>
      <w:r>
        <w:rPr>
          <w:rFonts w:ascii="Times New Roman" w:eastAsia="宋体" w:hAnsi="Times New Roman"/>
          <w:color w:val="000000"/>
          <w:sz w:val="20"/>
          <w:szCs w:val="20"/>
        </w:rPr>
        <w:t xml:space="preserve">expected to be utilized by Flipkart. </w:t>
      </w:r>
    </w:p>
    <w:p w14:paraId="5DEC6B78" w14:textId="77777777" w:rsidR="00B1578D" w:rsidRDefault="004D2C04">
      <w:pPr>
        <w:spacing w:before="180"/>
      </w:pPr>
      <w:r>
        <w:rPr>
          <w:rFonts w:ascii="Times New Roman" w:eastAsia="宋体" w:hAnsi="Times New Roman"/>
          <w:b/>
          <w:bCs/>
          <w:i/>
          <w:iCs/>
          <w:color w:val="000000"/>
          <w:sz w:val="20"/>
          <w:szCs w:val="20"/>
        </w:rPr>
        <w:t>Net Cash Provided by or 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04"/>
        <w:gridCol w:w="36"/>
        <w:gridCol w:w="36"/>
        <w:gridCol w:w="36"/>
        <w:gridCol w:w="46"/>
        <w:gridCol w:w="36"/>
        <w:gridCol w:w="36"/>
        <w:gridCol w:w="36"/>
        <w:gridCol w:w="36"/>
        <w:gridCol w:w="100"/>
        <w:gridCol w:w="740"/>
        <w:gridCol w:w="36"/>
        <w:gridCol w:w="36"/>
        <w:gridCol w:w="36"/>
        <w:gridCol w:w="36"/>
        <w:gridCol w:w="100"/>
        <w:gridCol w:w="761"/>
        <w:gridCol w:w="36"/>
        <w:gridCol w:w="36"/>
        <w:gridCol w:w="36"/>
        <w:gridCol w:w="36"/>
        <w:gridCol w:w="36"/>
        <w:gridCol w:w="36"/>
        <w:gridCol w:w="36"/>
      </w:tblGrid>
      <w:tr w:rsidR="00B1578D" w14:paraId="5DEC6B8E" w14:textId="77777777">
        <w:trPr>
          <w:jc w:val="center"/>
        </w:trPr>
        <w:tc>
          <w:tcPr>
            <w:tcW w:w="50" w:type="pct"/>
            <w:shd w:val="clear" w:color="auto" w:fill="auto"/>
            <w:vAlign w:val="bottom"/>
          </w:tcPr>
          <w:p w14:paraId="5DEC6B79" w14:textId="77777777" w:rsidR="00B1578D" w:rsidRDefault="00B1578D">
            <w:pPr>
              <w:rPr>
                <w:rFonts w:ascii="宋体"/>
              </w:rPr>
            </w:pPr>
          </w:p>
        </w:tc>
        <w:tc>
          <w:tcPr>
            <w:tcW w:w="3738" w:type="pct"/>
            <w:shd w:val="clear" w:color="auto" w:fill="auto"/>
            <w:vAlign w:val="bottom"/>
          </w:tcPr>
          <w:p w14:paraId="5DEC6B7A" w14:textId="77777777" w:rsidR="00B1578D" w:rsidRDefault="00B1578D">
            <w:pPr>
              <w:rPr>
                <w:rFonts w:ascii="宋体"/>
              </w:rPr>
            </w:pPr>
          </w:p>
        </w:tc>
        <w:tc>
          <w:tcPr>
            <w:tcW w:w="5" w:type="pct"/>
            <w:shd w:val="clear" w:color="auto" w:fill="auto"/>
            <w:vAlign w:val="bottom"/>
          </w:tcPr>
          <w:p w14:paraId="5DEC6B7B" w14:textId="77777777" w:rsidR="00B1578D" w:rsidRDefault="00B1578D">
            <w:pPr>
              <w:rPr>
                <w:rFonts w:ascii="宋体"/>
              </w:rPr>
            </w:pPr>
          </w:p>
        </w:tc>
        <w:tc>
          <w:tcPr>
            <w:tcW w:w="0" w:type="auto"/>
            <w:shd w:val="clear" w:color="auto" w:fill="auto"/>
            <w:vAlign w:val="bottom"/>
          </w:tcPr>
          <w:p w14:paraId="5DEC6B7C" w14:textId="77777777" w:rsidR="00B1578D" w:rsidRDefault="00B1578D">
            <w:pPr>
              <w:rPr>
                <w:rFonts w:ascii="宋体"/>
                <w:vanish/>
              </w:rPr>
            </w:pPr>
          </w:p>
        </w:tc>
        <w:tc>
          <w:tcPr>
            <w:tcW w:w="0" w:type="auto"/>
            <w:shd w:val="clear" w:color="auto" w:fill="auto"/>
            <w:vAlign w:val="bottom"/>
          </w:tcPr>
          <w:p w14:paraId="5DEC6B7D" w14:textId="77777777" w:rsidR="00B1578D" w:rsidRDefault="00B1578D">
            <w:pPr>
              <w:rPr>
                <w:rFonts w:ascii="宋体"/>
                <w:vanish/>
              </w:rPr>
            </w:pPr>
          </w:p>
        </w:tc>
        <w:tc>
          <w:tcPr>
            <w:tcW w:w="0" w:type="auto"/>
            <w:shd w:val="clear" w:color="auto" w:fill="auto"/>
            <w:vAlign w:val="bottom"/>
          </w:tcPr>
          <w:p w14:paraId="5DEC6B7E" w14:textId="77777777" w:rsidR="00B1578D" w:rsidRDefault="00B1578D">
            <w:pPr>
              <w:rPr>
                <w:rFonts w:ascii="宋体"/>
                <w:vanish/>
              </w:rPr>
            </w:pPr>
          </w:p>
        </w:tc>
        <w:tc>
          <w:tcPr>
            <w:tcW w:w="0" w:type="auto"/>
            <w:shd w:val="clear" w:color="auto" w:fill="auto"/>
            <w:vAlign w:val="bottom"/>
          </w:tcPr>
          <w:p w14:paraId="5DEC6B7F" w14:textId="77777777" w:rsidR="00B1578D" w:rsidRDefault="00B1578D">
            <w:pPr>
              <w:rPr>
                <w:rFonts w:ascii="宋体"/>
                <w:vanish/>
              </w:rPr>
            </w:pPr>
          </w:p>
        </w:tc>
        <w:tc>
          <w:tcPr>
            <w:tcW w:w="5" w:type="pct"/>
            <w:shd w:val="clear" w:color="auto" w:fill="auto"/>
            <w:vAlign w:val="bottom"/>
          </w:tcPr>
          <w:p w14:paraId="5DEC6B80" w14:textId="77777777" w:rsidR="00B1578D" w:rsidRDefault="00B1578D">
            <w:pPr>
              <w:rPr>
                <w:rFonts w:ascii="宋体"/>
              </w:rPr>
            </w:pPr>
          </w:p>
        </w:tc>
        <w:tc>
          <w:tcPr>
            <w:tcW w:w="41" w:type="pct"/>
            <w:shd w:val="clear" w:color="auto" w:fill="auto"/>
            <w:vAlign w:val="bottom"/>
          </w:tcPr>
          <w:p w14:paraId="5DEC6B81" w14:textId="77777777" w:rsidR="00B1578D" w:rsidRDefault="00B1578D">
            <w:pPr>
              <w:rPr>
                <w:rFonts w:ascii="宋体"/>
              </w:rPr>
            </w:pPr>
          </w:p>
        </w:tc>
        <w:tc>
          <w:tcPr>
            <w:tcW w:w="5" w:type="pct"/>
            <w:shd w:val="clear" w:color="auto" w:fill="auto"/>
            <w:vAlign w:val="bottom"/>
          </w:tcPr>
          <w:p w14:paraId="5DEC6B82" w14:textId="77777777" w:rsidR="00B1578D" w:rsidRDefault="00B1578D">
            <w:pPr>
              <w:rPr>
                <w:rFonts w:ascii="宋体"/>
              </w:rPr>
            </w:pPr>
          </w:p>
        </w:tc>
        <w:tc>
          <w:tcPr>
            <w:tcW w:w="50" w:type="pct"/>
            <w:shd w:val="clear" w:color="auto" w:fill="auto"/>
            <w:vAlign w:val="bottom"/>
          </w:tcPr>
          <w:p w14:paraId="5DEC6B83" w14:textId="77777777" w:rsidR="00B1578D" w:rsidRDefault="00B1578D">
            <w:pPr>
              <w:rPr>
                <w:rFonts w:ascii="宋体"/>
              </w:rPr>
            </w:pPr>
          </w:p>
        </w:tc>
        <w:tc>
          <w:tcPr>
            <w:tcW w:w="507" w:type="pct"/>
            <w:shd w:val="clear" w:color="auto" w:fill="auto"/>
            <w:vAlign w:val="bottom"/>
          </w:tcPr>
          <w:p w14:paraId="5DEC6B84" w14:textId="77777777" w:rsidR="00B1578D" w:rsidRDefault="00B1578D">
            <w:pPr>
              <w:rPr>
                <w:rFonts w:ascii="宋体"/>
              </w:rPr>
            </w:pPr>
          </w:p>
        </w:tc>
        <w:tc>
          <w:tcPr>
            <w:tcW w:w="5" w:type="pct"/>
            <w:shd w:val="clear" w:color="auto" w:fill="auto"/>
            <w:vAlign w:val="bottom"/>
          </w:tcPr>
          <w:p w14:paraId="5DEC6B85" w14:textId="77777777" w:rsidR="00B1578D" w:rsidRDefault="00B1578D">
            <w:pPr>
              <w:rPr>
                <w:rFonts w:ascii="宋体"/>
              </w:rPr>
            </w:pPr>
          </w:p>
        </w:tc>
        <w:tc>
          <w:tcPr>
            <w:tcW w:w="5" w:type="pct"/>
            <w:shd w:val="clear" w:color="auto" w:fill="auto"/>
            <w:vAlign w:val="bottom"/>
          </w:tcPr>
          <w:p w14:paraId="5DEC6B86" w14:textId="77777777" w:rsidR="00B1578D" w:rsidRDefault="00B1578D">
            <w:pPr>
              <w:rPr>
                <w:rFonts w:ascii="宋体"/>
              </w:rPr>
            </w:pPr>
          </w:p>
        </w:tc>
        <w:tc>
          <w:tcPr>
            <w:tcW w:w="19" w:type="pct"/>
            <w:shd w:val="clear" w:color="auto" w:fill="auto"/>
            <w:vAlign w:val="bottom"/>
          </w:tcPr>
          <w:p w14:paraId="5DEC6B87" w14:textId="77777777" w:rsidR="00B1578D" w:rsidRDefault="00B1578D">
            <w:pPr>
              <w:rPr>
                <w:rFonts w:ascii="宋体"/>
              </w:rPr>
            </w:pPr>
          </w:p>
        </w:tc>
        <w:tc>
          <w:tcPr>
            <w:tcW w:w="5" w:type="pct"/>
            <w:shd w:val="clear" w:color="auto" w:fill="auto"/>
            <w:vAlign w:val="bottom"/>
          </w:tcPr>
          <w:p w14:paraId="5DEC6B88" w14:textId="77777777" w:rsidR="00B1578D" w:rsidRDefault="00B1578D">
            <w:pPr>
              <w:rPr>
                <w:rFonts w:ascii="宋体"/>
              </w:rPr>
            </w:pPr>
          </w:p>
        </w:tc>
        <w:tc>
          <w:tcPr>
            <w:tcW w:w="50" w:type="pct"/>
            <w:shd w:val="clear" w:color="auto" w:fill="auto"/>
            <w:vAlign w:val="bottom"/>
          </w:tcPr>
          <w:p w14:paraId="5DEC6B89" w14:textId="77777777" w:rsidR="00B1578D" w:rsidRDefault="00B1578D">
            <w:pPr>
              <w:rPr>
                <w:rFonts w:ascii="宋体"/>
              </w:rPr>
            </w:pPr>
          </w:p>
        </w:tc>
        <w:tc>
          <w:tcPr>
            <w:tcW w:w="507" w:type="pct"/>
            <w:shd w:val="clear" w:color="auto" w:fill="auto"/>
            <w:vAlign w:val="bottom"/>
          </w:tcPr>
          <w:p w14:paraId="5DEC6B8A" w14:textId="77777777" w:rsidR="00B1578D" w:rsidRDefault="00B1578D">
            <w:pPr>
              <w:rPr>
                <w:rFonts w:ascii="宋体"/>
              </w:rPr>
            </w:pPr>
          </w:p>
        </w:tc>
        <w:tc>
          <w:tcPr>
            <w:tcW w:w="5" w:type="pct"/>
            <w:shd w:val="clear" w:color="auto" w:fill="auto"/>
            <w:vAlign w:val="bottom"/>
          </w:tcPr>
          <w:p w14:paraId="5DEC6B8B" w14:textId="77777777" w:rsidR="00B1578D" w:rsidRDefault="00B1578D">
            <w:pPr>
              <w:rPr>
                <w:rFonts w:ascii="宋体"/>
              </w:rPr>
            </w:pPr>
          </w:p>
        </w:tc>
        <w:tc>
          <w:tcPr>
            <w:tcW w:w="0" w:type="auto"/>
            <w:gridSpan w:val="3"/>
            <w:shd w:val="clear" w:color="auto" w:fill="auto"/>
            <w:vAlign w:val="bottom"/>
          </w:tcPr>
          <w:p w14:paraId="5DEC6B8C" w14:textId="77777777" w:rsidR="00B1578D" w:rsidRDefault="00B1578D">
            <w:pPr>
              <w:rPr>
                <w:rFonts w:ascii="宋体"/>
                <w:vanish/>
              </w:rPr>
            </w:pPr>
          </w:p>
        </w:tc>
        <w:tc>
          <w:tcPr>
            <w:tcW w:w="0" w:type="auto"/>
            <w:gridSpan w:val="3"/>
            <w:shd w:val="clear" w:color="auto" w:fill="auto"/>
            <w:vAlign w:val="bottom"/>
          </w:tcPr>
          <w:p w14:paraId="5DEC6B8D" w14:textId="77777777" w:rsidR="00B1578D" w:rsidRDefault="00B1578D">
            <w:pPr>
              <w:rPr>
                <w:rFonts w:ascii="宋体"/>
                <w:vanish/>
              </w:rPr>
            </w:pPr>
          </w:p>
        </w:tc>
      </w:tr>
      <w:tr w:rsidR="00B1578D" w14:paraId="5DEC6B9E" w14:textId="77777777">
        <w:trPr>
          <w:jc w:val="center"/>
        </w:trPr>
        <w:tc>
          <w:tcPr>
            <w:tcW w:w="0" w:type="auto"/>
            <w:gridSpan w:val="3"/>
            <w:shd w:val="clear" w:color="auto" w:fill="auto"/>
            <w:tcMar>
              <w:top w:w="40" w:type="dxa"/>
              <w:left w:w="20" w:type="dxa"/>
              <w:bottom w:w="40" w:type="dxa"/>
              <w:right w:w="20" w:type="dxa"/>
            </w:tcMar>
            <w:vAlign w:val="center"/>
          </w:tcPr>
          <w:p w14:paraId="5DEC6B8F" w14:textId="77777777" w:rsidR="00B1578D" w:rsidRDefault="004D2C04">
            <w:pPr>
              <w:textAlignment w:val="center"/>
            </w:pPr>
            <w:r>
              <w:rPr>
                <w:rFonts w:ascii="Times New Roman" w:eastAsia="宋体" w:hAnsi="Times New Roman"/>
                <w:color w:val="000000"/>
                <w:sz w:val="16"/>
                <w:szCs w:val="16"/>
              </w:rPr>
              <w:t> </w:t>
            </w:r>
          </w:p>
        </w:tc>
        <w:tc>
          <w:tcPr>
            <w:tcW w:w="0" w:type="auto"/>
            <w:shd w:val="clear" w:color="auto" w:fill="auto"/>
            <w:vAlign w:val="bottom"/>
          </w:tcPr>
          <w:p w14:paraId="5DEC6B90" w14:textId="77777777" w:rsidR="00B1578D" w:rsidRDefault="00B1578D">
            <w:pPr>
              <w:rPr>
                <w:rFonts w:ascii="宋体"/>
                <w:vanish/>
              </w:rPr>
            </w:pPr>
          </w:p>
        </w:tc>
        <w:tc>
          <w:tcPr>
            <w:tcW w:w="0" w:type="auto"/>
            <w:shd w:val="clear" w:color="auto" w:fill="auto"/>
            <w:vAlign w:val="bottom"/>
          </w:tcPr>
          <w:p w14:paraId="5DEC6B91" w14:textId="77777777" w:rsidR="00B1578D" w:rsidRDefault="00B1578D">
            <w:pPr>
              <w:rPr>
                <w:rFonts w:ascii="宋体"/>
                <w:vanish/>
              </w:rPr>
            </w:pPr>
          </w:p>
        </w:tc>
        <w:tc>
          <w:tcPr>
            <w:tcW w:w="0" w:type="auto"/>
            <w:shd w:val="clear" w:color="auto" w:fill="auto"/>
            <w:tcMar>
              <w:top w:w="0" w:type="dxa"/>
              <w:left w:w="20" w:type="dxa"/>
              <w:bottom w:w="0" w:type="dxa"/>
              <w:right w:w="20" w:type="dxa"/>
            </w:tcMar>
            <w:vAlign w:val="bottom"/>
          </w:tcPr>
          <w:p w14:paraId="5DEC6B92" w14:textId="77777777" w:rsidR="00B1578D" w:rsidRDefault="00B1578D">
            <w:pPr>
              <w:rPr>
                <w:rFonts w:ascii="宋体"/>
              </w:rPr>
            </w:pPr>
          </w:p>
        </w:tc>
        <w:tc>
          <w:tcPr>
            <w:tcW w:w="0" w:type="auto"/>
            <w:gridSpan w:val="7"/>
            <w:shd w:val="clear" w:color="auto" w:fill="auto"/>
            <w:tcMar>
              <w:top w:w="40" w:type="dxa"/>
              <w:left w:w="20" w:type="dxa"/>
              <w:bottom w:w="40" w:type="dxa"/>
              <w:right w:w="20" w:type="dxa"/>
            </w:tcMar>
            <w:vAlign w:val="center"/>
          </w:tcPr>
          <w:p w14:paraId="5DEC6B93" w14:textId="77777777" w:rsidR="00B1578D" w:rsidRDefault="004D2C04">
            <w:pPr>
              <w:jc w:val="center"/>
              <w:textAlignment w:val="center"/>
            </w:pPr>
            <w:r>
              <w:rPr>
                <w:rFonts w:ascii="Times New Roman" w:eastAsia="宋体" w:hAnsi="Times New Roman"/>
                <w:b/>
                <w:bCs/>
                <w:color w:val="000000"/>
                <w:sz w:val="16"/>
                <w:szCs w:val="16"/>
              </w:rPr>
              <w:t>Three Months Ended April 30,</w:t>
            </w:r>
          </w:p>
        </w:tc>
        <w:tc>
          <w:tcPr>
            <w:tcW w:w="0" w:type="auto"/>
            <w:gridSpan w:val="3"/>
            <w:shd w:val="clear" w:color="auto" w:fill="auto"/>
            <w:vAlign w:val="bottom"/>
          </w:tcPr>
          <w:p w14:paraId="5DEC6B94" w14:textId="77777777" w:rsidR="00B1578D" w:rsidRDefault="00B1578D">
            <w:pPr>
              <w:rPr>
                <w:rFonts w:ascii="宋体"/>
                <w:vanish/>
              </w:rPr>
            </w:pPr>
          </w:p>
        </w:tc>
        <w:tc>
          <w:tcPr>
            <w:tcW w:w="0" w:type="auto"/>
            <w:shd w:val="clear" w:color="auto" w:fill="auto"/>
            <w:vAlign w:val="bottom"/>
          </w:tcPr>
          <w:p w14:paraId="5DEC6B95" w14:textId="77777777" w:rsidR="00B1578D" w:rsidRDefault="00B1578D">
            <w:pPr>
              <w:rPr>
                <w:rFonts w:ascii="宋体"/>
              </w:rPr>
            </w:pPr>
          </w:p>
        </w:tc>
        <w:tc>
          <w:tcPr>
            <w:tcW w:w="0" w:type="auto"/>
            <w:shd w:val="clear" w:color="auto" w:fill="auto"/>
            <w:vAlign w:val="bottom"/>
          </w:tcPr>
          <w:p w14:paraId="5DEC6B96" w14:textId="77777777" w:rsidR="00B1578D" w:rsidRDefault="00B1578D">
            <w:pPr>
              <w:rPr>
                <w:rFonts w:ascii="宋体"/>
              </w:rPr>
            </w:pPr>
          </w:p>
        </w:tc>
        <w:tc>
          <w:tcPr>
            <w:tcW w:w="0" w:type="auto"/>
            <w:shd w:val="clear" w:color="auto" w:fill="auto"/>
            <w:vAlign w:val="bottom"/>
          </w:tcPr>
          <w:p w14:paraId="5DEC6B97" w14:textId="77777777" w:rsidR="00B1578D" w:rsidRDefault="00B1578D">
            <w:pPr>
              <w:rPr>
                <w:rFonts w:ascii="宋体"/>
              </w:rPr>
            </w:pPr>
          </w:p>
        </w:tc>
        <w:tc>
          <w:tcPr>
            <w:tcW w:w="0" w:type="auto"/>
            <w:shd w:val="clear" w:color="auto" w:fill="auto"/>
            <w:vAlign w:val="bottom"/>
          </w:tcPr>
          <w:p w14:paraId="5DEC6B98" w14:textId="77777777" w:rsidR="00B1578D" w:rsidRDefault="00B1578D">
            <w:pPr>
              <w:rPr>
                <w:rFonts w:ascii="宋体"/>
              </w:rPr>
            </w:pPr>
          </w:p>
        </w:tc>
        <w:tc>
          <w:tcPr>
            <w:tcW w:w="0" w:type="auto"/>
            <w:shd w:val="clear" w:color="auto" w:fill="auto"/>
            <w:vAlign w:val="bottom"/>
          </w:tcPr>
          <w:p w14:paraId="5DEC6B99" w14:textId="77777777" w:rsidR="00B1578D" w:rsidRDefault="00B1578D">
            <w:pPr>
              <w:rPr>
                <w:rFonts w:ascii="宋体"/>
              </w:rPr>
            </w:pPr>
          </w:p>
        </w:tc>
        <w:tc>
          <w:tcPr>
            <w:tcW w:w="0" w:type="auto"/>
            <w:shd w:val="clear" w:color="auto" w:fill="auto"/>
            <w:vAlign w:val="bottom"/>
          </w:tcPr>
          <w:p w14:paraId="5DEC6B9A" w14:textId="77777777" w:rsidR="00B1578D" w:rsidRDefault="00B1578D">
            <w:pPr>
              <w:rPr>
                <w:rFonts w:ascii="宋体"/>
              </w:rPr>
            </w:pPr>
          </w:p>
        </w:tc>
        <w:tc>
          <w:tcPr>
            <w:tcW w:w="0" w:type="auto"/>
            <w:shd w:val="clear" w:color="auto" w:fill="auto"/>
            <w:vAlign w:val="bottom"/>
          </w:tcPr>
          <w:p w14:paraId="5DEC6B9B" w14:textId="77777777" w:rsidR="00B1578D" w:rsidRDefault="00B1578D">
            <w:pPr>
              <w:rPr>
                <w:rFonts w:ascii="宋体"/>
              </w:rPr>
            </w:pPr>
          </w:p>
        </w:tc>
        <w:tc>
          <w:tcPr>
            <w:tcW w:w="0" w:type="auto"/>
            <w:shd w:val="clear" w:color="auto" w:fill="auto"/>
            <w:vAlign w:val="bottom"/>
          </w:tcPr>
          <w:p w14:paraId="5DEC6B9C" w14:textId="77777777" w:rsidR="00B1578D" w:rsidRDefault="00B1578D">
            <w:pPr>
              <w:rPr>
                <w:rFonts w:ascii="宋体"/>
              </w:rPr>
            </w:pPr>
          </w:p>
        </w:tc>
        <w:tc>
          <w:tcPr>
            <w:tcW w:w="0" w:type="auto"/>
            <w:shd w:val="clear" w:color="auto" w:fill="auto"/>
            <w:vAlign w:val="bottom"/>
          </w:tcPr>
          <w:p w14:paraId="5DEC6B9D" w14:textId="77777777" w:rsidR="00B1578D" w:rsidRDefault="00B1578D">
            <w:pPr>
              <w:rPr>
                <w:rFonts w:ascii="宋体"/>
              </w:rPr>
            </w:pPr>
          </w:p>
        </w:tc>
      </w:tr>
      <w:tr w:rsidR="00B1578D" w14:paraId="5DEC6BAA" w14:textId="77777777">
        <w:trPr>
          <w:jc w:val="center"/>
        </w:trPr>
        <w:tc>
          <w:tcPr>
            <w:tcW w:w="0" w:type="auto"/>
            <w:gridSpan w:val="3"/>
            <w:shd w:val="clear" w:color="auto" w:fill="auto"/>
            <w:tcMar>
              <w:top w:w="40" w:type="dxa"/>
              <w:left w:w="20" w:type="dxa"/>
              <w:bottom w:w="40" w:type="dxa"/>
              <w:right w:w="20" w:type="dxa"/>
            </w:tcMar>
            <w:vAlign w:val="center"/>
          </w:tcPr>
          <w:p w14:paraId="5DEC6B9F" w14:textId="77777777" w:rsidR="00B1578D" w:rsidRDefault="004D2C04">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5DEC6BA0" w14:textId="77777777" w:rsidR="00B1578D" w:rsidRDefault="00B1578D">
            <w:pPr>
              <w:rPr>
                <w:rFonts w:ascii="宋体"/>
                <w:vanish/>
              </w:rPr>
            </w:pPr>
          </w:p>
        </w:tc>
        <w:tc>
          <w:tcPr>
            <w:tcW w:w="0" w:type="auto"/>
            <w:shd w:val="clear" w:color="auto" w:fill="auto"/>
            <w:vAlign w:val="bottom"/>
          </w:tcPr>
          <w:p w14:paraId="5DEC6BA1" w14:textId="77777777" w:rsidR="00B1578D" w:rsidRDefault="00B1578D">
            <w:pPr>
              <w:rPr>
                <w:rFonts w:ascii="宋体"/>
                <w:vanish/>
              </w:rPr>
            </w:pPr>
          </w:p>
        </w:tc>
        <w:tc>
          <w:tcPr>
            <w:tcW w:w="0" w:type="auto"/>
            <w:shd w:val="clear" w:color="auto" w:fill="auto"/>
            <w:vAlign w:val="bottom"/>
          </w:tcPr>
          <w:p w14:paraId="5DEC6BA2" w14:textId="77777777" w:rsidR="00B1578D" w:rsidRDefault="00B1578D">
            <w:pPr>
              <w:rPr>
                <w:rFonts w:ascii="宋体"/>
                <w:vanish/>
              </w:rPr>
            </w:pPr>
          </w:p>
        </w:tc>
        <w:tc>
          <w:tcPr>
            <w:tcW w:w="0" w:type="auto"/>
            <w:shd w:val="clear" w:color="auto" w:fill="auto"/>
            <w:vAlign w:val="bottom"/>
          </w:tcPr>
          <w:p w14:paraId="5DEC6BA3" w14:textId="77777777" w:rsidR="00B1578D" w:rsidRDefault="00B1578D">
            <w:pPr>
              <w:rPr>
                <w:rFonts w:ascii="宋体"/>
                <w:vanish/>
              </w:rPr>
            </w:pPr>
          </w:p>
        </w:tc>
        <w:tc>
          <w:tcPr>
            <w:tcW w:w="0" w:type="auto"/>
            <w:gridSpan w:val="3"/>
            <w:shd w:val="clear" w:color="auto" w:fill="auto"/>
            <w:tcMar>
              <w:top w:w="0" w:type="dxa"/>
              <w:left w:w="20" w:type="dxa"/>
              <w:bottom w:w="0" w:type="dxa"/>
              <w:right w:w="20" w:type="dxa"/>
            </w:tcMar>
            <w:vAlign w:val="bottom"/>
          </w:tcPr>
          <w:p w14:paraId="5DEC6BA4"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BA5" w14:textId="77777777" w:rsidR="00B1578D" w:rsidRDefault="004D2C04">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BA6"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BA7" w14:textId="77777777" w:rsidR="00B1578D" w:rsidRDefault="004D2C04">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vAlign w:val="bottom"/>
          </w:tcPr>
          <w:p w14:paraId="5DEC6BA8" w14:textId="77777777" w:rsidR="00B1578D" w:rsidRDefault="00B1578D">
            <w:pPr>
              <w:rPr>
                <w:rFonts w:ascii="宋体"/>
                <w:vanish/>
              </w:rPr>
            </w:pPr>
          </w:p>
        </w:tc>
        <w:tc>
          <w:tcPr>
            <w:tcW w:w="0" w:type="auto"/>
            <w:gridSpan w:val="3"/>
            <w:shd w:val="clear" w:color="auto" w:fill="auto"/>
            <w:vAlign w:val="bottom"/>
          </w:tcPr>
          <w:p w14:paraId="5DEC6BA9" w14:textId="77777777" w:rsidR="00B1578D" w:rsidRDefault="00B1578D">
            <w:pPr>
              <w:rPr>
                <w:rFonts w:ascii="宋体"/>
                <w:vanish/>
              </w:rPr>
            </w:pPr>
          </w:p>
        </w:tc>
      </w:tr>
      <w:tr w:rsidR="00B1578D" w14:paraId="5DEC6BBA" w14:textId="77777777">
        <w:trPr>
          <w:jc w:val="center"/>
        </w:trPr>
        <w:tc>
          <w:tcPr>
            <w:tcW w:w="0" w:type="auto"/>
            <w:gridSpan w:val="3"/>
            <w:shd w:val="clear" w:color="auto" w:fill="CCEEFF"/>
            <w:tcMar>
              <w:top w:w="40" w:type="dxa"/>
              <w:left w:w="20" w:type="dxa"/>
              <w:bottom w:w="40" w:type="dxa"/>
              <w:right w:w="20" w:type="dxa"/>
            </w:tcMar>
            <w:vAlign w:val="center"/>
          </w:tcPr>
          <w:p w14:paraId="5DEC6BAB" w14:textId="77777777" w:rsidR="00B1578D" w:rsidRDefault="004D2C04">
            <w:pPr>
              <w:textAlignment w:val="center"/>
            </w:pPr>
            <w:r>
              <w:rPr>
                <w:rFonts w:ascii="Times New Roman" w:eastAsia="宋体" w:hAnsi="Times New Roman"/>
                <w:color w:val="000000"/>
                <w:sz w:val="16"/>
                <w:szCs w:val="16"/>
              </w:rPr>
              <w:t xml:space="preserve">Net cash provided by (used in) investing </w:t>
            </w:r>
            <w:r>
              <w:rPr>
                <w:rFonts w:ascii="Times New Roman" w:eastAsia="宋体" w:hAnsi="Times New Roman"/>
                <w:color w:val="000000"/>
                <w:sz w:val="16"/>
                <w:szCs w:val="16"/>
              </w:rPr>
              <w:t>activities</w:t>
            </w:r>
          </w:p>
        </w:tc>
        <w:tc>
          <w:tcPr>
            <w:tcW w:w="0" w:type="auto"/>
            <w:shd w:val="clear" w:color="auto" w:fill="auto"/>
            <w:vAlign w:val="bottom"/>
          </w:tcPr>
          <w:p w14:paraId="5DEC6BAC" w14:textId="77777777" w:rsidR="00B1578D" w:rsidRDefault="00B1578D">
            <w:pPr>
              <w:rPr>
                <w:rFonts w:ascii="宋体"/>
                <w:vanish/>
              </w:rPr>
            </w:pPr>
          </w:p>
        </w:tc>
        <w:tc>
          <w:tcPr>
            <w:tcW w:w="0" w:type="auto"/>
            <w:shd w:val="clear" w:color="auto" w:fill="auto"/>
            <w:vAlign w:val="bottom"/>
          </w:tcPr>
          <w:p w14:paraId="5DEC6BAD" w14:textId="77777777" w:rsidR="00B1578D" w:rsidRDefault="00B1578D">
            <w:pPr>
              <w:rPr>
                <w:rFonts w:ascii="宋体"/>
                <w:vanish/>
              </w:rPr>
            </w:pPr>
          </w:p>
        </w:tc>
        <w:tc>
          <w:tcPr>
            <w:tcW w:w="0" w:type="auto"/>
            <w:shd w:val="clear" w:color="auto" w:fill="auto"/>
            <w:vAlign w:val="bottom"/>
          </w:tcPr>
          <w:p w14:paraId="5DEC6BAE" w14:textId="77777777" w:rsidR="00B1578D" w:rsidRDefault="00B1578D">
            <w:pPr>
              <w:rPr>
                <w:rFonts w:ascii="宋体"/>
                <w:vanish/>
              </w:rPr>
            </w:pPr>
          </w:p>
        </w:tc>
        <w:tc>
          <w:tcPr>
            <w:tcW w:w="0" w:type="auto"/>
            <w:shd w:val="clear" w:color="auto" w:fill="auto"/>
            <w:vAlign w:val="bottom"/>
          </w:tcPr>
          <w:p w14:paraId="5DEC6BAF" w14:textId="77777777" w:rsidR="00B1578D" w:rsidRDefault="00B1578D">
            <w:pPr>
              <w:rPr>
                <w:rFonts w:ascii="宋体"/>
                <w:vanish/>
              </w:rPr>
            </w:pPr>
          </w:p>
        </w:tc>
        <w:tc>
          <w:tcPr>
            <w:tcW w:w="0" w:type="auto"/>
            <w:gridSpan w:val="3"/>
            <w:shd w:val="clear" w:color="auto" w:fill="CCEEFF"/>
            <w:tcMar>
              <w:top w:w="0" w:type="dxa"/>
              <w:left w:w="20" w:type="dxa"/>
              <w:bottom w:w="0" w:type="dxa"/>
              <w:right w:w="20" w:type="dxa"/>
            </w:tcMar>
            <w:vAlign w:val="bottom"/>
          </w:tcPr>
          <w:p w14:paraId="5DEC6BB0"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BB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BB2" w14:textId="77777777" w:rsidR="00B1578D" w:rsidRDefault="004D2C04">
            <w:pPr>
              <w:jc w:val="right"/>
              <w:textAlignment w:val="center"/>
            </w:pPr>
            <w:r>
              <w:rPr>
                <w:rFonts w:ascii="Times New Roman" w:eastAsia="宋体" w:hAnsi="Times New Roman"/>
                <w:color w:val="000000"/>
                <w:sz w:val="16"/>
                <w:szCs w:val="16"/>
              </w:rPr>
              <w:t>(4,558)</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BB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BB4"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BB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BB6" w14:textId="77777777" w:rsidR="00B1578D" w:rsidRDefault="004D2C04">
            <w:pPr>
              <w:jc w:val="right"/>
              <w:textAlignment w:val="center"/>
            </w:pPr>
            <w:r>
              <w:rPr>
                <w:rFonts w:ascii="Times New Roman" w:eastAsia="宋体" w:hAnsi="Times New Roman"/>
                <w:color w:val="000000"/>
                <w:sz w:val="16"/>
                <w:szCs w:val="16"/>
              </w:rPr>
              <w:t>5,850 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BB7" w14:textId="77777777" w:rsidR="00B1578D" w:rsidRDefault="00B1578D">
            <w:pPr>
              <w:jc w:val="right"/>
              <w:rPr>
                <w:rFonts w:ascii="宋体"/>
              </w:rPr>
            </w:pPr>
          </w:p>
        </w:tc>
        <w:tc>
          <w:tcPr>
            <w:tcW w:w="0" w:type="auto"/>
            <w:gridSpan w:val="3"/>
            <w:shd w:val="clear" w:color="auto" w:fill="auto"/>
            <w:vAlign w:val="bottom"/>
          </w:tcPr>
          <w:p w14:paraId="5DEC6BB8" w14:textId="77777777" w:rsidR="00B1578D" w:rsidRDefault="00B1578D">
            <w:pPr>
              <w:rPr>
                <w:rFonts w:ascii="宋体"/>
                <w:vanish/>
              </w:rPr>
            </w:pPr>
          </w:p>
        </w:tc>
        <w:tc>
          <w:tcPr>
            <w:tcW w:w="0" w:type="auto"/>
            <w:gridSpan w:val="3"/>
            <w:shd w:val="clear" w:color="auto" w:fill="auto"/>
            <w:vAlign w:val="bottom"/>
          </w:tcPr>
          <w:p w14:paraId="5DEC6BB9" w14:textId="77777777" w:rsidR="00B1578D" w:rsidRDefault="00B1578D">
            <w:pPr>
              <w:rPr>
                <w:rFonts w:ascii="宋体"/>
                <w:vanish/>
              </w:rPr>
            </w:pPr>
          </w:p>
        </w:tc>
      </w:tr>
    </w:tbl>
    <w:p w14:paraId="5DEC6BBB" w14:textId="77777777" w:rsidR="00B1578D" w:rsidRDefault="004D2C04">
      <w:pPr>
        <w:spacing w:before="60"/>
      </w:pPr>
      <w:r>
        <w:rPr>
          <w:rFonts w:ascii="Times New Roman" w:eastAsia="宋体" w:hAnsi="Times New Roman"/>
          <w:color w:val="000000"/>
          <w:sz w:val="20"/>
          <w:szCs w:val="20"/>
        </w:rPr>
        <w:t>Net cash used in investing activities was $4.6 billion as compared to net cash provided by investing activities of $5.9 billion for the three months ended April 30, 2022 and 2021, respectively. Net cash used in investing activities</w:t>
      </w:r>
      <w:r>
        <w:rPr>
          <w:rFonts w:ascii="Times New Roman" w:eastAsia="宋体" w:hAnsi="Times New Roman"/>
          <w:color w:val="000000"/>
          <w:sz w:val="20"/>
          <w:szCs w:val="20"/>
        </w:rPr>
        <w:t xml:space="preserve"> increased $10.4 billion for the three months ended April 30, 2022 primarily as a result of lapping the net proceeds received from the divestitures of our operations in the U.K. and Japan and an increase in capital expenditures to support our investment st</w:t>
      </w:r>
      <w:r>
        <w:rPr>
          <w:rFonts w:ascii="Times New Roman" w:eastAsia="宋体" w:hAnsi="Times New Roman"/>
          <w:color w:val="000000"/>
          <w:sz w:val="20"/>
          <w:szCs w:val="20"/>
        </w:rPr>
        <w:t>rategy.</w:t>
      </w:r>
    </w:p>
    <w:p w14:paraId="5DEC6BBC" w14:textId="77777777" w:rsidR="00B1578D" w:rsidRDefault="004D2C04">
      <w:pPr>
        <w:jc w:val="center"/>
      </w:pPr>
      <w:r>
        <w:rPr>
          <w:rFonts w:ascii="Times New Roman" w:eastAsia="宋体" w:hAnsi="Times New Roman"/>
          <w:color w:val="000000"/>
          <w:sz w:val="20"/>
          <w:szCs w:val="20"/>
        </w:rPr>
        <w:t>22</w:t>
      </w:r>
    </w:p>
    <w:p w14:paraId="5DEC6BBD" w14:textId="77777777" w:rsidR="00B1578D" w:rsidRDefault="004D2C04">
      <w:r>
        <w:pict w14:anchorId="5DEC6F3B">
          <v:rect id="_x0000_i1046" style="width:415.3pt;height:1.5pt" o:hralign="center" o:hrstd="t" o:hr="t" fillcolor="#a0a0a0" stroked="f"/>
        </w:pict>
      </w:r>
    </w:p>
    <w:p w14:paraId="5DEC6BBE" w14:textId="77777777" w:rsidR="00B1578D" w:rsidRDefault="004D2C04">
      <w:hyperlink r:id="rId66" w:anchor="ia92fe4e1fa654d85928fb72942eadb02_7" w:history="1">
        <w:r>
          <w:rPr>
            <w:rStyle w:val="a5"/>
            <w:rFonts w:ascii="Times New Roman" w:eastAsia="宋体" w:hAnsi="Times New Roman"/>
            <w:sz w:val="20"/>
            <w:szCs w:val="20"/>
          </w:rPr>
          <w:t>Table of Contents</w:t>
        </w:r>
      </w:hyperlink>
    </w:p>
    <w:p w14:paraId="5DEC6BBF" w14:textId="77777777" w:rsidR="00B1578D" w:rsidRDefault="004D2C04">
      <w:pPr>
        <w:spacing w:before="180"/>
      </w:pPr>
      <w:r>
        <w:rPr>
          <w:rFonts w:ascii="Times New Roman" w:eastAsia="宋体" w:hAnsi="Times New Roman"/>
          <w:b/>
          <w:bCs/>
          <w:i/>
          <w:iCs/>
          <w:color w:val="000000"/>
          <w:sz w:val="20"/>
          <w:szCs w:val="20"/>
        </w:rPr>
        <w:t>Net Cash Provided by or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19"/>
        <w:gridCol w:w="36"/>
        <w:gridCol w:w="36"/>
        <w:gridCol w:w="36"/>
        <w:gridCol w:w="36"/>
        <w:gridCol w:w="36"/>
        <w:gridCol w:w="36"/>
        <w:gridCol w:w="36"/>
        <w:gridCol w:w="36"/>
        <w:gridCol w:w="100"/>
        <w:gridCol w:w="747"/>
        <w:gridCol w:w="36"/>
        <w:gridCol w:w="36"/>
        <w:gridCol w:w="36"/>
        <w:gridCol w:w="36"/>
        <w:gridCol w:w="100"/>
        <w:gridCol w:w="749"/>
        <w:gridCol w:w="36"/>
        <w:gridCol w:w="36"/>
        <w:gridCol w:w="36"/>
        <w:gridCol w:w="36"/>
        <w:gridCol w:w="36"/>
        <w:gridCol w:w="36"/>
        <w:gridCol w:w="36"/>
      </w:tblGrid>
      <w:tr w:rsidR="00B1578D" w14:paraId="5DEC6BD5" w14:textId="77777777">
        <w:trPr>
          <w:jc w:val="center"/>
        </w:trPr>
        <w:tc>
          <w:tcPr>
            <w:tcW w:w="50" w:type="pct"/>
            <w:shd w:val="clear" w:color="auto" w:fill="auto"/>
            <w:vAlign w:val="bottom"/>
          </w:tcPr>
          <w:p w14:paraId="5DEC6BC0" w14:textId="77777777" w:rsidR="00B1578D" w:rsidRDefault="00B1578D">
            <w:pPr>
              <w:rPr>
                <w:rFonts w:ascii="宋体"/>
              </w:rPr>
            </w:pPr>
          </w:p>
        </w:tc>
        <w:tc>
          <w:tcPr>
            <w:tcW w:w="3760" w:type="pct"/>
            <w:shd w:val="clear" w:color="auto" w:fill="auto"/>
            <w:vAlign w:val="bottom"/>
          </w:tcPr>
          <w:p w14:paraId="5DEC6BC1" w14:textId="77777777" w:rsidR="00B1578D" w:rsidRDefault="00B1578D">
            <w:pPr>
              <w:rPr>
                <w:rFonts w:ascii="宋体"/>
              </w:rPr>
            </w:pPr>
          </w:p>
        </w:tc>
        <w:tc>
          <w:tcPr>
            <w:tcW w:w="5" w:type="pct"/>
            <w:shd w:val="clear" w:color="auto" w:fill="auto"/>
            <w:vAlign w:val="bottom"/>
          </w:tcPr>
          <w:p w14:paraId="5DEC6BC2" w14:textId="77777777" w:rsidR="00B1578D" w:rsidRDefault="00B1578D">
            <w:pPr>
              <w:rPr>
                <w:rFonts w:ascii="宋体"/>
              </w:rPr>
            </w:pPr>
          </w:p>
        </w:tc>
        <w:tc>
          <w:tcPr>
            <w:tcW w:w="5" w:type="pct"/>
            <w:shd w:val="clear" w:color="auto" w:fill="auto"/>
            <w:vAlign w:val="bottom"/>
          </w:tcPr>
          <w:p w14:paraId="5DEC6BC3" w14:textId="77777777" w:rsidR="00B1578D" w:rsidRDefault="00B1578D">
            <w:pPr>
              <w:rPr>
                <w:rFonts w:ascii="宋体"/>
              </w:rPr>
            </w:pPr>
          </w:p>
        </w:tc>
        <w:tc>
          <w:tcPr>
            <w:tcW w:w="19" w:type="pct"/>
            <w:shd w:val="clear" w:color="auto" w:fill="auto"/>
            <w:vAlign w:val="bottom"/>
          </w:tcPr>
          <w:p w14:paraId="5DEC6BC4" w14:textId="77777777" w:rsidR="00B1578D" w:rsidRDefault="00B1578D">
            <w:pPr>
              <w:rPr>
                <w:rFonts w:ascii="宋体"/>
              </w:rPr>
            </w:pPr>
          </w:p>
        </w:tc>
        <w:tc>
          <w:tcPr>
            <w:tcW w:w="5" w:type="pct"/>
            <w:shd w:val="clear" w:color="auto" w:fill="auto"/>
            <w:vAlign w:val="bottom"/>
          </w:tcPr>
          <w:p w14:paraId="5DEC6BC5" w14:textId="77777777" w:rsidR="00B1578D" w:rsidRDefault="00B1578D">
            <w:pPr>
              <w:rPr>
                <w:rFonts w:ascii="宋体"/>
              </w:rPr>
            </w:pPr>
          </w:p>
        </w:tc>
        <w:tc>
          <w:tcPr>
            <w:tcW w:w="0" w:type="auto"/>
            <w:shd w:val="clear" w:color="auto" w:fill="auto"/>
            <w:vAlign w:val="bottom"/>
          </w:tcPr>
          <w:p w14:paraId="5DEC6BC6" w14:textId="77777777" w:rsidR="00B1578D" w:rsidRDefault="00B1578D">
            <w:pPr>
              <w:rPr>
                <w:rFonts w:ascii="宋体"/>
                <w:vanish/>
              </w:rPr>
            </w:pPr>
          </w:p>
        </w:tc>
        <w:tc>
          <w:tcPr>
            <w:tcW w:w="0" w:type="auto"/>
            <w:shd w:val="clear" w:color="auto" w:fill="auto"/>
            <w:vAlign w:val="bottom"/>
          </w:tcPr>
          <w:p w14:paraId="5DEC6BC7" w14:textId="77777777" w:rsidR="00B1578D" w:rsidRDefault="00B1578D">
            <w:pPr>
              <w:rPr>
                <w:rFonts w:ascii="宋体"/>
                <w:vanish/>
              </w:rPr>
            </w:pPr>
          </w:p>
        </w:tc>
        <w:tc>
          <w:tcPr>
            <w:tcW w:w="0" w:type="auto"/>
            <w:shd w:val="clear" w:color="auto" w:fill="auto"/>
            <w:vAlign w:val="bottom"/>
          </w:tcPr>
          <w:p w14:paraId="5DEC6BC8" w14:textId="77777777" w:rsidR="00B1578D" w:rsidRDefault="00B1578D">
            <w:pPr>
              <w:rPr>
                <w:rFonts w:ascii="宋体"/>
                <w:vanish/>
              </w:rPr>
            </w:pPr>
          </w:p>
        </w:tc>
        <w:tc>
          <w:tcPr>
            <w:tcW w:w="0" w:type="auto"/>
            <w:shd w:val="clear" w:color="auto" w:fill="auto"/>
            <w:vAlign w:val="bottom"/>
          </w:tcPr>
          <w:p w14:paraId="5DEC6BC9" w14:textId="77777777" w:rsidR="00B1578D" w:rsidRDefault="00B1578D">
            <w:pPr>
              <w:rPr>
                <w:rFonts w:ascii="宋体"/>
                <w:vanish/>
              </w:rPr>
            </w:pPr>
          </w:p>
        </w:tc>
        <w:tc>
          <w:tcPr>
            <w:tcW w:w="50" w:type="pct"/>
            <w:shd w:val="clear" w:color="auto" w:fill="auto"/>
            <w:vAlign w:val="bottom"/>
          </w:tcPr>
          <w:p w14:paraId="5DEC6BCA" w14:textId="77777777" w:rsidR="00B1578D" w:rsidRDefault="00B1578D">
            <w:pPr>
              <w:rPr>
                <w:rFonts w:ascii="宋体"/>
              </w:rPr>
            </w:pPr>
          </w:p>
        </w:tc>
        <w:tc>
          <w:tcPr>
            <w:tcW w:w="507" w:type="pct"/>
            <w:shd w:val="clear" w:color="auto" w:fill="auto"/>
            <w:vAlign w:val="bottom"/>
          </w:tcPr>
          <w:p w14:paraId="5DEC6BCB" w14:textId="77777777" w:rsidR="00B1578D" w:rsidRDefault="00B1578D">
            <w:pPr>
              <w:rPr>
                <w:rFonts w:ascii="宋体"/>
              </w:rPr>
            </w:pPr>
          </w:p>
        </w:tc>
        <w:tc>
          <w:tcPr>
            <w:tcW w:w="5" w:type="pct"/>
            <w:shd w:val="clear" w:color="auto" w:fill="auto"/>
            <w:vAlign w:val="bottom"/>
          </w:tcPr>
          <w:p w14:paraId="5DEC6BCC" w14:textId="77777777" w:rsidR="00B1578D" w:rsidRDefault="00B1578D">
            <w:pPr>
              <w:rPr>
                <w:rFonts w:ascii="宋体"/>
              </w:rPr>
            </w:pPr>
          </w:p>
        </w:tc>
        <w:tc>
          <w:tcPr>
            <w:tcW w:w="5" w:type="pct"/>
            <w:shd w:val="clear" w:color="auto" w:fill="auto"/>
            <w:vAlign w:val="bottom"/>
          </w:tcPr>
          <w:p w14:paraId="5DEC6BCD" w14:textId="77777777" w:rsidR="00B1578D" w:rsidRDefault="00B1578D">
            <w:pPr>
              <w:rPr>
                <w:rFonts w:ascii="宋体"/>
              </w:rPr>
            </w:pPr>
          </w:p>
        </w:tc>
        <w:tc>
          <w:tcPr>
            <w:tcW w:w="19" w:type="pct"/>
            <w:shd w:val="clear" w:color="auto" w:fill="auto"/>
            <w:vAlign w:val="bottom"/>
          </w:tcPr>
          <w:p w14:paraId="5DEC6BCE" w14:textId="77777777" w:rsidR="00B1578D" w:rsidRDefault="00B1578D">
            <w:pPr>
              <w:rPr>
                <w:rFonts w:ascii="宋体"/>
              </w:rPr>
            </w:pPr>
          </w:p>
        </w:tc>
        <w:tc>
          <w:tcPr>
            <w:tcW w:w="5" w:type="pct"/>
            <w:shd w:val="clear" w:color="auto" w:fill="auto"/>
            <w:vAlign w:val="bottom"/>
          </w:tcPr>
          <w:p w14:paraId="5DEC6BCF" w14:textId="77777777" w:rsidR="00B1578D" w:rsidRDefault="00B1578D">
            <w:pPr>
              <w:rPr>
                <w:rFonts w:ascii="宋体"/>
              </w:rPr>
            </w:pPr>
          </w:p>
        </w:tc>
        <w:tc>
          <w:tcPr>
            <w:tcW w:w="50" w:type="pct"/>
            <w:shd w:val="clear" w:color="auto" w:fill="auto"/>
            <w:vAlign w:val="bottom"/>
          </w:tcPr>
          <w:p w14:paraId="5DEC6BD0" w14:textId="77777777" w:rsidR="00B1578D" w:rsidRDefault="00B1578D">
            <w:pPr>
              <w:rPr>
                <w:rFonts w:ascii="宋体"/>
              </w:rPr>
            </w:pPr>
          </w:p>
        </w:tc>
        <w:tc>
          <w:tcPr>
            <w:tcW w:w="508" w:type="pct"/>
            <w:shd w:val="clear" w:color="auto" w:fill="auto"/>
            <w:vAlign w:val="bottom"/>
          </w:tcPr>
          <w:p w14:paraId="5DEC6BD1" w14:textId="77777777" w:rsidR="00B1578D" w:rsidRDefault="00B1578D">
            <w:pPr>
              <w:rPr>
                <w:rFonts w:ascii="宋体"/>
              </w:rPr>
            </w:pPr>
          </w:p>
        </w:tc>
        <w:tc>
          <w:tcPr>
            <w:tcW w:w="5" w:type="pct"/>
            <w:shd w:val="clear" w:color="auto" w:fill="auto"/>
            <w:vAlign w:val="bottom"/>
          </w:tcPr>
          <w:p w14:paraId="5DEC6BD2" w14:textId="77777777" w:rsidR="00B1578D" w:rsidRDefault="00B1578D">
            <w:pPr>
              <w:rPr>
                <w:rFonts w:ascii="宋体"/>
              </w:rPr>
            </w:pPr>
          </w:p>
        </w:tc>
        <w:tc>
          <w:tcPr>
            <w:tcW w:w="0" w:type="auto"/>
            <w:gridSpan w:val="3"/>
            <w:shd w:val="clear" w:color="auto" w:fill="auto"/>
            <w:vAlign w:val="bottom"/>
          </w:tcPr>
          <w:p w14:paraId="5DEC6BD3" w14:textId="77777777" w:rsidR="00B1578D" w:rsidRDefault="00B1578D">
            <w:pPr>
              <w:rPr>
                <w:rFonts w:ascii="宋体"/>
                <w:vanish/>
              </w:rPr>
            </w:pPr>
          </w:p>
        </w:tc>
        <w:tc>
          <w:tcPr>
            <w:tcW w:w="0" w:type="auto"/>
            <w:gridSpan w:val="3"/>
            <w:shd w:val="clear" w:color="auto" w:fill="auto"/>
            <w:vAlign w:val="bottom"/>
          </w:tcPr>
          <w:p w14:paraId="5DEC6BD4" w14:textId="77777777" w:rsidR="00B1578D" w:rsidRDefault="00B1578D">
            <w:pPr>
              <w:rPr>
                <w:rFonts w:ascii="宋体"/>
                <w:vanish/>
              </w:rPr>
            </w:pPr>
          </w:p>
        </w:tc>
      </w:tr>
      <w:tr w:rsidR="00B1578D" w14:paraId="5DEC6BE5" w14:textId="77777777">
        <w:trPr>
          <w:jc w:val="center"/>
        </w:trPr>
        <w:tc>
          <w:tcPr>
            <w:tcW w:w="0" w:type="auto"/>
            <w:gridSpan w:val="3"/>
            <w:shd w:val="clear" w:color="auto" w:fill="auto"/>
            <w:tcMar>
              <w:top w:w="40" w:type="dxa"/>
              <w:left w:w="20" w:type="dxa"/>
              <w:bottom w:w="40" w:type="dxa"/>
              <w:right w:w="20" w:type="dxa"/>
            </w:tcMar>
            <w:vAlign w:val="center"/>
          </w:tcPr>
          <w:p w14:paraId="5DEC6BD6"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DEC6BD7" w14:textId="77777777" w:rsidR="00B1578D" w:rsidRDefault="00B1578D">
            <w:pPr>
              <w:rPr>
                <w:rFonts w:ascii="宋体"/>
              </w:rPr>
            </w:pPr>
          </w:p>
        </w:tc>
        <w:tc>
          <w:tcPr>
            <w:tcW w:w="0" w:type="auto"/>
            <w:shd w:val="clear" w:color="auto" w:fill="auto"/>
            <w:vAlign w:val="bottom"/>
          </w:tcPr>
          <w:p w14:paraId="5DEC6BD8" w14:textId="77777777" w:rsidR="00B1578D" w:rsidRDefault="00B1578D">
            <w:pPr>
              <w:rPr>
                <w:rFonts w:ascii="宋体"/>
                <w:vanish/>
              </w:rPr>
            </w:pPr>
          </w:p>
        </w:tc>
        <w:tc>
          <w:tcPr>
            <w:tcW w:w="0" w:type="auto"/>
            <w:shd w:val="clear" w:color="auto" w:fill="auto"/>
            <w:vAlign w:val="bottom"/>
          </w:tcPr>
          <w:p w14:paraId="5DEC6BD9" w14:textId="77777777" w:rsidR="00B1578D" w:rsidRDefault="00B1578D">
            <w:pPr>
              <w:rPr>
                <w:rFonts w:ascii="宋体"/>
                <w:vanish/>
              </w:rPr>
            </w:pPr>
          </w:p>
        </w:tc>
        <w:tc>
          <w:tcPr>
            <w:tcW w:w="0" w:type="auto"/>
            <w:gridSpan w:val="5"/>
            <w:shd w:val="clear" w:color="auto" w:fill="auto"/>
            <w:tcMar>
              <w:top w:w="40" w:type="dxa"/>
              <w:left w:w="20" w:type="dxa"/>
              <w:bottom w:w="40" w:type="dxa"/>
              <w:right w:w="20" w:type="dxa"/>
            </w:tcMar>
            <w:vAlign w:val="center"/>
          </w:tcPr>
          <w:p w14:paraId="5DEC6BDA" w14:textId="77777777" w:rsidR="00B1578D" w:rsidRDefault="004D2C04">
            <w:pPr>
              <w:jc w:val="center"/>
              <w:textAlignment w:val="center"/>
            </w:pPr>
            <w:r>
              <w:rPr>
                <w:rFonts w:ascii="Times New Roman" w:eastAsia="宋体" w:hAnsi="Times New Roman"/>
                <w:b/>
                <w:bCs/>
                <w:color w:val="000000"/>
                <w:sz w:val="16"/>
                <w:szCs w:val="16"/>
              </w:rPr>
              <w:t>Three Months Ended April 30,</w:t>
            </w:r>
          </w:p>
        </w:tc>
        <w:tc>
          <w:tcPr>
            <w:tcW w:w="0" w:type="auto"/>
            <w:gridSpan w:val="3"/>
            <w:shd w:val="clear" w:color="auto" w:fill="auto"/>
            <w:vAlign w:val="bottom"/>
          </w:tcPr>
          <w:p w14:paraId="5DEC6BDB" w14:textId="77777777" w:rsidR="00B1578D" w:rsidRDefault="00B1578D">
            <w:pPr>
              <w:rPr>
                <w:rFonts w:ascii="宋体"/>
                <w:vanish/>
              </w:rPr>
            </w:pPr>
          </w:p>
        </w:tc>
        <w:tc>
          <w:tcPr>
            <w:tcW w:w="0" w:type="auto"/>
            <w:shd w:val="clear" w:color="auto" w:fill="auto"/>
            <w:vAlign w:val="bottom"/>
          </w:tcPr>
          <w:p w14:paraId="5DEC6BDC" w14:textId="77777777" w:rsidR="00B1578D" w:rsidRDefault="00B1578D">
            <w:pPr>
              <w:rPr>
                <w:rFonts w:ascii="宋体"/>
              </w:rPr>
            </w:pPr>
          </w:p>
        </w:tc>
        <w:tc>
          <w:tcPr>
            <w:tcW w:w="0" w:type="auto"/>
            <w:shd w:val="clear" w:color="auto" w:fill="auto"/>
            <w:vAlign w:val="bottom"/>
          </w:tcPr>
          <w:p w14:paraId="5DEC6BDD" w14:textId="77777777" w:rsidR="00B1578D" w:rsidRDefault="00B1578D">
            <w:pPr>
              <w:rPr>
                <w:rFonts w:ascii="宋体"/>
              </w:rPr>
            </w:pPr>
          </w:p>
        </w:tc>
        <w:tc>
          <w:tcPr>
            <w:tcW w:w="0" w:type="auto"/>
            <w:shd w:val="clear" w:color="auto" w:fill="auto"/>
            <w:vAlign w:val="bottom"/>
          </w:tcPr>
          <w:p w14:paraId="5DEC6BDE" w14:textId="77777777" w:rsidR="00B1578D" w:rsidRDefault="00B1578D">
            <w:pPr>
              <w:rPr>
                <w:rFonts w:ascii="宋体"/>
              </w:rPr>
            </w:pPr>
          </w:p>
        </w:tc>
        <w:tc>
          <w:tcPr>
            <w:tcW w:w="0" w:type="auto"/>
            <w:shd w:val="clear" w:color="auto" w:fill="auto"/>
            <w:vAlign w:val="bottom"/>
          </w:tcPr>
          <w:p w14:paraId="5DEC6BDF" w14:textId="77777777" w:rsidR="00B1578D" w:rsidRDefault="00B1578D">
            <w:pPr>
              <w:rPr>
                <w:rFonts w:ascii="宋体"/>
              </w:rPr>
            </w:pPr>
          </w:p>
        </w:tc>
        <w:tc>
          <w:tcPr>
            <w:tcW w:w="0" w:type="auto"/>
            <w:shd w:val="clear" w:color="auto" w:fill="auto"/>
            <w:vAlign w:val="bottom"/>
          </w:tcPr>
          <w:p w14:paraId="5DEC6BE0" w14:textId="77777777" w:rsidR="00B1578D" w:rsidRDefault="00B1578D">
            <w:pPr>
              <w:rPr>
                <w:rFonts w:ascii="宋体"/>
              </w:rPr>
            </w:pPr>
          </w:p>
        </w:tc>
        <w:tc>
          <w:tcPr>
            <w:tcW w:w="0" w:type="auto"/>
            <w:shd w:val="clear" w:color="auto" w:fill="auto"/>
            <w:vAlign w:val="bottom"/>
          </w:tcPr>
          <w:p w14:paraId="5DEC6BE1" w14:textId="77777777" w:rsidR="00B1578D" w:rsidRDefault="00B1578D">
            <w:pPr>
              <w:rPr>
                <w:rFonts w:ascii="宋体"/>
              </w:rPr>
            </w:pPr>
          </w:p>
        </w:tc>
        <w:tc>
          <w:tcPr>
            <w:tcW w:w="0" w:type="auto"/>
            <w:shd w:val="clear" w:color="auto" w:fill="auto"/>
            <w:vAlign w:val="bottom"/>
          </w:tcPr>
          <w:p w14:paraId="5DEC6BE2" w14:textId="77777777" w:rsidR="00B1578D" w:rsidRDefault="00B1578D">
            <w:pPr>
              <w:rPr>
                <w:rFonts w:ascii="宋体"/>
              </w:rPr>
            </w:pPr>
          </w:p>
        </w:tc>
        <w:tc>
          <w:tcPr>
            <w:tcW w:w="0" w:type="auto"/>
            <w:shd w:val="clear" w:color="auto" w:fill="auto"/>
            <w:vAlign w:val="bottom"/>
          </w:tcPr>
          <w:p w14:paraId="5DEC6BE3" w14:textId="77777777" w:rsidR="00B1578D" w:rsidRDefault="00B1578D">
            <w:pPr>
              <w:rPr>
                <w:rFonts w:ascii="宋体"/>
              </w:rPr>
            </w:pPr>
          </w:p>
        </w:tc>
        <w:tc>
          <w:tcPr>
            <w:tcW w:w="0" w:type="auto"/>
            <w:shd w:val="clear" w:color="auto" w:fill="auto"/>
            <w:vAlign w:val="bottom"/>
          </w:tcPr>
          <w:p w14:paraId="5DEC6BE4" w14:textId="77777777" w:rsidR="00B1578D" w:rsidRDefault="00B1578D">
            <w:pPr>
              <w:rPr>
                <w:rFonts w:ascii="宋体"/>
              </w:rPr>
            </w:pPr>
          </w:p>
        </w:tc>
      </w:tr>
      <w:tr w:rsidR="00B1578D" w14:paraId="5DEC6BF1" w14:textId="77777777">
        <w:trPr>
          <w:jc w:val="center"/>
        </w:trPr>
        <w:tc>
          <w:tcPr>
            <w:tcW w:w="0" w:type="auto"/>
            <w:gridSpan w:val="3"/>
            <w:shd w:val="clear" w:color="auto" w:fill="auto"/>
            <w:tcMar>
              <w:top w:w="40" w:type="dxa"/>
              <w:left w:w="20" w:type="dxa"/>
              <w:bottom w:w="40" w:type="dxa"/>
              <w:right w:w="20" w:type="dxa"/>
            </w:tcMar>
            <w:vAlign w:val="center"/>
          </w:tcPr>
          <w:p w14:paraId="5DEC6BE6" w14:textId="77777777" w:rsidR="00B1578D" w:rsidRDefault="004D2C04">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BE7" w14:textId="77777777" w:rsidR="00B1578D" w:rsidRDefault="00B1578D">
            <w:pPr>
              <w:rPr>
                <w:rFonts w:ascii="宋体"/>
              </w:rPr>
            </w:pPr>
          </w:p>
        </w:tc>
        <w:tc>
          <w:tcPr>
            <w:tcW w:w="0" w:type="auto"/>
            <w:shd w:val="clear" w:color="auto" w:fill="auto"/>
            <w:vAlign w:val="bottom"/>
          </w:tcPr>
          <w:p w14:paraId="5DEC6BE8" w14:textId="77777777" w:rsidR="00B1578D" w:rsidRDefault="00B1578D">
            <w:pPr>
              <w:rPr>
                <w:rFonts w:ascii="宋体"/>
                <w:vanish/>
              </w:rPr>
            </w:pPr>
          </w:p>
        </w:tc>
        <w:tc>
          <w:tcPr>
            <w:tcW w:w="0" w:type="auto"/>
            <w:shd w:val="clear" w:color="auto" w:fill="auto"/>
            <w:vAlign w:val="bottom"/>
          </w:tcPr>
          <w:p w14:paraId="5DEC6BE9" w14:textId="77777777" w:rsidR="00B1578D" w:rsidRDefault="00B1578D">
            <w:pPr>
              <w:rPr>
                <w:rFonts w:ascii="宋体"/>
                <w:vanish/>
              </w:rPr>
            </w:pPr>
          </w:p>
        </w:tc>
        <w:tc>
          <w:tcPr>
            <w:tcW w:w="0" w:type="auto"/>
            <w:shd w:val="clear" w:color="auto" w:fill="auto"/>
            <w:vAlign w:val="bottom"/>
          </w:tcPr>
          <w:p w14:paraId="5DEC6BEA" w14:textId="77777777" w:rsidR="00B1578D" w:rsidRDefault="00B1578D">
            <w:pPr>
              <w:rPr>
                <w:rFonts w:ascii="宋体"/>
                <w:vanish/>
              </w:rPr>
            </w:pPr>
          </w:p>
        </w:tc>
        <w:tc>
          <w:tcPr>
            <w:tcW w:w="0" w:type="auto"/>
            <w:shd w:val="clear" w:color="auto" w:fill="auto"/>
            <w:vAlign w:val="bottom"/>
          </w:tcPr>
          <w:p w14:paraId="5DEC6BEB" w14:textId="77777777" w:rsidR="00B1578D" w:rsidRDefault="00B1578D">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BEC" w14:textId="77777777" w:rsidR="00B1578D" w:rsidRDefault="004D2C04">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BED"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DEC6BEE" w14:textId="77777777" w:rsidR="00B1578D" w:rsidRDefault="004D2C04">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vAlign w:val="bottom"/>
          </w:tcPr>
          <w:p w14:paraId="5DEC6BEF" w14:textId="77777777" w:rsidR="00B1578D" w:rsidRDefault="00B1578D">
            <w:pPr>
              <w:rPr>
                <w:rFonts w:ascii="宋体"/>
                <w:vanish/>
              </w:rPr>
            </w:pPr>
          </w:p>
        </w:tc>
        <w:tc>
          <w:tcPr>
            <w:tcW w:w="0" w:type="auto"/>
            <w:gridSpan w:val="3"/>
            <w:shd w:val="clear" w:color="auto" w:fill="auto"/>
            <w:vAlign w:val="bottom"/>
          </w:tcPr>
          <w:p w14:paraId="5DEC6BF0" w14:textId="77777777" w:rsidR="00B1578D" w:rsidRDefault="00B1578D">
            <w:pPr>
              <w:rPr>
                <w:rFonts w:ascii="宋体"/>
                <w:vanish/>
              </w:rPr>
            </w:pPr>
          </w:p>
        </w:tc>
      </w:tr>
      <w:tr w:rsidR="00B1578D" w14:paraId="5DEC6C01" w14:textId="77777777">
        <w:trPr>
          <w:jc w:val="center"/>
        </w:trPr>
        <w:tc>
          <w:tcPr>
            <w:tcW w:w="0" w:type="auto"/>
            <w:gridSpan w:val="3"/>
            <w:shd w:val="clear" w:color="auto" w:fill="CCEEFF"/>
            <w:tcMar>
              <w:top w:w="40" w:type="dxa"/>
              <w:left w:w="20" w:type="dxa"/>
              <w:bottom w:w="40" w:type="dxa"/>
              <w:right w:w="20" w:type="dxa"/>
            </w:tcMar>
            <w:vAlign w:val="center"/>
          </w:tcPr>
          <w:p w14:paraId="5DEC6BF2" w14:textId="77777777" w:rsidR="00B1578D" w:rsidRDefault="004D2C04">
            <w:pPr>
              <w:textAlignment w:val="center"/>
            </w:pPr>
            <w:r>
              <w:rPr>
                <w:rFonts w:ascii="Times New Roman" w:eastAsia="宋体" w:hAnsi="Times New Roman"/>
                <w:color w:val="000000"/>
                <w:sz w:val="16"/>
                <w:szCs w:val="16"/>
              </w:rPr>
              <w:t>Net cash provided by (used in) financing activities</w:t>
            </w:r>
          </w:p>
        </w:tc>
        <w:tc>
          <w:tcPr>
            <w:tcW w:w="0" w:type="auto"/>
            <w:gridSpan w:val="3"/>
            <w:shd w:val="clear" w:color="auto" w:fill="CCEEFF"/>
            <w:tcMar>
              <w:top w:w="0" w:type="dxa"/>
              <w:left w:w="20" w:type="dxa"/>
              <w:bottom w:w="0" w:type="dxa"/>
              <w:right w:w="20" w:type="dxa"/>
            </w:tcMar>
            <w:vAlign w:val="bottom"/>
          </w:tcPr>
          <w:p w14:paraId="5DEC6BF3" w14:textId="77777777" w:rsidR="00B1578D" w:rsidRDefault="00B1578D">
            <w:pPr>
              <w:rPr>
                <w:rFonts w:ascii="宋体"/>
              </w:rPr>
            </w:pPr>
          </w:p>
        </w:tc>
        <w:tc>
          <w:tcPr>
            <w:tcW w:w="0" w:type="auto"/>
            <w:shd w:val="clear" w:color="auto" w:fill="auto"/>
            <w:vAlign w:val="bottom"/>
          </w:tcPr>
          <w:p w14:paraId="5DEC6BF4" w14:textId="77777777" w:rsidR="00B1578D" w:rsidRDefault="00B1578D">
            <w:pPr>
              <w:rPr>
                <w:rFonts w:ascii="宋体"/>
                <w:vanish/>
              </w:rPr>
            </w:pPr>
          </w:p>
        </w:tc>
        <w:tc>
          <w:tcPr>
            <w:tcW w:w="0" w:type="auto"/>
            <w:shd w:val="clear" w:color="auto" w:fill="auto"/>
            <w:vAlign w:val="bottom"/>
          </w:tcPr>
          <w:p w14:paraId="5DEC6BF5" w14:textId="77777777" w:rsidR="00B1578D" w:rsidRDefault="00B1578D">
            <w:pPr>
              <w:rPr>
                <w:rFonts w:ascii="宋体"/>
                <w:vanish/>
              </w:rPr>
            </w:pPr>
          </w:p>
        </w:tc>
        <w:tc>
          <w:tcPr>
            <w:tcW w:w="0" w:type="auto"/>
            <w:shd w:val="clear" w:color="auto" w:fill="auto"/>
            <w:vAlign w:val="bottom"/>
          </w:tcPr>
          <w:p w14:paraId="5DEC6BF6" w14:textId="77777777" w:rsidR="00B1578D" w:rsidRDefault="00B1578D">
            <w:pPr>
              <w:rPr>
                <w:rFonts w:ascii="宋体"/>
                <w:vanish/>
              </w:rPr>
            </w:pPr>
          </w:p>
        </w:tc>
        <w:tc>
          <w:tcPr>
            <w:tcW w:w="0" w:type="auto"/>
            <w:shd w:val="clear" w:color="auto" w:fill="auto"/>
            <w:vAlign w:val="bottom"/>
          </w:tcPr>
          <w:p w14:paraId="5DEC6BF7" w14:textId="77777777" w:rsidR="00B1578D" w:rsidRDefault="00B1578D">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BF8"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BF9" w14:textId="77777777" w:rsidR="00B1578D" w:rsidRDefault="004D2C04">
            <w:pPr>
              <w:jc w:val="right"/>
              <w:textAlignment w:val="center"/>
            </w:pPr>
            <w:r>
              <w:rPr>
                <w:rFonts w:ascii="Times New Roman" w:eastAsia="宋体" w:hAnsi="Times New Roman"/>
                <w:color w:val="000000"/>
                <w:sz w:val="16"/>
                <w:szCs w:val="16"/>
              </w:rPr>
              <w:t>5,315 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BFA"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BFB"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BFC"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BFD" w14:textId="77777777" w:rsidR="00B1578D" w:rsidRDefault="004D2C04">
            <w:pPr>
              <w:jc w:val="right"/>
              <w:textAlignment w:val="center"/>
            </w:pPr>
            <w:r>
              <w:rPr>
                <w:rFonts w:ascii="Times New Roman" w:eastAsia="宋体" w:hAnsi="Times New Roman"/>
                <w:color w:val="000000"/>
                <w:sz w:val="16"/>
                <w:szCs w:val="16"/>
              </w:rPr>
              <w:t>(5,399)</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BFE" w14:textId="77777777" w:rsidR="00B1578D" w:rsidRDefault="00B1578D">
            <w:pPr>
              <w:jc w:val="right"/>
              <w:rPr>
                <w:rFonts w:ascii="宋体"/>
              </w:rPr>
            </w:pPr>
          </w:p>
        </w:tc>
        <w:tc>
          <w:tcPr>
            <w:tcW w:w="0" w:type="auto"/>
            <w:gridSpan w:val="3"/>
            <w:shd w:val="clear" w:color="auto" w:fill="auto"/>
            <w:vAlign w:val="bottom"/>
          </w:tcPr>
          <w:p w14:paraId="5DEC6BFF" w14:textId="77777777" w:rsidR="00B1578D" w:rsidRDefault="00B1578D">
            <w:pPr>
              <w:rPr>
                <w:rFonts w:ascii="宋体"/>
                <w:vanish/>
              </w:rPr>
            </w:pPr>
          </w:p>
        </w:tc>
        <w:tc>
          <w:tcPr>
            <w:tcW w:w="0" w:type="auto"/>
            <w:gridSpan w:val="3"/>
            <w:shd w:val="clear" w:color="auto" w:fill="auto"/>
            <w:vAlign w:val="bottom"/>
          </w:tcPr>
          <w:p w14:paraId="5DEC6C00" w14:textId="77777777" w:rsidR="00B1578D" w:rsidRDefault="00B1578D">
            <w:pPr>
              <w:rPr>
                <w:rFonts w:ascii="宋体"/>
                <w:vanish/>
              </w:rPr>
            </w:pPr>
          </w:p>
        </w:tc>
      </w:tr>
    </w:tbl>
    <w:p w14:paraId="5DEC6C02" w14:textId="77777777" w:rsidR="00B1578D" w:rsidRDefault="004D2C04">
      <w:pPr>
        <w:spacing w:before="60"/>
      </w:pPr>
      <w:r>
        <w:rPr>
          <w:rFonts w:ascii="Times New Roman" w:eastAsia="宋体" w:hAnsi="Times New Roman"/>
          <w:color w:val="000000"/>
          <w:sz w:val="20"/>
          <w:szCs w:val="20"/>
        </w:rPr>
        <w:t>Net cash from financing activities generally consists of transactions related to our short-term and long-term debt, dividends paid and the repurchase of Company stock. Transactions with noncontrolling interest shareholders are also class</w:t>
      </w:r>
      <w:r>
        <w:rPr>
          <w:rFonts w:ascii="Times New Roman" w:eastAsia="宋体" w:hAnsi="Times New Roman"/>
          <w:color w:val="000000"/>
          <w:sz w:val="20"/>
          <w:szCs w:val="20"/>
        </w:rPr>
        <w:t>ified as cash flows from financing activities. Net cash provided by financing activities was $5.3 billion as compared to net cash used in financing activities of $5.4 billion for the three months ended April 30, 2022 and 2021, respectively. The increase in</w:t>
      </w:r>
      <w:r>
        <w:rPr>
          <w:rFonts w:ascii="Times New Roman" w:eastAsia="宋体" w:hAnsi="Times New Roman"/>
          <w:color w:val="000000"/>
          <w:sz w:val="20"/>
          <w:szCs w:val="20"/>
        </w:rPr>
        <w:t xml:space="preserve"> net cash provided by financing activities is primarily due to an increase in short-term borrowings to fund working capital needs.</w:t>
      </w:r>
    </w:p>
    <w:p w14:paraId="5DEC6C03" w14:textId="77777777" w:rsidR="00B1578D" w:rsidRDefault="004D2C04">
      <w:pPr>
        <w:spacing w:before="100"/>
      </w:pPr>
      <w:r>
        <w:rPr>
          <w:rFonts w:ascii="Times New Roman" w:eastAsia="宋体" w:hAnsi="Times New Roman"/>
          <w:color w:val="000000"/>
          <w:sz w:val="20"/>
          <w:szCs w:val="20"/>
        </w:rPr>
        <w:t>In April 2022, the Company renewed and extended its existing 364-day revolving credit facility of $10.0 billion as well as it</w:t>
      </w:r>
      <w:r>
        <w:rPr>
          <w:rFonts w:ascii="Times New Roman" w:eastAsia="宋体" w:hAnsi="Times New Roman"/>
          <w:color w:val="000000"/>
          <w:sz w:val="20"/>
          <w:szCs w:val="20"/>
        </w:rPr>
        <w:t>s five-year credit facility of $5.0 billion. In total, we had committed lines of credit in the U.S. of $15.0 billion at April 30, 2022, all undrawn.</w:t>
      </w:r>
    </w:p>
    <w:p w14:paraId="5DEC6C04" w14:textId="77777777" w:rsidR="00B1578D" w:rsidRDefault="004D2C04">
      <w:pPr>
        <w:spacing w:before="180"/>
      </w:pPr>
      <w:r>
        <w:rPr>
          <w:rFonts w:ascii="Times New Roman" w:eastAsia="宋体" w:hAnsi="Times New Roman"/>
          <w:i/>
          <w:iCs/>
          <w:color w:val="000000"/>
          <w:sz w:val="20"/>
          <w:szCs w:val="20"/>
        </w:rPr>
        <w:t>Long-term Debt</w:t>
      </w:r>
    </w:p>
    <w:p w14:paraId="5DEC6C05" w14:textId="77777777" w:rsidR="00B1578D" w:rsidRDefault="004D2C04">
      <w:pPr>
        <w:spacing w:before="100"/>
      </w:pPr>
      <w:r>
        <w:rPr>
          <w:rFonts w:ascii="Times New Roman" w:eastAsia="宋体" w:hAnsi="Times New Roman"/>
          <w:color w:val="000000"/>
          <w:sz w:val="20"/>
          <w:szCs w:val="20"/>
        </w:rPr>
        <w:t xml:space="preserve">The following table provides the changes in our long-term debt for the three months </w:t>
      </w:r>
      <w:r>
        <w:rPr>
          <w:rFonts w:ascii="Times New Roman" w:eastAsia="宋体" w:hAnsi="Times New Roman"/>
          <w:color w:val="000000"/>
          <w:sz w:val="20"/>
          <w:szCs w:val="20"/>
        </w:rPr>
        <w:t>ended April 30, 2022:</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B1578D" w14:paraId="5DEC6C1B" w14:textId="77777777">
        <w:tc>
          <w:tcPr>
            <w:tcW w:w="50" w:type="pct"/>
            <w:shd w:val="clear" w:color="auto" w:fill="auto"/>
            <w:vAlign w:val="bottom"/>
          </w:tcPr>
          <w:p w14:paraId="5DEC6C06" w14:textId="77777777" w:rsidR="00B1578D" w:rsidRDefault="00B1578D">
            <w:pPr>
              <w:rPr>
                <w:rFonts w:ascii="宋体"/>
              </w:rPr>
            </w:pPr>
          </w:p>
        </w:tc>
        <w:tc>
          <w:tcPr>
            <w:tcW w:w="2375" w:type="pct"/>
            <w:shd w:val="clear" w:color="auto" w:fill="auto"/>
            <w:vAlign w:val="bottom"/>
          </w:tcPr>
          <w:p w14:paraId="5DEC6C07" w14:textId="77777777" w:rsidR="00B1578D" w:rsidRDefault="00B1578D">
            <w:pPr>
              <w:rPr>
                <w:rFonts w:ascii="宋体"/>
              </w:rPr>
            </w:pPr>
          </w:p>
        </w:tc>
        <w:tc>
          <w:tcPr>
            <w:tcW w:w="5" w:type="pct"/>
            <w:shd w:val="clear" w:color="auto" w:fill="auto"/>
            <w:vAlign w:val="bottom"/>
          </w:tcPr>
          <w:p w14:paraId="5DEC6C08" w14:textId="77777777" w:rsidR="00B1578D" w:rsidRDefault="00B1578D">
            <w:pPr>
              <w:rPr>
                <w:rFonts w:ascii="宋体"/>
              </w:rPr>
            </w:pPr>
          </w:p>
        </w:tc>
        <w:tc>
          <w:tcPr>
            <w:tcW w:w="5" w:type="pct"/>
            <w:shd w:val="clear" w:color="auto" w:fill="auto"/>
            <w:vAlign w:val="bottom"/>
          </w:tcPr>
          <w:p w14:paraId="5DEC6C09" w14:textId="77777777" w:rsidR="00B1578D" w:rsidRDefault="00B1578D">
            <w:pPr>
              <w:rPr>
                <w:rFonts w:ascii="宋体"/>
              </w:rPr>
            </w:pPr>
          </w:p>
        </w:tc>
        <w:tc>
          <w:tcPr>
            <w:tcW w:w="107" w:type="pct"/>
            <w:shd w:val="clear" w:color="auto" w:fill="auto"/>
            <w:vAlign w:val="bottom"/>
          </w:tcPr>
          <w:p w14:paraId="5DEC6C0A" w14:textId="77777777" w:rsidR="00B1578D" w:rsidRDefault="00B1578D">
            <w:pPr>
              <w:rPr>
                <w:rFonts w:ascii="宋体"/>
              </w:rPr>
            </w:pPr>
          </w:p>
        </w:tc>
        <w:tc>
          <w:tcPr>
            <w:tcW w:w="5" w:type="pct"/>
            <w:shd w:val="clear" w:color="auto" w:fill="auto"/>
            <w:vAlign w:val="bottom"/>
          </w:tcPr>
          <w:p w14:paraId="5DEC6C0B" w14:textId="77777777" w:rsidR="00B1578D" w:rsidRDefault="00B1578D">
            <w:pPr>
              <w:rPr>
                <w:rFonts w:ascii="宋体"/>
              </w:rPr>
            </w:pPr>
          </w:p>
        </w:tc>
        <w:tc>
          <w:tcPr>
            <w:tcW w:w="50" w:type="pct"/>
            <w:shd w:val="clear" w:color="auto" w:fill="auto"/>
            <w:vAlign w:val="bottom"/>
          </w:tcPr>
          <w:p w14:paraId="5DEC6C0C" w14:textId="77777777" w:rsidR="00B1578D" w:rsidRDefault="00B1578D">
            <w:pPr>
              <w:rPr>
                <w:rFonts w:ascii="宋体"/>
              </w:rPr>
            </w:pPr>
          </w:p>
        </w:tc>
        <w:tc>
          <w:tcPr>
            <w:tcW w:w="684" w:type="pct"/>
            <w:shd w:val="clear" w:color="auto" w:fill="auto"/>
            <w:vAlign w:val="bottom"/>
          </w:tcPr>
          <w:p w14:paraId="5DEC6C0D" w14:textId="77777777" w:rsidR="00B1578D" w:rsidRDefault="00B1578D">
            <w:pPr>
              <w:rPr>
                <w:rFonts w:ascii="宋体"/>
              </w:rPr>
            </w:pPr>
          </w:p>
        </w:tc>
        <w:tc>
          <w:tcPr>
            <w:tcW w:w="5" w:type="pct"/>
            <w:shd w:val="clear" w:color="auto" w:fill="auto"/>
            <w:vAlign w:val="bottom"/>
          </w:tcPr>
          <w:p w14:paraId="5DEC6C0E" w14:textId="77777777" w:rsidR="00B1578D" w:rsidRDefault="00B1578D">
            <w:pPr>
              <w:rPr>
                <w:rFonts w:ascii="宋体"/>
              </w:rPr>
            </w:pPr>
          </w:p>
        </w:tc>
        <w:tc>
          <w:tcPr>
            <w:tcW w:w="5" w:type="pct"/>
            <w:shd w:val="clear" w:color="auto" w:fill="auto"/>
            <w:vAlign w:val="bottom"/>
          </w:tcPr>
          <w:p w14:paraId="5DEC6C0F" w14:textId="77777777" w:rsidR="00B1578D" w:rsidRDefault="00B1578D">
            <w:pPr>
              <w:rPr>
                <w:rFonts w:ascii="宋体"/>
              </w:rPr>
            </w:pPr>
          </w:p>
        </w:tc>
        <w:tc>
          <w:tcPr>
            <w:tcW w:w="107" w:type="pct"/>
            <w:shd w:val="clear" w:color="auto" w:fill="auto"/>
            <w:vAlign w:val="bottom"/>
          </w:tcPr>
          <w:p w14:paraId="5DEC6C10" w14:textId="77777777" w:rsidR="00B1578D" w:rsidRDefault="00B1578D">
            <w:pPr>
              <w:rPr>
                <w:rFonts w:ascii="宋体"/>
              </w:rPr>
            </w:pPr>
          </w:p>
        </w:tc>
        <w:tc>
          <w:tcPr>
            <w:tcW w:w="5" w:type="pct"/>
            <w:shd w:val="clear" w:color="auto" w:fill="auto"/>
            <w:vAlign w:val="bottom"/>
          </w:tcPr>
          <w:p w14:paraId="5DEC6C11" w14:textId="77777777" w:rsidR="00B1578D" w:rsidRDefault="00B1578D">
            <w:pPr>
              <w:rPr>
                <w:rFonts w:ascii="宋体"/>
              </w:rPr>
            </w:pPr>
          </w:p>
        </w:tc>
        <w:tc>
          <w:tcPr>
            <w:tcW w:w="50" w:type="pct"/>
            <w:shd w:val="clear" w:color="auto" w:fill="auto"/>
            <w:vAlign w:val="bottom"/>
          </w:tcPr>
          <w:p w14:paraId="5DEC6C12" w14:textId="77777777" w:rsidR="00B1578D" w:rsidRDefault="00B1578D">
            <w:pPr>
              <w:rPr>
                <w:rFonts w:ascii="宋体"/>
              </w:rPr>
            </w:pPr>
          </w:p>
        </w:tc>
        <w:tc>
          <w:tcPr>
            <w:tcW w:w="684" w:type="pct"/>
            <w:shd w:val="clear" w:color="auto" w:fill="auto"/>
            <w:vAlign w:val="bottom"/>
          </w:tcPr>
          <w:p w14:paraId="5DEC6C13" w14:textId="77777777" w:rsidR="00B1578D" w:rsidRDefault="00B1578D">
            <w:pPr>
              <w:rPr>
                <w:rFonts w:ascii="宋体"/>
              </w:rPr>
            </w:pPr>
          </w:p>
        </w:tc>
        <w:tc>
          <w:tcPr>
            <w:tcW w:w="5" w:type="pct"/>
            <w:shd w:val="clear" w:color="auto" w:fill="auto"/>
            <w:vAlign w:val="bottom"/>
          </w:tcPr>
          <w:p w14:paraId="5DEC6C14" w14:textId="77777777" w:rsidR="00B1578D" w:rsidRDefault="00B1578D">
            <w:pPr>
              <w:rPr>
                <w:rFonts w:ascii="宋体"/>
              </w:rPr>
            </w:pPr>
          </w:p>
        </w:tc>
        <w:tc>
          <w:tcPr>
            <w:tcW w:w="5" w:type="pct"/>
            <w:shd w:val="clear" w:color="auto" w:fill="auto"/>
            <w:vAlign w:val="bottom"/>
          </w:tcPr>
          <w:p w14:paraId="5DEC6C15" w14:textId="77777777" w:rsidR="00B1578D" w:rsidRDefault="00B1578D">
            <w:pPr>
              <w:rPr>
                <w:rFonts w:ascii="宋体"/>
              </w:rPr>
            </w:pPr>
          </w:p>
        </w:tc>
        <w:tc>
          <w:tcPr>
            <w:tcW w:w="107" w:type="pct"/>
            <w:shd w:val="clear" w:color="auto" w:fill="auto"/>
            <w:vAlign w:val="bottom"/>
          </w:tcPr>
          <w:p w14:paraId="5DEC6C16" w14:textId="77777777" w:rsidR="00B1578D" w:rsidRDefault="00B1578D">
            <w:pPr>
              <w:rPr>
                <w:rFonts w:ascii="宋体"/>
              </w:rPr>
            </w:pPr>
          </w:p>
        </w:tc>
        <w:tc>
          <w:tcPr>
            <w:tcW w:w="5" w:type="pct"/>
            <w:shd w:val="clear" w:color="auto" w:fill="auto"/>
            <w:vAlign w:val="bottom"/>
          </w:tcPr>
          <w:p w14:paraId="5DEC6C17" w14:textId="77777777" w:rsidR="00B1578D" w:rsidRDefault="00B1578D">
            <w:pPr>
              <w:rPr>
                <w:rFonts w:ascii="宋体"/>
              </w:rPr>
            </w:pPr>
          </w:p>
        </w:tc>
        <w:tc>
          <w:tcPr>
            <w:tcW w:w="50" w:type="pct"/>
            <w:shd w:val="clear" w:color="auto" w:fill="auto"/>
            <w:vAlign w:val="bottom"/>
          </w:tcPr>
          <w:p w14:paraId="5DEC6C18" w14:textId="77777777" w:rsidR="00B1578D" w:rsidRDefault="00B1578D">
            <w:pPr>
              <w:rPr>
                <w:rFonts w:ascii="宋体"/>
              </w:rPr>
            </w:pPr>
          </w:p>
        </w:tc>
        <w:tc>
          <w:tcPr>
            <w:tcW w:w="684" w:type="pct"/>
            <w:shd w:val="clear" w:color="auto" w:fill="auto"/>
            <w:vAlign w:val="bottom"/>
          </w:tcPr>
          <w:p w14:paraId="5DEC6C19" w14:textId="77777777" w:rsidR="00B1578D" w:rsidRDefault="00B1578D">
            <w:pPr>
              <w:rPr>
                <w:rFonts w:ascii="宋体"/>
              </w:rPr>
            </w:pPr>
          </w:p>
        </w:tc>
        <w:tc>
          <w:tcPr>
            <w:tcW w:w="5" w:type="pct"/>
            <w:shd w:val="clear" w:color="auto" w:fill="auto"/>
            <w:vAlign w:val="bottom"/>
          </w:tcPr>
          <w:p w14:paraId="5DEC6C1A" w14:textId="77777777" w:rsidR="00B1578D" w:rsidRDefault="00B1578D">
            <w:pPr>
              <w:rPr>
                <w:rFonts w:ascii="宋体"/>
              </w:rPr>
            </w:pPr>
          </w:p>
        </w:tc>
      </w:tr>
      <w:tr w:rsidR="00B1578D" w14:paraId="5DEC6C23" w14:textId="77777777">
        <w:tc>
          <w:tcPr>
            <w:tcW w:w="0" w:type="auto"/>
            <w:gridSpan w:val="3"/>
            <w:shd w:val="clear" w:color="auto" w:fill="auto"/>
            <w:tcMar>
              <w:top w:w="40" w:type="dxa"/>
              <w:left w:w="20" w:type="dxa"/>
              <w:bottom w:w="40" w:type="dxa"/>
              <w:right w:w="20" w:type="dxa"/>
            </w:tcMar>
            <w:vAlign w:val="bottom"/>
          </w:tcPr>
          <w:p w14:paraId="5DEC6C1C" w14:textId="77777777" w:rsidR="00B1578D" w:rsidRDefault="004D2C04">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5DEC6C1D"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C1E" w14:textId="77777777" w:rsidR="00B1578D" w:rsidRDefault="004D2C04">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5DEC6C1F"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C20" w14:textId="77777777" w:rsidR="00B1578D" w:rsidRDefault="004D2C04">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5DEC6C21"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C22" w14:textId="77777777" w:rsidR="00B1578D" w:rsidRDefault="004D2C04">
            <w:pPr>
              <w:jc w:val="center"/>
              <w:textAlignment w:val="bottom"/>
            </w:pPr>
            <w:r>
              <w:rPr>
                <w:rFonts w:ascii="Times New Roman" w:eastAsia="宋体" w:hAnsi="Times New Roman"/>
                <w:b/>
                <w:bCs/>
                <w:color w:val="000000"/>
                <w:sz w:val="16"/>
                <w:szCs w:val="16"/>
              </w:rPr>
              <w:t>Total</w:t>
            </w:r>
          </w:p>
        </w:tc>
      </w:tr>
      <w:tr w:rsidR="00B1578D" w14:paraId="5DEC6C31" w14:textId="77777777">
        <w:tc>
          <w:tcPr>
            <w:tcW w:w="0" w:type="auto"/>
            <w:gridSpan w:val="3"/>
            <w:shd w:val="clear" w:color="auto" w:fill="CCEEFF"/>
            <w:tcMar>
              <w:top w:w="40" w:type="dxa"/>
              <w:left w:w="20" w:type="dxa"/>
              <w:bottom w:w="40" w:type="dxa"/>
              <w:right w:w="20" w:type="dxa"/>
            </w:tcMar>
            <w:vAlign w:val="center"/>
          </w:tcPr>
          <w:p w14:paraId="5DEC6C24" w14:textId="77777777" w:rsidR="00B1578D" w:rsidRDefault="004D2C04">
            <w:pPr>
              <w:textAlignment w:val="center"/>
            </w:pPr>
            <w:r>
              <w:rPr>
                <w:rFonts w:ascii="Times New Roman" w:eastAsia="宋体" w:hAnsi="Times New Roman"/>
                <w:b/>
                <w:bCs/>
                <w:color w:val="000000"/>
                <w:sz w:val="16"/>
                <w:szCs w:val="16"/>
              </w:rPr>
              <w:t>Balances as of February 1, 2022</w:t>
            </w:r>
          </w:p>
        </w:tc>
        <w:tc>
          <w:tcPr>
            <w:tcW w:w="0" w:type="auto"/>
            <w:gridSpan w:val="3"/>
            <w:shd w:val="clear" w:color="auto" w:fill="CCEEFF"/>
            <w:tcMar>
              <w:top w:w="0" w:type="dxa"/>
              <w:left w:w="20" w:type="dxa"/>
              <w:bottom w:w="0" w:type="dxa"/>
              <w:right w:w="20" w:type="dxa"/>
            </w:tcMar>
            <w:vAlign w:val="bottom"/>
          </w:tcPr>
          <w:p w14:paraId="5DEC6C25"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C26"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C27" w14:textId="77777777" w:rsidR="00B1578D" w:rsidRDefault="004D2C04">
            <w:pPr>
              <w:jc w:val="right"/>
              <w:textAlignment w:val="center"/>
            </w:pPr>
            <w:r>
              <w:rPr>
                <w:rFonts w:ascii="Times New Roman" w:eastAsia="宋体" w:hAnsi="Times New Roman"/>
                <w:color w:val="000000"/>
                <w:sz w:val="16"/>
                <w:szCs w:val="16"/>
              </w:rPr>
              <w:t>2,803 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C2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29"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C2A"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C2B" w14:textId="77777777" w:rsidR="00B1578D" w:rsidRDefault="004D2C04">
            <w:pPr>
              <w:jc w:val="right"/>
              <w:textAlignment w:val="center"/>
            </w:pPr>
            <w:r>
              <w:rPr>
                <w:rFonts w:ascii="Times New Roman" w:eastAsia="宋体" w:hAnsi="Times New Roman"/>
                <w:color w:val="000000"/>
                <w:sz w:val="16"/>
                <w:szCs w:val="16"/>
              </w:rPr>
              <w:t>34,864 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C2C"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2D"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C2E"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C2F" w14:textId="77777777" w:rsidR="00B1578D" w:rsidRDefault="004D2C04">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C30" w14:textId="77777777" w:rsidR="00B1578D" w:rsidRDefault="00B1578D">
            <w:pPr>
              <w:jc w:val="right"/>
              <w:rPr>
                <w:rFonts w:ascii="宋体"/>
              </w:rPr>
            </w:pPr>
          </w:p>
        </w:tc>
      </w:tr>
      <w:tr w:rsidR="00B1578D" w14:paraId="5DEC6C39" w14:textId="77777777">
        <w:trPr>
          <w:hidden/>
        </w:trPr>
        <w:tc>
          <w:tcPr>
            <w:tcW w:w="0" w:type="auto"/>
            <w:gridSpan w:val="3"/>
            <w:shd w:val="clear" w:color="auto" w:fill="auto"/>
            <w:vAlign w:val="bottom"/>
          </w:tcPr>
          <w:p w14:paraId="5DEC6C32" w14:textId="77777777" w:rsidR="00B1578D" w:rsidRDefault="00B1578D">
            <w:pPr>
              <w:rPr>
                <w:rFonts w:ascii="宋体"/>
                <w:vanish/>
              </w:rPr>
            </w:pPr>
          </w:p>
        </w:tc>
        <w:tc>
          <w:tcPr>
            <w:tcW w:w="0" w:type="auto"/>
            <w:gridSpan w:val="3"/>
            <w:shd w:val="clear" w:color="auto" w:fill="auto"/>
            <w:vAlign w:val="bottom"/>
          </w:tcPr>
          <w:p w14:paraId="5DEC6C33" w14:textId="77777777" w:rsidR="00B1578D" w:rsidRDefault="00B1578D">
            <w:pPr>
              <w:rPr>
                <w:rFonts w:ascii="宋体"/>
                <w:vanish/>
              </w:rPr>
            </w:pPr>
          </w:p>
        </w:tc>
        <w:tc>
          <w:tcPr>
            <w:tcW w:w="0" w:type="auto"/>
            <w:gridSpan w:val="3"/>
            <w:shd w:val="clear" w:color="auto" w:fill="auto"/>
            <w:vAlign w:val="bottom"/>
          </w:tcPr>
          <w:p w14:paraId="5DEC6C34" w14:textId="77777777" w:rsidR="00B1578D" w:rsidRDefault="00B1578D">
            <w:pPr>
              <w:rPr>
                <w:rFonts w:ascii="宋体"/>
                <w:vanish/>
              </w:rPr>
            </w:pPr>
          </w:p>
        </w:tc>
        <w:tc>
          <w:tcPr>
            <w:tcW w:w="0" w:type="auto"/>
            <w:gridSpan w:val="3"/>
            <w:shd w:val="clear" w:color="auto" w:fill="auto"/>
            <w:vAlign w:val="bottom"/>
          </w:tcPr>
          <w:p w14:paraId="5DEC6C35" w14:textId="77777777" w:rsidR="00B1578D" w:rsidRDefault="00B1578D">
            <w:pPr>
              <w:rPr>
                <w:rFonts w:ascii="宋体"/>
                <w:vanish/>
              </w:rPr>
            </w:pPr>
          </w:p>
        </w:tc>
        <w:tc>
          <w:tcPr>
            <w:tcW w:w="0" w:type="auto"/>
            <w:gridSpan w:val="3"/>
            <w:shd w:val="clear" w:color="auto" w:fill="auto"/>
            <w:vAlign w:val="bottom"/>
          </w:tcPr>
          <w:p w14:paraId="5DEC6C36" w14:textId="77777777" w:rsidR="00B1578D" w:rsidRDefault="00B1578D">
            <w:pPr>
              <w:rPr>
                <w:rFonts w:ascii="宋体"/>
                <w:vanish/>
              </w:rPr>
            </w:pPr>
          </w:p>
        </w:tc>
        <w:tc>
          <w:tcPr>
            <w:tcW w:w="0" w:type="auto"/>
            <w:gridSpan w:val="3"/>
            <w:shd w:val="clear" w:color="auto" w:fill="auto"/>
            <w:vAlign w:val="bottom"/>
          </w:tcPr>
          <w:p w14:paraId="5DEC6C37" w14:textId="77777777" w:rsidR="00B1578D" w:rsidRDefault="00B1578D">
            <w:pPr>
              <w:rPr>
                <w:rFonts w:ascii="宋体"/>
                <w:vanish/>
              </w:rPr>
            </w:pPr>
          </w:p>
        </w:tc>
        <w:tc>
          <w:tcPr>
            <w:tcW w:w="0" w:type="auto"/>
            <w:gridSpan w:val="3"/>
            <w:shd w:val="clear" w:color="auto" w:fill="auto"/>
            <w:vAlign w:val="bottom"/>
          </w:tcPr>
          <w:p w14:paraId="5DEC6C38" w14:textId="77777777" w:rsidR="00B1578D" w:rsidRDefault="00B1578D">
            <w:pPr>
              <w:rPr>
                <w:rFonts w:ascii="宋体"/>
                <w:vanish/>
              </w:rPr>
            </w:pPr>
          </w:p>
        </w:tc>
      </w:tr>
      <w:tr w:rsidR="00B1578D" w14:paraId="5DEC6C44" w14:textId="77777777">
        <w:tc>
          <w:tcPr>
            <w:tcW w:w="0" w:type="auto"/>
            <w:gridSpan w:val="3"/>
            <w:shd w:val="clear" w:color="auto" w:fill="FFFFFF"/>
            <w:tcMar>
              <w:top w:w="40" w:type="dxa"/>
              <w:left w:w="20" w:type="dxa"/>
              <w:bottom w:w="40" w:type="dxa"/>
              <w:right w:w="20" w:type="dxa"/>
            </w:tcMar>
            <w:vAlign w:val="center"/>
          </w:tcPr>
          <w:p w14:paraId="5DEC6C3A" w14:textId="77777777" w:rsidR="00B1578D" w:rsidRDefault="004D2C04">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5DEC6C3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C3C" w14:textId="77777777" w:rsidR="00B1578D" w:rsidRDefault="004D2C04">
            <w:pPr>
              <w:jc w:val="right"/>
              <w:textAlignment w:val="center"/>
            </w:pPr>
            <w:r>
              <w:rPr>
                <w:rFonts w:ascii="Times New Roman" w:eastAsia="宋体" w:hAnsi="Times New Roman"/>
                <w:color w:val="000000"/>
                <w:sz w:val="16"/>
                <w:szCs w:val="16"/>
              </w:rPr>
              <w:t>(926)</w:t>
            </w:r>
          </w:p>
        </w:tc>
        <w:tc>
          <w:tcPr>
            <w:tcW w:w="0" w:type="auto"/>
            <w:shd w:val="clear" w:color="auto" w:fill="FFFFFF"/>
            <w:tcMar>
              <w:top w:w="40" w:type="dxa"/>
              <w:left w:w="0" w:type="dxa"/>
              <w:bottom w:w="40" w:type="dxa"/>
              <w:right w:w="20" w:type="dxa"/>
            </w:tcMar>
            <w:vAlign w:val="center"/>
          </w:tcPr>
          <w:p w14:paraId="5DEC6C3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C3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C3F"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5DEC6C4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C4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C42" w14:textId="77777777" w:rsidR="00B1578D" w:rsidRDefault="004D2C04">
            <w:pPr>
              <w:jc w:val="right"/>
              <w:textAlignment w:val="center"/>
            </w:pPr>
            <w:r>
              <w:rPr>
                <w:rFonts w:ascii="Times New Roman" w:eastAsia="宋体" w:hAnsi="Times New Roman"/>
                <w:color w:val="000000"/>
                <w:sz w:val="16"/>
                <w:szCs w:val="16"/>
              </w:rPr>
              <w:t>(926)</w:t>
            </w:r>
          </w:p>
        </w:tc>
        <w:tc>
          <w:tcPr>
            <w:tcW w:w="0" w:type="auto"/>
            <w:shd w:val="clear" w:color="auto" w:fill="FFFFFF"/>
            <w:tcMar>
              <w:top w:w="40" w:type="dxa"/>
              <w:left w:w="0" w:type="dxa"/>
              <w:bottom w:w="40" w:type="dxa"/>
              <w:right w:w="20" w:type="dxa"/>
            </w:tcMar>
            <w:vAlign w:val="center"/>
          </w:tcPr>
          <w:p w14:paraId="5DEC6C43" w14:textId="77777777" w:rsidR="00B1578D" w:rsidRDefault="00B1578D">
            <w:pPr>
              <w:jc w:val="right"/>
              <w:rPr>
                <w:rFonts w:ascii="宋体"/>
              </w:rPr>
            </w:pPr>
          </w:p>
        </w:tc>
      </w:tr>
      <w:tr w:rsidR="00B1578D" w14:paraId="5DEC6C4F" w14:textId="77777777">
        <w:tc>
          <w:tcPr>
            <w:tcW w:w="0" w:type="auto"/>
            <w:gridSpan w:val="3"/>
            <w:shd w:val="clear" w:color="auto" w:fill="CCEEFF"/>
            <w:tcMar>
              <w:top w:w="40" w:type="dxa"/>
              <w:left w:w="20" w:type="dxa"/>
              <w:bottom w:w="40" w:type="dxa"/>
              <w:right w:w="20" w:type="dxa"/>
            </w:tcMar>
            <w:vAlign w:val="center"/>
          </w:tcPr>
          <w:p w14:paraId="5DEC6C45" w14:textId="77777777" w:rsidR="00B1578D" w:rsidRDefault="004D2C04">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vAlign w:val="bottom"/>
          </w:tcPr>
          <w:p w14:paraId="5DEC6C46"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C47" w14:textId="77777777" w:rsidR="00B1578D" w:rsidRDefault="004D2C04">
            <w:pPr>
              <w:jc w:val="right"/>
              <w:textAlignment w:val="center"/>
            </w:pPr>
            <w:r>
              <w:rPr>
                <w:rFonts w:ascii="Times New Roman" w:eastAsia="宋体" w:hAnsi="Times New Roman"/>
                <w:color w:val="000000"/>
                <w:sz w:val="16"/>
                <w:szCs w:val="16"/>
              </w:rPr>
              <w:t>1,750 </w:t>
            </w:r>
          </w:p>
        </w:tc>
        <w:tc>
          <w:tcPr>
            <w:tcW w:w="0" w:type="auto"/>
            <w:shd w:val="clear" w:color="auto" w:fill="CCEEFF"/>
            <w:tcMar>
              <w:top w:w="40" w:type="dxa"/>
              <w:left w:w="0" w:type="dxa"/>
              <w:bottom w:w="40" w:type="dxa"/>
              <w:right w:w="20" w:type="dxa"/>
            </w:tcMar>
            <w:vAlign w:val="center"/>
          </w:tcPr>
          <w:p w14:paraId="5DEC6C48"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4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C4A" w14:textId="77777777" w:rsidR="00B1578D" w:rsidRDefault="004D2C04">
            <w:pPr>
              <w:jc w:val="right"/>
              <w:textAlignment w:val="center"/>
            </w:pPr>
            <w:r>
              <w:rPr>
                <w:rFonts w:ascii="Times New Roman" w:eastAsia="宋体" w:hAnsi="Times New Roman"/>
                <w:color w:val="000000"/>
                <w:sz w:val="16"/>
                <w:szCs w:val="16"/>
              </w:rPr>
              <w:t>(1,750)</w:t>
            </w:r>
          </w:p>
        </w:tc>
        <w:tc>
          <w:tcPr>
            <w:tcW w:w="0" w:type="auto"/>
            <w:shd w:val="clear" w:color="auto" w:fill="CCEEFF"/>
            <w:tcMar>
              <w:top w:w="40" w:type="dxa"/>
              <w:left w:w="0" w:type="dxa"/>
              <w:bottom w:w="40" w:type="dxa"/>
              <w:right w:w="20" w:type="dxa"/>
            </w:tcMar>
            <w:vAlign w:val="center"/>
          </w:tcPr>
          <w:p w14:paraId="5DEC6C4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4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C4D" w14:textId="77777777" w:rsidR="00B1578D" w:rsidRDefault="004D2C04">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5DEC6C4E" w14:textId="77777777" w:rsidR="00B1578D" w:rsidRDefault="00B1578D">
            <w:pPr>
              <w:jc w:val="right"/>
              <w:rPr>
                <w:rFonts w:ascii="宋体"/>
              </w:rPr>
            </w:pPr>
          </w:p>
        </w:tc>
      </w:tr>
      <w:tr w:rsidR="00B1578D" w14:paraId="5DEC6C5A" w14:textId="77777777">
        <w:tc>
          <w:tcPr>
            <w:tcW w:w="0" w:type="auto"/>
            <w:gridSpan w:val="3"/>
            <w:shd w:val="clear" w:color="auto" w:fill="FFFFFF"/>
            <w:tcMar>
              <w:top w:w="40" w:type="dxa"/>
              <w:left w:w="20" w:type="dxa"/>
              <w:bottom w:w="40" w:type="dxa"/>
              <w:right w:w="20" w:type="dxa"/>
            </w:tcMar>
            <w:vAlign w:val="center"/>
          </w:tcPr>
          <w:p w14:paraId="5DEC6C50" w14:textId="77777777" w:rsidR="00B1578D" w:rsidRDefault="004D2C04">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vAlign w:val="bottom"/>
          </w:tcPr>
          <w:p w14:paraId="5DEC6C5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C52" w14:textId="77777777" w:rsidR="00B1578D" w:rsidRDefault="004D2C04">
            <w:pPr>
              <w:jc w:val="right"/>
              <w:textAlignment w:val="center"/>
            </w:pPr>
            <w:r>
              <w:rPr>
                <w:rFonts w:ascii="Times New Roman" w:eastAsia="宋体" w:hAnsi="Times New Roman"/>
                <w:color w:val="000000"/>
                <w:sz w:val="16"/>
                <w:szCs w:val="16"/>
              </w:rPr>
              <w:t>(47)</w:t>
            </w:r>
          </w:p>
        </w:tc>
        <w:tc>
          <w:tcPr>
            <w:tcW w:w="0" w:type="auto"/>
            <w:shd w:val="clear" w:color="auto" w:fill="FFFFFF"/>
            <w:tcMar>
              <w:top w:w="40" w:type="dxa"/>
              <w:left w:w="0" w:type="dxa"/>
              <w:bottom w:w="40" w:type="dxa"/>
              <w:right w:w="20" w:type="dxa"/>
            </w:tcMar>
            <w:vAlign w:val="center"/>
          </w:tcPr>
          <w:p w14:paraId="5DEC6C5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C5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C55" w14:textId="77777777" w:rsidR="00B1578D" w:rsidRDefault="004D2C04">
            <w:pPr>
              <w:jc w:val="right"/>
              <w:textAlignment w:val="center"/>
            </w:pPr>
            <w:r>
              <w:rPr>
                <w:rFonts w:ascii="Times New Roman" w:eastAsia="宋体" w:hAnsi="Times New Roman"/>
                <w:color w:val="000000"/>
                <w:sz w:val="16"/>
                <w:szCs w:val="16"/>
              </w:rPr>
              <w:t>(940)</w:t>
            </w:r>
          </w:p>
        </w:tc>
        <w:tc>
          <w:tcPr>
            <w:tcW w:w="0" w:type="auto"/>
            <w:shd w:val="clear" w:color="auto" w:fill="FFFFFF"/>
            <w:tcMar>
              <w:top w:w="40" w:type="dxa"/>
              <w:left w:w="0" w:type="dxa"/>
              <w:bottom w:w="40" w:type="dxa"/>
              <w:right w:w="20" w:type="dxa"/>
            </w:tcMar>
            <w:vAlign w:val="center"/>
          </w:tcPr>
          <w:p w14:paraId="5DEC6C56"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C57"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C58" w14:textId="77777777" w:rsidR="00B1578D" w:rsidRDefault="004D2C04">
            <w:pPr>
              <w:jc w:val="right"/>
              <w:textAlignment w:val="center"/>
            </w:pPr>
            <w:r>
              <w:rPr>
                <w:rFonts w:ascii="Times New Roman" w:eastAsia="宋体" w:hAnsi="Times New Roman"/>
                <w:color w:val="000000"/>
                <w:sz w:val="16"/>
                <w:szCs w:val="16"/>
              </w:rPr>
              <w:t>(987)</w:t>
            </w:r>
          </w:p>
        </w:tc>
        <w:tc>
          <w:tcPr>
            <w:tcW w:w="0" w:type="auto"/>
            <w:shd w:val="clear" w:color="auto" w:fill="FFFFFF"/>
            <w:tcMar>
              <w:top w:w="40" w:type="dxa"/>
              <w:left w:w="0" w:type="dxa"/>
              <w:bottom w:w="40" w:type="dxa"/>
              <w:right w:w="20" w:type="dxa"/>
            </w:tcMar>
            <w:vAlign w:val="center"/>
          </w:tcPr>
          <w:p w14:paraId="5DEC6C59" w14:textId="77777777" w:rsidR="00B1578D" w:rsidRDefault="00B1578D">
            <w:pPr>
              <w:jc w:val="right"/>
              <w:rPr>
                <w:rFonts w:ascii="宋体"/>
              </w:rPr>
            </w:pPr>
          </w:p>
        </w:tc>
      </w:tr>
      <w:tr w:rsidR="00B1578D" w14:paraId="5DEC6C68" w14:textId="77777777">
        <w:tc>
          <w:tcPr>
            <w:tcW w:w="0" w:type="auto"/>
            <w:gridSpan w:val="3"/>
            <w:shd w:val="clear" w:color="auto" w:fill="CCEEFF"/>
            <w:tcMar>
              <w:top w:w="40" w:type="dxa"/>
              <w:left w:w="20" w:type="dxa"/>
              <w:bottom w:w="40" w:type="dxa"/>
              <w:right w:w="20" w:type="dxa"/>
            </w:tcMar>
            <w:vAlign w:val="center"/>
          </w:tcPr>
          <w:p w14:paraId="5DEC6C5B" w14:textId="77777777" w:rsidR="00B1578D" w:rsidRDefault="004D2C04">
            <w:pPr>
              <w:textAlignment w:val="center"/>
            </w:pPr>
            <w:r>
              <w:rPr>
                <w:rFonts w:ascii="Times New Roman" w:eastAsia="宋体" w:hAnsi="Times New Roman"/>
                <w:b/>
                <w:bCs/>
                <w:color w:val="000000"/>
                <w:sz w:val="16"/>
                <w:szCs w:val="16"/>
              </w:rPr>
              <w:t>Balances as of April 30, 2022</w:t>
            </w:r>
          </w:p>
        </w:tc>
        <w:tc>
          <w:tcPr>
            <w:tcW w:w="0" w:type="auto"/>
            <w:gridSpan w:val="3"/>
            <w:shd w:val="clear" w:color="auto" w:fill="CCEEFF"/>
            <w:tcMar>
              <w:top w:w="0" w:type="dxa"/>
              <w:left w:w="20" w:type="dxa"/>
              <w:bottom w:w="0" w:type="dxa"/>
              <w:right w:w="20" w:type="dxa"/>
            </w:tcMar>
            <w:vAlign w:val="bottom"/>
          </w:tcPr>
          <w:p w14:paraId="5DEC6C5C"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C5D"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C5E" w14:textId="77777777" w:rsidR="00B1578D" w:rsidRDefault="004D2C04">
            <w:pPr>
              <w:jc w:val="right"/>
              <w:textAlignment w:val="center"/>
            </w:pPr>
            <w:r>
              <w:rPr>
                <w:rFonts w:ascii="Times New Roman" w:eastAsia="宋体" w:hAnsi="Times New Roman"/>
                <w:color w:val="000000"/>
                <w:sz w:val="16"/>
                <w:szCs w:val="16"/>
              </w:rPr>
              <w:t>3,580 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C5F"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60"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C61"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C62" w14:textId="77777777" w:rsidR="00B1578D" w:rsidRDefault="004D2C04">
            <w:pPr>
              <w:jc w:val="right"/>
              <w:textAlignment w:val="center"/>
            </w:pPr>
            <w:r>
              <w:rPr>
                <w:rFonts w:ascii="Times New Roman" w:eastAsia="宋体" w:hAnsi="Times New Roman"/>
                <w:color w:val="000000"/>
                <w:sz w:val="16"/>
                <w:szCs w:val="16"/>
              </w:rPr>
              <w:t>32,174 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C6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64" w14:textId="77777777" w:rsidR="00B1578D" w:rsidRDefault="00B1578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DEC6C65"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DEC6C66" w14:textId="77777777" w:rsidR="00B1578D" w:rsidRDefault="004D2C04">
            <w:pPr>
              <w:jc w:val="right"/>
              <w:textAlignment w:val="center"/>
            </w:pPr>
            <w:r>
              <w:rPr>
                <w:rFonts w:ascii="Times New Roman" w:eastAsia="宋体" w:hAnsi="Times New Roman"/>
                <w:color w:val="000000"/>
                <w:sz w:val="16"/>
                <w:szCs w:val="16"/>
              </w:rPr>
              <w:t>35,754 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DEC6C67" w14:textId="77777777" w:rsidR="00B1578D" w:rsidRDefault="00B1578D">
            <w:pPr>
              <w:jc w:val="right"/>
              <w:rPr>
                <w:rFonts w:ascii="宋体"/>
              </w:rPr>
            </w:pPr>
          </w:p>
        </w:tc>
      </w:tr>
    </w:tbl>
    <w:p w14:paraId="5DEC6C69" w14:textId="77777777" w:rsidR="00B1578D" w:rsidRDefault="004D2C04">
      <w:pPr>
        <w:spacing w:before="80"/>
      </w:pPr>
      <w:r>
        <w:rPr>
          <w:rFonts w:ascii="Times New Roman" w:eastAsia="宋体" w:hAnsi="Times New Roman"/>
          <w:i/>
          <w:iCs/>
          <w:color w:val="000000"/>
          <w:sz w:val="20"/>
          <w:szCs w:val="20"/>
        </w:rPr>
        <w:t>Dividends</w:t>
      </w:r>
    </w:p>
    <w:p w14:paraId="5DEC6C6A" w14:textId="77777777" w:rsidR="00B1578D" w:rsidRDefault="004D2C04">
      <w:pPr>
        <w:spacing w:before="100"/>
      </w:pPr>
      <w:r>
        <w:rPr>
          <w:rFonts w:ascii="Times New Roman" w:eastAsia="宋体" w:hAnsi="Times New Roman"/>
          <w:color w:val="000000"/>
          <w:sz w:val="20"/>
          <w:szCs w:val="20"/>
        </w:rPr>
        <w:t>Effective February 17, 2022, the Board of Directors approved the fiscal 2023 annual dividend of $2.24 per share, an increase over the fiscal 2022 annual divi</w:t>
      </w:r>
      <w:r>
        <w:rPr>
          <w:rFonts w:ascii="Times New Roman" w:eastAsia="宋体" w:hAnsi="Times New Roman"/>
          <w:color w:val="000000"/>
          <w:sz w:val="20"/>
          <w:szCs w:val="20"/>
        </w:rPr>
        <w:t xml:space="preserve">dend of $2.20 per share. For fiscal 2023, the annual dividend was or will be paid in </w:t>
      </w:r>
      <w:r>
        <w:rPr>
          <w:rFonts w:ascii="Times New Roman" w:eastAsia="宋体" w:hAnsi="Times New Roman"/>
          <w:color w:val="000000"/>
          <w:sz w:val="18"/>
          <w:szCs w:val="18"/>
        </w:rPr>
        <w:t>four</w:t>
      </w:r>
      <w:r>
        <w:rPr>
          <w:rFonts w:ascii="Times New Roman" w:eastAsia="宋体" w:hAnsi="Times New Roman"/>
          <w:color w:val="000000"/>
          <w:sz w:val="20"/>
          <w:szCs w:val="20"/>
        </w:rPr>
        <w:t xml:space="preserve"> quarterly installments of $0.56 per share,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B1578D" w14:paraId="5DEC6C74" w14:textId="77777777">
        <w:tc>
          <w:tcPr>
            <w:tcW w:w="50" w:type="pct"/>
            <w:shd w:val="clear" w:color="auto" w:fill="auto"/>
            <w:vAlign w:val="bottom"/>
          </w:tcPr>
          <w:p w14:paraId="5DEC6C6B" w14:textId="77777777" w:rsidR="00B1578D" w:rsidRDefault="00B1578D">
            <w:pPr>
              <w:rPr>
                <w:rFonts w:ascii="宋体"/>
              </w:rPr>
            </w:pPr>
          </w:p>
        </w:tc>
        <w:tc>
          <w:tcPr>
            <w:tcW w:w="3358" w:type="pct"/>
            <w:shd w:val="clear" w:color="auto" w:fill="auto"/>
            <w:vAlign w:val="bottom"/>
          </w:tcPr>
          <w:p w14:paraId="5DEC6C6C" w14:textId="77777777" w:rsidR="00B1578D" w:rsidRDefault="00B1578D">
            <w:pPr>
              <w:rPr>
                <w:rFonts w:ascii="宋体"/>
              </w:rPr>
            </w:pPr>
          </w:p>
        </w:tc>
        <w:tc>
          <w:tcPr>
            <w:tcW w:w="5" w:type="pct"/>
            <w:shd w:val="clear" w:color="auto" w:fill="auto"/>
            <w:vAlign w:val="bottom"/>
          </w:tcPr>
          <w:p w14:paraId="5DEC6C6D" w14:textId="77777777" w:rsidR="00B1578D" w:rsidRDefault="00B1578D">
            <w:pPr>
              <w:rPr>
                <w:rFonts w:ascii="宋体"/>
              </w:rPr>
            </w:pPr>
          </w:p>
        </w:tc>
        <w:tc>
          <w:tcPr>
            <w:tcW w:w="5" w:type="pct"/>
            <w:shd w:val="clear" w:color="auto" w:fill="auto"/>
            <w:vAlign w:val="bottom"/>
          </w:tcPr>
          <w:p w14:paraId="5DEC6C6E" w14:textId="77777777" w:rsidR="00B1578D" w:rsidRDefault="00B1578D">
            <w:pPr>
              <w:rPr>
                <w:rFonts w:ascii="宋体"/>
              </w:rPr>
            </w:pPr>
          </w:p>
        </w:tc>
        <w:tc>
          <w:tcPr>
            <w:tcW w:w="106" w:type="pct"/>
            <w:shd w:val="clear" w:color="auto" w:fill="auto"/>
            <w:vAlign w:val="bottom"/>
          </w:tcPr>
          <w:p w14:paraId="5DEC6C6F" w14:textId="77777777" w:rsidR="00B1578D" w:rsidRDefault="00B1578D">
            <w:pPr>
              <w:rPr>
                <w:rFonts w:ascii="宋体"/>
              </w:rPr>
            </w:pPr>
          </w:p>
        </w:tc>
        <w:tc>
          <w:tcPr>
            <w:tcW w:w="5" w:type="pct"/>
            <w:shd w:val="clear" w:color="auto" w:fill="auto"/>
            <w:vAlign w:val="bottom"/>
          </w:tcPr>
          <w:p w14:paraId="5DEC6C70" w14:textId="77777777" w:rsidR="00B1578D" w:rsidRDefault="00B1578D">
            <w:pPr>
              <w:rPr>
                <w:rFonts w:ascii="宋体"/>
              </w:rPr>
            </w:pPr>
          </w:p>
        </w:tc>
        <w:tc>
          <w:tcPr>
            <w:tcW w:w="50" w:type="pct"/>
            <w:shd w:val="clear" w:color="auto" w:fill="auto"/>
            <w:vAlign w:val="bottom"/>
          </w:tcPr>
          <w:p w14:paraId="5DEC6C71" w14:textId="77777777" w:rsidR="00B1578D" w:rsidRDefault="00B1578D">
            <w:pPr>
              <w:rPr>
                <w:rFonts w:ascii="宋体"/>
              </w:rPr>
            </w:pPr>
          </w:p>
        </w:tc>
        <w:tc>
          <w:tcPr>
            <w:tcW w:w="1414" w:type="pct"/>
            <w:shd w:val="clear" w:color="auto" w:fill="auto"/>
            <w:vAlign w:val="bottom"/>
          </w:tcPr>
          <w:p w14:paraId="5DEC6C72" w14:textId="77777777" w:rsidR="00B1578D" w:rsidRDefault="00B1578D">
            <w:pPr>
              <w:rPr>
                <w:rFonts w:ascii="宋体"/>
              </w:rPr>
            </w:pPr>
          </w:p>
        </w:tc>
        <w:tc>
          <w:tcPr>
            <w:tcW w:w="5" w:type="pct"/>
            <w:shd w:val="clear" w:color="auto" w:fill="auto"/>
            <w:vAlign w:val="bottom"/>
          </w:tcPr>
          <w:p w14:paraId="5DEC6C73" w14:textId="77777777" w:rsidR="00B1578D" w:rsidRDefault="00B1578D">
            <w:pPr>
              <w:rPr>
                <w:rFonts w:ascii="宋体"/>
              </w:rPr>
            </w:pPr>
          </w:p>
        </w:tc>
      </w:tr>
      <w:tr w:rsidR="00B1578D" w14:paraId="5DEC6C78" w14:textId="77777777">
        <w:tc>
          <w:tcPr>
            <w:tcW w:w="0" w:type="auto"/>
            <w:gridSpan w:val="3"/>
            <w:shd w:val="clear" w:color="auto" w:fill="auto"/>
            <w:tcMar>
              <w:top w:w="40" w:type="dxa"/>
              <w:left w:w="20" w:type="dxa"/>
              <w:bottom w:w="40" w:type="dxa"/>
              <w:right w:w="20" w:type="dxa"/>
            </w:tcMar>
            <w:vAlign w:val="bottom"/>
          </w:tcPr>
          <w:p w14:paraId="5DEC6C75" w14:textId="77777777" w:rsidR="00B1578D" w:rsidRDefault="004D2C04">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5DEC6C76"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DEC6C77" w14:textId="77777777" w:rsidR="00B1578D" w:rsidRDefault="004D2C04">
            <w:pPr>
              <w:textAlignment w:val="bottom"/>
            </w:pPr>
            <w:r>
              <w:rPr>
                <w:rFonts w:ascii="Times New Roman" w:eastAsia="宋体" w:hAnsi="Times New Roman"/>
                <w:b/>
                <w:bCs/>
                <w:color w:val="000000"/>
                <w:sz w:val="16"/>
                <w:szCs w:val="16"/>
              </w:rPr>
              <w:t>Payable Date</w:t>
            </w:r>
          </w:p>
        </w:tc>
      </w:tr>
      <w:tr w:rsidR="00B1578D" w14:paraId="5DEC6C7C"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DEC6C79" w14:textId="77777777" w:rsidR="00B1578D" w:rsidRDefault="004D2C04">
            <w:pPr>
              <w:textAlignment w:val="center"/>
            </w:pPr>
            <w:r>
              <w:rPr>
                <w:rFonts w:ascii="Times New Roman" w:eastAsia="宋体" w:hAnsi="Times New Roman"/>
                <w:color w:val="000000"/>
                <w:sz w:val="16"/>
                <w:szCs w:val="16"/>
              </w:rPr>
              <w:t>March 18, 2022</w:t>
            </w:r>
          </w:p>
        </w:tc>
        <w:tc>
          <w:tcPr>
            <w:tcW w:w="0" w:type="auto"/>
            <w:gridSpan w:val="3"/>
            <w:shd w:val="clear" w:color="auto" w:fill="CCEEFF"/>
            <w:tcMar>
              <w:top w:w="40" w:type="dxa"/>
              <w:left w:w="20" w:type="dxa"/>
              <w:bottom w:w="40" w:type="dxa"/>
              <w:right w:w="20" w:type="dxa"/>
            </w:tcMar>
            <w:vAlign w:val="center"/>
          </w:tcPr>
          <w:p w14:paraId="5DEC6C7A" w14:textId="77777777" w:rsidR="00B1578D" w:rsidRDefault="004D2C04">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DEC6C7B" w14:textId="77777777" w:rsidR="00B1578D" w:rsidRDefault="004D2C04">
            <w:pPr>
              <w:textAlignment w:val="center"/>
            </w:pPr>
            <w:r>
              <w:rPr>
                <w:rFonts w:ascii="Times New Roman" w:eastAsia="宋体" w:hAnsi="Times New Roman"/>
                <w:color w:val="000000"/>
                <w:sz w:val="16"/>
                <w:szCs w:val="16"/>
              </w:rPr>
              <w:t xml:space="preserve">April 4, </w:t>
            </w:r>
            <w:r>
              <w:rPr>
                <w:rFonts w:ascii="Times New Roman" w:eastAsia="宋体" w:hAnsi="Times New Roman"/>
                <w:color w:val="000000"/>
                <w:sz w:val="16"/>
                <w:szCs w:val="16"/>
              </w:rPr>
              <w:t>2022</w:t>
            </w:r>
          </w:p>
        </w:tc>
      </w:tr>
      <w:tr w:rsidR="00B1578D" w14:paraId="5DEC6C80" w14:textId="77777777">
        <w:tc>
          <w:tcPr>
            <w:tcW w:w="0" w:type="auto"/>
            <w:gridSpan w:val="3"/>
            <w:shd w:val="clear" w:color="auto" w:fill="FFFFFF"/>
            <w:tcMar>
              <w:top w:w="40" w:type="dxa"/>
              <w:left w:w="20" w:type="dxa"/>
              <w:bottom w:w="40" w:type="dxa"/>
              <w:right w:w="20" w:type="dxa"/>
            </w:tcMar>
            <w:vAlign w:val="center"/>
          </w:tcPr>
          <w:p w14:paraId="5DEC6C7D" w14:textId="77777777" w:rsidR="00B1578D" w:rsidRDefault="004D2C04">
            <w:pPr>
              <w:textAlignment w:val="center"/>
            </w:pPr>
            <w:r>
              <w:rPr>
                <w:rFonts w:ascii="Times New Roman" w:eastAsia="宋体" w:hAnsi="Times New Roman"/>
                <w:color w:val="000000"/>
                <w:sz w:val="16"/>
                <w:szCs w:val="16"/>
              </w:rPr>
              <w:t>May 6, 2022</w:t>
            </w:r>
          </w:p>
        </w:tc>
        <w:tc>
          <w:tcPr>
            <w:tcW w:w="0" w:type="auto"/>
            <w:gridSpan w:val="3"/>
            <w:shd w:val="clear" w:color="auto" w:fill="FFFFFF"/>
            <w:tcMar>
              <w:top w:w="40" w:type="dxa"/>
              <w:left w:w="20" w:type="dxa"/>
              <w:bottom w:w="40" w:type="dxa"/>
              <w:right w:w="20" w:type="dxa"/>
            </w:tcMar>
            <w:vAlign w:val="center"/>
          </w:tcPr>
          <w:p w14:paraId="5DEC6C7E"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5DEC6C7F" w14:textId="77777777" w:rsidR="00B1578D" w:rsidRDefault="004D2C04">
            <w:pPr>
              <w:textAlignment w:val="center"/>
            </w:pPr>
            <w:r>
              <w:rPr>
                <w:rFonts w:ascii="Times New Roman" w:eastAsia="宋体" w:hAnsi="Times New Roman"/>
                <w:color w:val="000000"/>
                <w:sz w:val="16"/>
                <w:szCs w:val="16"/>
              </w:rPr>
              <w:t>May 31, 2022</w:t>
            </w:r>
          </w:p>
        </w:tc>
      </w:tr>
      <w:tr w:rsidR="00B1578D" w14:paraId="5DEC6C84" w14:textId="77777777">
        <w:tc>
          <w:tcPr>
            <w:tcW w:w="0" w:type="auto"/>
            <w:gridSpan w:val="3"/>
            <w:shd w:val="clear" w:color="auto" w:fill="CCEEFF"/>
            <w:tcMar>
              <w:top w:w="40" w:type="dxa"/>
              <w:left w:w="20" w:type="dxa"/>
              <w:bottom w:w="40" w:type="dxa"/>
              <w:right w:w="20" w:type="dxa"/>
            </w:tcMar>
            <w:vAlign w:val="center"/>
          </w:tcPr>
          <w:p w14:paraId="5DEC6C81" w14:textId="77777777" w:rsidR="00B1578D" w:rsidRDefault="004D2C04">
            <w:pPr>
              <w:textAlignment w:val="center"/>
            </w:pPr>
            <w:r>
              <w:rPr>
                <w:rFonts w:ascii="Times New Roman" w:eastAsia="宋体" w:hAnsi="Times New Roman"/>
                <w:color w:val="000000"/>
                <w:sz w:val="16"/>
                <w:szCs w:val="16"/>
              </w:rPr>
              <w:t>August 12, 2022</w:t>
            </w:r>
          </w:p>
        </w:tc>
        <w:tc>
          <w:tcPr>
            <w:tcW w:w="0" w:type="auto"/>
            <w:gridSpan w:val="3"/>
            <w:shd w:val="clear" w:color="auto" w:fill="CCEEFF"/>
            <w:tcMar>
              <w:top w:w="40" w:type="dxa"/>
              <w:left w:w="20" w:type="dxa"/>
              <w:bottom w:w="40" w:type="dxa"/>
              <w:right w:w="20" w:type="dxa"/>
            </w:tcMar>
            <w:vAlign w:val="center"/>
          </w:tcPr>
          <w:p w14:paraId="5DEC6C82"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5DEC6C83" w14:textId="77777777" w:rsidR="00B1578D" w:rsidRDefault="004D2C04">
            <w:pPr>
              <w:textAlignment w:val="center"/>
            </w:pPr>
            <w:r>
              <w:rPr>
                <w:rFonts w:ascii="Times New Roman" w:eastAsia="宋体" w:hAnsi="Times New Roman"/>
                <w:color w:val="000000"/>
                <w:sz w:val="16"/>
                <w:szCs w:val="16"/>
              </w:rPr>
              <w:t>September 6, 2022</w:t>
            </w:r>
          </w:p>
        </w:tc>
      </w:tr>
      <w:tr w:rsidR="00B1578D" w14:paraId="5DEC6C88" w14:textId="77777777">
        <w:tc>
          <w:tcPr>
            <w:tcW w:w="0" w:type="auto"/>
            <w:gridSpan w:val="3"/>
            <w:shd w:val="clear" w:color="auto" w:fill="FFFFFF"/>
            <w:tcMar>
              <w:top w:w="40" w:type="dxa"/>
              <w:left w:w="20" w:type="dxa"/>
              <w:bottom w:w="40" w:type="dxa"/>
              <w:right w:w="20" w:type="dxa"/>
            </w:tcMar>
            <w:vAlign w:val="center"/>
          </w:tcPr>
          <w:p w14:paraId="5DEC6C85" w14:textId="77777777" w:rsidR="00B1578D" w:rsidRDefault="004D2C04">
            <w:pPr>
              <w:textAlignment w:val="center"/>
            </w:pPr>
            <w:r>
              <w:rPr>
                <w:rFonts w:ascii="Times New Roman" w:eastAsia="宋体" w:hAnsi="Times New Roman"/>
                <w:color w:val="000000"/>
                <w:sz w:val="16"/>
                <w:szCs w:val="16"/>
              </w:rPr>
              <w:t>December 9, 2022</w:t>
            </w:r>
          </w:p>
        </w:tc>
        <w:tc>
          <w:tcPr>
            <w:tcW w:w="0" w:type="auto"/>
            <w:gridSpan w:val="3"/>
            <w:shd w:val="clear" w:color="auto" w:fill="FFFFFF"/>
            <w:tcMar>
              <w:top w:w="40" w:type="dxa"/>
              <w:left w:w="20" w:type="dxa"/>
              <w:bottom w:w="40" w:type="dxa"/>
              <w:right w:w="20" w:type="dxa"/>
            </w:tcMar>
            <w:vAlign w:val="center"/>
          </w:tcPr>
          <w:p w14:paraId="5DEC6C86"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5DEC6C87" w14:textId="77777777" w:rsidR="00B1578D" w:rsidRDefault="004D2C04">
            <w:pPr>
              <w:textAlignment w:val="center"/>
            </w:pPr>
            <w:r>
              <w:rPr>
                <w:rFonts w:ascii="Times New Roman" w:eastAsia="宋体" w:hAnsi="Times New Roman"/>
                <w:color w:val="000000"/>
                <w:sz w:val="16"/>
                <w:szCs w:val="16"/>
              </w:rPr>
              <w:t>January 3, 2023</w:t>
            </w:r>
          </w:p>
        </w:tc>
      </w:tr>
    </w:tbl>
    <w:p w14:paraId="5DEC6C89" w14:textId="77777777" w:rsidR="00B1578D" w:rsidRDefault="004D2C04">
      <w:pPr>
        <w:spacing w:before="60"/>
      </w:pPr>
      <w:r>
        <w:rPr>
          <w:rFonts w:ascii="Times New Roman" w:eastAsia="宋体" w:hAnsi="Times New Roman"/>
          <w:color w:val="000000"/>
          <w:sz w:val="20"/>
          <w:szCs w:val="20"/>
        </w:rPr>
        <w:t>The dividend installments payable on April 4, 2022 and May 31, 2022 were paid as scheduled.</w:t>
      </w:r>
    </w:p>
    <w:p w14:paraId="5DEC6C8A" w14:textId="77777777" w:rsidR="00B1578D" w:rsidRDefault="004D2C04">
      <w:pPr>
        <w:spacing w:before="180"/>
      </w:pPr>
      <w:r>
        <w:rPr>
          <w:rFonts w:ascii="Times New Roman" w:eastAsia="宋体" w:hAnsi="Times New Roman"/>
          <w:i/>
          <w:iCs/>
          <w:color w:val="000000"/>
          <w:sz w:val="20"/>
          <w:szCs w:val="20"/>
        </w:rPr>
        <w:t xml:space="preserve">Company Share Repurchase Program </w:t>
      </w:r>
    </w:p>
    <w:p w14:paraId="5DEC6C8B" w14:textId="77777777" w:rsidR="00B1578D" w:rsidRDefault="004D2C04">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during the three months ended April 30, 2022 were m</w:t>
      </w:r>
      <w:r>
        <w:rPr>
          <w:rFonts w:ascii="Times New Roman" w:eastAsia="宋体" w:hAnsi="Times New Roman"/>
          <w:color w:val="000000"/>
          <w:sz w:val="20"/>
          <w:szCs w:val="20"/>
        </w:rPr>
        <w:t>ade under the current $20 billion share repurchase program approved in February 2021, which has no expiration date or other restrictions limiting the period over which the Company can make repurchases. As of April 30, 2022, authorization for $8.3 billion o</w:t>
      </w:r>
      <w:r>
        <w:rPr>
          <w:rFonts w:ascii="Times New Roman" w:eastAsia="宋体" w:hAnsi="Times New Roman"/>
          <w:color w:val="000000"/>
          <w:sz w:val="20"/>
          <w:szCs w:val="20"/>
        </w:rPr>
        <w:t xml:space="preserve">f share repurchases remained under the share repurchase program. Any repurchased shares are constructively retired and returned to an unissued status. </w:t>
      </w:r>
    </w:p>
    <w:p w14:paraId="5DEC6C8C" w14:textId="77777777" w:rsidR="00B1578D" w:rsidRDefault="004D2C04">
      <w:pPr>
        <w:spacing w:before="100"/>
      </w:pPr>
      <w:r>
        <w:rPr>
          <w:rFonts w:ascii="Times New Roman" w:eastAsia="宋体" w:hAnsi="Times New Roman"/>
          <w:color w:val="000000"/>
          <w:sz w:val="20"/>
          <w:szCs w:val="20"/>
        </w:rPr>
        <w:t>We regularly review share repurchase activity and consider several factors in determining when to execut</w:t>
      </w:r>
      <w:r>
        <w:rPr>
          <w:rFonts w:ascii="Times New Roman" w:eastAsia="宋体" w:hAnsi="Times New Roman"/>
          <w:color w:val="000000"/>
          <w:sz w:val="20"/>
          <w:szCs w:val="20"/>
        </w:rPr>
        <w:t>e share repurchases, including, among other things, current cash needs, capacity for leverage, cost of borrowings, our results of operations and the market price of our common stock. We anticipate that a majority of the ongoing share repurchase program wil</w:t>
      </w:r>
      <w:r>
        <w:rPr>
          <w:rFonts w:ascii="Times New Roman" w:eastAsia="宋体" w:hAnsi="Times New Roman"/>
          <w:color w:val="000000"/>
          <w:sz w:val="20"/>
          <w:szCs w:val="20"/>
        </w:rPr>
        <w:t>l be funded through the Company's free cash flow. The following table provides, on a settlement date basis, share repurchase information for the three months ended April 30,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684"/>
        <w:gridCol w:w="37"/>
        <w:gridCol w:w="36"/>
        <w:gridCol w:w="36"/>
        <w:gridCol w:w="189"/>
        <w:gridCol w:w="188"/>
        <w:gridCol w:w="188"/>
        <w:gridCol w:w="100"/>
        <w:gridCol w:w="732"/>
        <w:gridCol w:w="36"/>
        <w:gridCol w:w="36"/>
        <w:gridCol w:w="36"/>
        <w:gridCol w:w="36"/>
        <w:gridCol w:w="36"/>
        <w:gridCol w:w="36"/>
        <w:gridCol w:w="36"/>
        <w:gridCol w:w="100"/>
        <w:gridCol w:w="720"/>
        <w:gridCol w:w="36"/>
      </w:tblGrid>
      <w:tr w:rsidR="00B1578D" w14:paraId="5DEC6C9F" w14:textId="77777777">
        <w:tc>
          <w:tcPr>
            <w:tcW w:w="50" w:type="pct"/>
            <w:shd w:val="clear" w:color="auto" w:fill="auto"/>
            <w:vAlign w:val="bottom"/>
          </w:tcPr>
          <w:p w14:paraId="5DEC6C8D" w14:textId="77777777" w:rsidR="00B1578D" w:rsidRDefault="00B1578D">
            <w:pPr>
              <w:rPr>
                <w:rFonts w:ascii="宋体"/>
              </w:rPr>
            </w:pPr>
          </w:p>
        </w:tc>
        <w:tc>
          <w:tcPr>
            <w:tcW w:w="3768" w:type="pct"/>
            <w:shd w:val="clear" w:color="auto" w:fill="auto"/>
            <w:vAlign w:val="bottom"/>
          </w:tcPr>
          <w:p w14:paraId="5DEC6C8E" w14:textId="77777777" w:rsidR="00B1578D" w:rsidRDefault="00B1578D">
            <w:pPr>
              <w:rPr>
                <w:rFonts w:ascii="宋体"/>
              </w:rPr>
            </w:pPr>
          </w:p>
        </w:tc>
        <w:tc>
          <w:tcPr>
            <w:tcW w:w="5" w:type="pct"/>
            <w:shd w:val="clear" w:color="auto" w:fill="auto"/>
            <w:vAlign w:val="bottom"/>
          </w:tcPr>
          <w:p w14:paraId="5DEC6C8F" w14:textId="77777777" w:rsidR="00B1578D" w:rsidRDefault="00B1578D">
            <w:pPr>
              <w:rPr>
                <w:rFonts w:ascii="宋体"/>
              </w:rPr>
            </w:pPr>
          </w:p>
        </w:tc>
        <w:tc>
          <w:tcPr>
            <w:tcW w:w="0" w:type="auto"/>
            <w:shd w:val="clear" w:color="auto" w:fill="auto"/>
            <w:vAlign w:val="bottom"/>
          </w:tcPr>
          <w:p w14:paraId="5DEC6C90" w14:textId="77777777" w:rsidR="00B1578D" w:rsidRDefault="00B1578D">
            <w:pPr>
              <w:rPr>
                <w:rFonts w:ascii="宋体"/>
                <w:vanish/>
              </w:rPr>
            </w:pPr>
          </w:p>
        </w:tc>
        <w:tc>
          <w:tcPr>
            <w:tcW w:w="0" w:type="auto"/>
            <w:shd w:val="clear" w:color="auto" w:fill="auto"/>
            <w:vAlign w:val="bottom"/>
          </w:tcPr>
          <w:p w14:paraId="5DEC6C91" w14:textId="77777777" w:rsidR="00B1578D" w:rsidRDefault="00B1578D">
            <w:pPr>
              <w:rPr>
                <w:rFonts w:ascii="宋体"/>
                <w:vanish/>
              </w:rPr>
            </w:pPr>
          </w:p>
        </w:tc>
        <w:tc>
          <w:tcPr>
            <w:tcW w:w="0" w:type="auto"/>
            <w:shd w:val="clear" w:color="auto" w:fill="auto"/>
            <w:vAlign w:val="bottom"/>
          </w:tcPr>
          <w:p w14:paraId="5DEC6C92" w14:textId="77777777" w:rsidR="00B1578D" w:rsidRDefault="00B1578D">
            <w:pPr>
              <w:rPr>
                <w:rFonts w:ascii="宋体"/>
                <w:vanish/>
              </w:rPr>
            </w:pPr>
          </w:p>
        </w:tc>
        <w:tc>
          <w:tcPr>
            <w:tcW w:w="0" w:type="auto"/>
            <w:shd w:val="clear" w:color="auto" w:fill="auto"/>
            <w:vAlign w:val="bottom"/>
          </w:tcPr>
          <w:p w14:paraId="5DEC6C93" w14:textId="77777777" w:rsidR="00B1578D" w:rsidRDefault="00B1578D">
            <w:pPr>
              <w:rPr>
                <w:rFonts w:ascii="宋体"/>
                <w:vanish/>
              </w:rPr>
            </w:pPr>
          </w:p>
        </w:tc>
        <w:tc>
          <w:tcPr>
            <w:tcW w:w="0" w:type="auto"/>
            <w:shd w:val="clear" w:color="auto" w:fill="auto"/>
            <w:vAlign w:val="bottom"/>
          </w:tcPr>
          <w:p w14:paraId="5DEC6C94" w14:textId="77777777" w:rsidR="00B1578D" w:rsidRDefault="00B1578D">
            <w:pPr>
              <w:rPr>
                <w:rFonts w:ascii="宋体"/>
                <w:vanish/>
              </w:rPr>
            </w:pPr>
          </w:p>
        </w:tc>
        <w:tc>
          <w:tcPr>
            <w:tcW w:w="50" w:type="pct"/>
            <w:shd w:val="clear" w:color="auto" w:fill="auto"/>
            <w:vAlign w:val="bottom"/>
          </w:tcPr>
          <w:p w14:paraId="5DEC6C95" w14:textId="77777777" w:rsidR="00B1578D" w:rsidRDefault="00B1578D">
            <w:pPr>
              <w:rPr>
                <w:rFonts w:ascii="宋体"/>
              </w:rPr>
            </w:pPr>
          </w:p>
        </w:tc>
        <w:tc>
          <w:tcPr>
            <w:tcW w:w="507" w:type="pct"/>
            <w:shd w:val="clear" w:color="auto" w:fill="auto"/>
            <w:vAlign w:val="bottom"/>
          </w:tcPr>
          <w:p w14:paraId="5DEC6C96" w14:textId="77777777" w:rsidR="00B1578D" w:rsidRDefault="00B1578D">
            <w:pPr>
              <w:rPr>
                <w:rFonts w:ascii="宋体"/>
              </w:rPr>
            </w:pPr>
          </w:p>
        </w:tc>
        <w:tc>
          <w:tcPr>
            <w:tcW w:w="5" w:type="pct"/>
            <w:shd w:val="clear" w:color="auto" w:fill="auto"/>
            <w:vAlign w:val="bottom"/>
          </w:tcPr>
          <w:p w14:paraId="5DEC6C97" w14:textId="77777777" w:rsidR="00B1578D" w:rsidRDefault="00B1578D">
            <w:pPr>
              <w:rPr>
                <w:rFonts w:ascii="宋体"/>
              </w:rPr>
            </w:pPr>
          </w:p>
        </w:tc>
        <w:tc>
          <w:tcPr>
            <w:tcW w:w="5" w:type="pct"/>
            <w:shd w:val="clear" w:color="auto" w:fill="auto"/>
            <w:vAlign w:val="bottom"/>
          </w:tcPr>
          <w:p w14:paraId="5DEC6C98" w14:textId="77777777" w:rsidR="00B1578D" w:rsidRDefault="00B1578D">
            <w:pPr>
              <w:rPr>
                <w:rFonts w:ascii="宋体"/>
              </w:rPr>
            </w:pPr>
          </w:p>
        </w:tc>
        <w:tc>
          <w:tcPr>
            <w:tcW w:w="41" w:type="pct"/>
            <w:shd w:val="clear" w:color="auto" w:fill="auto"/>
            <w:vAlign w:val="bottom"/>
          </w:tcPr>
          <w:p w14:paraId="5DEC6C99" w14:textId="77777777" w:rsidR="00B1578D" w:rsidRDefault="00B1578D">
            <w:pPr>
              <w:rPr>
                <w:rFonts w:ascii="宋体"/>
              </w:rPr>
            </w:pPr>
          </w:p>
        </w:tc>
        <w:tc>
          <w:tcPr>
            <w:tcW w:w="5" w:type="pct"/>
            <w:shd w:val="clear" w:color="auto" w:fill="auto"/>
            <w:vAlign w:val="bottom"/>
          </w:tcPr>
          <w:p w14:paraId="5DEC6C9A" w14:textId="77777777" w:rsidR="00B1578D" w:rsidRDefault="00B1578D">
            <w:pPr>
              <w:rPr>
                <w:rFonts w:ascii="宋体"/>
              </w:rPr>
            </w:pPr>
          </w:p>
        </w:tc>
        <w:tc>
          <w:tcPr>
            <w:tcW w:w="0" w:type="auto"/>
            <w:gridSpan w:val="3"/>
            <w:shd w:val="clear" w:color="auto" w:fill="auto"/>
            <w:vAlign w:val="bottom"/>
          </w:tcPr>
          <w:p w14:paraId="5DEC6C9B" w14:textId="77777777" w:rsidR="00B1578D" w:rsidRDefault="00B1578D">
            <w:pPr>
              <w:rPr>
                <w:rFonts w:ascii="宋体"/>
                <w:vanish/>
              </w:rPr>
            </w:pPr>
          </w:p>
        </w:tc>
        <w:tc>
          <w:tcPr>
            <w:tcW w:w="50" w:type="pct"/>
            <w:shd w:val="clear" w:color="auto" w:fill="auto"/>
            <w:vAlign w:val="bottom"/>
          </w:tcPr>
          <w:p w14:paraId="5DEC6C9C" w14:textId="77777777" w:rsidR="00B1578D" w:rsidRDefault="00B1578D">
            <w:pPr>
              <w:rPr>
                <w:rFonts w:ascii="宋体"/>
              </w:rPr>
            </w:pPr>
          </w:p>
        </w:tc>
        <w:tc>
          <w:tcPr>
            <w:tcW w:w="507" w:type="pct"/>
            <w:shd w:val="clear" w:color="auto" w:fill="auto"/>
            <w:vAlign w:val="bottom"/>
          </w:tcPr>
          <w:p w14:paraId="5DEC6C9D" w14:textId="77777777" w:rsidR="00B1578D" w:rsidRDefault="00B1578D">
            <w:pPr>
              <w:rPr>
                <w:rFonts w:ascii="宋体"/>
              </w:rPr>
            </w:pPr>
          </w:p>
        </w:tc>
        <w:tc>
          <w:tcPr>
            <w:tcW w:w="5" w:type="pct"/>
            <w:shd w:val="clear" w:color="auto" w:fill="auto"/>
            <w:vAlign w:val="bottom"/>
          </w:tcPr>
          <w:p w14:paraId="5DEC6C9E" w14:textId="77777777" w:rsidR="00B1578D" w:rsidRDefault="00B1578D">
            <w:pPr>
              <w:rPr>
                <w:rFonts w:ascii="宋体"/>
              </w:rPr>
            </w:pPr>
          </w:p>
        </w:tc>
      </w:tr>
      <w:tr w:rsidR="00B1578D" w14:paraId="5DEC6CB0" w14:textId="77777777">
        <w:tc>
          <w:tcPr>
            <w:tcW w:w="0" w:type="auto"/>
            <w:gridSpan w:val="3"/>
            <w:shd w:val="clear" w:color="auto" w:fill="auto"/>
            <w:tcMar>
              <w:top w:w="0" w:type="dxa"/>
              <w:left w:w="20" w:type="dxa"/>
              <w:bottom w:w="0" w:type="dxa"/>
              <w:right w:w="20" w:type="dxa"/>
            </w:tcMar>
            <w:vAlign w:val="bottom"/>
          </w:tcPr>
          <w:p w14:paraId="5DEC6CA0" w14:textId="77777777" w:rsidR="00B1578D" w:rsidRDefault="00B1578D">
            <w:pPr>
              <w:rPr>
                <w:rFonts w:ascii="宋体"/>
              </w:rPr>
            </w:pPr>
          </w:p>
        </w:tc>
        <w:tc>
          <w:tcPr>
            <w:tcW w:w="0" w:type="auto"/>
            <w:shd w:val="clear" w:color="auto" w:fill="auto"/>
            <w:vAlign w:val="bottom"/>
          </w:tcPr>
          <w:p w14:paraId="5DEC6CA1" w14:textId="77777777" w:rsidR="00B1578D" w:rsidRDefault="00B1578D">
            <w:pPr>
              <w:rPr>
                <w:rFonts w:ascii="宋体"/>
                <w:vanish/>
              </w:rPr>
            </w:pPr>
          </w:p>
        </w:tc>
        <w:tc>
          <w:tcPr>
            <w:tcW w:w="0" w:type="auto"/>
            <w:shd w:val="clear" w:color="auto" w:fill="auto"/>
            <w:vAlign w:val="bottom"/>
          </w:tcPr>
          <w:p w14:paraId="5DEC6CA2" w14:textId="77777777" w:rsidR="00B1578D" w:rsidRDefault="00B1578D">
            <w:pPr>
              <w:rPr>
                <w:rFonts w:ascii="宋体"/>
                <w:vanish/>
              </w:rPr>
            </w:pPr>
          </w:p>
        </w:tc>
        <w:tc>
          <w:tcPr>
            <w:tcW w:w="0" w:type="auto"/>
            <w:gridSpan w:val="3"/>
            <w:shd w:val="clear" w:color="auto" w:fill="auto"/>
            <w:tcMar>
              <w:top w:w="40" w:type="dxa"/>
              <w:left w:w="20" w:type="dxa"/>
              <w:bottom w:w="40" w:type="dxa"/>
              <w:right w:w="20" w:type="dxa"/>
            </w:tcMar>
            <w:vAlign w:val="bottom"/>
          </w:tcPr>
          <w:p w14:paraId="5DEC6CA3" w14:textId="77777777" w:rsidR="00B1578D" w:rsidRDefault="004D2C04">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vAlign w:val="bottom"/>
          </w:tcPr>
          <w:p w14:paraId="5DEC6CA4" w14:textId="77777777" w:rsidR="00B1578D" w:rsidRDefault="00B1578D">
            <w:pPr>
              <w:rPr>
                <w:rFonts w:ascii="宋体"/>
              </w:rPr>
            </w:pPr>
          </w:p>
        </w:tc>
        <w:tc>
          <w:tcPr>
            <w:tcW w:w="0" w:type="auto"/>
            <w:shd w:val="clear" w:color="auto" w:fill="auto"/>
            <w:vAlign w:val="bottom"/>
          </w:tcPr>
          <w:p w14:paraId="5DEC6CA5" w14:textId="77777777" w:rsidR="00B1578D" w:rsidRDefault="00B1578D">
            <w:pPr>
              <w:rPr>
                <w:rFonts w:ascii="宋体"/>
              </w:rPr>
            </w:pPr>
          </w:p>
        </w:tc>
        <w:tc>
          <w:tcPr>
            <w:tcW w:w="0" w:type="auto"/>
            <w:shd w:val="clear" w:color="auto" w:fill="auto"/>
            <w:vAlign w:val="bottom"/>
          </w:tcPr>
          <w:p w14:paraId="5DEC6CA6" w14:textId="77777777" w:rsidR="00B1578D" w:rsidRDefault="00B1578D">
            <w:pPr>
              <w:rPr>
                <w:rFonts w:ascii="宋体"/>
              </w:rPr>
            </w:pPr>
          </w:p>
        </w:tc>
        <w:tc>
          <w:tcPr>
            <w:tcW w:w="0" w:type="auto"/>
            <w:shd w:val="clear" w:color="auto" w:fill="auto"/>
            <w:vAlign w:val="bottom"/>
          </w:tcPr>
          <w:p w14:paraId="5DEC6CA7" w14:textId="77777777" w:rsidR="00B1578D" w:rsidRDefault="00B1578D">
            <w:pPr>
              <w:rPr>
                <w:rFonts w:ascii="宋体"/>
              </w:rPr>
            </w:pPr>
          </w:p>
        </w:tc>
        <w:tc>
          <w:tcPr>
            <w:tcW w:w="0" w:type="auto"/>
            <w:shd w:val="clear" w:color="auto" w:fill="auto"/>
            <w:vAlign w:val="bottom"/>
          </w:tcPr>
          <w:p w14:paraId="5DEC6CA8" w14:textId="77777777" w:rsidR="00B1578D" w:rsidRDefault="00B1578D">
            <w:pPr>
              <w:rPr>
                <w:rFonts w:ascii="宋体"/>
              </w:rPr>
            </w:pPr>
          </w:p>
        </w:tc>
        <w:tc>
          <w:tcPr>
            <w:tcW w:w="0" w:type="auto"/>
            <w:shd w:val="clear" w:color="auto" w:fill="auto"/>
            <w:vAlign w:val="bottom"/>
          </w:tcPr>
          <w:p w14:paraId="5DEC6CA9" w14:textId="77777777" w:rsidR="00B1578D" w:rsidRDefault="00B1578D">
            <w:pPr>
              <w:rPr>
                <w:rFonts w:ascii="宋体"/>
              </w:rPr>
            </w:pPr>
          </w:p>
        </w:tc>
        <w:tc>
          <w:tcPr>
            <w:tcW w:w="0" w:type="auto"/>
            <w:shd w:val="clear" w:color="auto" w:fill="auto"/>
            <w:vAlign w:val="bottom"/>
          </w:tcPr>
          <w:p w14:paraId="5DEC6CAA" w14:textId="77777777" w:rsidR="00B1578D" w:rsidRDefault="00B1578D">
            <w:pPr>
              <w:rPr>
                <w:rFonts w:ascii="宋体"/>
              </w:rPr>
            </w:pPr>
          </w:p>
        </w:tc>
        <w:tc>
          <w:tcPr>
            <w:tcW w:w="0" w:type="auto"/>
            <w:shd w:val="clear" w:color="auto" w:fill="auto"/>
            <w:vAlign w:val="bottom"/>
          </w:tcPr>
          <w:p w14:paraId="5DEC6CAB" w14:textId="77777777" w:rsidR="00B1578D" w:rsidRDefault="00B1578D">
            <w:pPr>
              <w:rPr>
                <w:rFonts w:ascii="宋体"/>
              </w:rPr>
            </w:pPr>
          </w:p>
        </w:tc>
        <w:tc>
          <w:tcPr>
            <w:tcW w:w="0" w:type="auto"/>
            <w:shd w:val="clear" w:color="auto" w:fill="auto"/>
            <w:vAlign w:val="bottom"/>
          </w:tcPr>
          <w:p w14:paraId="5DEC6CAC" w14:textId="77777777" w:rsidR="00B1578D" w:rsidRDefault="00B1578D">
            <w:pPr>
              <w:rPr>
                <w:rFonts w:ascii="宋体"/>
              </w:rPr>
            </w:pPr>
          </w:p>
        </w:tc>
        <w:tc>
          <w:tcPr>
            <w:tcW w:w="0" w:type="auto"/>
            <w:shd w:val="clear" w:color="auto" w:fill="auto"/>
            <w:vAlign w:val="bottom"/>
          </w:tcPr>
          <w:p w14:paraId="5DEC6CAD" w14:textId="77777777" w:rsidR="00B1578D" w:rsidRDefault="00B1578D">
            <w:pPr>
              <w:rPr>
                <w:rFonts w:ascii="宋体"/>
              </w:rPr>
            </w:pPr>
          </w:p>
        </w:tc>
        <w:tc>
          <w:tcPr>
            <w:tcW w:w="0" w:type="auto"/>
            <w:shd w:val="clear" w:color="auto" w:fill="auto"/>
            <w:vAlign w:val="bottom"/>
          </w:tcPr>
          <w:p w14:paraId="5DEC6CAE" w14:textId="77777777" w:rsidR="00B1578D" w:rsidRDefault="00B1578D">
            <w:pPr>
              <w:rPr>
                <w:rFonts w:ascii="宋体"/>
              </w:rPr>
            </w:pPr>
          </w:p>
        </w:tc>
        <w:tc>
          <w:tcPr>
            <w:tcW w:w="0" w:type="auto"/>
            <w:shd w:val="clear" w:color="auto" w:fill="auto"/>
            <w:vAlign w:val="bottom"/>
          </w:tcPr>
          <w:p w14:paraId="5DEC6CAF" w14:textId="77777777" w:rsidR="00B1578D" w:rsidRDefault="00B1578D">
            <w:pPr>
              <w:rPr>
                <w:rFonts w:ascii="宋体"/>
              </w:rPr>
            </w:pPr>
          </w:p>
        </w:tc>
      </w:tr>
      <w:tr w:rsidR="00B1578D" w14:paraId="5DEC6CBB" w14:textId="77777777">
        <w:tc>
          <w:tcPr>
            <w:tcW w:w="0" w:type="auto"/>
            <w:gridSpan w:val="3"/>
            <w:shd w:val="clear" w:color="auto" w:fill="auto"/>
            <w:tcMar>
              <w:top w:w="40" w:type="dxa"/>
              <w:left w:w="20" w:type="dxa"/>
              <w:bottom w:w="40" w:type="dxa"/>
              <w:right w:w="20" w:type="dxa"/>
            </w:tcMar>
            <w:vAlign w:val="bottom"/>
          </w:tcPr>
          <w:p w14:paraId="5DEC6CB1" w14:textId="77777777" w:rsidR="00B1578D" w:rsidRDefault="004D2C04">
            <w:pPr>
              <w:textAlignment w:val="bottom"/>
            </w:pPr>
            <w:r>
              <w:rPr>
                <w:rFonts w:ascii="Times New Roman" w:eastAsia="宋体" w:hAnsi="Times New Roman"/>
                <w:i/>
                <w:iCs/>
                <w:color w:val="000000"/>
                <w:sz w:val="16"/>
                <w:szCs w:val="16"/>
              </w:rPr>
              <w:t>(Amounts in millions, except per share data)</w:t>
            </w:r>
          </w:p>
        </w:tc>
        <w:tc>
          <w:tcPr>
            <w:tcW w:w="0" w:type="auto"/>
            <w:shd w:val="clear" w:color="auto" w:fill="auto"/>
            <w:vAlign w:val="bottom"/>
          </w:tcPr>
          <w:p w14:paraId="5DEC6CB2" w14:textId="77777777" w:rsidR="00B1578D" w:rsidRDefault="00B1578D">
            <w:pPr>
              <w:rPr>
                <w:rFonts w:ascii="宋体"/>
                <w:vanish/>
              </w:rPr>
            </w:pPr>
          </w:p>
        </w:tc>
        <w:tc>
          <w:tcPr>
            <w:tcW w:w="0" w:type="auto"/>
            <w:shd w:val="clear" w:color="auto" w:fill="auto"/>
            <w:vAlign w:val="bottom"/>
          </w:tcPr>
          <w:p w14:paraId="5DEC6CB3" w14:textId="77777777" w:rsidR="00B1578D" w:rsidRDefault="00B1578D">
            <w:pPr>
              <w:rPr>
                <w:rFonts w:ascii="宋体"/>
                <w:vanish/>
              </w:rPr>
            </w:pPr>
          </w:p>
        </w:tc>
        <w:tc>
          <w:tcPr>
            <w:tcW w:w="0" w:type="auto"/>
            <w:shd w:val="clear" w:color="auto" w:fill="auto"/>
            <w:vAlign w:val="bottom"/>
          </w:tcPr>
          <w:p w14:paraId="5DEC6CB4" w14:textId="77777777" w:rsidR="00B1578D" w:rsidRDefault="00B1578D">
            <w:pPr>
              <w:rPr>
                <w:rFonts w:ascii="宋体"/>
                <w:vanish/>
              </w:rPr>
            </w:pPr>
          </w:p>
        </w:tc>
        <w:tc>
          <w:tcPr>
            <w:tcW w:w="0" w:type="auto"/>
            <w:shd w:val="clear" w:color="auto" w:fill="auto"/>
            <w:vAlign w:val="bottom"/>
          </w:tcPr>
          <w:p w14:paraId="5DEC6CB5" w14:textId="77777777" w:rsidR="00B1578D" w:rsidRDefault="00B1578D">
            <w:pPr>
              <w:rPr>
                <w:rFonts w:ascii="宋体"/>
                <w:vanish/>
              </w:rPr>
            </w:pPr>
          </w:p>
        </w:tc>
        <w:tc>
          <w:tcPr>
            <w:tcW w:w="0" w:type="auto"/>
            <w:shd w:val="clear" w:color="auto" w:fill="auto"/>
            <w:vAlign w:val="bottom"/>
          </w:tcPr>
          <w:p w14:paraId="5DEC6CB6" w14:textId="77777777" w:rsidR="00B1578D" w:rsidRDefault="00B1578D">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CB7" w14:textId="77777777" w:rsidR="00B1578D" w:rsidRDefault="004D2C04">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DEC6CB8" w14:textId="77777777" w:rsidR="00B1578D" w:rsidRDefault="00B1578D">
            <w:pPr>
              <w:rPr>
                <w:rFonts w:ascii="宋体"/>
              </w:rPr>
            </w:pPr>
          </w:p>
        </w:tc>
        <w:tc>
          <w:tcPr>
            <w:tcW w:w="0" w:type="auto"/>
            <w:gridSpan w:val="3"/>
            <w:shd w:val="clear" w:color="auto" w:fill="auto"/>
            <w:vAlign w:val="bottom"/>
          </w:tcPr>
          <w:p w14:paraId="5DEC6CB9" w14:textId="77777777" w:rsidR="00B1578D" w:rsidRDefault="00B1578D">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CBA" w14:textId="77777777" w:rsidR="00B1578D" w:rsidRDefault="004D2C04">
            <w:pPr>
              <w:jc w:val="center"/>
              <w:textAlignment w:val="bottom"/>
            </w:pPr>
            <w:r>
              <w:rPr>
                <w:rFonts w:ascii="Times New Roman" w:eastAsia="宋体" w:hAnsi="Times New Roman"/>
                <w:b/>
                <w:bCs/>
                <w:color w:val="000000"/>
                <w:sz w:val="16"/>
                <w:szCs w:val="16"/>
              </w:rPr>
              <w:t>2021</w:t>
            </w:r>
          </w:p>
        </w:tc>
      </w:tr>
      <w:tr w:rsidR="00B1578D" w14:paraId="5DEC6CC8" w14:textId="77777777">
        <w:tc>
          <w:tcPr>
            <w:tcW w:w="0" w:type="auto"/>
            <w:gridSpan w:val="3"/>
            <w:shd w:val="clear" w:color="auto" w:fill="CCEEFF"/>
            <w:tcMar>
              <w:top w:w="40" w:type="dxa"/>
              <w:left w:w="20" w:type="dxa"/>
              <w:bottom w:w="40" w:type="dxa"/>
              <w:right w:w="20" w:type="dxa"/>
            </w:tcMar>
            <w:vAlign w:val="center"/>
          </w:tcPr>
          <w:p w14:paraId="5DEC6CBC" w14:textId="77777777" w:rsidR="00B1578D" w:rsidRDefault="004D2C04">
            <w:pPr>
              <w:textAlignment w:val="center"/>
            </w:pPr>
            <w:r>
              <w:rPr>
                <w:rFonts w:ascii="Times New Roman" w:eastAsia="宋体" w:hAnsi="Times New Roman"/>
                <w:color w:val="000000"/>
                <w:sz w:val="16"/>
                <w:szCs w:val="16"/>
              </w:rPr>
              <w:t>Total number of shares repurchased</w:t>
            </w:r>
          </w:p>
        </w:tc>
        <w:tc>
          <w:tcPr>
            <w:tcW w:w="0" w:type="auto"/>
            <w:shd w:val="clear" w:color="auto" w:fill="auto"/>
            <w:vAlign w:val="bottom"/>
          </w:tcPr>
          <w:p w14:paraId="5DEC6CBD" w14:textId="77777777" w:rsidR="00B1578D" w:rsidRDefault="00B1578D">
            <w:pPr>
              <w:rPr>
                <w:rFonts w:ascii="宋体"/>
                <w:vanish/>
              </w:rPr>
            </w:pPr>
          </w:p>
        </w:tc>
        <w:tc>
          <w:tcPr>
            <w:tcW w:w="0" w:type="auto"/>
            <w:shd w:val="clear" w:color="auto" w:fill="auto"/>
            <w:vAlign w:val="bottom"/>
          </w:tcPr>
          <w:p w14:paraId="5DEC6CBE" w14:textId="77777777" w:rsidR="00B1578D" w:rsidRDefault="00B1578D">
            <w:pPr>
              <w:rPr>
                <w:rFonts w:ascii="宋体"/>
                <w:vanish/>
              </w:rPr>
            </w:pPr>
          </w:p>
        </w:tc>
        <w:tc>
          <w:tcPr>
            <w:tcW w:w="0" w:type="auto"/>
            <w:shd w:val="clear" w:color="auto" w:fill="auto"/>
            <w:vAlign w:val="bottom"/>
          </w:tcPr>
          <w:p w14:paraId="5DEC6CBF" w14:textId="77777777" w:rsidR="00B1578D" w:rsidRDefault="00B1578D">
            <w:pPr>
              <w:rPr>
                <w:rFonts w:ascii="宋体"/>
                <w:vanish/>
              </w:rPr>
            </w:pPr>
          </w:p>
        </w:tc>
        <w:tc>
          <w:tcPr>
            <w:tcW w:w="0" w:type="auto"/>
            <w:shd w:val="clear" w:color="auto" w:fill="auto"/>
            <w:vAlign w:val="bottom"/>
          </w:tcPr>
          <w:p w14:paraId="5DEC6CC0" w14:textId="77777777" w:rsidR="00B1578D" w:rsidRDefault="00B1578D">
            <w:pPr>
              <w:rPr>
                <w:rFonts w:ascii="宋体"/>
                <w:vanish/>
              </w:rPr>
            </w:pPr>
          </w:p>
        </w:tc>
        <w:tc>
          <w:tcPr>
            <w:tcW w:w="0" w:type="auto"/>
            <w:shd w:val="clear" w:color="auto" w:fill="auto"/>
            <w:vAlign w:val="bottom"/>
          </w:tcPr>
          <w:p w14:paraId="5DEC6CC1" w14:textId="77777777" w:rsidR="00B1578D" w:rsidRDefault="00B1578D">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CC2" w14:textId="77777777" w:rsidR="00B1578D" w:rsidRDefault="004D2C04">
            <w:pPr>
              <w:jc w:val="right"/>
              <w:textAlignment w:val="center"/>
            </w:pPr>
            <w:r>
              <w:rPr>
                <w:rFonts w:ascii="Times New Roman" w:eastAsia="宋体" w:hAnsi="Times New Roman"/>
                <w:color w:val="000000"/>
                <w:sz w:val="16"/>
                <w:szCs w:val="16"/>
              </w:rPr>
              <w:t>16.9 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CC3"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C4" w14:textId="77777777" w:rsidR="00B1578D" w:rsidRDefault="00B1578D">
            <w:pPr>
              <w:rPr>
                <w:rFonts w:ascii="宋体"/>
              </w:rPr>
            </w:pPr>
          </w:p>
        </w:tc>
        <w:tc>
          <w:tcPr>
            <w:tcW w:w="0" w:type="auto"/>
            <w:gridSpan w:val="3"/>
            <w:shd w:val="clear" w:color="auto" w:fill="auto"/>
            <w:vAlign w:val="bottom"/>
          </w:tcPr>
          <w:p w14:paraId="5DEC6CC5" w14:textId="77777777" w:rsidR="00B1578D" w:rsidRDefault="00B1578D">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CC6" w14:textId="77777777" w:rsidR="00B1578D" w:rsidRDefault="004D2C04">
            <w:pPr>
              <w:jc w:val="right"/>
              <w:textAlignment w:val="center"/>
            </w:pPr>
            <w:r>
              <w:rPr>
                <w:rFonts w:ascii="Times New Roman" w:eastAsia="宋体" w:hAnsi="Times New Roman"/>
                <w:color w:val="000000"/>
                <w:sz w:val="16"/>
                <w:szCs w:val="16"/>
              </w:rPr>
              <w:t>20.6 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CC7" w14:textId="77777777" w:rsidR="00B1578D" w:rsidRDefault="00B1578D">
            <w:pPr>
              <w:jc w:val="right"/>
              <w:rPr>
                <w:rFonts w:ascii="宋体"/>
              </w:rPr>
            </w:pPr>
          </w:p>
        </w:tc>
      </w:tr>
      <w:tr w:rsidR="00B1578D" w14:paraId="5DEC6CD7" w14:textId="77777777">
        <w:tc>
          <w:tcPr>
            <w:tcW w:w="0" w:type="auto"/>
            <w:gridSpan w:val="3"/>
            <w:shd w:val="clear" w:color="auto" w:fill="FFFFFF"/>
            <w:tcMar>
              <w:top w:w="40" w:type="dxa"/>
              <w:left w:w="20" w:type="dxa"/>
              <w:bottom w:w="40" w:type="dxa"/>
              <w:right w:w="20" w:type="dxa"/>
            </w:tcMar>
            <w:vAlign w:val="center"/>
          </w:tcPr>
          <w:p w14:paraId="5DEC6CC9" w14:textId="77777777" w:rsidR="00B1578D" w:rsidRDefault="004D2C04">
            <w:pPr>
              <w:textAlignment w:val="center"/>
            </w:pPr>
            <w:r>
              <w:rPr>
                <w:rFonts w:ascii="Times New Roman" w:eastAsia="宋体" w:hAnsi="Times New Roman"/>
                <w:color w:val="000000"/>
                <w:sz w:val="16"/>
                <w:szCs w:val="16"/>
              </w:rPr>
              <w:t>Average price paid per share</w:t>
            </w:r>
          </w:p>
        </w:tc>
        <w:tc>
          <w:tcPr>
            <w:tcW w:w="0" w:type="auto"/>
            <w:shd w:val="clear" w:color="auto" w:fill="auto"/>
            <w:vAlign w:val="bottom"/>
          </w:tcPr>
          <w:p w14:paraId="5DEC6CCA" w14:textId="77777777" w:rsidR="00B1578D" w:rsidRDefault="00B1578D">
            <w:pPr>
              <w:rPr>
                <w:rFonts w:ascii="宋体"/>
                <w:vanish/>
              </w:rPr>
            </w:pPr>
          </w:p>
        </w:tc>
        <w:tc>
          <w:tcPr>
            <w:tcW w:w="0" w:type="auto"/>
            <w:shd w:val="clear" w:color="auto" w:fill="auto"/>
            <w:vAlign w:val="bottom"/>
          </w:tcPr>
          <w:p w14:paraId="5DEC6CCB" w14:textId="77777777" w:rsidR="00B1578D" w:rsidRDefault="00B1578D">
            <w:pPr>
              <w:rPr>
                <w:rFonts w:ascii="宋体"/>
                <w:vanish/>
              </w:rPr>
            </w:pPr>
          </w:p>
        </w:tc>
        <w:tc>
          <w:tcPr>
            <w:tcW w:w="0" w:type="auto"/>
            <w:shd w:val="clear" w:color="auto" w:fill="auto"/>
            <w:vAlign w:val="bottom"/>
          </w:tcPr>
          <w:p w14:paraId="5DEC6CCC" w14:textId="77777777" w:rsidR="00B1578D" w:rsidRDefault="00B1578D">
            <w:pPr>
              <w:rPr>
                <w:rFonts w:ascii="宋体"/>
                <w:vanish/>
              </w:rPr>
            </w:pPr>
          </w:p>
        </w:tc>
        <w:tc>
          <w:tcPr>
            <w:tcW w:w="0" w:type="auto"/>
            <w:shd w:val="clear" w:color="auto" w:fill="auto"/>
            <w:vAlign w:val="bottom"/>
          </w:tcPr>
          <w:p w14:paraId="5DEC6CCD" w14:textId="77777777" w:rsidR="00B1578D" w:rsidRDefault="00B1578D">
            <w:pPr>
              <w:rPr>
                <w:rFonts w:ascii="宋体"/>
                <w:vanish/>
              </w:rPr>
            </w:pPr>
          </w:p>
        </w:tc>
        <w:tc>
          <w:tcPr>
            <w:tcW w:w="0" w:type="auto"/>
            <w:shd w:val="clear" w:color="auto" w:fill="auto"/>
            <w:vAlign w:val="bottom"/>
          </w:tcPr>
          <w:p w14:paraId="5DEC6CCE" w14:textId="77777777" w:rsidR="00B1578D" w:rsidRDefault="00B1578D">
            <w:pPr>
              <w:rPr>
                <w:rFonts w:ascii="宋体"/>
                <w:vanish/>
              </w:rPr>
            </w:pPr>
          </w:p>
        </w:tc>
        <w:tc>
          <w:tcPr>
            <w:tcW w:w="0" w:type="auto"/>
            <w:shd w:val="clear" w:color="auto" w:fill="FFFFFF"/>
            <w:tcMar>
              <w:top w:w="40" w:type="dxa"/>
              <w:left w:w="20" w:type="dxa"/>
              <w:bottom w:w="40" w:type="dxa"/>
              <w:right w:w="0" w:type="dxa"/>
            </w:tcMar>
            <w:vAlign w:val="center"/>
          </w:tcPr>
          <w:p w14:paraId="5DEC6CCF"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CD0" w14:textId="77777777" w:rsidR="00B1578D" w:rsidRDefault="004D2C04">
            <w:pPr>
              <w:jc w:val="right"/>
              <w:textAlignment w:val="center"/>
            </w:pPr>
            <w:r>
              <w:rPr>
                <w:rFonts w:ascii="Times New Roman" w:eastAsia="宋体" w:hAnsi="Times New Roman"/>
                <w:color w:val="000000"/>
                <w:sz w:val="16"/>
                <w:szCs w:val="16"/>
              </w:rPr>
              <w:t>142.17 </w:t>
            </w:r>
          </w:p>
        </w:tc>
        <w:tc>
          <w:tcPr>
            <w:tcW w:w="0" w:type="auto"/>
            <w:shd w:val="clear" w:color="auto" w:fill="FFFFFF"/>
            <w:tcMar>
              <w:top w:w="40" w:type="dxa"/>
              <w:left w:w="0" w:type="dxa"/>
              <w:bottom w:w="40" w:type="dxa"/>
              <w:right w:w="20" w:type="dxa"/>
            </w:tcMar>
            <w:vAlign w:val="center"/>
          </w:tcPr>
          <w:p w14:paraId="5DEC6CD1"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CD2" w14:textId="77777777" w:rsidR="00B1578D" w:rsidRDefault="00B1578D">
            <w:pPr>
              <w:rPr>
                <w:rFonts w:ascii="宋体"/>
              </w:rPr>
            </w:pPr>
          </w:p>
        </w:tc>
        <w:tc>
          <w:tcPr>
            <w:tcW w:w="0" w:type="auto"/>
            <w:gridSpan w:val="3"/>
            <w:shd w:val="clear" w:color="auto" w:fill="auto"/>
            <w:vAlign w:val="bottom"/>
          </w:tcPr>
          <w:p w14:paraId="5DEC6CD3" w14:textId="77777777" w:rsidR="00B1578D" w:rsidRDefault="00B1578D">
            <w:pPr>
              <w:rPr>
                <w:rFonts w:ascii="宋体"/>
                <w:vanish/>
              </w:rPr>
            </w:pPr>
          </w:p>
        </w:tc>
        <w:tc>
          <w:tcPr>
            <w:tcW w:w="0" w:type="auto"/>
            <w:shd w:val="clear" w:color="auto" w:fill="FFFFFF"/>
            <w:tcMar>
              <w:top w:w="40" w:type="dxa"/>
              <w:left w:w="20" w:type="dxa"/>
              <w:bottom w:w="40" w:type="dxa"/>
              <w:right w:w="0" w:type="dxa"/>
            </w:tcMar>
            <w:vAlign w:val="center"/>
          </w:tcPr>
          <w:p w14:paraId="5DEC6CD4"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5DEC6CD5" w14:textId="77777777" w:rsidR="00B1578D" w:rsidRDefault="004D2C04">
            <w:pPr>
              <w:jc w:val="right"/>
              <w:textAlignment w:val="center"/>
            </w:pPr>
            <w:r>
              <w:rPr>
                <w:rFonts w:ascii="Times New Roman" w:eastAsia="宋体" w:hAnsi="Times New Roman"/>
                <w:color w:val="000000"/>
                <w:sz w:val="16"/>
                <w:szCs w:val="16"/>
              </w:rPr>
              <w:t>136.18 </w:t>
            </w:r>
          </w:p>
        </w:tc>
        <w:tc>
          <w:tcPr>
            <w:tcW w:w="0" w:type="auto"/>
            <w:shd w:val="clear" w:color="auto" w:fill="FFFFFF"/>
            <w:tcMar>
              <w:top w:w="40" w:type="dxa"/>
              <w:left w:w="0" w:type="dxa"/>
              <w:bottom w:w="40" w:type="dxa"/>
              <w:right w:w="20" w:type="dxa"/>
            </w:tcMar>
            <w:vAlign w:val="center"/>
          </w:tcPr>
          <w:p w14:paraId="5DEC6CD6" w14:textId="77777777" w:rsidR="00B1578D" w:rsidRDefault="00B1578D">
            <w:pPr>
              <w:jc w:val="right"/>
              <w:rPr>
                <w:rFonts w:ascii="宋体"/>
              </w:rPr>
            </w:pPr>
          </w:p>
        </w:tc>
      </w:tr>
      <w:tr w:rsidR="00B1578D" w14:paraId="5DEC6CE6" w14:textId="77777777">
        <w:tc>
          <w:tcPr>
            <w:tcW w:w="0" w:type="auto"/>
            <w:gridSpan w:val="3"/>
            <w:shd w:val="clear" w:color="auto" w:fill="CCEEFF"/>
            <w:tcMar>
              <w:top w:w="40" w:type="dxa"/>
              <w:left w:w="20" w:type="dxa"/>
              <w:bottom w:w="40" w:type="dxa"/>
              <w:right w:w="20" w:type="dxa"/>
            </w:tcMar>
            <w:vAlign w:val="center"/>
          </w:tcPr>
          <w:p w14:paraId="5DEC6CD8" w14:textId="77777777" w:rsidR="00B1578D" w:rsidRDefault="004D2C04">
            <w:pPr>
              <w:textAlignment w:val="center"/>
            </w:pPr>
            <w:r>
              <w:rPr>
                <w:rFonts w:ascii="Times New Roman" w:eastAsia="宋体" w:hAnsi="Times New Roman"/>
                <w:color w:val="000000"/>
                <w:sz w:val="16"/>
                <w:szCs w:val="16"/>
              </w:rPr>
              <w:t>Total amount paid for share repurchases</w:t>
            </w:r>
          </w:p>
        </w:tc>
        <w:tc>
          <w:tcPr>
            <w:tcW w:w="0" w:type="auto"/>
            <w:shd w:val="clear" w:color="auto" w:fill="auto"/>
            <w:vAlign w:val="bottom"/>
          </w:tcPr>
          <w:p w14:paraId="5DEC6CD9" w14:textId="77777777" w:rsidR="00B1578D" w:rsidRDefault="00B1578D">
            <w:pPr>
              <w:rPr>
                <w:rFonts w:ascii="宋体"/>
                <w:vanish/>
              </w:rPr>
            </w:pPr>
          </w:p>
        </w:tc>
        <w:tc>
          <w:tcPr>
            <w:tcW w:w="0" w:type="auto"/>
            <w:shd w:val="clear" w:color="auto" w:fill="auto"/>
            <w:vAlign w:val="bottom"/>
          </w:tcPr>
          <w:p w14:paraId="5DEC6CDA" w14:textId="77777777" w:rsidR="00B1578D" w:rsidRDefault="00B1578D">
            <w:pPr>
              <w:rPr>
                <w:rFonts w:ascii="宋体"/>
                <w:vanish/>
              </w:rPr>
            </w:pPr>
          </w:p>
        </w:tc>
        <w:tc>
          <w:tcPr>
            <w:tcW w:w="0" w:type="auto"/>
            <w:shd w:val="clear" w:color="auto" w:fill="auto"/>
            <w:vAlign w:val="bottom"/>
          </w:tcPr>
          <w:p w14:paraId="5DEC6CDB" w14:textId="77777777" w:rsidR="00B1578D" w:rsidRDefault="00B1578D">
            <w:pPr>
              <w:rPr>
                <w:rFonts w:ascii="宋体"/>
                <w:vanish/>
              </w:rPr>
            </w:pPr>
          </w:p>
        </w:tc>
        <w:tc>
          <w:tcPr>
            <w:tcW w:w="0" w:type="auto"/>
            <w:shd w:val="clear" w:color="auto" w:fill="auto"/>
            <w:vAlign w:val="bottom"/>
          </w:tcPr>
          <w:p w14:paraId="5DEC6CDC" w14:textId="77777777" w:rsidR="00B1578D" w:rsidRDefault="00B1578D">
            <w:pPr>
              <w:rPr>
                <w:rFonts w:ascii="宋体"/>
                <w:vanish/>
              </w:rPr>
            </w:pPr>
          </w:p>
        </w:tc>
        <w:tc>
          <w:tcPr>
            <w:tcW w:w="0" w:type="auto"/>
            <w:shd w:val="clear" w:color="auto" w:fill="auto"/>
            <w:vAlign w:val="bottom"/>
          </w:tcPr>
          <w:p w14:paraId="5DEC6CDD" w14:textId="77777777" w:rsidR="00B1578D" w:rsidRDefault="00B1578D">
            <w:pPr>
              <w:rPr>
                <w:rFonts w:ascii="宋体"/>
                <w:vanish/>
              </w:rPr>
            </w:pPr>
          </w:p>
        </w:tc>
        <w:tc>
          <w:tcPr>
            <w:tcW w:w="0" w:type="auto"/>
            <w:shd w:val="clear" w:color="auto" w:fill="CCEEFF"/>
            <w:tcMar>
              <w:top w:w="40" w:type="dxa"/>
              <w:left w:w="20" w:type="dxa"/>
              <w:bottom w:w="40" w:type="dxa"/>
              <w:right w:w="0" w:type="dxa"/>
            </w:tcMar>
            <w:vAlign w:val="center"/>
          </w:tcPr>
          <w:p w14:paraId="5DEC6CDE"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CDF" w14:textId="77777777" w:rsidR="00B1578D" w:rsidRDefault="004D2C04">
            <w:pPr>
              <w:jc w:val="right"/>
              <w:textAlignment w:val="center"/>
            </w:pPr>
            <w:r>
              <w:rPr>
                <w:rFonts w:ascii="Times New Roman" w:eastAsia="宋体" w:hAnsi="Times New Roman"/>
                <w:color w:val="000000"/>
                <w:sz w:val="16"/>
                <w:szCs w:val="16"/>
              </w:rPr>
              <w:t>2,408 </w:t>
            </w:r>
          </w:p>
        </w:tc>
        <w:tc>
          <w:tcPr>
            <w:tcW w:w="0" w:type="auto"/>
            <w:shd w:val="clear" w:color="auto" w:fill="CCEEFF"/>
            <w:tcMar>
              <w:top w:w="40" w:type="dxa"/>
              <w:left w:w="0" w:type="dxa"/>
              <w:bottom w:w="40" w:type="dxa"/>
              <w:right w:w="20" w:type="dxa"/>
            </w:tcMar>
            <w:vAlign w:val="center"/>
          </w:tcPr>
          <w:p w14:paraId="5DEC6CE0"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CE1" w14:textId="77777777" w:rsidR="00B1578D" w:rsidRDefault="00B1578D">
            <w:pPr>
              <w:rPr>
                <w:rFonts w:ascii="宋体"/>
              </w:rPr>
            </w:pPr>
          </w:p>
        </w:tc>
        <w:tc>
          <w:tcPr>
            <w:tcW w:w="0" w:type="auto"/>
            <w:gridSpan w:val="3"/>
            <w:shd w:val="clear" w:color="auto" w:fill="auto"/>
            <w:vAlign w:val="bottom"/>
          </w:tcPr>
          <w:p w14:paraId="5DEC6CE2" w14:textId="77777777" w:rsidR="00B1578D" w:rsidRDefault="00B1578D">
            <w:pPr>
              <w:rPr>
                <w:rFonts w:ascii="宋体"/>
                <w:vanish/>
              </w:rPr>
            </w:pPr>
          </w:p>
        </w:tc>
        <w:tc>
          <w:tcPr>
            <w:tcW w:w="0" w:type="auto"/>
            <w:shd w:val="clear" w:color="auto" w:fill="CCEEFF"/>
            <w:tcMar>
              <w:top w:w="40" w:type="dxa"/>
              <w:left w:w="20" w:type="dxa"/>
              <w:bottom w:w="40" w:type="dxa"/>
              <w:right w:w="0" w:type="dxa"/>
            </w:tcMar>
            <w:vAlign w:val="center"/>
          </w:tcPr>
          <w:p w14:paraId="5DEC6CE3" w14:textId="77777777" w:rsidR="00B1578D" w:rsidRDefault="004D2C04">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5DEC6CE4" w14:textId="77777777" w:rsidR="00B1578D" w:rsidRDefault="004D2C04">
            <w:pPr>
              <w:jc w:val="right"/>
              <w:textAlignment w:val="center"/>
            </w:pPr>
            <w:r>
              <w:rPr>
                <w:rFonts w:ascii="Times New Roman" w:eastAsia="宋体" w:hAnsi="Times New Roman"/>
                <w:color w:val="000000"/>
                <w:sz w:val="16"/>
                <w:szCs w:val="16"/>
              </w:rPr>
              <w:t>2,809 </w:t>
            </w:r>
          </w:p>
        </w:tc>
        <w:tc>
          <w:tcPr>
            <w:tcW w:w="0" w:type="auto"/>
            <w:shd w:val="clear" w:color="auto" w:fill="CCEEFF"/>
            <w:tcMar>
              <w:top w:w="40" w:type="dxa"/>
              <w:left w:w="0" w:type="dxa"/>
              <w:bottom w:w="40" w:type="dxa"/>
              <w:right w:w="20" w:type="dxa"/>
            </w:tcMar>
            <w:vAlign w:val="center"/>
          </w:tcPr>
          <w:p w14:paraId="5DEC6CE5" w14:textId="77777777" w:rsidR="00B1578D" w:rsidRDefault="00B1578D">
            <w:pPr>
              <w:jc w:val="right"/>
              <w:rPr>
                <w:rFonts w:ascii="宋体"/>
              </w:rPr>
            </w:pPr>
          </w:p>
        </w:tc>
      </w:tr>
    </w:tbl>
    <w:p w14:paraId="5DEC6CE7" w14:textId="77777777" w:rsidR="00B1578D" w:rsidRDefault="004D2C04">
      <w:pPr>
        <w:jc w:val="center"/>
      </w:pPr>
      <w:r>
        <w:rPr>
          <w:rFonts w:ascii="Times New Roman" w:eastAsia="宋体" w:hAnsi="Times New Roman"/>
          <w:color w:val="000000"/>
          <w:sz w:val="20"/>
          <w:szCs w:val="20"/>
        </w:rPr>
        <w:t>23</w:t>
      </w:r>
    </w:p>
    <w:p w14:paraId="5DEC6CE8" w14:textId="77777777" w:rsidR="00B1578D" w:rsidRDefault="004D2C04">
      <w:r>
        <w:pict w14:anchorId="5DEC6F3C">
          <v:rect id="_x0000_i1047" style="width:415.3pt;height:1.5pt" o:hralign="center" o:hrstd="t" o:hr="t" fillcolor="#a0a0a0" stroked="f"/>
        </w:pict>
      </w:r>
    </w:p>
    <w:p w14:paraId="5DEC6CE9" w14:textId="77777777" w:rsidR="00B1578D" w:rsidRDefault="004D2C04">
      <w:hyperlink r:id="rId67" w:anchor="ia92fe4e1fa654d85928fb72942eadb02_7" w:history="1">
        <w:r>
          <w:rPr>
            <w:rStyle w:val="a5"/>
            <w:rFonts w:ascii="Times New Roman" w:eastAsia="宋体" w:hAnsi="Times New Roman"/>
            <w:sz w:val="20"/>
            <w:szCs w:val="20"/>
          </w:rPr>
          <w:t>Table of Contents</w:t>
        </w:r>
      </w:hyperlink>
    </w:p>
    <w:p w14:paraId="5DEC6CEA" w14:textId="77777777" w:rsidR="00B1578D" w:rsidRDefault="004D2C04">
      <w:pPr>
        <w:spacing w:before="180" w:after="100"/>
      </w:pPr>
      <w:r>
        <w:rPr>
          <w:rFonts w:ascii="Times New Roman" w:eastAsia="宋体" w:hAnsi="Times New Roman"/>
          <w:i/>
          <w:iCs/>
          <w:color w:val="000000"/>
          <w:sz w:val="20"/>
          <w:szCs w:val="20"/>
        </w:rPr>
        <w:t>Material Cash Requirements</w:t>
      </w:r>
    </w:p>
    <w:p w14:paraId="5DEC6CEB" w14:textId="77777777" w:rsidR="00B1578D" w:rsidRDefault="004D2C04">
      <w:r>
        <w:rPr>
          <w:rFonts w:ascii="Times New Roman" w:eastAsia="宋体" w:hAnsi="Times New Roman"/>
          <w:color w:val="000000"/>
          <w:sz w:val="20"/>
          <w:szCs w:val="20"/>
        </w:rPr>
        <w:t xml:space="preserve">Material cash requirements from operating </w:t>
      </w:r>
      <w:r>
        <w:rPr>
          <w:rFonts w:ascii="Times New Roman" w:eastAsia="宋体" w:hAnsi="Times New Roman"/>
          <w:color w:val="000000"/>
          <w:sz w:val="20"/>
          <w:szCs w:val="20"/>
        </w:rPr>
        <w:t>activities primarily consist of inventory purchases, employee related costs, taxes, interest and other general operating expenses, which we expect to be primarily satisfied by our cash from operations. Other material cash requirements from known contractua</w:t>
      </w:r>
      <w:r>
        <w:rPr>
          <w:rFonts w:ascii="Times New Roman" w:eastAsia="宋体" w:hAnsi="Times New Roman"/>
          <w:color w:val="000000"/>
          <w:sz w:val="20"/>
          <w:szCs w:val="20"/>
        </w:rPr>
        <w:t>l and other obligations include short-term borrowings, long-term debt and related interest payments, leases and purchase obligations.</w:t>
      </w:r>
    </w:p>
    <w:p w14:paraId="5DEC6CEC" w14:textId="77777777" w:rsidR="00B1578D" w:rsidRDefault="004D2C04">
      <w:pPr>
        <w:spacing w:before="140" w:after="100"/>
      </w:pPr>
      <w:r>
        <w:rPr>
          <w:rFonts w:ascii="Times New Roman" w:eastAsia="宋体" w:hAnsi="Times New Roman"/>
          <w:b/>
          <w:bCs/>
          <w:color w:val="000000"/>
          <w:sz w:val="20"/>
          <w:szCs w:val="20"/>
          <w:u w:val="single"/>
        </w:rPr>
        <w:t>Capital Resources</w:t>
      </w:r>
    </w:p>
    <w:p w14:paraId="5DEC6CED" w14:textId="77777777" w:rsidR="00B1578D" w:rsidRDefault="004D2C04">
      <w:r>
        <w:rPr>
          <w:rFonts w:ascii="Times New Roman" w:eastAsia="宋体" w:hAnsi="Times New Roman"/>
          <w:color w:val="000000"/>
          <w:sz w:val="20"/>
          <w:szCs w:val="20"/>
        </w:rPr>
        <w:t>We believe our cash flows from operations, current cash position, short-term borrowings and access to ca</w:t>
      </w:r>
      <w:r>
        <w:rPr>
          <w:rFonts w:ascii="Times New Roman" w:eastAsia="宋体" w:hAnsi="Times New Roman"/>
          <w:color w:val="000000"/>
          <w:sz w:val="20"/>
          <w:szCs w:val="20"/>
        </w:rPr>
        <w:t>pital markets will continue to be sufficient to meet our anticipated cash requirements and contractual obligations, which includes funding seasonal buildups in merchandise inventories and funding our capital expenditures, acquisitions, dividend payments an</w:t>
      </w:r>
      <w:r>
        <w:rPr>
          <w:rFonts w:ascii="Times New Roman" w:eastAsia="宋体" w:hAnsi="Times New Roman"/>
          <w:color w:val="000000"/>
          <w:sz w:val="20"/>
          <w:szCs w:val="20"/>
        </w:rPr>
        <w:t xml:space="preserve">d share repurchases. </w:t>
      </w:r>
    </w:p>
    <w:p w14:paraId="5DEC6CEE" w14:textId="77777777" w:rsidR="00B1578D" w:rsidRDefault="004D2C04">
      <w:pPr>
        <w:spacing w:before="100"/>
      </w:pPr>
      <w:r>
        <w:rPr>
          <w:rFonts w:ascii="Times New Roman" w:eastAsia="宋体" w:hAnsi="Times New Roman"/>
          <w:color w:val="000000"/>
          <w:sz w:val="20"/>
          <w:szCs w:val="20"/>
        </w:rPr>
        <w:t>We have strong commercial paper and long-term debt ratings that have enabled and should continue to enable us to refinance our debt as it becomes due at favorable rates in capital markets. As of April 30, 2022, the ratings assigned to</w:t>
      </w:r>
      <w:r>
        <w:rPr>
          <w:rFonts w:ascii="Times New Roman" w:eastAsia="宋体" w:hAnsi="Times New Roman"/>
          <w:color w:val="000000"/>
          <w:sz w:val="20"/>
          <w:szCs w:val="20"/>
        </w:rPr>
        <w:t xml:space="preserve"> our commercial paper and rated series of our outstanding long-term debt were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B1578D" w14:paraId="5DEC6CFE" w14:textId="77777777">
        <w:trPr>
          <w:jc w:val="center"/>
        </w:trPr>
        <w:tc>
          <w:tcPr>
            <w:tcW w:w="50" w:type="pct"/>
            <w:shd w:val="clear" w:color="auto" w:fill="auto"/>
            <w:vAlign w:val="bottom"/>
          </w:tcPr>
          <w:p w14:paraId="5DEC6CEF" w14:textId="77777777" w:rsidR="00B1578D" w:rsidRDefault="00B1578D">
            <w:pPr>
              <w:rPr>
                <w:rFonts w:ascii="宋体"/>
              </w:rPr>
            </w:pPr>
          </w:p>
        </w:tc>
        <w:tc>
          <w:tcPr>
            <w:tcW w:w="1972" w:type="pct"/>
            <w:shd w:val="clear" w:color="auto" w:fill="auto"/>
            <w:vAlign w:val="bottom"/>
          </w:tcPr>
          <w:p w14:paraId="5DEC6CF0" w14:textId="77777777" w:rsidR="00B1578D" w:rsidRDefault="00B1578D">
            <w:pPr>
              <w:rPr>
                <w:rFonts w:ascii="宋体"/>
              </w:rPr>
            </w:pPr>
          </w:p>
        </w:tc>
        <w:tc>
          <w:tcPr>
            <w:tcW w:w="5" w:type="pct"/>
            <w:shd w:val="clear" w:color="auto" w:fill="auto"/>
            <w:vAlign w:val="bottom"/>
          </w:tcPr>
          <w:p w14:paraId="5DEC6CF1" w14:textId="77777777" w:rsidR="00B1578D" w:rsidRDefault="00B1578D">
            <w:pPr>
              <w:rPr>
                <w:rFonts w:ascii="宋体"/>
              </w:rPr>
            </w:pPr>
          </w:p>
        </w:tc>
        <w:tc>
          <w:tcPr>
            <w:tcW w:w="5" w:type="pct"/>
            <w:shd w:val="clear" w:color="auto" w:fill="auto"/>
            <w:vAlign w:val="bottom"/>
          </w:tcPr>
          <w:p w14:paraId="5DEC6CF2" w14:textId="77777777" w:rsidR="00B1578D" w:rsidRDefault="00B1578D">
            <w:pPr>
              <w:rPr>
                <w:rFonts w:ascii="宋体"/>
              </w:rPr>
            </w:pPr>
          </w:p>
        </w:tc>
        <w:tc>
          <w:tcPr>
            <w:tcW w:w="107" w:type="pct"/>
            <w:shd w:val="clear" w:color="auto" w:fill="auto"/>
            <w:vAlign w:val="bottom"/>
          </w:tcPr>
          <w:p w14:paraId="5DEC6CF3" w14:textId="77777777" w:rsidR="00B1578D" w:rsidRDefault="00B1578D">
            <w:pPr>
              <w:rPr>
                <w:rFonts w:ascii="宋体"/>
              </w:rPr>
            </w:pPr>
          </w:p>
        </w:tc>
        <w:tc>
          <w:tcPr>
            <w:tcW w:w="5" w:type="pct"/>
            <w:shd w:val="clear" w:color="auto" w:fill="auto"/>
            <w:vAlign w:val="bottom"/>
          </w:tcPr>
          <w:p w14:paraId="5DEC6CF4" w14:textId="77777777" w:rsidR="00B1578D" w:rsidRDefault="00B1578D">
            <w:pPr>
              <w:rPr>
                <w:rFonts w:ascii="宋体"/>
              </w:rPr>
            </w:pPr>
          </w:p>
        </w:tc>
        <w:tc>
          <w:tcPr>
            <w:tcW w:w="50" w:type="pct"/>
            <w:shd w:val="clear" w:color="auto" w:fill="auto"/>
            <w:vAlign w:val="bottom"/>
          </w:tcPr>
          <w:p w14:paraId="5DEC6CF5" w14:textId="77777777" w:rsidR="00B1578D" w:rsidRDefault="00B1578D">
            <w:pPr>
              <w:rPr>
                <w:rFonts w:ascii="宋体"/>
              </w:rPr>
            </w:pPr>
          </w:p>
        </w:tc>
        <w:tc>
          <w:tcPr>
            <w:tcW w:w="1313" w:type="pct"/>
            <w:shd w:val="clear" w:color="auto" w:fill="auto"/>
            <w:vAlign w:val="bottom"/>
          </w:tcPr>
          <w:p w14:paraId="5DEC6CF6" w14:textId="77777777" w:rsidR="00B1578D" w:rsidRDefault="00B1578D">
            <w:pPr>
              <w:rPr>
                <w:rFonts w:ascii="宋体"/>
              </w:rPr>
            </w:pPr>
          </w:p>
        </w:tc>
        <w:tc>
          <w:tcPr>
            <w:tcW w:w="5" w:type="pct"/>
            <w:shd w:val="clear" w:color="auto" w:fill="auto"/>
            <w:vAlign w:val="bottom"/>
          </w:tcPr>
          <w:p w14:paraId="5DEC6CF7" w14:textId="77777777" w:rsidR="00B1578D" w:rsidRDefault="00B1578D">
            <w:pPr>
              <w:rPr>
                <w:rFonts w:ascii="宋体"/>
              </w:rPr>
            </w:pPr>
          </w:p>
        </w:tc>
        <w:tc>
          <w:tcPr>
            <w:tcW w:w="5" w:type="pct"/>
            <w:shd w:val="clear" w:color="auto" w:fill="auto"/>
            <w:vAlign w:val="bottom"/>
          </w:tcPr>
          <w:p w14:paraId="5DEC6CF8" w14:textId="77777777" w:rsidR="00B1578D" w:rsidRDefault="00B1578D">
            <w:pPr>
              <w:rPr>
                <w:rFonts w:ascii="宋体"/>
              </w:rPr>
            </w:pPr>
          </w:p>
        </w:tc>
        <w:tc>
          <w:tcPr>
            <w:tcW w:w="107" w:type="pct"/>
            <w:shd w:val="clear" w:color="auto" w:fill="auto"/>
            <w:vAlign w:val="bottom"/>
          </w:tcPr>
          <w:p w14:paraId="5DEC6CF9" w14:textId="77777777" w:rsidR="00B1578D" w:rsidRDefault="00B1578D">
            <w:pPr>
              <w:rPr>
                <w:rFonts w:ascii="宋体"/>
              </w:rPr>
            </w:pPr>
          </w:p>
        </w:tc>
        <w:tc>
          <w:tcPr>
            <w:tcW w:w="5" w:type="pct"/>
            <w:shd w:val="clear" w:color="auto" w:fill="auto"/>
            <w:vAlign w:val="bottom"/>
          </w:tcPr>
          <w:p w14:paraId="5DEC6CFA" w14:textId="77777777" w:rsidR="00B1578D" w:rsidRDefault="00B1578D">
            <w:pPr>
              <w:rPr>
                <w:rFonts w:ascii="宋体"/>
              </w:rPr>
            </w:pPr>
          </w:p>
        </w:tc>
        <w:tc>
          <w:tcPr>
            <w:tcW w:w="50" w:type="pct"/>
            <w:shd w:val="clear" w:color="auto" w:fill="auto"/>
            <w:vAlign w:val="bottom"/>
          </w:tcPr>
          <w:p w14:paraId="5DEC6CFB" w14:textId="77777777" w:rsidR="00B1578D" w:rsidRDefault="00B1578D">
            <w:pPr>
              <w:rPr>
                <w:rFonts w:ascii="宋体"/>
              </w:rPr>
            </w:pPr>
          </w:p>
        </w:tc>
        <w:tc>
          <w:tcPr>
            <w:tcW w:w="1314" w:type="pct"/>
            <w:shd w:val="clear" w:color="auto" w:fill="auto"/>
            <w:vAlign w:val="bottom"/>
          </w:tcPr>
          <w:p w14:paraId="5DEC6CFC" w14:textId="77777777" w:rsidR="00B1578D" w:rsidRDefault="00B1578D">
            <w:pPr>
              <w:rPr>
                <w:rFonts w:ascii="宋体"/>
              </w:rPr>
            </w:pPr>
          </w:p>
        </w:tc>
        <w:tc>
          <w:tcPr>
            <w:tcW w:w="5" w:type="pct"/>
            <w:shd w:val="clear" w:color="auto" w:fill="auto"/>
            <w:vAlign w:val="bottom"/>
          </w:tcPr>
          <w:p w14:paraId="5DEC6CFD" w14:textId="77777777" w:rsidR="00B1578D" w:rsidRDefault="00B1578D">
            <w:pPr>
              <w:rPr>
                <w:rFonts w:ascii="宋体"/>
              </w:rPr>
            </w:pPr>
          </w:p>
        </w:tc>
      </w:tr>
      <w:tr w:rsidR="00B1578D" w14:paraId="5DEC6D04" w14:textId="77777777">
        <w:trPr>
          <w:jc w:val="center"/>
        </w:trPr>
        <w:tc>
          <w:tcPr>
            <w:tcW w:w="0" w:type="auto"/>
            <w:gridSpan w:val="3"/>
            <w:shd w:val="clear" w:color="auto" w:fill="auto"/>
            <w:tcMar>
              <w:top w:w="40" w:type="dxa"/>
              <w:left w:w="20" w:type="dxa"/>
              <w:bottom w:w="40" w:type="dxa"/>
              <w:right w:w="20" w:type="dxa"/>
            </w:tcMar>
            <w:vAlign w:val="bottom"/>
          </w:tcPr>
          <w:p w14:paraId="5DEC6CFF" w14:textId="77777777" w:rsidR="00B1578D" w:rsidRDefault="004D2C04">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5DEC6D00"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DEC6D01" w14:textId="77777777" w:rsidR="00B1578D" w:rsidRDefault="004D2C04">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5DEC6D02" w14:textId="77777777" w:rsidR="00B1578D" w:rsidRDefault="004D2C04">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DEC6D03" w14:textId="77777777" w:rsidR="00B1578D" w:rsidRDefault="004D2C04">
            <w:pPr>
              <w:jc w:val="center"/>
              <w:textAlignment w:val="bottom"/>
            </w:pPr>
            <w:r>
              <w:rPr>
                <w:rFonts w:ascii="Times New Roman" w:eastAsia="宋体" w:hAnsi="Times New Roman"/>
                <w:b/>
                <w:bCs/>
                <w:color w:val="000000"/>
                <w:sz w:val="16"/>
                <w:szCs w:val="16"/>
              </w:rPr>
              <w:t>Long-term debt</w:t>
            </w:r>
          </w:p>
        </w:tc>
      </w:tr>
      <w:tr w:rsidR="00B1578D" w14:paraId="5DEC6D0A"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DEC6D05" w14:textId="77777777" w:rsidR="00B1578D" w:rsidRDefault="004D2C04">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5DEC6D06" w14:textId="77777777" w:rsidR="00B1578D" w:rsidRDefault="004D2C04">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DEC6D07" w14:textId="77777777" w:rsidR="00B1578D" w:rsidRDefault="004D2C04">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5DEC6D08" w14:textId="77777777" w:rsidR="00B1578D" w:rsidRDefault="004D2C04">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DEC6D09" w14:textId="77777777" w:rsidR="00B1578D" w:rsidRDefault="004D2C04">
            <w:pPr>
              <w:jc w:val="center"/>
              <w:textAlignment w:val="center"/>
            </w:pPr>
            <w:r>
              <w:rPr>
                <w:rFonts w:ascii="Times New Roman" w:eastAsia="宋体" w:hAnsi="Times New Roman"/>
                <w:color w:val="000000"/>
                <w:sz w:val="16"/>
                <w:szCs w:val="16"/>
              </w:rPr>
              <w:t>AA</w:t>
            </w:r>
          </w:p>
        </w:tc>
      </w:tr>
      <w:tr w:rsidR="00B1578D" w14:paraId="5DEC6D10" w14:textId="77777777">
        <w:trPr>
          <w:jc w:val="center"/>
        </w:trPr>
        <w:tc>
          <w:tcPr>
            <w:tcW w:w="0" w:type="auto"/>
            <w:gridSpan w:val="3"/>
            <w:shd w:val="clear" w:color="auto" w:fill="FFFFFF"/>
            <w:tcMar>
              <w:top w:w="40" w:type="dxa"/>
              <w:left w:w="20" w:type="dxa"/>
              <w:bottom w:w="40" w:type="dxa"/>
              <w:right w:w="20" w:type="dxa"/>
            </w:tcMar>
            <w:vAlign w:val="center"/>
          </w:tcPr>
          <w:p w14:paraId="5DEC6D0B" w14:textId="77777777" w:rsidR="00B1578D" w:rsidRDefault="004D2C04">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5DEC6D0C"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5DEC6D0D" w14:textId="77777777" w:rsidR="00B1578D" w:rsidRDefault="004D2C04">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5DEC6D0E"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5DEC6D0F" w14:textId="77777777" w:rsidR="00B1578D" w:rsidRDefault="004D2C04">
            <w:pPr>
              <w:jc w:val="center"/>
              <w:textAlignment w:val="center"/>
            </w:pPr>
            <w:r>
              <w:rPr>
                <w:rFonts w:ascii="Times New Roman" w:eastAsia="宋体" w:hAnsi="Times New Roman"/>
                <w:color w:val="000000"/>
                <w:sz w:val="16"/>
                <w:szCs w:val="16"/>
              </w:rPr>
              <w:t>Aa2</w:t>
            </w:r>
          </w:p>
        </w:tc>
      </w:tr>
      <w:tr w:rsidR="00B1578D" w14:paraId="5DEC6D16" w14:textId="77777777">
        <w:trPr>
          <w:jc w:val="center"/>
        </w:trPr>
        <w:tc>
          <w:tcPr>
            <w:tcW w:w="0" w:type="auto"/>
            <w:gridSpan w:val="3"/>
            <w:shd w:val="clear" w:color="auto" w:fill="CCEEFF"/>
            <w:tcMar>
              <w:top w:w="40" w:type="dxa"/>
              <w:left w:w="20" w:type="dxa"/>
              <w:bottom w:w="40" w:type="dxa"/>
              <w:right w:w="20" w:type="dxa"/>
            </w:tcMar>
            <w:vAlign w:val="center"/>
          </w:tcPr>
          <w:p w14:paraId="5DEC6D11" w14:textId="77777777" w:rsidR="00B1578D" w:rsidRDefault="004D2C04">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5DEC6D12"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5DEC6D13" w14:textId="77777777" w:rsidR="00B1578D" w:rsidRDefault="004D2C04">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5DEC6D14" w14:textId="77777777" w:rsidR="00B1578D" w:rsidRDefault="004D2C04">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5DEC6D15" w14:textId="77777777" w:rsidR="00B1578D" w:rsidRDefault="004D2C04">
            <w:pPr>
              <w:jc w:val="center"/>
              <w:textAlignment w:val="center"/>
            </w:pPr>
            <w:r>
              <w:rPr>
                <w:rFonts w:ascii="Times New Roman" w:eastAsia="宋体" w:hAnsi="Times New Roman"/>
                <w:color w:val="000000"/>
                <w:sz w:val="16"/>
                <w:szCs w:val="16"/>
              </w:rPr>
              <w:t>AA</w:t>
            </w:r>
          </w:p>
        </w:tc>
      </w:tr>
    </w:tbl>
    <w:p w14:paraId="5DEC6D17" w14:textId="77777777" w:rsidR="00B1578D" w:rsidRDefault="004D2C04">
      <w:pPr>
        <w:spacing w:before="60"/>
      </w:pPr>
      <w:r>
        <w:rPr>
          <w:rFonts w:ascii="Times New Roman" w:eastAsia="宋体" w:hAnsi="Times New Roman"/>
          <w:color w:val="000000"/>
          <w:sz w:val="20"/>
          <w:szCs w:val="20"/>
        </w:rPr>
        <w:t xml:space="preserve">Credit rating agencies review their ratings periodically and, therefore, the credit ratings assigned to us by each agency may be subject to revision at any time. Accordingly, we are not able to predict whether our current credit ratings will </w:t>
      </w:r>
      <w:r>
        <w:rPr>
          <w:rFonts w:ascii="Times New Roman" w:eastAsia="宋体" w:hAnsi="Times New Roman"/>
          <w:color w:val="000000"/>
          <w:sz w:val="20"/>
          <w:szCs w:val="20"/>
        </w:rPr>
        <w:t>remain consistent over time. Factors that could affect our credit ratings include changes in our operating performance, the general economic environment, conditions in the retail industry, our financial position, including our total debt and capitalization</w:t>
      </w:r>
      <w:r>
        <w:rPr>
          <w:rFonts w:ascii="Times New Roman" w:eastAsia="宋体" w:hAnsi="Times New Roman"/>
          <w:color w:val="000000"/>
          <w:sz w:val="20"/>
          <w:szCs w:val="20"/>
        </w:rPr>
        <w:t xml:space="preserve">, and changes in our business strategy. Any downgrade of our credit ratings by a credit rating agency could increase our future borrowing costs or impair our ability to access capital and credit markets on terms commercially acceptable to us. In addition, </w:t>
      </w:r>
      <w:r>
        <w:rPr>
          <w:rFonts w:ascii="Times New Roman" w:eastAsia="宋体" w:hAnsi="Times New Roman"/>
          <w:color w:val="000000"/>
          <w:sz w:val="20"/>
          <w:szCs w:val="20"/>
        </w:rPr>
        <w:t>any downgrade of our current short-term credit ratings could impair our ability to access the commercial paper markets with the same flexibility that we have experienced historically, potentially requiring us to rely more heavily on more expensive types of</w:t>
      </w:r>
      <w:r>
        <w:rPr>
          <w:rFonts w:ascii="Times New Roman" w:eastAsia="宋体" w:hAnsi="Times New Roman"/>
          <w:color w:val="000000"/>
          <w:sz w:val="20"/>
          <w:szCs w:val="20"/>
        </w:rPr>
        <w:t xml:space="preserve"> debt financing. The credit rating agency ratings are not recommendations to buy, sell or hold our commercial paper or debt securities. Each rating may be subject to revision or withdrawal at any time by the assigning rating organization and should be eval</w:t>
      </w:r>
      <w:r>
        <w:rPr>
          <w:rFonts w:ascii="Times New Roman" w:eastAsia="宋体" w:hAnsi="Times New Roman"/>
          <w:color w:val="000000"/>
          <w:sz w:val="20"/>
          <w:szCs w:val="20"/>
        </w:rPr>
        <w:t>uated independently of any other rating. Moreover, each credit rating is specific to the security to which it applies.</w:t>
      </w:r>
    </w:p>
    <w:p w14:paraId="5DEC6D18" w14:textId="77777777" w:rsidR="00B1578D" w:rsidRDefault="004D2C04">
      <w:pPr>
        <w:spacing w:before="180"/>
      </w:pPr>
      <w:r>
        <w:rPr>
          <w:rFonts w:ascii="Times New Roman" w:eastAsia="宋体" w:hAnsi="Times New Roman"/>
          <w:b/>
          <w:bCs/>
          <w:color w:val="000000"/>
          <w:sz w:val="20"/>
          <w:szCs w:val="20"/>
        </w:rPr>
        <w:t>Other Matters</w:t>
      </w:r>
    </w:p>
    <w:p w14:paraId="5DEC6D19" w14:textId="77777777" w:rsidR="00B1578D" w:rsidRDefault="004D2C04">
      <w:pPr>
        <w:spacing w:before="100"/>
      </w:pPr>
      <w:r>
        <w:rPr>
          <w:rFonts w:ascii="Times New Roman" w:eastAsia="宋体" w:hAnsi="Times New Roman"/>
          <w:color w:val="000000"/>
          <w:sz w:val="20"/>
          <w:szCs w:val="20"/>
        </w:rPr>
        <w:t xml:space="preserve">In </w:t>
      </w:r>
      <w:hyperlink r:id="rId68" w:anchor="ia92fe4e1fa654d85928fb72942eadb02_58"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our Condensed Consolidated Financial Statements, which is captioned "Contingencies" and appears in Part I of this Quarterly Report on Form 10-Q under the caption "</w:t>
      </w:r>
      <w:hyperlink r:id="rId69" w:anchor="ia92fe4e1fa654d85928fb72942eadb02_13" w:history="1">
        <w:r>
          <w:rPr>
            <w:rStyle w:val="a5"/>
            <w:rFonts w:ascii="Times New Roman" w:eastAsia="宋体" w:hAnsi="Times New Roman"/>
            <w:sz w:val="20"/>
            <w:szCs w:val="20"/>
          </w:rPr>
          <w:t>Item 1. Financial Statements</w:t>
        </w:r>
      </w:hyperlink>
      <w:r>
        <w:rPr>
          <w:rFonts w:ascii="Times New Roman" w:eastAsia="宋体" w:hAnsi="Times New Roman"/>
          <w:color w:val="000000"/>
          <w:sz w:val="20"/>
          <w:szCs w:val="20"/>
        </w:rPr>
        <w:t>," we discuss, under the sub-caption "</w:t>
      </w:r>
      <w:r>
        <w:rPr>
          <w:rFonts w:ascii="Times New Roman" w:eastAsia="宋体" w:hAnsi="Times New Roman"/>
          <w:i/>
          <w:iCs/>
          <w:color w:val="000000"/>
          <w:sz w:val="20"/>
          <w:szCs w:val="20"/>
        </w:rPr>
        <w:t>Opioids Litigation</w:t>
      </w:r>
      <w:r>
        <w:rPr>
          <w:rFonts w:ascii="Times New Roman" w:eastAsia="宋体" w:hAnsi="Times New Roman"/>
          <w:color w:val="000000"/>
          <w:sz w:val="20"/>
          <w:szCs w:val="20"/>
        </w:rPr>
        <w:t>," the Prescription Opiate Litigation and other matters, including ce</w:t>
      </w:r>
      <w:r>
        <w:rPr>
          <w:rFonts w:ascii="Times New Roman" w:eastAsia="宋体" w:hAnsi="Times New Roman"/>
          <w:color w:val="000000"/>
          <w:sz w:val="20"/>
          <w:szCs w:val="20"/>
        </w:rPr>
        <w:t xml:space="preserve">rtain risks arising therefrom. In that </w:t>
      </w:r>
      <w:hyperlink r:id="rId70" w:anchor="ia92fe4e1fa654d85928fb72942eadb02_58"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we also discuss, under the sub-caption "</w:t>
      </w:r>
      <w:r>
        <w:rPr>
          <w:rFonts w:ascii="Times New Roman" w:eastAsia="宋体" w:hAnsi="Times New Roman"/>
          <w:i/>
          <w:iCs/>
          <w:color w:val="000000"/>
          <w:sz w:val="20"/>
          <w:szCs w:val="20"/>
        </w:rPr>
        <w:t>Asda Equal Value</w:t>
      </w:r>
      <w:r>
        <w:rPr>
          <w:rFonts w:ascii="Times New Roman" w:eastAsia="宋体" w:hAnsi="Times New Roman"/>
          <w:i/>
          <w:iCs/>
          <w:color w:val="000000"/>
          <w:sz w:val="20"/>
          <w:szCs w:val="20"/>
        </w:rPr>
        <w:t xml:space="preserve"> Claims," </w:t>
      </w:r>
      <w:r>
        <w:rPr>
          <w:rFonts w:ascii="Times New Roman" w:eastAsia="宋体" w:hAnsi="Times New Roman"/>
          <w:color w:val="000000"/>
          <w:sz w:val="20"/>
          <w:szCs w:val="20"/>
        </w:rPr>
        <w:t>the Company's indemnification obligation for the Asda Equal Value Claims matter as well as under the sub-caption "</w:t>
      </w:r>
      <w:r>
        <w:rPr>
          <w:rFonts w:ascii="Times New Roman" w:eastAsia="宋体" w:hAnsi="Times New Roman"/>
          <w:i/>
          <w:iCs/>
          <w:color w:val="000000"/>
          <w:sz w:val="20"/>
          <w:szCs w:val="20"/>
        </w:rPr>
        <w:t>Money Transfer Agent Services Matters,</w:t>
      </w:r>
      <w:r>
        <w:rPr>
          <w:rFonts w:ascii="Times New Roman" w:eastAsia="宋体" w:hAnsi="Times New Roman"/>
          <w:color w:val="000000"/>
          <w:sz w:val="20"/>
          <w:szCs w:val="20"/>
        </w:rPr>
        <w:t>" a United States Federal Trade Commission investigation and possible complaint related to mon</w:t>
      </w:r>
      <w:r>
        <w:rPr>
          <w:rFonts w:ascii="Times New Roman" w:eastAsia="宋体" w:hAnsi="Times New Roman"/>
          <w:color w:val="000000"/>
          <w:sz w:val="20"/>
          <w:szCs w:val="20"/>
        </w:rPr>
        <w:t xml:space="preserve">ey transfers and the Company's anti-fraud program. We discuss various legal proceedings related to the Federal and State Prescription Opiate Litigation, DOJ Opioid Civil Litigation and Opioids Related Securities Class Actions and Derivative Litigation in </w:t>
      </w:r>
      <w:hyperlink r:id="rId71" w:anchor="ia92fe4e1fa654d85928fb72942eadb02_112"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72" w:anchor="ia92fe4e1fa654d85928fb72942eadb02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 Supplemental Information." We also discuss items related to the Asda Equal Value Claim</w:t>
      </w:r>
      <w:r>
        <w:rPr>
          <w:rFonts w:ascii="Times New Roman" w:eastAsia="宋体" w:hAnsi="Times New Roman"/>
          <w:color w:val="000000"/>
          <w:sz w:val="20"/>
          <w:szCs w:val="20"/>
        </w:rPr>
        <w:t xml:space="preserve">s matter and the Foreign Direct Investment matters in </w:t>
      </w:r>
      <w:hyperlink r:id="rId73" w:anchor="ia92fe4e1fa654d85928fb72942eadb02_112"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w:t>
      </w:r>
      <w:r>
        <w:rPr>
          <w:rFonts w:ascii="Times New Roman" w:eastAsia="宋体" w:hAnsi="Times New Roman"/>
          <w:color w:val="000000"/>
          <w:sz w:val="20"/>
          <w:szCs w:val="20"/>
        </w:rPr>
        <w:t>der the caption "</w:t>
      </w:r>
      <w:hyperlink r:id="rId74" w:anchor="ia92fe4e1fa654d85928fb72942eadb02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xml:space="preserve">," under the sub-caption "II. Certain Other </w:t>
      </w:r>
      <w:r>
        <w:rPr>
          <w:rFonts w:ascii="Times New Roman" w:eastAsia="宋体" w:hAnsi="Times New Roman"/>
          <w:color w:val="000000"/>
          <w:sz w:val="20"/>
          <w:szCs w:val="20"/>
        </w:rPr>
        <w:t>Matters." We also discuss an environmental matter with the State of California in</w:t>
      </w:r>
      <w:hyperlink r:id="rId75" w:anchor="ia92fe4e1fa654d85928fb72942eadb02_112" w:history="1">
        <w:r>
          <w:rPr>
            <w:rStyle w:val="a5"/>
            <w:rFonts w:ascii="Times New Roman" w:eastAsia="宋体" w:hAnsi="Times New Roman"/>
            <w:sz w:val="20"/>
            <w:szCs w:val="20"/>
          </w:rPr>
          <w:t xml:space="preserve"> Part II</w:t>
        </w:r>
      </w:hyperlink>
      <w:r>
        <w:rPr>
          <w:rFonts w:ascii="Times New Roman" w:eastAsia="宋体" w:hAnsi="Times New Roman"/>
          <w:color w:val="000000"/>
          <w:sz w:val="20"/>
          <w:szCs w:val="20"/>
        </w:rPr>
        <w:t xml:space="preserve"> of this Quar</w:t>
      </w:r>
      <w:r>
        <w:rPr>
          <w:rFonts w:ascii="Times New Roman" w:eastAsia="宋体" w:hAnsi="Times New Roman"/>
          <w:color w:val="000000"/>
          <w:sz w:val="20"/>
          <w:szCs w:val="20"/>
        </w:rPr>
        <w:t>terly Report on Form 10-Q under the caption "</w:t>
      </w:r>
      <w:hyperlink r:id="rId76" w:anchor="ia92fe4e1fa654d85928fb72942eadb02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"III. E</w:t>
      </w:r>
      <w:r>
        <w:rPr>
          <w:rFonts w:ascii="Times New Roman" w:eastAsia="宋体" w:hAnsi="Times New Roman"/>
          <w:color w:val="000000"/>
          <w:sz w:val="20"/>
          <w:szCs w:val="20"/>
        </w:rPr>
        <w:t>nvironmental Matters." The foregoing matters and other matters described elsewhere in this Quarterly Report on Form 10-Q represent contingent liabilities of the Company that may or may not result in the incurrence of a material liability by the Company upo</w:t>
      </w:r>
      <w:r>
        <w:rPr>
          <w:rFonts w:ascii="Times New Roman" w:eastAsia="宋体" w:hAnsi="Times New Roman"/>
          <w:color w:val="000000"/>
          <w:sz w:val="20"/>
          <w:szCs w:val="20"/>
        </w:rPr>
        <w:t>n their final resolution.</w:t>
      </w:r>
    </w:p>
    <w:p w14:paraId="5DEC6D1A" w14:textId="77777777" w:rsidR="00B1578D" w:rsidRDefault="004D2C04">
      <w:pPr>
        <w:spacing w:before="180"/>
      </w:pPr>
      <w:r>
        <w:rPr>
          <w:rFonts w:ascii="Times New Roman" w:eastAsia="宋体" w:hAnsi="Times New Roman"/>
          <w:b/>
          <w:bCs/>
          <w:color w:val="000000"/>
          <w:sz w:val="20"/>
          <w:szCs w:val="20"/>
        </w:rPr>
        <w:t>Item 3. Quantitative and Qualitative Disclosures About Market Risk</w:t>
      </w:r>
    </w:p>
    <w:p w14:paraId="5DEC6D1B" w14:textId="77777777" w:rsidR="00B1578D" w:rsidRDefault="004D2C04">
      <w:pPr>
        <w:spacing w:before="100"/>
      </w:pPr>
      <w:r>
        <w:rPr>
          <w:rFonts w:ascii="Times New Roman" w:eastAsia="宋体" w:hAnsi="Times New Roman"/>
          <w:color w:val="000000"/>
          <w:sz w:val="20"/>
          <w:szCs w:val="20"/>
        </w:rPr>
        <w:t xml:space="preserve">Market risks relating to our operations result primarily from changes in interest rates, currency exchange rates and the fair value of certain equity investments. </w:t>
      </w:r>
      <w:r>
        <w:rPr>
          <w:rFonts w:ascii="Times New Roman" w:eastAsia="宋体" w:hAnsi="Times New Roman"/>
          <w:color w:val="000000"/>
          <w:sz w:val="20"/>
          <w:szCs w:val="20"/>
        </w:rPr>
        <w:t>As of April 30, 2022, there were no material changes to our market risks disclosed in our Annual Report on Form 10-K for the fiscal year ended January 31, 2022. The information concerning market risk set forth in Part II, Item 7A. of our Annual Report on F</w:t>
      </w:r>
      <w:r>
        <w:rPr>
          <w:rFonts w:ascii="Times New Roman" w:eastAsia="宋体" w:hAnsi="Times New Roman"/>
          <w:color w:val="000000"/>
          <w:sz w:val="20"/>
          <w:szCs w:val="20"/>
        </w:rPr>
        <w:t>orm 10-K for the fiscal year ended January 31, 2022, as filed with the SEC on March 18, 2022, under the caption "</w:t>
      </w:r>
      <w:hyperlink r:id="rId77" w:anchor="i1ba69ebb72ec48f9b754a5e96c4cdf3f_118" w:history="1">
        <w:r>
          <w:rPr>
            <w:rStyle w:val="a5"/>
            <w:rFonts w:ascii="Times New Roman" w:eastAsia="宋体" w:hAnsi="Times New Roman"/>
            <w:sz w:val="20"/>
            <w:szCs w:val="20"/>
          </w:rPr>
          <w:t>Quantitative and Qualitative Disclosures About Market Risk</w:t>
        </w:r>
      </w:hyperlink>
      <w:r>
        <w:rPr>
          <w:rFonts w:ascii="Times New Roman" w:eastAsia="宋体" w:hAnsi="Times New Roman"/>
          <w:color w:val="000000"/>
          <w:sz w:val="20"/>
          <w:szCs w:val="20"/>
        </w:rPr>
        <w:t>," is hereby incorporated by reference into this Quarterly Report on Form 10-Q.</w:t>
      </w:r>
    </w:p>
    <w:p w14:paraId="5DEC6D1C" w14:textId="77777777" w:rsidR="00B1578D" w:rsidRDefault="004D2C04">
      <w:pPr>
        <w:jc w:val="center"/>
      </w:pPr>
      <w:r>
        <w:rPr>
          <w:rFonts w:ascii="Times New Roman" w:eastAsia="宋体" w:hAnsi="Times New Roman"/>
          <w:color w:val="000000"/>
          <w:sz w:val="20"/>
          <w:szCs w:val="20"/>
        </w:rPr>
        <w:t>24</w:t>
      </w:r>
    </w:p>
    <w:p w14:paraId="5DEC6D1D" w14:textId="77777777" w:rsidR="00B1578D" w:rsidRDefault="004D2C04">
      <w:r>
        <w:pict w14:anchorId="5DEC6F3D">
          <v:rect id="_x0000_i1048" style="width:415.3pt;height:1.5pt" o:hralign="center" o:hrstd="t" o:hr="t" fillcolor="#a0a0a0" stroked="f"/>
        </w:pict>
      </w:r>
    </w:p>
    <w:p w14:paraId="5DEC6D1E" w14:textId="77777777" w:rsidR="00B1578D" w:rsidRDefault="004D2C04">
      <w:hyperlink r:id="rId78" w:anchor="ia92fe4e1fa654d85928fb72942eadb02_7" w:history="1">
        <w:r>
          <w:rPr>
            <w:rStyle w:val="a5"/>
            <w:rFonts w:ascii="Times New Roman" w:eastAsia="宋体" w:hAnsi="Times New Roman"/>
            <w:sz w:val="20"/>
            <w:szCs w:val="20"/>
          </w:rPr>
          <w:t>Table of Contents</w:t>
        </w:r>
      </w:hyperlink>
    </w:p>
    <w:p w14:paraId="5DEC6D1F" w14:textId="77777777" w:rsidR="00B1578D" w:rsidRDefault="004D2C04">
      <w:pPr>
        <w:spacing w:before="180"/>
      </w:pPr>
      <w:r>
        <w:rPr>
          <w:rFonts w:ascii="Times New Roman" w:eastAsia="宋体" w:hAnsi="Times New Roman"/>
          <w:b/>
          <w:bCs/>
          <w:color w:val="000000"/>
          <w:sz w:val="20"/>
          <w:szCs w:val="20"/>
        </w:rPr>
        <w:t>Item 4. Controls and Procedures</w:t>
      </w:r>
    </w:p>
    <w:p w14:paraId="5DEC6D20" w14:textId="77777777" w:rsidR="00B1578D" w:rsidRDefault="004D2C04">
      <w:pPr>
        <w:spacing w:before="100"/>
      </w:pPr>
      <w:r>
        <w:rPr>
          <w:rFonts w:ascii="Times New Roman" w:eastAsia="宋体" w:hAnsi="Times New Roman"/>
          <w:color w:val="000000"/>
          <w:sz w:val="20"/>
          <w:szCs w:val="20"/>
        </w:rPr>
        <w:t xml:space="preserve">We maintain disclosure controls and procedures that are designed to provide reasonable assurance that information, which is required to be timely disclosed, is </w:t>
      </w:r>
      <w:r>
        <w:rPr>
          <w:rFonts w:ascii="Times New Roman" w:eastAsia="宋体" w:hAnsi="Times New Roman"/>
          <w:color w:val="000000"/>
          <w:sz w:val="20"/>
          <w:szCs w:val="20"/>
        </w:rPr>
        <w:t>accumulated and communicated to management in a timely fashion. In designing and evaluating such controls and procedures, we recognize that any controls and procedures, no matter how well designed and operated, can provide only reasonable assurance of achi</w:t>
      </w:r>
      <w:r>
        <w:rPr>
          <w:rFonts w:ascii="Times New Roman" w:eastAsia="宋体" w:hAnsi="Times New Roman"/>
          <w:color w:val="000000"/>
          <w:sz w:val="20"/>
          <w:szCs w:val="20"/>
        </w:rPr>
        <w:t>eving the desired control objectives. Our management is necessarily required to use judgment in evaluating controls and procedures. Also, we have investments in unconsolidated entities. Since we do not control or manage those entities, our controls and pro</w:t>
      </w:r>
      <w:r>
        <w:rPr>
          <w:rFonts w:ascii="Times New Roman" w:eastAsia="宋体" w:hAnsi="Times New Roman"/>
          <w:color w:val="000000"/>
          <w:sz w:val="20"/>
          <w:szCs w:val="20"/>
        </w:rPr>
        <w:t>cedures with respect to those entities are substantially more limited than those we maintain with respect to our consolidated subsidiaries.</w:t>
      </w:r>
    </w:p>
    <w:p w14:paraId="5DEC6D21" w14:textId="77777777" w:rsidR="00B1578D" w:rsidRDefault="004D2C04">
      <w:pPr>
        <w:spacing w:before="100"/>
      </w:pPr>
      <w:r>
        <w:rPr>
          <w:rFonts w:ascii="Times New Roman" w:eastAsia="宋体" w:hAnsi="Times New Roman"/>
          <w:color w:val="000000"/>
          <w:sz w:val="20"/>
          <w:szCs w:val="20"/>
        </w:rPr>
        <w:t xml:space="preserve">In the ordinary course of business, we review our internal control over financial reporting and make changes to our </w:t>
      </w:r>
      <w:r>
        <w:rPr>
          <w:rFonts w:ascii="Times New Roman" w:eastAsia="宋体" w:hAnsi="Times New Roman"/>
          <w:color w:val="000000"/>
          <w:sz w:val="20"/>
          <w:szCs w:val="20"/>
        </w:rPr>
        <w:t>systems and processes to improve such controls and increase efficiency, while ensuring that we maintain an effective internal control environment. Changes may include such activities as implementing new, more efficient systems, updating existing systems, a</w:t>
      </w:r>
      <w:r>
        <w:rPr>
          <w:rFonts w:ascii="Times New Roman" w:eastAsia="宋体" w:hAnsi="Times New Roman"/>
          <w:color w:val="000000"/>
          <w:sz w:val="20"/>
          <w:szCs w:val="20"/>
        </w:rPr>
        <w:t>utomating manual processes, standardizing controls globally, migrating certain processes to our shared services organizations and increasing monitoring controls. These changes have not materially affected, and are not reasonably likely to materially affect</w:t>
      </w:r>
      <w:r>
        <w:rPr>
          <w:rFonts w:ascii="Times New Roman" w:eastAsia="宋体" w:hAnsi="Times New Roman"/>
          <w:color w:val="000000"/>
          <w:sz w:val="20"/>
          <w:szCs w:val="20"/>
        </w:rPr>
        <w:t xml:space="preserve">, the Company's internal control over financial reporting and they allow us to continue to enhance our internal controls over financial reporting and ensure that they remain effective. </w:t>
      </w:r>
    </w:p>
    <w:p w14:paraId="5DEC6D22" w14:textId="77777777" w:rsidR="00B1578D" w:rsidRDefault="004D2C04">
      <w:pPr>
        <w:spacing w:before="100"/>
      </w:pPr>
      <w:r>
        <w:rPr>
          <w:rFonts w:ascii="Times New Roman" w:eastAsia="宋体" w:hAnsi="Times New Roman"/>
          <w:color w:val="000000"/>
          <w:sz w:val="20"/>
          <w:szCs w:val="20"/>
        </w:rPr>
        <w:t xml:space="preserve">An evaluation of the effectiveness of the design and operation of our </w:t>
      </w:r>
      <w:r>
        <w:rPr>
          <w:rFonts w:ascii="Times New Roman" w:eastAsia="宋体" w:hAnsi="Times New Roman"/>
          <w:color w:val="000000"/>
          <w:sz w:val="20"/>
          <w:szCs w:val="20"/>
        </w:rPr>
        <w:t>disclosure controls and procedures as of the end of the period covered by this report was performed under the supervision and with the participation of management, including our Chief Executive Officer and Chief Financial Officer. Based upon that evaluatio</w:t>
      </w:r>
      <w:r>
        <w:rPr>
          <w:rFonts w:ascii="Times New Roman" w:eastAsia="宋体" w:hAnsi="Times New Roman"/>
          <w:color w:val="000000"/>
          <w:sz w:val="20"/>
          <w:szCs w:val="20"/>
        </w:rPr>
        <w:t xml:space="preserve">n, our Chief Executive Officer and Chief Financial Officer concluded that our disclosure controls and procedures are effective to provide reasonable assurance that information required to be disclosed by the Company in the reports that it files or submits </w:t>
      </w:r>
      <w:r>
        <w:rPr>
          <w:rFonts w:ascii="Times New Roman" w:eastAsia="宋体" w:hAnsi="Times New Roman"/>
          <w:color w:val="000000"/>
          <w:sz w:val="20"/>
          <w:szCs w:val="20"/>
        </w:rPr>
        <w:t>under the Securities Exchange Act of 1934, as amended, is accumulated and communicated to management, including our Chief Executive Officer and Chief Financial Officer, as appropriate, to allow timely decisions regarding required disclosure and are effecti</w:t>
      </w:r>
      <w:r>
        <w:rPr>
          <w:rFonts w:ascii="Times New Roman" w:eastAsia="宋体" w:hAnsi="Times New Roman"/>
          <w:color w:val="000000"/>
          <w:sz w:val="20"/>
          <w:szCs w:val="20"/>
        </w:rPr>
        <w:t xml:space="preserve">ve to provide reasonable assurance that such information is recorded, processed, summarized and reported within the time periods specified by the SEC's rules and forms. </w:t>
      </w:r>
    </w:p>
    <w:p w14:paraId="5DEC6D23" w14:textId="77777777" w:rsidR="00B1578D" w:rsidRDefault="004D2C04">
      <w:pPr>
        <w:spacing w:before="100"/>
      </w:pPr>
      <w:r>
        <w:rPr>
          <w:rFonts w:ascii="Times New Roman" w:eastAsia="宋体" w:hAnsi="Times New Roman"/>
          <w:color w:val="000000"/>
          <w:sz w:val="20"/>
          <w:szCs w:val="20"/>
        </w:rPr>
        <w:t>There has been no change in the Company's internal control over financial reporting du</w:t>
      </w:r>
      <w:r>
        <w:rPr>
          <w:rFonts w:ascii="Times New Roman" w:eastAsia="宋体" w:hAnsi="Times New Roman"/>
          <w:color w:val="000000"/>
          <w:sz w:val="20"/>
          <w:szCs w:val="20"/>
        </w:rPr>
        <w:t>ring the most recently completed fiscal quarter that has materially affected, or is reasonably likely to materially affect, the Company's internal control over financial reporting.</w:t>
      </w:r>
    </w:p>
    <w:p w14:paraId="5DEC6D24" w14:textId="77777777" w:rsidR="00B1578D" w:rsidRDefault="004D2C04">
      <w:pPr>
        <w:jc w:val="center"/>
      </w:pPr>
      <w:r>
        <w:rPr>
          <w:rFonts w:ascii="Times New Roman" w:eastAsia="宋体" w:hAnsi="Times New Roman"/>
          <w:color w:val="000000"/>
          <w:sz w:val="20"/>
          <w:szCs w:val="20"/>
        </w:rPr>
        <w:t>25</w:t>
      </w:r>
    </w:p>
    <w:p w14:paraId="5DEC6D25" w14:textId="77777777" w:rsidR="00B1578D" w:rsidRDefault="004D2C04">
      <w:r>
        <w:pict w14:anchorId="5DEC6F3E">
          <v:rect id="_x0000_i1049" style="width:415.3pt;height:1.5pt" o:hralign="center" o:hrstd="t" o:hr="t" fillcolor="#a0a0a0" stroked="f"/>
        </w:pict>
      </w:r>
    </w:p>
    <w:p w14:paraId="5DEC6D26" w14:textId="77777777" w:rsidR="00B1578D" w:rsidRDefault="004D2C04">
      <w:hyperlink r:id="rId79" w:anchor="ia92fe4e1fa654d85928fb72942eadb02_7" w:history="1">
        <w:r>
          <w:rPr>
            <w:rStyle w:val="a5"/>
            <w:rFonts w:ascii="Times New Roman" w:eastAsia="宋体" w:hAnsi="Times New Roman"/>
            <w:sz w:val="20"/>
            <w:szCs w:val="20"/>
          </w:rPr>
          <w:t>Table of Contents</w:t>
        </w:r>
      </w:hyperlink>
    </w:p>
    <w:p w14:paraId="5DEC6D27" w14:textId="77777777" w:rsidR="00B1578D" w:rsidRDefault="004D2C04">
      <w:pPr>
        <w:spacing w:before="180"/>
      </w:pPr>
      <w:r>
        <w:rPr>
          <w:rFonts w:ascii="Times New Roman" w:eastAsia="宋体" w:hAnsi="Times New Roman"/>
          <w:b/>
          <w:bCs/>
          <w:color w:val="000000"/>
          <w:sz w:val="20"/>
          <w:szCs w:val="20"/>
        </w:rPr>
        <w:t>PART II. OTHER INFORMATION</w:t>
      </w:r>
    </w:p>
    <w:p w14:paraId="5DEC6D28" w14:textId="77777777" w:rsidR="00B1578D" w:rsidRDefault="004D2C04">
      <w:pPr>
        <w:spacing w:before="100"/>
      </w:pPr>
      <w:r>
        <w:rPr>
          <w:rFonts w:ascii="Times New Roman" w:eastAsia="宋体" w:hAnsi="Times New Roman"/>
          <w:b/>
          <w:bCs/>
          <w:color w:val="000000"/>
          <w:sz w:val="20"/>
          <w:szCs w:val="20"/>
        </w:rPr>
        <w:t>Item 1. Legal Proceedings</w:t>
      </w:r>
    </w:p>
    <w:p w14:paraId="5DEC6D29" w14:textId="77777777" w:rsidR="00B1578D" w:rsidRDefault="004D2C04">
      <w:pPr>
        <w:spacing w:before="10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Part I of this Quarterly Report on Form 10-Q under the caption "Item 1. Financial Statements," in </w:t>
      </w:r>
      <w:hyperlink r:id="rId80" w:anchor="ia92fe4e1fa654d85928fb72942eadb02_58"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our Condensed Consolidated Financial Statements, which is captioned "Contingencies," under the sub-caption "Legal Proceedings." We refer you to that discussion for important information concerning those legal proceedings, including the basis for such a</w:t>
      </w:r>
      <w:r>
        <w:rPr>
          <w:rFonts w:ascii="Times New Roman" w:eastAsia="宋体" w:hAnsi="Times New Roman"/>
          <w:color w:val="000000"/>
          <w:sz w:val="20"/>
          <w:szCs w:val="20"/>
        </w:rPr>
        <w:t xml:space="preserve">ctions and, where known, the relief sought. We provide the following additional information concerning those legal proceedings, including the name of the lawsuit, the court in which the lawsuit is pending, and the date on which the petition commencing the </w:t>
      </w:r>
      <w:r>
        <w:rPr>
          <w:rFonts w:ascii="Times New Roman" w:eastAsia="宋体" w:hAnsi="Times New Roman"/>
          <w:color w:val="000000"/>
          <w:sz w:val="20"/>
          <w:szCs w:val="20"/>
        </w:rPr>
        <w:t>lawsuit was filed.</w:t>
      </w:r>
    </w:p>
    <w:p w14:paraId="5DEC6D2A" w14:textId="77777777" w:rsidR="00B1578D" w:rsidRDefault="004D2C04">
      <w:pPr>
        <w:spacing w:before="100"/>
      </w:pPr>
      <w:r>
        <w:rPr>
          <w:rFonts w:ascii="Times New Roman" w:eastAsia="宋体" w:hAnsi="Times New Roman"/>
          <w:b/>
          <w:bCs/>
          <w:color w:val="000000"/>
          <w:sz w:val="20"/>
          <w:szCs w:val="20"/>
        </w:rPr>
        <w:t xml:space="preserve">Prescription Opiate Litigation: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(the "MDL").</w:t>
      </w:r>
      <w:r>
        <w:rPr>
          <w:rFonts w:ascii="Times New Roman" w:eastAsia="宋体" w:hAnsi="Times New Roman"/>
          <w:color w:val="000000"/>
        </w:rPr>
        <w:t xml:space="preserve"> </w:t>
      </w:r>
      <w:r>
        <w:rPr>
          <w:rFonts w:ascii="Times New Roman" w:eastAsia="宋体" w:hAnsi="Times New Roman"/>
          <w:color w:val="000000"/>
          <w:sz w:val="20"/>
          <w:szCs w:val="20"/>
        </w:rPr>
        <w:t>The MDL is pending in the U.S. District Court for the Northern District of Ohio and includes over 2,150 cases as of May 20, 2022. T</w:t>
      </w:r>
      <w:r>
        <w:rPr>
          <w:rFonts w:ascii="Times New Roman" w:eastAsia="宋体" w:hAnsi="Times New Roman"/>
          <w:color w:val="000000"/>
          <w:sz w:val="20"/>
          <w:szCs w:val="20"/>
        </w:rPr>
        <w:t>he liability phase of a trial in one of the MDL cases began on October 4, 2021 against a number of parties, including the Company, regarding opioid dispensing claims. On November 23, 2021, the jury found in favor of the plaintiffs as to the liability of al</w:t>
      </w:r>
      <w:r>
        <w:rPr>
          <w:rFonts w:ascii="Times New Roman" w:eastAsia="宋体" w:hAnsi="Times New Roman"/>
          <w:color w:val="000000"/>
          <w:sz w:val="20"/>
          <w:szCs w:val="20"/>
        </w:rPr>
        <w:t>l defendants, including the Company. The abatement phase of the trial, which will determine amounts owed by the defendants, began on May 10, 2022 and ended on May 17, 2022, and the parties will await a ruling from the court. The Company intends to appeal t</w:t>
      </w:r>
      <w:r>
        <w:rPr>
          <w:rFonts w:ascii="Times New Roman" w:eastAsia="宋体" w:hAnsi="Times New Roman"/>
          <w:color w:val="000000"/>
          <w:sz w:val="20"/>
          <w:szCs w:val="20"/>
        </w:rPr>
        <w:t>he jury verdict from the liability phase upon completion of the abatement phase of the trial. In addition, there are over 240 state court cases pending as of May 20, 2022. This includes certain cases that were remanded by the MDL court and a case brought b</w:t>
      </w:r>
      <w:r>
        <w:rPr>
          <w:rFonts w:ascii="Times New Roman" w:eastAsia="宋体" w:hAnsi="Times New Roman"/>
          <w:color w:val="000000"/>
          <w:sz w:val="20"/>
          <w:szCs w:val="20"/>
        </w:rPr>
        <w:t>y the Cherokee Nation that was remanded by the U.S. District Court for the Eastern District of Oklahoma to the District Court of Sequoya County, Oklahoma. The case citations for the state court cases are listed on Exhibit 99.1 to this Quarterly Report on F</w:t>
      </w:r>
      <w:r>
        <w:rPr>
          <w:rFonts w:ascii="Times New Roman" w:eastAsia="宋体" w:hAnsi="Times New Roman"/>
          <w:color w:val="000000"/>
          <w:sz w:val="20"/>
          <w:szCs w:val="20"/>
        </w:rPr>
        <w:t>orm 10-Q.</w:t>
      </w:r>
    </w:p>
    <w:p w14:paraId="5DEC6D2B" w14:textId="77777777" w:rsidR="00B1578D" w:rsidRDefault="004D2C04">
      <w:pPr>
        <w:spacing w:before="100"/>
      </w:pPr>
      <w:r>
        <w:rPr>
          <w:rFonts w:ascii="Times New Roman" w:eastAsia="宋体" w:hAnsi="Times New Roman"/>
          <w:b/>
          <w:bCs/>
          <w:color w:val="000000"/>
          <w:sz w:val="20"/>
          <w:szCs w:val="20"/>
        </w:rPr>
        <w:t xml:space="preserve">DOJ Opioid Civil Litigation: </w:t>
      </w:r>
      <w:r>
        <w:rPr>
          <w:rFonts w:ascii="Times New Roman" w:eastAsia="宋体" w:hAnsi="Times New Roman"/>
          <w:color w:val="000000"/>
          <w:sz w:val="20"/>
          <w:szCs w:val="20"/>
        </w:rPr>
        <w:t>A civil complaint pending in the U.S. District Court for the District of Delaware has been filed by the U.S. Department of Justice (the "DOJ") against the Company, in which the DOJ alleges violations of the Controlled</w:t>
      </w:r>
      <w:r>
        <w:rPr>
          <w:rFonts w:ascii="Times New Roman" w:eastAsia="宋体" w:hAnsi="Times New Roman"/>
          <w:color w:val="000000"/>
          <w:sz w:val="20"/>
          <w:szCs w:val="20"/>
        </w:rPr>
        <w:t xml:space="preserve"> Substances Act (the "CSA") related to nationwide distribution and dispensing of opioids.</w:t>
      </w:r>
      <w:r>
        <w:rPr>
          <w:rFonts w:ascii="Times New Roman" w:eastAsia="宋体" w:hAnsi="Times New Roman"/>
          <w:i/>
          <w:iCs/>
          <w:color w:val="000000"/>
          <w:sz w:val="20"/>
          <w:szCs w:val="20"/>
        </w:rPr>
        <w:t xml:space="preserve"> U.S. v. Walmart Inc., et al</w:t>
      </w:r>
      <w:r>
        <w:rPr>
          <w:rFonts w:ascii="Times New Roman" w:eastAsia="宋体" w:hAnsi="Times New Roman"/>
          <w:color w:val="000000"/>
          <w:sz w:val="20"/>
          <w:szCs w:val="20"/>
        </w:rPr>
        <w:t xml:space="preserve">., USDC, Dist. of DE, 12/22/20. The Company filed a motion to dismiss the DOJ complaint on February 22, 2021. The DOJ filed its opposition </w:t>
      </w:r>
      <w:r>
        <w:rPr>
          <w:rFonts w:ascii="Times New Roman" w:eastAsia="宋体" w:hAnsi="Times New Roman"/>
          <w:color w:val="000000"/>
          <w:sz w:val="20"/>
          <w:szCs w:val="20"/>
        </w:rPr>
        <w:t xml:space="preserve">brief on April 23, 2021 and the Company filed its reply brief on May 24, 2021. On November 19, 2021, the District Court stayed further proceedings in the DOJ complaint pending the decision of the United States Supreme Court in two other cases interpreting </w:t>
      </w:r>
      <w:r>
        <w:rPr>
          <w:rFonts w:ascii="Times New Roman" w:eastAsia="宋体" w:hAnsi="Times New Roman"/>
          <w:color w:val="000000"/>
          <w:sz w:val="20"/>
          <w:szCs w:val="20"/>
        </w:rPr>
        <w:t xml:space="preserve">the CSA, which have been consolidated into </w:t>
      </w:r>
      <w:r>
        <w:rPr>
          <w:rFonts w:ascii="Times New Roman" w:eastAsia="宋体" w:hAnsi="Times New Roman"/>
          <w:i/>
          <w:iCs/>
          <w:color w:val="000000"/>
          <w:sz w:val="20"/>
          <w:szCs w:val="20"/>
        </w:rPr>
        <w:t>Ruan v. United States</w:t>
      </w:r>
      <w:r>
        <w:rPr>
          <w:rFonts w:ascii="Times New Roman" w:eastAsia="宋体" w:hAnsi="Times New Roman"/>
          <w:color w:val="000000"/>
          <w:sz w:val="20"/>
          <w:szCs w:val="20"/>
        </w:rPr>
        <w:t>, 142 S. Ct. 457 (2021).</w:t>
      </w:r>
    </w:p>
    <w:p w14:paraId="5DEC6D2C" w14:textId="77777777" w:rsidR="00B1578D" w:rsidRDefault="004D2C04">
      <w:pPr>
        <w:spacing w:before="100"/>
      </w:pPr>
      <w:r>
        <w:rPr>
          <w:rFonts w:ascii="Times New Roman" w:eastAsia="宋体" w:hAnsi="Times New Roman"/>
          <w:b/>
          <w:bCs/>
          <w:color w:val="000000"/>
          <w:sz w:val="20"/>
          <w:szCs w:val="20"/>
        </w:rPr>
        <w:t xml:space="preserve">Opioids Related Securities Class Actions and Derivative Litigation: </w:t>
      </w:r>
      <w:r>
        <w:rPr>
          <w:rFonts w:ascii="Times New Roman" w:eastAsia="宋体" w:hAnsi="Times New Roman"/>
          <w:color w:val="000000"/>
          <w:sz w:val="20"/>
          <w:szCs w:val="20"/>
        </w:rPr>
        <w:t xml:space="preserve">Three derivative complaints and two securities class actions drawing heavily on the allegations of </w:t>
      </w:r>
      <w:r>
        <w:rPr>
          <w:rFonts w:ascii="Times New Roman" w:eastAsia="宋体" w:hAnsi="Times New Roman"/>
          <w:color w:val="000000"/>
          <w:sz w:val="20"/>
          <w:szCs w:val="20"/>
        </w:rPr>
        <w:t>the DOJ complaint have been filed in Delaware naming the Company and various current and former directors and certain current and former officers as defendants. The plaintiffs in the derivative suits (in which the Company is a nominal defendant) allege, am</w:t>
      </w:r>
      <w:r>
        <w:rPr>
          <w:rFonts w:ascii="Times New Roman" w:eastAsia="宋体" w:hAnsi="Times New Roman"/>
          <w:color w:val="000000"/>
          <w:sz w:val="20"/>
          <w:szCs w:val="20"/>
        </w:rPr>
        <w:t>ong other things, that the defendants breached their fiduciary duties in connection with oversight of opioids dispensing and distribution and that the defendants violated Section 14(a) of the Securities Exchange Act of 1934, as amended (the "Exchange Act")</w:t>
      </w:r>
      <w:r>
        <w:rPr>
          <w:rFonts w:ascii="Times New Roman" w:eastAsia="宋体" w:hAnsi="Times New Roman"/>
          <w:color w:val="000000"/>
          <w:sz w:val="20"/>
          <w:szCs w:val="20"/>
        </w:rPr>
        <w:t>, and are liable for contribution under Section 10(b) of the Exchange Act in connection with the Company's disclosures about opioids. Two of the derivative suits have been filed in the U.S. District Court in Delaware and those suits have been stayed pendin</w:t>
      </w:r>
      <w:r>
        <w:rPr>
          <w:rFonts w:ascii="Times New Roman" w:eastAsia="宋体" w:hAnsi="Times New Roman"/>
          <w:color w:val="000000"/>
          <w:sz w:val="20"/>
          <w:szCs w:val="20"/>
        </w:rPr>
        <w:t>g further developments in other Opioids litigation matters. The other derivative suit has been filed in the Chancery Court in Delaware. The securities class actions, alleging violations of Sections 10(b) and 20(a) of the Exchange Act regarding the Company'</w:t>
      </w:r>
      <w:r>
        <w:rPr>
          <w:rFonts w:ascii="Times New Roman" w:eastAsia="宋体" w:hAnsi="Times New Roman"/>
          <w:color w:val="000000"/>
          <w:sz w:val="20"/>
          <w:szCs w:val="20"/>
        </w:rPr>
        <w:t>s disclosures with respect to opioids, were purportedly filed on behalf of a class of investors who acquired Walmart stock from March 30, 2016, through December 22, 2020. On May 11, 2021, the U.S. District Court in Delaware consolidated the class actions a</w:t>
      </w:r>
      <w:r>
        <w:rPr>
          <w:rFonts w:ascii="Times New Roman" w:eastAsia="宋体" w:hAnsi="Times New Roman"/>
          <w:color w:val="000000"/>
          <w:sz w:val="20"/>
          <w:szCs w:val="20"/>
        </w:rPr>
        <w:t>nd appointed a lead plaintiff and lead counsel. The defendants filed a motion to dismiss the consolidated securities class action on October 8, 2021; the lead plaintiff responded to the motion on January 10, 2022; and the defendants filed their reply brief</w:t>
      </w:r>
      <w:r>
        <w:rPr>
          <w:rFonts w:ascii="Times New Roman" w:eastAsia="宋体" w:hAnsi="Times New Roman"/>
          <w:color w:val="000000"/>
          <w:sz w:val="20"/>
          <w:szCs w:val="20"/>
        </w:rPr>
        <w:t xml:space="preserve"> on February 10, 2022. The defendants in the derivative suit pending in Delaware Chancery Court filed the opening brief on their motion to dismiss that case on December 21, 2021; and the plaintiffs responded by filing an amended complaint on February 22, 2</w:t>
      </w:r>
      <w:r>
        <w:rPr>
          <w:rFonts w:ascii="Times New Roman" w:eastAsia="宋体" w:hAnsi="Times New Roman"/>
          <w:color w:val="000000"/>
          <w:sz w:val="20"/>
          <w:szCs w:val="20"/>
        </w:rPr>
        <w:t xml:space="preserve">022. On April 27, 2022, the defendants filed their opening brief in support of their motion to dismiss the amended complaint. </w:t>
      </w:r>
    </w:p>
    <w:p w14:paraId="5DEC6D2D" w14:textId="77777777" w:rsidR="00B1578D" w:rsidRDefault="004D2C04">
      <w:pPr>
        <w:spacing w:before="100"/>
      </w:pPr>
      <w:r>
        <w:rPr>
          <w:rFonts w:ascii="Times New Roman" w:eastAsia="宋体" w:hAnsi="Times New Roman"/>
          <w:b/>
          <w:bCs/>
          <w:color w:val="000000"/>
          <w:sz w:val="20"/>
          <w:szCs w:val="20"/>
        </w:rPr>
        <w:t xml:space="preserve">Derivative Lawsuits: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xml:space="preserve">, USDC, Dist. of DE, 2/9/21; </w:t>
      </w:r>
      <w:r>
        <w:rPr>
          <w:rFonts w:ascii="Times New Roman" w:eastAsia="宋体" w:hAnsi="Times New Roman"/>
          <w:i/>
          <w:iCs/>
          <w:color w:val="000000"/>
          <w:sz w:val="20"/>
          <w:szCs w:val="20"/>
        </w:rPr>
        <w:t>Nguyen v. McMillon et al.,</w:t>
      </w:r>
      <w:r>
        <w:rPr>
          <w:rFonts w:ascii="Times New Roman" w:eastAsia="宋体" w:hAnsi="Times New Roman"/>
          <w:color w:val="000000"/>
          <w:sz w:val="20"/>
          <w:szCs w:val="20"/>
        </w:rPr>
        <w:t xml:space="preserve"> USDC, Dist. of DE, 4/16/21: </w:t>
      </w:r>
      <w:r>
        <w:rPr>
          <w:rFonts w:ascii="Times New Roman" w:eastAsia="宋体" w:hAnsi="Times New Roman"/>
          <w:i/>
          <w:iCs/>
          <w:color w:val="000000"/>
          <w:sz w:val="20"/>
          <w:szCs w:val="20"/>
        </w:rPr>
        <w:t>Ont</w:t>
      </w:r>
      <w:r>
        <w:rPr>
          <w:rFonts w:ascii="Times New Roman" w:eastAsia="宋体" w:hAnsi="Times New Roman"/>
          <w:i/>
          <w:iCs/>
          <w:color w:val="000000"/>
          <w:sz w:val="20"/>
          <w:szCs w:val="20"/>
        </w:rPr>
        <w:t xml:space="preserve">ario Provincial Council of Carpenters' Pension Trust Fund et al. v. Walton et al., </w:t>
      </w:r>
      <w:r>
        <w:rPr>
          <w:rFonts w:ascii="Times New Roman" w:eastAsia="宋体" w:hAnsi="Times New Roman"/>
          <w:color w:val="000000"/>
          <w:sz w:val="20"/>
          <w:szCs w:val="20"/>
        </w:rPr>
        <w:t>DE Court of Chancery, 9/27/21.</w:t>
      </w:r>
    </w:p>
    <w:p w14:paraId="5DEC6D2E" w14:textId="77777777" w:rsidR="00B1578D" w:rsidRDefault="004D2C04">
      <w:pPr>
        <w:spacing w:before="100"/>
      </w:pPr>
      <w:r>
        <w:rPr>
          <w:rFonts w:ascii="Times New Roman" w:eastAsia="宋体" w:hAnsi="Times New Roman"/>
          <w:b/>
          <w:bCs/>
          <w:color w:val="000000"/>
          <w:sz w:val="20"/>
          <w:szCs w:val="20"/>
        </w:rPr>
        <w:t>Securities Class Actions:</w:t>
      </w:r>
      <w:r>
        <w:rPr>
          <w:rFonts w:ascii="Times New Roman" w:eastAsia="宋体" w:hAnsi="Times New Roman"/>
          <w:i/>
          <w:iCs/>
          <w:color w:val="000000"/>
          <w:sz w:val="20"/>
          <w:szCs w:val="20"/>
        </w:rPr>
        <w:t xml:space="preserve"> Stanton v. Walmart Inc.</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et al.</w:t>
      </w:r>
      <w:r>
        <w:rPr>
          <w:rFonts w:ascii="Times New Roman" w:eastAsia="宋体" w:hAnsi="Times New Roman"/>
          <w:color w:val="000000"/>
          <w:sz w:val="20"/>
          <w:szCs w:val="20"/>
        </w:rPr>
        <w:t>, USDC, Dist. of DE, 1/20/21 and</w:t>
      </w:r>
      <w:r>
        <w:rPr>
          <w:rFonts w:ascii="Times New Roman" w:eastAsia="宋体" w:hAnsi="Times New Roman"/>
          <w:i/>
          <w:iCs/>
          <w:color w:val="000000"/>
          <w:sz w:val="20"/>
          <w:szCs w:val="20"/>
        </w:rPr>
        <w:t xml:space="preserve"> Martin v. Walmart Inc. et al., </w:t>
      </w:r>
      <w:r>
        <w:rPr>
          <w:rFonts w:ascii="Times New Roman" w:eastAsia="宋体" w:hAnsi="Times New Roman"/>
          <w:color w:val="000000"/>
          <w:sz w:val="20"/>
          <w:szCs w:val="20"/>
        </w:rPr>
        <w:t>USDC</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Dist. of DE, 3/5</w:t>
      </w:r>
      <w:r>
        <w:rPr>
          <w:rFonts w:ascii="Times New Roman" w:eastAsia="宋体" w:hAnsi="Times New Roman"/>
          <w:color w:val="000000"/>
          <w:sz w:val="20"/>
          <w:szCs w:val="20"/>
        </w:rPr>
        <w:t xml:space="preserve">/21, consolidated into </w:t>
      </w:r>
      <w:r>
        <w:rPr>
          <w:rFonts w:ascii="Times New Roman" w:eastAsia="宋体" w:hAnsi="Times New Roman"/>
          <w:i/>
          <w:iCs/>
          <w:color w:val="000000"/>
          <w:sz w:val="20"/>
          <w:szCs w:val="20"/>
        </w:rPr>
        <w:t>In re Walmart Inc. Securities Litigation</w:t>
      </w:r>
      <w:r>
        <w:rPr>
          <w:rFonts w:ascii="Times New Roman" w:eastAsia="宋体" w:hAnsi="Times New Roman"/>
          <w:color w:val="000000"/>
          <w:sz w:val="20"/>
          <w:szCs w:val="20"/>
        </w:rPr>
        <w:t>, USDC, Dist. of DE, 5/11/21.</w:t>
      </w:r>
    </w:p>
    <w:p w14:paraId="5DEC6D2F" w14:textId="77777777" w:rsidR="00B1578D" w:rsidRDefault="004D2C04">
      <w:pPr>
        <w:jc w:val="center"/>
      </w:pPr>
      <w:r>
        <w:rPr>
          <w:rFonts w:ascii="Times New Roman" w:eastAsia="宋体" w:hAnsi="Times New Roman"/>
          <w:color w:val="000000"/>
          <w:sz w:val="20"/>
          <w:szCs w:val="20"/>
        </w:rPr>
        <w:t>26</w:t>
      </w:r>
    </w:p>
    <w:p w14:paraId="5DEC6D30" w14:textId="77777777" w:rsidR="00B1578D" w:rsidRDefault="004D2C04">
      <w:r>
        <w:pict w14:anchorId="5DEC6F3F">
          <v:rect id="_x0000_i1050" style="width:415.3pt;height:1.5pt" o:hralign="center" o:hrstd="t" o:hr="t" fillcolor="#a0a0a0" stroked="f"/>
        </w:pict>
      </w:r>
    </w:p>
    <w:p w14:paraId="5DEC6D31" w14:textId="77777777" w:rsidR="00B1578D" w:rsidRDefault="004D2C04">
      <w:hyperlink r:id="rId81" w:anchor="ia92fe4e1fa654d85928fb72942eadb02_7" w:history="1">
        <w:r>
          <w:rPr>
            <w:rStyle w:val="a5"/>
            <w:rFonts w:ascii="Times New Roman" w:eastAsia="宋体" w:hAnsi="Times New Roman"/>
            <w:sz w:val="20"/>
            <w:szCs w:val="20"/>
          </w:rPr>
          <w:t>Table of Contents</w:t>
        </w:r>
      </w:hyperlink>
    </w:p>
    <w:p w14:paraId="5DEC6D32" w14:textId="77777777" w:rsidR="00B1578D" w:rsidRDefault="004D2C04">
      <w:pPr>
        <w:spacing w:before="100"/>
      </w:pPr>
      <w:r>
        <w:rPr>
          <w:rFonts w:ascii="Times New Roman" w:eastAsia="宋体" w:hAnsi="Times New Roman"/>
          <w:b/>
          <w:bCs/>
          <w:color w:val="000000"/>
          <w:sz w:val="20"/>
          <w:szCs w:val="20"/>
        </w:rPr>
        <w:t xml:space="preserve">II. CERTAIN OTHER MATTERS </w:t>
      </w:r>
    </w:p>
    <w:p w14:paraId="5DEC6D33" w14:textId="77777777" w:rsidR="00B1578D" w:rsidRDefault="004D2C04">
      <w:pPr>
        <w:spacing w:before="100"/>
      </w:pPr>
      <w:r>
        <w:rPr>
          <w:rFonts w:ascii="Times New Roman" w:eastAsia="宋体" w:hAnsi="Times New Roman"/>
          <w:b/>
          <w:bCs/>
          <w:color w:val="000000"/>
          <w:sz w:val="20"/>
          <w:szCs w:val="20"/>
        </w:rPr>
        <w:t>ASDA Equal Value Claims</w:t>
      </w:r>
      <w:r>
        <w:rPr>
          <w:rFonts w:ascii="Times New Roman" w:eastAsia="宋体" w:hAnsi="Times New Roman"/>
          <w:color w:val="000000"/>
          <w:sz w:val="20"/>
          <w:szCs w:val="20"/>
        </w:rPr>
        <w:t>: Ms S Brierley &amp; Others v ASDA Stor</w:t>
      </w:r>
      <w:r>
        <w:rPr>
          <w:rFonts w:ascii="Times New Roman" w:eastAsia="宋体" w:hAnsi="Times New Roman"/>
          <w:color w:val="000000"/>
          <w:sz w:val="20"/>
          <w:szCs w:val="20"/>
        </w:rPr>
        <w:t>es Ltd (2406372/2008 &amp; Others - Manchester Employment Tribunal); ASDA Stores Ltd v Brierley &amp; Ors (A2/2016/0973 - United Kingdom Court of Appeal); ASDA Stores Ltd v Ms S Brierley &amp; Others (UKEAT/0059/16/DM - United Kingdom Employment Appeal Tribunal); ASDA</w:t>
      </w:r>
      <w:r>
        <w:rPr>
          <w:rFonts w:ascii="Times New Roman" w:eastAsia="宋体" w:hAnsi="Times New Roman"/>
          <w:color w:val="000000"/>
          <w:sz w:val="20"/>
          <w:szCs w:val="20"/>
        </w:rPr>
        <w:t xml:space="preserve"> Stores Ltd v Ms S Brierley &amp; Others (UKEAT/0009/16/JOJ - United Kingdom Employment Appeal Tribunal).</w:t>
      </w:r>
    </w:p>
    <w:p w14:paraId="5DEC6D34" w14:textId="77777777" w:rsidR="00B1578D" w:rsidRDefault="004D2C04">
      <w:pPr>
        <w:spacing w:before="100"/>
      </w:pPr>
      <w:r>
        <w:rPr>
          <w:rFonts w:ascii="Times New Roman" w:eastAsia="宋体" w:hAnsi="Times New Roman"/>
          <w:b/>
          <w:bCs/>
          <w:color w:val="000000"/>
          <w:sz w:val="20"/>
          <w:szCs w:val="20"/>
        </w:rPr>
        <w:t>Foreign Direct Investment Matters:</w:t>
      </w:r>
      <w:r>
        <w:rPr>
          <w:rFonts w:ascii="Times New Roman" w:eastAsia="宋体" w:hAnsi="Times New Roman"/>
          <w:color w:val="000000"/>
          <w:sz w:val="20"/>
          <w:szCs w:val="20"/>
        </w:rPr>
        <w:t xml:space="preserve"> In July 2021, the Directorate of Enforcement in India issued a show cause notice to Flipkart Private Limited and one of</w:t>
      </w:r>
      <w:r>
        <w:rPr>
          <w:rFonts w:ascii="Times New Roman" w:eastAsia="宋体" w:hAnsi="Times New Roman"/>
          <w:color w:val="000000"/>
          <w:sz w:val="20"/>
          <w:szCs w:val="20"/>
        </w:rPr>
        <w:t xml:space="preserve"> its subsidiaries ("Flipkart"), and to unrelated companies and individuals, including certain current and former shareholders and directors of Flipkart. The notice requests the recipients to show cause as to why further proceedings under India's Foreign Di</w:t>
      </w:r>
      <w:r>
        <w:rPr>
          <w:rFonts w:ascii="Times New Roman" w:eastAsia="宋体" w:hAnsi="Times New Roman"/>
          <w:color w:val="000000"/>
          <w:sz w:val="20"/>
          <w:szCs w:val="20"/>
        </w:rPr>
        <w:t>rect Investment rules and regulations (the "Rules") should not be initiated against them based on alleged violations during the period from 2009 to 2015, prior to the Company's acquisition of a majority stake in Flipkart in 2018. The notice is an initial s</w:t>
      </w:r>
      <w:r>
        <w:rPr>
          <w:rFonts w:ascii="Times New Roman" w:eastAsia="宋体" w:hAnsi="Times New Roman"/>
          <w:color w:val="000000"/>
          <w:sz w:val="20"/>
          <w:szCs w:val="20"/>
        </w:rPr>
        <w:t>tage of proceedings under the Rules which could, depending upon the conclusions at the end of the initial stage, lead to a hearing to consider the merits of the allegations described in the notice. If a hearing is initiated and if it is determined that vio</w:t>
      </w:r>
      <w:r>
        <w:rPr>
          <w:rFonts w:ascii="Times New Roman" w:eastAsia="宋体" w:hAnsi="Times New Roman"/>
          <w:color w:val="000000"/>
          <w:sz w:val="20"/>
          <w:szCs w:val="20"/>
        </w:rPr>
        <w:t>lations of the Rules occurred, the regulatory authority has the authority to impose monetary and/or non-monetary relief. Flipkart has begun the process of responding to the notice and, if the matter progresses to a consideration of the merits of the allega</w:t>
      </w:r>
      <w:r>
        <w:rPr>
          <w:rFonts w:ascii="Times New Roman" w:eastAsia="宋体" w:hAnsi="Times New Roman"/>
          <w:color w:val="000000"/>
          <w:sz w:val="20"/>
          <w:szCs w:val="20"/>
        </w:rPr>
        <w:t xml:space="preserve">tions described in the notice is initiated, Flipkart intends to defend against the allegations vigorously. Due to the fact that this process is in an early stage, the Company is unable to predict whether the notice will lead to a hearing on the merits or, </w:t>
      </w:r>
      <w:r>
        <w:rPr>
          <w:rFonts w:ascii="Times New Roman" w:eastAsia="宋体" w:hAnsi="Times New Roman"/>
          <w:color w:val="000000"/>
          <w:sz w:val="20"/>
          <w:szCs w:val="20"/>
        </w:rPr>
        <w:t>if it does, the final outcome of the resulting proceedings. While the Company does not currently believe that this matter will have a material adverse effect on its business, financial condition, results of operations or cash flows, the Company can provide</w:t>
      </w:r>
      <w:r>
        <w:rPr>
          <w:rFonts w:ascii="Times New Roman" w:eastAsia="宋体" w:hAnsi="Times New Roman"/>
          <w:color w:val="000000"/>
          <w:sz w:val="20"/>
          <w:szCs w:val="20"/>
        </w:rPr>
        <w:t xml:space="preserve"> no assurance as to the scope or outcome of any proceeding that might result from the notice, the amount of the proceeds the Company may receive in indemnification from individuals and entities that sold shares to the Company under the 2018 agreement pursu</w:t>
      </w:r>
      <w:r>
        <w:rPr>
          <w:rFonts w:ascii="Times New Roman" w:eastAsia="宋体" w:hAnsi="Times New Roman"/>
          <w:color w:val="000000"/>
          <w:sz w:val="20"/>
          <w:szCs w:val="20"/>
        </w:rPr>
        <w:t>ant to which the Company acquired its majority stake in Flipkart, or whether the Company's business, financial position, results of operations or cash flows will not be materially adversely affected.</w:t>
      </w:r>
    </w:p>
    <w:p w14:paraId="5DEC6D35" w14:textId="77777777" w:rsidR="00B1578D" w:rsidRDefault="004D2C04">
      <w:pPr>
        <w:spacing w:before="18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Item 103 of SEC Regulation S</w:t>
      </w:r>
      <w:r>
        <w:rPr>
          <w:rFonts w:ascii="Times New Roman" w:eastAsia="宋体" w:hAnsi="Times New Roman"/>
          <w:color w:val="000000"/>
          <w:sz w:val="20"/>
          <w:szCs w:val="20"/>
        </w:rPr>
        <w:t>-K requires disclosure of certain environmental matters when a governmental authority is a party to the proceedings and such proceedings involve potential monetary sanctions that the Company reasonably believes will exceed an applied threshold not to excee</w:t>
      </w:r>
      <w:r>
        <w:rPr>
          <w:rFonts w:ascii="Times New Roman" w:eastAsia="宋体" w:hAnsi="Times New Roman"/>
          <w:color w:val="000000"/>
          <w:sz w:val="20"/>
          <w:szCs w:val="20"/>
        </w:rPr>
        <w:t xml:space="preserve">d $1 million. </w:t>
      </w:r>
    </w:p>
    <w:p w14:paraId="5DEC6D36" w14:textId="77777777" w:rsidR="00B1578D" w:rsidRDefault="004D2C04">
      <w:pPr>
        <w:spacing w:before="100"/>
      </w:pPr>
      <w:r>
        <w:rPr>
          <w:rFonts w:ascii="Times New Roman" w:eastAsia="宋体" w:hAnsi="Times New Roman"/>
          <w:color w:val="000000"/>
          <w:sz w:val="20"/>
          <w:szCs w:val="20"/>
        </w:rPr>
        <w:t>In December 2021, the Office of the Attorney General of the State of California filed suit against the Company, bringing enforcement claims regarding Walmart's management of waste consumer products at its California facilities that are alleg</w:t>
      </w:r>
      <w:r>
        <w:rPr>
          <w:rFonts w:ascii="Times New Roman" w:eastAsia="宋体" w:hAnsi="Times New Roman"/>
          <w:color w:val="000000"/>
          <w:sz w:val="20"/>
          <w:szCs w:val="20"/>
        </w:rPr>
        <w:t>ed to be hazardous. The Company believes the suit is without merit and is vigorously defending this litigation matter. While the Company cannot predict the ultimate outcome of this matter, the potential for penalties or settlement costs could exceed $1 mil</w:t>
      </w:r>
      <w:r>
        <w:rPr>
          <w:rFonts w:ascii="Times New Roman" w:eastAsia="宋体" w:hAnsi="Times New Roman"/>
          <w:color w:val="000000"/>
          <w:sz w:val="20"/>
          <w:szCs w:val="20"/>
        </w:rPr>
        <w:t>lion. Although the Company does not believe that this matter will have a material adverse effect on its business, financial position, results of operations, or cash flows, the Company can provide no assurance as to the scope and outcome of these matters an</w:t>
      </w:r>
      <w:r>
        <w:rPr>
          <w:rFonts w:ascii="Times New Roman" w:eastAsia="宋体" w:hAnsi="Times New Roman"/>
          <w:color w:val="000000"/>
          <w:sz w:val="20"/>
          <w:szCs w:val="20"/>
        </w:rPr>
        <w:t>d whether its business, financial position, results of operations or cash flows will not be materially adversely affected.</w:t>
      </w:r>
    </w:p>
    <w:p w14:paraId="5DEC6D37" w14:textId="77777777" w:rsidR="00B1578D" w:rsidRDefault="004D2C04">
      <w:pPr>
        <w:jc w:val="center"/>
      </w:pPr>
      <w:r>
        <w:rPr>
          <w:rFonts w:ascii="Times New Roman" w:eastAsia="宋体" w:hAnsi="Times New Roman"/>
          <w:color w:val="000000"/>
          <w:sz w:val="20"/>
          <w:szCs w:val="20"/>
        </w:rPr>
        <w:t>27</w:t>
      </w:r>
    </w:p>
    <w:p w14:paraId="5DEC6D38" w14:textId="77777777" w:rsidR="00B1578D" w:rsidRDefault="004D2C04">
      <w:r>
        <w:pict w14:anchorId="5DEC6F40">
          <v:rect id="_x0000_i1051" style="width:415.3pt;height:1.5pt" o:hralign="center" o:hrstd="t" o:hr="t" fillcolor="#a0a0a0" stroked="f"/>
        </w:pict>
      </w:r>
    </w:p>
    <w:p w14:paraId="5DEC6D39" w14:textId="77777777" w:rsidR="00B1578D" w:rsidRDefault="004D2C04">
      <w:hyperlink r:id="rId82" w:anchor="ia92fe4e1fa654d85928fb72942eadb02_7" w:history="1">
        <w:r>
          <w:rPr>
            <w:rStyle w:val="a5"/>
            <w:rFonts w:ascii="Times New Roman" w:eastAsia="宋体" w:hAnsi="Times New Roman"/>
            <w:sz w:val="20"/>
            <w:szCs w:val="20"/>
          </w:rPr>
          <w:t>Table of Contents</w:t>
        </w:r>
      </w:hyperlink>
    </w:p>
    <w:p w14:paraId="5DEC6D3A" w14:textId="77777777" w:rsidR="00B1578D" w:rsidRDefault="004D2C04">
      <w:pPr>
        <w:spacing w:before="180" w:after="180"/>
      </w:pPr>
      <w:r>
        <w:rPr>
          <w:rFonts w:ascii="Times New Roman" w:eastAsia="宋体" w:hAnsi="Times New Roman"/>
          <w:b/>
          <w:bCs/>
          <w:color w:val="000000"/>
          <w:sz w:val="20"/>
          <w:szCs w:val="20"/>
        </w:rPr>
        <w:t>Item 1A. Risk Factors</w:t>
      </w:r>
    </w:p>
    <w:p w14:paraId="5DEC6D3B" w14:textId="77777777" w:rsidR="00B1578D" w:rsidRDefault="004D2C04">
      <w:r>
        <w:rPr>
          <w:rFonts w:ascii="Times New Roman" w:eastAsia="宋体" w:hAnsi="Times New Roman"/>
          <w:color w:val="000000"/>
          <w:sz w:val="20"/>
          <w:szCs w:val="20"/>
        </w:rPr>
        <w:t>In addition to the other information set forth in this report, you should carefully consider the risk factors disclosed in Part I, Item 1A, under the caption "Risk Factors," of our Annual Repo</w:t>
      </w:r>
      <w:r>
        <w:rPr>
          <w:rFonts w:ascii="Times New Roman" w:eastAsia="宋体" w:hAnsi="Times New Roman"/>
          <w:color w:val="000000"/>
          <w:sz w:val="20"/>
          <w:szCs w:val="20"/>
        </w:rPr>
        <w:t>rt on Form 10-K for the fiscal year ended January 31, 2022 which risks could materially and adversely affect our business, results of operations, financial condition, and liquidity. No material change in the risk factors discussed in such Form 10-K has occ</w:t>
      </w:r>
      <w:r>
        <w:rPr>
          <w:rFonts w:ascii="Times New Roman" w:eastAsia="宋体" w:hAnsi="Times New Roman"/>
          <w:color w:val="000000"/>
          <w:sz w:val="20"/>
          <w:szCs w:val="20"/>
        </w:rPr>
        <w:t>urred. Such risk factors do not identify all risks that we face because our business operations could also be affected by additional factors that are not presently known to us or that we currently consider to be immaterial to our operations. Our business o</w:t>
      </w:r>
      <w:r>
        <w:rPr>
          <w:rFonts w:ascii="Times New Roman" w:eastAsia="宋体" w:hAnsi="Times New Roman"/>
          <w:color w:val="000000"/>
          <w:sz w:val="20"/>
          <w:szCs w:val="20"/>
        </w:rPr>
        <w:t>perations could also be affected by additional factors that apply to all companies operating in the U.S. and globally. </w:t>
      </w:r>
    </w:p>
    <w:p w14:paraId="5DEC6D3C" w14:textId="77777777" w:rsidR="00B1578D" w:rsidRDefault="004D2C04">
      <w:pPr>
        <w:spacing w:before="240"/>
      </w:pPr>
      <w:r>
        <w:rPr>
          <w:rFonts w:ascii="Times New Roman" w:eastAsia="宋体" w:hAnsi="Times New Roman"/>
          <w:b/>
          <w:bCs/>
          <w:color w:val="000000"/>
          <w:sz w:val="20"/>
          <w:szCs w:val="20"/>
        </w:rPr>
        <w:t>Item 2. Unregistered Sales of Equity Securities and Use of Proceeds</w:t>
      </w:r>
    </w:p>
    <w:p w14:paraId="5DEC6D3D" w14:textId="77777777" w:rsidR="00B1578D" w:rsidRDefault="004D2C04">
      <w:pPr>
        <w:spacing w:before="100"/>
      </w:pPr>
      <w:r>
        <w:rPr>
          <w:rFonts w:ascii="Times New Roman" w:eastAsia="宋体" w:hAnsi="Times New Roman"/>
          <w:color w:val="000000"/>
          <w:sz w:val="20"/>
          <w:szCs w:val="20"/>
        </w:rPr>
        <w:t>From time to time, the Company repurchases shares of its common stoc</w:t>
      </w:r>
      <w:r>
        <w:rPr>
          <w:rFonts w:ascii="Times New Roman" w:eastAsia="宋体" w:hAnsi="Times New Roman"/>
          <w:color w:val="000000"/>
          <w:sz w:val="20"/>
          <w:szCs w:val="20"/>
        </w:rPr>
        <w:t>k under share repurchase programs authorized by the Company's Board of Directors. All repurchases made during the three months ended April 30, 2022 were made under the current $20 billion share repurchase program approved in February 2021, which has no exp</w:t>
      </w:r>
      <w:r>
        <w:rPr>
          <w:rFonts w:ascii="Times New Roman" w:eastAsia="宋体" w:hAnsi="Times New Roman"/>
          <w:color w:val="000000"/>
          <w:sz w:val="20"/>
          <w:szCs w:val="20"/>
        </w:rPr>
        <w:t>iration date or other restrictions limiting the period over which the Company can make repurchases. As of April 30, 2022, authorization for $8.3 billion of share repurchases remained under the share repurchase program. Any repurchased shares are constructi</w:t>
      </w:r>
      <w:r>
        <w:rPr>
          <w:rFonts w:ascii="Times New Roman" w:eastAsia="宋体" w:hAnsi="Times New Roman"/>
          <w:color w:val="000000"/>
          <w:sz w:val="20"/>
          <w:szCs w:val="20"/>
        </w:rPr>
        <w:t xml:space="preserve">vely retired and returned to an unissued status. </w:t>
      </w:r>
    </w:p>
    <w:p w14:paraId="5DEC6D3E" w14:textId="77777777" w:rsidR="00B1578D" w:rsidRDefault="004D2C04">
      <w:pPr>
        <w:spacing w:before="100"/>
      </w:pPr>
      <w:r>
        <w:rPr>
          <w:rFonts w:ascii="Times New Roman" w:eastAsia="宋体" w:hAnsi="Times New Roman"/>
          <w:color w:val="000000"/>
          <w:sz w:val="20"/>
          <w:szCs w:val="20"/>
        </w:rPr>
        <w:t>The Company regularly reviews its share repurchase activity and considers several factors in determining when to execute share repurchases, including, among other things, current cash needs, capacity for le</w:t>
      </w:r>
      <w:r>
        <w:rPr>
          <w:rFonts w:ascii="Times New Roman" w:eastAsia="宋体" w:hAnsi="Times New Roman"/>
          <w:color w:val="000000"/>
          <w:sz w:val="20"/>
          <w:szCs w:val="20"/>
        </w:rPr>
        <w:t>verage, cost of borrowings and the market price of its common stock. Share repurchase activity under our share repurchase program, on a trade date basis, for the three months ended April 30, 2022, was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3009"/>
        <w:gridCol w:w="37"/>
        <w:gridCol w:w="36"/>
        <w:gridCol w:w="36"/>
        <w:gridCol w:w="36"/>
        <w:gridCol w:w="58"/>
        <w:gridCol w:w="975"/>
        <w:gridCol w:w="36"/>
        <w:gridCol w:w="36"/>
        <w:gridCol w:w="36"/>
        <w:gridCol w:w="36"/>
        <w:gridCol w:w="101"/>
        <w:gridCol w:w="789"/>
        <w:gridCol w:w="36"/>
        <w:gridCol w:w="36"/>
        <w:gridCol w:w="36"/>
        <w:gridCol w:w="36"/>
        <w:gridCol w:w="48"/>
        <w:gridCol w:w="1277"/>
        <w:gridCol w:w="36"/>
        <w:gridCol w:w="36"/>
        <w:gridCol w:w="36"/>
        <w:gridCol w:w="36"/>
        <w:gridCol w:w="101"/>
        <w:gridCol w:w="1278"/>
        <w:gridCol w:w="36"/>
      </w:tblGrid>
      <w:tr w:rsidR="00B1578D" w14:paraId="5DEC6D5A" w14:textId="77777777">
        <w:tc>
          <w:tcPr>
            <w:tcW w:w="50" w:type="pct"/>
            <w:shd w:val="clear" w:color="auto" w:fill="auto"/>
            <w:vAlign w:val="bottom"/>
          </w:tcPr>
          <w:p w14:paraId="5DEC6D3F" w14:textId="77777777" w:rsidR="00B1578D" w:rsidRDefault="00B1578D">
            <w:pPr>
              <w:rPr>
                <w:rFonts w:ascii="宋体"/>
              </w:rPr>
            </w:pPr>
          </w:p>
        </w:tc>
        <w:tc>
          <w:tcPr>
            <w:tcW w:w="1831" w:type="pct"/>
            <w:shd w:val="clear" w:color="auto" w:fill="auto"/>
            <w:vAlign w:val="bottom"/>
          </w:tcPr>
          <w:p w14:paraId="5DEC6D40" w14:textId="77777777" w:rsidR="00B1578D" w:rsidRDefault="00B1578D">
            <w:pPr>
              <w:rPr>
                <w:rFonts w:ascii="宋体"/>
              </w:rPr>
            </w:pPr>
          </w:p>
        </w:tc>
        <w:tc>
          <w:tcPr>
            <w:tcW w:w="5" w:type="pct"/>
            <w:shd w:val="clear" w:color="auto" w:fill="auto"/>
            <w:vAlign w:val="bottom"/>
          </w:tcPr>
          <w:p w14:paraId="5DEC6D41" w14:textId="77777777" w:rsidR="00B1578D" w:rsidRDefault="00B1578D">
            <w:pPr>
              <w:rPr>
                <w:rFonts w:ascii="宋体"/>
              </w:rPr>
            </w:pPr>
          </w:p>
        </w:tc>
        <w:tc>
          <w:tcPr>
            <w:tcW w:w="5" w:type="pct"/>
            <w:shd w:val="clear" w:color="auto" w:fill="auto"/>
            <w:vAlign w:val="bottom"/>
          </w:tcPr>
          <w:p w14:paraId="5DEC6D42" w14:textId="77777777" w:rsidR="00B1578D" w:rsidRDefault="00B1578D">
            <w:pPr>
              <w:rPr>
                <w:rFonts w:ascii="宋体"/>
              </w:rPr>
            </w:pPr>
          </w:p>
        </w:tc>
        <w:tc>
          <w:tcPr>
            <w:tcW w:w="26" w:type="pct"/>
            <w:shd w:val="clear" w:color="auto" w:fill="auto"/>
            <w:vAlign w:val="bottom"/>
          </w:tcPr>
          <w:p w14:paraId="5DEC6D43" w14:textId="77777777" w:rsidR="00B1578D" w:rsidRDefault="00B1578D">
            <w:pPr>
              <w:rPr>
                <w:rFonts w:ascii="宋体"/>
              </w:rPr>
            </w:pPr>
          </w:p>
        </w:tc>
        <w:tc>
          <w:tcPr>
            <w:tcW w:w="5" w:type="pct"/>
            <w:shd w:val="clear" w:color="auto" w:fill="auto"/>
            <w:vAlign w:val="bottom"/>
          </w:tcPr>
          <w:p w14:paraId="5DEC6D44" w14:textId="77777777" w:rsidR="00B1578D" w:rsidRDefault="00B1578D">
            <w:pPr>
              <w:rPr>
                <w:rFonts w:ascii="宋体"/>
              </w:rPr>
            </w:pPr>
          </w:p>
        </w:tc>
        <w:tc>
          <w:tcPr>
            <w:tcW w:w="50" w:type="pct"/>
            <w:shd w:val="clear" w:color="auto" w:fill="auto"/>
            <w:vAlign w:val="bottom"/>
          </w:tcPr>
          <w:p w14:paraId="5DEC6D45" w14:textId="77777777" w:rsidR="00B1578D" w:rsidRDefault="00B1578D">
            <w:pPr>
              <w:rPr>
                <w:rFonts w:ascii="宋体"/>
              </w:rPr>
            </w:pPr>
          </w:p>
        </w:tc>
        <w:tc>
          <w:tcPr>
            <w:tcW w:w="627" w:type="pct"/>
            <w:shd w:val="clear" w:color="auto" w:fill="auto"/>
            <w:vAlign w:val="bottom"/>
          </w:tcPr>
          <w:p w14:paraId="5DEC6D46" w14:textId="77777777" w:rsidR="00B1578D" w:rsidRDefault="00B1578D">
            <w:pPr>
              <w:rPr>
                <w:rFonts w:ascii="宋体"/>
              </w:rPr>
            </w:pPr>
          </w:p>
        </w:tc>
        <w:tc>
          <w:tcPr>
            <w:tcW w:w="5" w:type="pct"/>
            <w:shd w:val="clear" w:color="auto" w:fill="auto"/>
            <w:vAlign w:val="bottom"/>
          </w:tcPr>
          <w:p w14:paraId="5DEC6D47" w14:textId="77777777" w:rsidR="00B1578D" w:rsidRDefault="00B1578D">
            <w:pPr>
              <w:rPr>
                <w:rFonts w:ascii="宋体"/>
              </w:rPr>
            </w:pPr>
          </w:p>
        </w:tc>
        <w:tc>
          <w:tcPr>
            <w:tcW w:w="5" w:type="pct"/>
            <w:shd w:val="clear" w:color="auto" w:fill="auto"/>
            <w:vAlign w:val="bottom"/>
          </w:tcPr>
          <w:p w14:paraId="5DEC6D48" w14:textId="77777777" w:rsidR="00B1578D" w:rsidRDefault="00B1578D">
            <w:pPr>
              <w:rPr>
                <w:rFonts w:ascii="宋体"/>
              </w:rPr>
            </w:pPr>
          </w:p>
        </w:tc>
        <w:tc>
          <w:tcPr>
            <w:tcW w:w="26" w:type="pct"/>
            <w:shd w:val="clear" w:color="auto" w:fill="auto"/>
            <w:vAlign w:val="bottom"/>
          </w:tcPr>
          <w:p w14:paraId="5DEC6D49" w14:textId="77777777" w:rsidR="00B1578D" w:rsidRDefault="00B1578D">
            <w:pPr>
              <w:rPr>
                <w:rFonts w:ascii="宋体"/>
              </w:rPr>
            </w:pPr>
          </w:p>
        </w:tc>
        <w:tc>
          <w:tcPr>
            <w:tcW w:w="5" w:type="pct"/>
            <w:shd w:val="clear" w:color="auto" w:fill="auto"/>
            <w:vAlign w:val="bottom"/>
          </w:tcPr>
          <w:p w14:paraId="5DEC6D4A" w14:textId="77777777" w:rsidR="00B1578D" w:rsidRDefault="00B1578D">
            <w:pPr>
              <w:rPr>
                <w:rFonts w:ascii="宋体"/>
              </w:rPr>
            </w:pPr>
          </w:p>
        </w:tc>
        <w:tc>
          <w:tcPr>
            <w:tcW w:w="50" w:type="pct"/>
            <w:shd w:val="clear" w:color="auto" w:fill="auto"/>
            <w:vAlign w:val="bottom"/>
          </w:tcPr>
          <w:p w14:paraId="5DEC6D4B" w14:textId="77777777" w:rsidR="00B1578D" w:rsidRDefault="00B1578D">
            <w:pPr>
              <w:rPr>
                <w:rFonts w:ascii="宋体"/>
              </w:rPr>
            </w:pPr>
          </w:p>
        </w:tc>
        <w:tc>
          <w:tcPr>
            <w:tcW w:w="510" w:type="pct"/>
            <w:shd w:val="clear" w:color="auto" w:fill="auto"/>
            <w:vAlign w:val="bottom"/>
          </w:tcPr>
          <w:p w14:paraId="5DEC6D4C" w14:textId="77777777" w:rsidR="00B1578D" w:rsidRDefault="00B1578D">
            <w:pPr>
              <w:rPr>
                <w:rFonts w:ascii="宋体"/>
              </w:rPr>
            </w:pPr>
          </w:p>
        </w:tc>
        <w:tc>
          <w:tcPr>
            <w:tcW w:w="5" w:type="pct"/>
            <w:shd w:val="clear" w:color="auto" w:fill="auto"/>
            <w:vAlign w:val="bottom"/>
          </w:tcPr>
          <w:p w14:paraId="5DEC6D4D" w14:textId="77777777" w:rsidR="00B1578D" w:rsidRDefault="00B1578D">
            <w:pPr>
              <w:rPr>
                <w:rFonts w:ascii="宋体"/>
              </w:rPr>
            </w:pPr>
          </w:p>
        </w:tc>
        <w:tc>
          <w:tcPr>
            <w:tcW w:w="5" w:type="pct"/>
            <w:shd w:val="clear" w:color="auto" w:fill="auto"/>
            <w:vAlign w:val="bottom"/>
          </w:tcPr>
          <w:p w14:paraId="5DEC6D4E" w14:textId="77777777" w:rsidR="00B1578D" w:rsidRDefault="00B1578D">
            <w:pPr>
              <w:rPr>
                <w:rFonts w:ascii="宋体"/>
              </w:rPr>
            </w:pPr>
          </w:p>
        </w:tc>
        <w:tc>
          <w:tcPr>
            <w:tcW w:w="26" w:type="pct"/>
            <w:shd w:val="clear" w:color="auto" w:fill="auto"/>
            <w:vAlign w:val="bottom"/>
          </w:tcPr>
          <w:p w14:paraId="5DEC6D4F" w14:textId="77777777" w:rsidR="00B1578D" w:rsidRDefault="00B1578D">
            <w:pPr>
              <w:rPr>
                <w:rFonts w:ascii="宋体"/>
              </w:rPr>
            </w:pPr>
          </w:p>
        </w:tc>
        <w:tc>
          <w:tcPr>
            <w:tcW w:w="5" w:type="pct"/>
            <w:shd w:val="clear" w:color="auto" w:fill="auto"/>
            <w:vAlign w:val="bottom"/>
          </w:tcPr>
          <w:p w14:paraId="5DEC6D50" w14:textId="77777777" w:rsidR="00B1578D" w:rsidRDefault="00B1578D">
            <w:pPr>
              <w:rPr>
                <w:rFonts w:ascii="宋体"/>
              </w:rPr>
            </w:pPr>
          </w:p>
        </w:tc>
        <w:tc>
          <w:tcPr>
            <w:tcW w:w="50" w:type="pct"/>
            <w:shd w:val="clear" w:color="auto" w:fill="auto"/>
            <w:vAlign w:val="bottom"/>
          </w:tcPr>
          <w:p w14:paraId="5DEC6D51" w14:textId="77777777" w:rsidR="00B1578D" w:rsidRDefault="00B1578D">
            <w:pPr>
              <w:rPr>
                <w:rFonts w:ascii="宋体"/>
              </w:rPr>
            </w:pPr>
          </w:p>
        </w:tc>
        <w:tc>
          <w:tcPr>
            <w:tcW w:w="803" w:type="pct"/>
            <w:shd w:val="clear" w:color="auto" w:fill="auto"/>
            <w:vAlign w:val="bottom"/>
          </w:tcPr>
          <w:p w14:paraId="5DEC6D52" w14:textId="77777777" w:rsidR="00B1578D" w:rsidRDefault="00B1578D">
            <w:pPr>
              <w:rPr>
                <w:rFonts w:ascii="宋体"/>
              </w:rPr>
            </w:pPr>
          </w:p>
        </w:tc>
        <w:tc>
          <w:tcPr>
            <w:tcW w:w="5" w:type="pct"/>
            <w:shd w:val="clear" w:color="auto" w:fill="auto"/>
            <w:vAlign w:val="bottom"/>
          </w:tcPr>
          <w:p w14:paraId="5DEC6D53" w14:textId="77777777" w:rsidR="00B1578D" w:rsidRDefault="00B1578D">
            <w:pPr>
              <w:rPr>
                <w:rFonts w:ascii="宋体"/>
              </w:rPr>
            </w:pPr>
          </w:p>
        </w:tc>
        <w:tc>
          <w:tcPr>
            <w:tcW w:w="5" w:type="pct"/>
            <w:shd w:val="clear" w:color="auto" w:fill="auto"/>
            <w:vAlign w:val="bottom"/>
          </w:tcPr>
          <w:p w14:paraId="5DEC6D54" w14:textId="77777777" w:rsidR="00B1578D" w:rsidRDefault="00B1578D">
            <w:pPr>
              <w:rPr>
                <w:rFonts w:ascii="宋体"/>
              </w:rPr>
            </w:pPr>
          </w:p>
        </w:tc>
        <w:tc>
          <w:tcPr>
            <w:tcW w:w="26" w:type="pct"/>
            <w:shd w:val="clear" w:color="auto" w:fill="auto"/>
            <w:vAlign w:val="bottom"/>
          </w:tcPr>
          <w:p w14:paraId="5DEC6D55" w14:textId="77777777" w:rsidR="00B1578D" w:rsidRDefault="00B1578D">
            <w:pPr>
              <w:rPr>
                <w:rFonts w:ascii="宋体"/>
              </w:rPr>
            </w:pPr>
          </w:p>
        </w:tc>
        <w:tc>
          <w:tcPr>
            <w:tcW w:w="5" w:type="pct"/>
            <w:shd w:val="clear" w:color="auto" w:fill="auto"/>
            <w:vAlign w:val="bottom"/>
          </w:tcPr>
          <w:p w14:paraId="5DEC6D56" w14:textId="77777777" w:rsidR="00B1578D" w:rsidRDefault="00B1578D">
            <w:pPr>
              <w:rPr>
                <w:rFonts w:ascii="宋体"/>
              </w:rPr>
            </w:pPr>
          </w:p>
        </w:tc>
        <w:tc>
          <w:tcPr>
            <w:tcW w:w="50" w:type="pct"/>
            <w:shd w:val="clear" w:color="auto" w:fill="auto"/>
            <w:vAlign w:val="bottom"/>
          </w:tcPr>
          <w:p w14:paraId="5DEC6D57" w14:textId="77777777" w:rsidR="00B1578D" w:rsidRDefault="00B1578D">
            <w:pPr>
              <w:rPr>
                <w:rFonts w:ascii="宋体"/>
              </w:rPr>
            </w:pPr>
          </w:p>
        </w:tc>
        <w:tc>
          <w:tcPr>
            <w:tcW w:w="804" w:type="pct"/>
            <w:shd w:val="clear" w:color="auto" w:fill="auto"/>
            <w:vAlign w:val="bottom"/>
          </w:tcPr>
          <w:p w14:paraId="5DEC6D58" w14:textId="77777777" w:rsidR="00B1578D" w:rsidRDefault="00B1578D">
            <w:pPr>
              <w:rPr>
                <w:rFonts w:ascii="宋体"/>
              </w:rPr>
            </w:pPr>
          </w:p>
        </w:tc>
        <w:tc>
          <w:tcPr>
            <w:tcW w:w="5" w:type="pct"/>
            <w:shd w:val="clear" w:color="auto" w:fill="auto"/>
            <w:vAlign w:val="bottom"/>
          </w:tcPr>
          <w:p w14:paraId="5DEC6D59" w14:textId="77777777" w:rsidR="00B1578D" w:rsidRDefault="00B1578D">
            <w:pPr>
              <w:rPr>
                <w:rFonts w:ascii="宋体"/>
              </w:rPr>
            </w:pPr>
          </w:p>
        </w:tc>
      </w:tr>
      <w:tr w:rsidR="00B1578D" w14:paraId="5DEC6D69" w14:textId="77777777">
        <w:tc>
          <w:tcPr>
            <w:tcW w:w="0" w:type="auto"/>
            <w:gridSpan w:val="3"/>
            <w:shd w:val="clear" w:color="auto" w:fill="auto"/>
            <w:tcMar>
              <w:top w:w="40" w:type="dxa"/>
              <w:left w:w="20" w:type="dxa"/>
              <w:bottom w:w="40" w:type="dxa"/>
              <w:right w:w="20" w:type="dxa"/>
            </w:tcMar>
            <w:vAlign w:val="bottom"/>
          </w:tcPr>
          <w:p w14:paraId="5DEC6D5B" w14:textId="77777777" w:rsidR="00B1578D" w:rsidRDefault="004D2C04">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vAlign w:val="bottom"/>
          </w:tcPr>
          <w:p w14:paraId="5DEC6D5C"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D5D" w14:textId="77777777" w:rsidR="00B1578D" w:rsidRDefault="004D2C04">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5DEC6D5E"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D5F" w14:textId="77777777" w:rsidR="00B1578D" w:rsidRDefault="004D2C04">
            <w:pPr>
              <w:jc w:val="center"/>
              <w:textAlignment w:val="bottom"/>
            </w:pPr>
            <w:r>
              <w:rPr>
                <w:rFonts w:ascii="Times New Roman" w:eastAsia="宋体" w:hAnsi="Times New Roman"/>
                <w:b/>
                <w:bCs/>
                <w:color w:val="000000"/>
                <w:sz w:val="16"/>
                <w:szCs w:val="16"/>
              </w:rPr>
              <w:t>Average</w:t>
            </w:r>
            <w:r>
              <w:rPr>
                <w:rFonts w:ascii="Times New Roman" w:eastAsia="宋体" w:hAnsi="Times New Roman"/>
                <w:b/>
                <w:bCs/>
                <w:color w:val="000000"/>
                <w:sz w:val="16"/>
                <w:szCs w:val="16"/>
              </w:rPr>
              <w:br/>
              <w:t>Price Paid</w:t>
            </w:r>
            <w:r>
              <w:rPr>
                <w:rFonts w:ascii="Times New Roman" w:eastAsia="宋体" w:hAnsi="Times New Roman"/>
                <w:b/>
                <w:bCs/>
                <w:color w:val="000000"/>
                <w:sz w:val="16"/>
                <w:szCs w:val="16"/>
              </w:rPr>
              <w:br/>
              <w:t>per Share</w:t>
            </w:r>
          </w:p>
        </w:tc>
        <w:tc>
          <w:tcPr>
            <w:tcW w:w="0" w:type="auto"/>
            <w:gridSpan w:val="3"/>
            <w:shd w:val="clear" w:color="auto" w:fill="auto"/>
            <w:tcMar>
              <w:top w:w="0" w:type="dxa"/>
              <w:left w:w="20" w:type="dxa"/>
              <w:bottom w:w="0" w:type="dxa"/>
              <w:right w:w="20" w:type="dxa"/>
            </w:tcMar>
            <w:vAlign w:val="bottom"/>
          </w:tcPr>
          <w:p w14:paraId="5DEC6D6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D61" w14:textId="77777777" w:rsidR="00B1578D" w:rsidRDefault="004D2C04">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vAlign w:val="bottom"/>
          </w:tcPr>
          <w:p w14:paraId="5DEC6D6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D63" w14:textId="77777777" w:rsidR="00B1578D" w:rsidRDefault="004D2C04">
            <w:pPr>
              <w:jc w:val="center"/>
              <w:textAlignment w:val="bottom"/>
            </w:pPr>
            <w:r>
              <w:rPr>
                <w:rFonts w:ascii="Times New Roman" w:eastAsia="宋体" w:hAnsi="Times New Roman"/>
                <w:b/>
                <w:bCs/>
                <w:color w:val="000000"/>
                <w:sz w:val="16"/>
                <w:szCs w:val="16"/>
              </w:rPr>
              <w:t>Approximate Dollar </w:t>
            </w:r>
          </w:p>
          <w:p w14:paraId="5DEC6D64" w14:textId="77777777" w:rsidR="00B1578D" w:rsidRDefault="004D2C04">
            <w:pPr>
              <w:jc w:val="center"/>
              <w:textAlignment w:val="bottom"/>
            </w:pPr>
            <w:r>
              <w:rPr>
                <w:rFonts w:ascii="Times New Roman" w:eastAsia="宋体" w:hAnsi="Times New Roman"/>
                <w:b/>
                <w:bCs/>
                <w:color w:val="000000"/>
                <w:sz w:val="16"/>
                <w:szCs w:val="16"/>
              </w:rPr>
              <w:t>Value of Shares that</w:t>
            </w:r>
          </w:p>
          <w:p w14:paraId="5DEC6D65" w14:textId="77777777" w:rsidR="00B1578D" w:rsidRDefault="004D2C04">
            <w:pPr>
              <w:jc w:val="center"/>
              <w:textAlignment w:val="bottom"/>
            </w:pPr>
            <w:r>
              <w:rPr>
                <w:rFonts w:ascii="Times New Roman" w:eastAsia="宋体" w:hAnsi="Times New Roman"/>
                <w:b/>
                <w:bCs/>
                <w:color w:val="000000"/>
                <w:sz w:val="16"/>
                <w:szCs w:val="16"/>
              </w:rPr>
              <w:t>May Yet Be</w:t>
            </w:r>
          </w:p>
          <w:p w14:paraId="5DEC6D66" w14:textId="77777777" w:rsidR="00B1578D" w:rsidRDefault="004D2C04">
            <w:pPr>
              <w:jc w:val="center"/>
              <w:textAlignment w:val="bottom"/>
            </w:pPr>
            <w:r>
              <w:rPr>
                <w:rFonts w:ascii="Times New Roman" w:eastAsia="宋体" w:hAnsi="Times New Roman"/>
                <w:b/>
                <w:bCs/>
                <w:color w:val="000000"/>
                <w:sz w:val="16"/>
                <w:szCs w:val="16"/>
              </w:rPr>
              <w:t>Purchased Under the</w:t>
            </w:r>
          </w:p>
          <w:p w14:paraId="5DEC6D67" w14:textId="77777777" w:rsidR="00B1578D" w:rsidRDefault="004D2C04">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5DEC6D68" w14:textId="77777777" w:rsidR="00B1578D" w:rsidRDefault="004D2C04">
            <w:pPr>
              <w:jc w:val="center"/>
              <w:textAlignment w:val="bottom"/>
            </w:pPr>
            <w:r>
              <w:rPr>
                <w:rFonts w:ascii="Times New Roman" w:eastAsia="宋体" w:hAnsi="Times New Roman"/>
                <w:b/>
                <w:bCs/>
                <w:color w:val="000000"/>
                <w:sz w:val="16"/>
                <w:szCs w:val="16"/>
              </w:rPr>
              <w:t>(billions)</w:t>
            </w:r>
          </w:p>
        </w:tc>
      </w:tr>
      <w:tr w:rsidR="00B1578D" w14:paraId="5DEC6D79"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DEC6D6A" w14:textId="77777777" w:rsidR="00B1578D" w:rsidRDefault="004D2C04">
            <w:pPr>
              <w:textAlignment w:val="center"/>
            </w:pPr>
            <w:r>
              <w:rPr>
                <w:rFonts w:ascii="Times New Roman" w:eastAsia="宋体" w:hAnsi="Times New Roman"/>
                <w:color w:val="000000"/>
                <w:sz w:val="16"/>
                <w:szCs w:val="16"/>
              </w:rPr>
              <w:t>February 1 - 28, 2022</w:t>
            </w:r>
          </w:p>
        </w:tc>
        <w:tc>
          <w:tcPr>
            <w:tcW w:w="0" w:type="auto"/>
            <w:gridSpan w:val="3"/>
            <w:shd w:val="clear" w:color="auto" w:fill="CCEEFF"/>
            <w:tcMar>
              <w:top w:w="0" w:type="dxa"/>
              <w:left w:w="20" w:type="dxa"/>
              <w:bottom w:w="0" w:type="dxa"/>
              <w:right w:w="20" w:type="dxa"/>
            </w:tcMar>
            <w:vAlign w:val="bottom"/>
          </w:tcPr>
          <w:p w14:paraId="5DEC6D6B"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D6C" w14:textId="77777777" w:rsidR="00B1578D" w:rsidRDefault="004D2C04">
            <w:pPr>
              <w:jc w:val="right"/>
              <w:textAlignment w:val="center"/>
            </w:pPr>
            <w:r>
              <w:rPr>
                <w:rFonts w:ascii="Times New Roman" w:eastAsia="宋体" w:hAnsi="Times New Roman"/>
                <w:color w:val="000000"/>
                <w:sz w:val="16"/>
                <w:szCs w:val="16"/>
              </w:rPr>
              <w:t>6,677,564 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D6D"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D6E"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D6F"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D70" w14:textId="77777777" w:rsidR="00B1578D" w:rsidRDefault="004D2C04">
            <w:pPr>
              <w:jc w:val="right"/>
              <w:textAlignment w:val="center"/>
            </w:pPr>
            <w:r>
              <w:rPr>
                <w:rFonts w:ascii="Times New Roman" w:eastAsia="宋体" w:hAnsi="Times New Roman"/>
                <w:color w:val="000000"/>
                <w:sz w:val="16"/>
                <w:szCs w:val="16"/>
              </w:rPr>
              <w:t>136.63 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D7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D72" w14:textId="77777777" w:rsidR="00B1578D" w:rsidRDefault="00B1578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DEC6D73" w14:textId="77777777" w:rsidR="00B1578D" w:rsidRDefault="004D2C04">
            <w:pPr>
              <w:jc w:val="right"/>
              <w:textAlignment w:val="center"/>
            </w:pPr>
            <w:r>
              <w:rPr>
                <w:rFonts w:ascii="Times New Roman" w:eastAsia="宋体" w:hAnsi="Times New Roman"/>
                <w:color w:val="000000"/>
                <w:sz w:val="16"/>
                <w:szCs w:val="16"/>
              </w:rPr>
              <w:t>6,677,564 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D74"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D75" w14:textId="77777777" w:rsidR="00B1578D" w:rsidRDefault="00B1578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DEC6D76" w14:textId="77777777" w:rsidR="00B1578D" w:rsidRDefault="004D2C04">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DEC6D77" w14:textId="77777777" w:rsidR="00B1578D" w:rsidRDefault="004D2C04">
            <w:pPr>
              <w:jc w:val="right"/>
              <w:textAlignment w:val="center"/>
            </w:pPr>
            <w:r>
              <w:rPr>
                <w:rFonts w:ascii="Times New Roman" w:eastAsia="宋体" w:hAnsi="Times New Roman"/>
                <w:color w:val="000000"/>
                <w:sz w:val="16"/>
                <w:szCs w:val="16"/>
              </w:rPr>
              <w:t>9.7 </w:t>
            </w:r>
          </w:p>
        </w:tc>
        <w:tc>
          <w:tcPr>
            <w:tcW w:w="0" w:type="auto"/>
            <w:tcBorders>
              <w:top w:val="single" w:sz="8" w:space="0" w:color="000000"/>
            </w:tcBorders>
            <w:shd w:val="clear" w:color="auto" w:fill="CCEEFF"/>
            <w:tcMar>
              <w:top w:w="40" w:type="dxa"/>
              <w:left w:w="0" w:type="dxa"/>
              <w:bottom w:w="40" w:type="dxa"/>
              <w:right w:w="20" w:type="dxa"/>
            </w:tcMar>
            <w:vAlign w:val="center"/>
          </w:tcPr>
          <w:p w14:paraId="5DEC6D78" w14:textId="77777777" w:rsidR="00B1578D" w:rsidRDefault="00B1578D">
            <w:pPr>
              <w:jc w:val="right"/>
              <w:rPr>
                <w:rFonts w:ascii="宋体"/>
              </w:rPr>
            </w:pPr>
          </w:p>
        </w:tc>
      </w:tr>
      <w:tr w:rsidR="00B1578D" w14:paraId="5DEC6D87" w14:textId="77777777">
        <w:tc>
          <w:tcPr>
            <w:tcW w:w="0" w:type="auto"/>
            <w:gridSpan w:val="3"/>
            <w:shd w:val="clear" w:color="auto" w:fill="FFFFFF"/>
            <w:tcMar>
              <w:top w:w="40" w:type="dxa"/>
              <w:left w:w="20" w:type="dxa"/>
              <w:bottom w:w="40" w:type="dxa"/>
              <w:right w:w="20" w:type="dxa"/>
            </w:tcMar>
            <w:vAlign w:val="center"/>
          </w:tcPr>
          <w:p w14:paraId="5DEC6D7A" w14:textId="77777777" w:rsidR="00B1578D" w:rsidRDefault="004D2C04">
            <w:pPr>
              <w:textAlignment w:val="center"/>
            </w:pPr>
            <w:r>
              <w:rPr>
                <w:rFonts w:ascii="Times New Roman" w:eastAsia="宋体" w:hAnsi="Times New Roman"/>
                <w:color w:val="000000"/>
                <w:sz w:val="16"/>
                <w:szCs w:val="16"/>
              </w:rPr>
              <w:t>March 1 - 31, 2022</w:t>
            </w:r>
          </w:p>
        </w:tc>
        <w:tc>
          <w:tcPr>
            <w:tcW w:w="0" w:type="auto"/>
            <w:gridSpan w:val="3"/>
            <w:shd w:val="clear" w:color="auto" w:fill="FFFFFF"/>
            <w:tcMar>
              <w:top w:w="0" w:type="dxa"/>
              <w:left w:w="20" w:type="dxa"/>
              <w:bottom w:w="0" w:type="dxa"/>
              <w:right w:w="20" w:type="dxa"/>
            </w:tcMar>
            <w:vAlign w:val="bottom"/>
          </w:tcPr>
          <w:p w14:paraId="5DEC6D7B"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D7C" w14:textId="77777777" w:rsidR="00B1578D" w:rsidRDefault="004D2C04">
            <w:pPr>
              <w:jc w:val="right"/>
              <w:textAlignment w:val="center"/>
            </w:pPr>
            <w:r>
              <w:rPr>
                <w:rFonts w:ascii="Times New Roman" w:eastAsia="宋体" w:hAnsi="Times New Roman"/>
                <w:color w:val="000000"/>
                <w:sz w:val="16"/>
                <w:szCs w:val="16"/>
              </w:rPr>
              <w:t>6,641,000 </w:t>
            </w:r>
          </w:p>
        </w:tc>
        <w:tc>
          <w:tcPr>
            <w:tcW w:w="0" w:type="auto"/>
            <w:shd w:val="clear" w:color="auto" w:fill="FFFFFF"/>
            <w:tcMar>
              <w:top w:w="40" w:type="dxa"/>
              <w:left w:w="0" w:type="dxa"/>
              <w:bottom w:w="40" w:type="dxa"/>
              <w:right w:w="20" w:type="dxa"/>
            </w:tcMar>
            <w:vAlign w:val="center"/>
          </w:tcPr>
          <w:p w14:paraId="5DEC6D7D"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D7E"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D7F" w14:textId="77777777" w:rsidR="00B1578D" w:rsidRDefault="004D2C04">
            <w:pPr>
              <w:jc w:val="right"/>
              <w:textAlignment w:val="center"/>
            </w:pPr>
            <w:r>
              <w:rPr>
                <w:rFonts w:ascii="Times New Roman" w:eastAsia="宋体" w:hAnsi="Times New Roman"/>
                <w:color w:val="000000"/>
                <w:sz w:val="16"/>
                <w:szCs w:val="16"/>
              </w:rPr>
              <w:t>142.14 </w:t>
            </w:r>
          </w:p>
        </w:tc>
        <w:tc>
          <w:tcPr>
            <w:tcW w:w="0" w:type="auto"/>
            <w:shd w:val="clear" w:color="auto" w:fill="FFFFFF"/>
            <w:tcMar>
              <w:top w:w="40" w:type="dxa"/>
              <w:left w:w="0" w:type="dxa"/>
              <w:bottom w:w="40" w:type="dxa"/>
              <w:right w:w="20" w:type="dxa"/>
            </w:tcMar>
            <w:vAlign w:val="center"/>
          </w:tcPr>
          <w:p w14:paraId="5DEC6D80"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D81"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D82" w14:textId="77777777" w:rsidR="00B1578D" w:rsidRDefault="004D2C04">
            <w:pPr>
              <w:jc w:val="right"/>
              <w:textAlignment w:val="center"/>
            </w:pPr>
            <w:r>
              <w:rPr>
                <w:rFonts w:ascii="Times New Roman" w:eastAsia="宋体" w:hAnsi="Times New Roman"/>
                <w:color w:val="000000"/>
                <w:sz w:val="16"/>
                <w:szCs w:val="16"/>
              </w:rPr>
              <w:t>6,641,000 </w:t>
            </w:r>
          </w:p>
        </w:tc>
        <w:tc>
          <w:tcPr>
            <w:tcW w:w="0" w:type="auto"/>
            <w:shd w:val="clear" w:color="auto" w:fill="FFFFFF"/>
            <w:tcMar>
              <w:top w:w="40" w:type="dxa"/>
              <w:left w:w="0" w:type="dxa"/>
              <w:bottom w:w="40" w:type="dxa"/>
              <w:right w:w="20" w:type="dxa"/>
            </w:tcMar>
            <w:vAlign w:val="center"/>
          </w:tcPr>
          <w:p w14:paraId="5DEC6D83"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D84" w14:textId="77777777" w:rsidR="00B1578D" w:rsidRDefault="00B1578D">
            <w:pPr>
              <w:rPr>
                <w:rFonts w:ascii="宋体"/>
              </w:rPr>
            </w:pPr>
          </w:p>
        </w:tc>
        <w:tc>
          <w:tcPr>
            <w:tcW w:w="0" w:type="auto"/>
            <w:gridSpan w:val="2"/>
            <w:shd w:val="clear" w:color="auto" w:fill="FFFFFF"/>
            <w:tcMar>
              <w:top w:w="40" w:type="dxa"/>
              <w:left w:w="20" w:type="dxa"/>
              <w:bottom w:w="40" w:type="dxa"/>
              <w:right w:w="0" w:type="dxa"/>
            </w:tcMar>
            <w:vAlign w:val="center"/>
          </w:tcPr>
          <w:p w14:paraId="5DEC6D85" w14:textId="77777777" w:rsidR="00B1578D" w:rsidRDefault="004D2C04">
            <w:pPr>
              <w:jc w:val="right"/>
              <w:textAlignment w:val="center"/>
            </w:pPr>
            <w:r>
              <w:rPr>
                <w:rFonts w:ascii="Times New Roman" w:eastAsia="宋体" w:hAnsi="Times New Roman"/>
                <w:color w:val="000000"/>
                <w:sz w:val="16"/>
                <w:szCs w:val="16"/>
              </w:rPr>
              <w:t>8.8 </w:t>
            </w:r>
          </w:p>
        </w:tc>
        <w:tc>
          <w:tcPr>
            <w:tcW w:w="0" w:type="auto"/>
            <w:shd w:val="clear" w:color="auto" w:fill="FFFFFF"/>
            <w:tcMar>
              <w:top w:w="40" w:type="dxa"/>
              <w:left w:w="0" w:type="dxa"/>
              <w:bottom w:w="40" w:type="dxa"/>
              <w:right w:w="20" w:type="dxa"/>
            </w:tcMar>
            <w:vAlign w:val="center"/>
          </w:tcPr>
          <w:p w14:paraId="5DEC6D86" w14:textId="77777777" w:rsidR="00B1578D" w:rsidRDefault="00B1578D">
            <w:pPr>
              <w:jc w:val="right"/>
              <w:rPr>
                <w:rFonts w:ascii="宋体"/>
              </w:rPr>
            </w:pPr>
          </w:p>
        </w:tc>
      </w:tr>
      <w:tr w:rsidR="00B1578D" w14:paraId="5DEC6D95" w14:textId="77777777">
        <w:tc>
          <w:tcPr>
            <w:tcW w:w="0" w:type="auto"/>
            <w:gridSpan w:val="3"/>
            <w:shd w:val="clear" w:color="auto" w:fill="CCEEFF"/>
            <w:tcMar>
              <w:top w:w="40" w:type="dxa"/>
              <w:left w:w="20" w:type="dxa"/>
              <w:bottom w:w="40" w:type="dxa"/>
              <w:right w:w="20" w:type="dxa"/>
            </w:tcMar>
            <w:vAlign w:val="center"/>
          </w:tcPr>
          <w:p w14:paraId="5DEC6D88" w14:textId="77777777" w:rsidR="00B1578D" w:rsidRDefault="004D2C04">
            <w:pPr>
              <w:textAlignment w:val="center"/>
            </w:pPr>
            <w:r>
              <w:rPr>
                <w:rFonts w:ascii="Times New Roman" w:eastAsia="宋体" w:hAnsi="Times New Roman"/>
                <w:color w:val="000000"/>
                <w:sz w:val="16"/>
                <w:szCs w:val="16"/>
              </w:rPr>
              <w:t>April 1 - 30, 2022</w:t>
            </w:r>
          </w:p>
        </w:tc>
        <w:tc>
          <w:tcPr>
            <w:tcW w:w="0" w:type="auto"/>
            <w:gridSpan w:val="3"/>
            <w:shd w:val="clear" w:color="auto" w:fill="CCEEFF"/>
            <w:tcMar>
              <w:top w:w="0" w:type="dxa"/>
              <w:left w:w="20" w:type="dxa"/>
              <w:bottom w:w="0" w:type="dxa"/>
              <w:right w:w="20" w:type="dxa"/>
            </w:tcMar>
            <w:vAlign w:val="bottom"/>
          </w:tcPr>
          <w:p w14:paraId="5DEC6D89"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D8A" w14:textId="77777777" w:rsidR="00B1578D" w:rsidRDefault="004D2C04">
            <w:pPr>
              <w:jc w:val="right"/>
              <w:textAlignment w:val="center"/>
            </w:pPr>
            <w:r>
              <w:rPr>
                <w:rFonts w:ascii="Times New Roman" w:eastAsia="宋体" w:hAnsi="Times New Roman"/>
                <w:color w:val="000000"/>
                <w:sz w:val="16"/>
                <w:szCs w:val="16"/>
              </w:rPr>
              <w:t>3,341,798 </w:t>
            </w:r>
          </w:p>
        </w:tc>
        <w:tc>
          <w:tcPr>
            <w:tcW w:w="0" w:type="auto"/>
            <w:shd w:val="clear" w:color="auto" w:fill="CCEEFF"/>
            <w:tcMar>
              <w:top w:w="40" w:type="dxa"/>
              <w:left w:w="0" w:type="dxa"/>
              <w:bottom w:w="40" w:type="dxa"/>
              <w:right w:w="20" w:type="dxa"/>
            </w:tcMar>
            <w:vAlign w:val="center"/>
          </w:tcPr>
          <w:p w14:paraId="5DEC6D8B"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D8C"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D8D" w14:textId="77777777" w:rsidR="00B1578D" w:rsidRDefault="004D2C04">
            <w:pPr>
              <w:jc w:val="right"/>
              <w:textAlignment w:val="center"/>
            </w:pPr>
            <w:r>
              <w:rPr>
                <w:rFonts w:ascii="Times New Roman" w:eastAsia="宋体" w:hAnsi="Times New Roman"/>
                <w:color w:val="000000"/>
                <w:sz w:val="16"/>
                <w:szCs w:val="16"/>
              </w:rPr>
              <w:t>155.50 </w:t>
            </w:r>
          </w:p>
        </w:tc>
        <w:tc>
          <w:tcPr>
            <w:tcW w:w="0" w:type="auto"/>
            <w:shd w:val="clear" w:color="auto" w:fill="CCEEFF"/>
            <w:tcMar>
              <w:top w:w="40" w:type="dxa"/>
              <w:left w:w="0" w:type="dxa"/>
              <w:bottom w:w="40" w:type="dxa"/>
              <w:right w:w="20" w:type="dxa"/>
            </w:tcMar>
            <w:vAlign w:val="center"/>
          </w:tcPr>
          <w:p w14:paraId="5DEC6D8E"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D8F"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D90" w14:textId="77777777" w:rsidR="00B1578D" w:rsidRDefault="004D2C04">
            <w:pPr>
              <w:jc w:val="right"/>
              <w:textAlignment w:val="center"/>
            </w:pPr>
            <w:r>
              <w:rPr>
                <w:rFonts w:ascii="Times New Roman" w:eastAsia="宋体" w:hAnsi="Times New Roman"/>
                <w:color w:val="000000"/>
                <w:sz w:val="16"/>
                <w:szCs w:val="16"/>
              </w:rPr>
              <w:t>3,341,798 </w:t>
            </w:r>
          </w:p>
        </w:tc>
        <w:tc>
          <w:tcPr>
            <w:tcW w:w="0" w:type="auto"/>
            <w:shd w:val="clear" w:color="auto" w:fill="CCEEFF"/>
            <w:tcMar>
              <w:top w:w="40" w:type="dxa"/>
              <w:left w:w="0" w:type="dxa"/>
              <w:bottom w:w="40" w:type="dxa"/>
              <w:right w:w="20" w:type="dxa"/>
            </w:tcMar>
            <w:vAlign w:val="center"/>
          </w:tcPr>
          <w:p w14:paraId="5DEC6D91" w14:textId="77777777" w:rsidR="00B1578D" w:rsidRDefault="00B1578D">
            <w:pPr>
              <w:jc w:val="right"/>
              <w:rPr>
                <w:rFonts w:ascii="宋体"/>
              </w:rPr>
            </w:pPr>
          </w:p>
        </w:tc>
        <w:tc>
          <w:tcPr>
            <w:tcW w:w="0" w:type="auto"/>
            <w:gridSpan w:val="3"/>
            <w:shd w:val="clear" w:color="auto" w:fill="CCEEFF"/>
            <w:tcMar>
              <w:top w:w="0" w:type="dxa"/>
              <w:left w:w="20" w:type="dxa"/>
              <w:bottom w:w="0" w:type="dxa"/>
              <w:right w:w="20" w:type="dxa"/>
            </w:tcMar>
            <w:vAlign w:val="bottom"/>
          </w:tcPr>
          <w:p w14:paraId="5DEC6D92" w14:textId="77777777" w:rsidR="00B1578D" w:rsidRDefault="00B1578D">
            <w:pPr>
              <w:rPr>
                <w:rFonts w:ascii="宋体"/>
              </w:rPr>
            </w:pPr>
          </w:p>
        </w:tc>
        <w:tc>
          <w:tcPr>
            <w:tcW w:w="0" w:type="auto"/>
            <w:gridSpan w:val="2"/>
            <w:shd w:val="clear" w:color="auto" w:fill="CCEEFF"/>
            <w:tcMar>
              <w:top w:w="40" w:type="dxa"/>
              <w:left w:w="20" w:type="dxa"/>
              <w:bottom w:w="40" w:type="dxa"/>
              <w:right w:w="0" w:type="dxa"/>
            </w:tcMar>
            <w:vAlign w:val="center"/>
          </w:tcPr>
          <w:p w14:paraId="5DEC6D93" w14:textId="77777777" w:rsidR="00B1578D" w:rsidRDefault="004D2C04">
            <w:pPr>
              <w:jc w:val="right"/>
              <w:textAlignment w:val="center"/>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center"/>
          </w:tcPr>
          <w:p w14:paraId="5DEC6D94" w14:textId="77777777" w:rsidR="00B1578D" w:rsidRDefault="00B1578D">
            <w:pPr>
              <w:jc w:val="right"/>
              <w:rPr>
                <w:rFonts w:ascii="宋体"/>
              </w:rPr>
            </w:pPr>
          </w:p>
        </w:tc>
      </w:tr>
      <w:tr w:rsidR="00B1578D" w14:paraId="5DEC6DA1" w14:textId="77777777">
        <w:tc>
          <w:tcPr>
            <w:tcW w:w="0" w:type="auto"/>
            <w:gridSpan w:val="3"/>
            <w:shd w:val="clear" w:color="auto" w:fill="FFFFFF"/>
            <w:tcMar>
              <w:top w:w="40" w:type="dxa"/>
              <w:left w:w="20" w:type="dxa"/>
              <w:bottom w:w="40" w:type="dxa"/>
              <w:right w:w="20" w:type="dxa"/>
            </w:tcMar>
            <w:vAlign w:val="center"/>
          </w:tcPr>
          <w:p w14:paraId="5DEC6D96" w14:textId="77777777" w:rsidR="00B1578D" w:rsidRDefault="004D2C04">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5DEC6D97" w14:textId="77777777" w:rsidR="00B1578D" w:rsidRDefault="00B1578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D98" w14:textId="77777777" w:rsidR="00B1578D" w:rsidRDefault="004D2C04">
            <w:pPr>
              <w:jc w:val="right"/>
              <w:textAlignment w:val="center"/>
            </w:pPr>
            <w:r>
              <w:rPr>
                <w:rFonts w:ascii="Times New Roman" w:eastAsia="宋体" w:hAnsi="Times New Roman"/>
                <w:color w:val="000000"/>
                <w:sz w:val="16"/>
                <w:szCs w:val="16"/>
              </w:rPr>
              <w:t>16,660,362 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D99"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D9A"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D9B"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D9C" w14:textId="77777777" w:rsidR="00B1578D" w:rsidRDefault="00B1578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DEC6D9D" w14:textId="77777777" w:rsidR="00B1578D" w:rsidRDefault="004D2C04">
            <w:pPr>
              <w:jc w:val="right"/>
              <w:textAlignment w:val="center"/>
            </w:pPr>
            <w:r>
              <w:rPr>
                <w:rFonts w:ascii="Times New Roman" w:eastAsia="宋体" w:hAnsi="Times New Roman"/>
                <w:color w:val="000000"/>
                <w:sz w:val="16"/>
                <w:szCs w:val="16"/>
              </w:rPr>
              <w:t>16,660,362 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DEC6D9E" w14:textId="77777777" w:rsidR="00B1578D" w:rsidRDefault="00B1578D">
            <w:pPr>
              <w:jc w:val="right"/>
              <w:rPr>
                <w:rFonts w:ascii="宋体"/>
              </w:rPr>
            </w:pPr>
          </w:p>
        </w:tc>
        <w:tc>
          <w:tcPr>
            <w:tcW w:w="0" w:type="auto"/>
            <w:gridSpan w:val="3"/>
            <w:shd w:val="clear" w:color="auto" w:fill="FFFFFF"/>
            <w:tcMar>
              <w:top w:w="0" w:type="dxa"/>
              <w:left w:w="20" w:type="dxa"/>
              <w:bottom w:w="0" w:type="dxa"/>
              <w:right w:w="20" w:type="dxa"/>
            </w:tcMar>
            <w:vAlign w:val="bottom"/>
          </w:tcPr>
          <w:p w14:paraId="5DEC6D9F" w14:textId="77777777" w:rsidR="00B1578D" w:rsidRDefault="00B1578D">
            <w:pPr>
              <w:rPr>
                <w:rFonts w:ascii="宋体"/>
              </w:rPr>
            </w:pPr>
          </w:p>
        </w:tc>
        <w:tc>
          <w:tcPr>
            <w:tcW w:w="0" w:type="auto"/>
            <w:gridSpan w:val="3"/>
            <w:shd w:val="clear" w:color="auto" w:fill="FFFFFF"/>
            <w:tcMar>
              <w:top w:w="0" w:type="dxa"/>
              <w:left w:w="20" w:type="dxa"/>
              <w:bottom w:w="0" w:type="dxa"/>
              <w:right w:w="20" w:type="dxa"/>
            </w:tcMar>
            <w:vAlign w:val="bottom"/>
          </w:tcPr>
          <w:p w14:paraId="5DEC6DA0" w14:textId="77777777" w:rsidR="00B1578D" w:rsidRDefault="00B1578D">
            <w:pPr>
              <w:rPr>
                <w:rFonts w:ascii="宋体"/>
              </w:rPr>
            </w:pPr>
          </w:p>
        </w:tc>
      </w:tr>
    </w:tbl>
    <w:p w14:paraId="5DEC6DA2" w14:textId="77777777" w:rsidR="00B1578D" w:rsidRDefault="004D2C04">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approximate dollar value of shares that could have been purchased under the plan in effect at the end of the month.</w:t>
      </w:r>
    </w:p>
    <w:p w14:paraId="5DEC6DA3" w14:textId="77777777" w:rsidR="00B1578D" w:rsidRDefault="004D2C04">
      <w:pPr>
        <w:spacing w:before="240"/>
      </w:pPr>
      <w:r>
        <w:rPr>
          <w:rFonts w:ascii="Times New Roman" w:eastAsia="宋体" w:hAnsi="Times New Roman"/>
          <w:b/>
          <w:bCs/>
          <w:color w:val="000000"/>
          <w:sz w:val="20"/>
          <w:szCs w:val="20"/>
        </w:rPr>
        <w:t>Item 5. Other Information</w:t>
      </w:r>
    </w:p>
    <w:p w14:paraId="5DEC6DA4" w14:textId="77777777" w:rsidR="00B1578D" w:rsidRDefault="004D2C04">
      <w:pPr>
        <w:spacing w:before="180"/>
      </w:pPr>
      <w:r>
        <w:rPr>
          <w:rFonts w:ascii="Times New Roman" w:eastAsia="宋体" w:hAnsi="Times New Roman"/>
          <w:b/>
          <w:bCs/>
          <w:i/>
          <w:iCs/>
          <w:color w:val="000000"/>
          <w:sz w:val="20"/>
          <w:szCs w:val="20"/>
        </w:rPr>
        <w:t>Cautionary Statement Regarding Forward-Looking Statements</w:t>
      </w:r>
    </w:p>
    <w:p w14:paraId="5DEC6DA5" w14:textId="77777777" w:rsidR="00B1578D" w:rsidRDefault="004D2C04">
      <w:pPr>
        <w:spacing w:before="100"/>
      </w:pPr>
      <w:r>
        <w:rPr>
          <w:rFonts w:ascii="Times New Roman" w:eastAsia="宋体" w:hAnsi="Times New Roman"/>
          <w:color w:val="000000"/>
          <w:sz w:val="20"/>
          <w:szCs w:val="20"/>
        </w:rPr>
        <w:t>This Quarterly Report on Form 10-Q cont</w:t>
      </w:r>
      <w:r>
        <w:rPr>
          <w:rFonts w:ascii="Times New Roman" w:eastAsia="宋体" w:hAnsi="Times New Roman"/>
          <w:color w:val="000000"/>
          <w:sz w:val="20"/>
          <w:szCs w:val="20"/>
        </w:rPr>
        <w:t xml:space="preserve">ains statements that Walmart believes are "forward-looking statements" within the meaning of the Private Securities Litigation Reform Act of 1995. Those forward-looking statements are intended to enjoy the protection of the safe harbor for forward-looking </w:t>
      </w:r>
      <w:r>
        <w:rPr>
          <w:rFonts w:ascii="Times New Roman" w:eastAsia="宋体" w:hAnsi="Times New Roman"/>
          <w:color w:val="000000"/>
          <w:sz w:val="20"/>
          <w:szCs w:val="20"/>
        </w:rPr>
        <w:t>statements provided by that Act as well as protections afforded by other federal securities laws.</w:t>
      </w:r>
    </w:p>
    <w:p w14:paraId="5DEC6DA6" w14:textId="77777777" w:rsidR="00B1578D" w:rsidRDefault="004D2C04">
      <w:pPr>
        <w:spacing w:before="180"/>
      </w:pPr>
      <w:r>
        <w:rPr>
          <w:rFonts w:ascii="Times New Roman" w:eastAsia="宋体" w:hAnsi="Times New Roman"/>
          <w:b/>
          <w:bCs/>
          <w:i/>
          <w:iCs/>
          <w:color w:val="000000"/>
          <w:sz w:val="20"/>
          <w:szCs w:val="20"/>
        </w:rPr>
        <w:t>Forward-looking Statements</w:t>
      </w:r>
    </w:p>
    <w:p w14:paraId="5DEC6DA7" w14:textId="77777777" w:rsidR="00B1578D" w:rsidRDefault="004D2C04">
      <w:pPr>
        <w:spacing w:before="100"/>
      </w:pPr>
      <w:r>
        <w:rPr>
          <w:rFonts w:ascii="Times New Roman" w:eastAsia="宋体" w:hAnsi="Times New Roman"/>
          <w:color w:val="000000"/>
          <w:sz w:val="20"/>
          <w:szCs w:val="20"/>
        </w:rPr>
        <w:t xml:space="preserve">The forward-looking statements in this report include, among other things: </w:t>
      </w:r>
    </w:p>
    <w:p w14:paraId="5DEC6DA8" w14:textId="77777777" w:rsidR="00B1578D" w:rsidRDefault="004D2C04">
      <w:pPr>
        <w:spacing w:before="100"/>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statements in </w:t>
      </w:r>
      <w:hyperlink r:id="rId83" w:anchor="ia92fe4e1fa654d85928fb72942eadb02_58"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to those Condensed Consolidated Financial Statements regarding the possible outcome of, and future effect on Walmart's financial condition and results of operations of, certain litigation and other proceedings to which Walmart is a party, the possible out</w:t>
      </w:r>
      <w:r>
        <w:rPr>
          <w:rFonts w:ascii="Times New Roman" w:eastAsia="宋体" w:hAnsi="Times New Roman"/>
          <w:color w:val="000000"/>
          <w:sz w:val="20"/>
          <w:szCs w:val="20"/>
        </w:rPr>
        <w:t>come of, and future effect on Walmart's business of, certain other matters to which Walmart is subject, including the Company's Opioids Litigation, Walmart's ongoing indemnification obligation for the Asda Equal Value Claims, as well as the Company's Money</w:t>
      </w:r>
      <w:r>
        <w:rPr>
          <w:rFonts w:ascii="Times New Roman" w:eastAsia="宋体" w:hAnsi="Times New Roman"/>
          <w:color w:val="000000"/>
          <w:sz w:val="20"/>
          <w:szCs w:val="20"/>
        </w:rPr>
        <w:t xml:space="preserve"> Transfer Agent Services Matters and the liabilities, losses, expenses and costs that Walmart may incur in connection with such matters;</w:t>
      </w:r>
    </w:p>
    <w:p w14:paraId="5DEC6DA9" w14:textId="77777777" w:rsidR="00B1578D" w:rsidRDefault="004D2C04">
      <w:pPr>
        <w:spacing w:before="100"/>
        <w:ind w:hanging="360"/>
      </w:pPr>
      <w:r>
        <w:rPr>
          <w:rFonts w:ascii="Times New Roman" w:eastAsia="宋体" w:hAnsi="Times New Roman"/>
          <w:color w:val="000000"/>
          <w:sz w:val="20"/>
          <w:szCs w:val="20"/>
        </w:rPr>
        <w:t>•in Part I, Item 2 "</w:t>
      </w:r>
      <w:hyperlink r:id="rId84" w:anchor="ia92fe4e1fa654d85928fb72942eadb02_64"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color w:val="000000"/>
          <w:sz w:val="20"/>
          <w:szCs w:val="20"/>
        </w:rPr>
        <w:t>": statements regarding future changes to our business and our expectations about the potential impacts on our busine</w:t>
      </w:r>
      <w:r>
        <w:rPr>
          <w:rFonts w:ascii="Times New Roman" w:eastAsia="宋体" w:hAnsi="Times New Roman"/>
          <w:color w:val="000000"/>
          <w:sz w:val="20"/>
          <w:szCs w:val="20"/>
        </w:rPr>
        <w:t>ss, financial position, results of operations or cash flows as a result of the COVID-19 pandemic; statements under the caption "</w:t>
      </w:r>
      <w:hyperlink r:id="rId85" w:anchor="ia92fe4e1fa654d85928fb72942eadb02_67" w:history="1">
        <w:r>
          <w:rPr>
            <w:rStyle w:val="a5"/>
            <w:rFonts w:ascii="Times New Roman" w:eastAsia="宋体" w:hAnsi="Times New Roman"/>
            <w:sz w:val="20"/>
            <w:szCs w:val="20"/>
          </w:rPr>
          <w:t>Overview</w:t>
        </w:r>
      </w:hyperlink>
      <w:r>
        <w:rPr>
          <w:rFonts w:ascii="Times New Roman" w:eastAsia="宋体" w:hAnsi="Times New Roman"/>
          <w:color w:val="000000"/>
          <w:sz w:val="20"/>
          <w:szCs w:val="20"/>
        </w:rPr>
        <w:t>" relating to the possible impact of volatility in currency exchange rates on the results, including net sales and operating income, of Walmart and the Walmart International segment; statements under the caption "</w:t>
      </w:r>
      <w:hyperlink r:id="rId86" w:anchor="ia92fe4e1fa654d85928fb72942eadb02_73" w:history="1">
        <w:r>
          <w:rPr>
            <w:rStyle w:val="a5"/>
            <w:rFonts w:ascii="Times New Roman" w:eastAsia="宋体" w:hAnsi="Times New Roman"/>
            <w:sz w:val="20"/>
            <w:szCs w:val="20"/>
          </w:rPr>
          <w:t>Company Performance Metrics - Strong, Efficient Growth</w:t>
        </w:r>
      </w:hyperlink>
      <w:r>
        <w:rPr>
          <w:rFonts w:ascii="Times New Roman" w:eastAsia="宋体" w:hAnsi="Times New Roman"/>
          <w:color w:val="000000"/>
          <w:sz w:val="20"/>
          <w:szCs w:val="20"/>
        </w:rPr>
        <w:t xml:space="preserve">" regarding the focus of our investments and the impact of </w:t>
      </w:r>
      <w:r>
        <w:rPr>
          <w:rFonts w:ascii="Times New Roman" w:eastAsia="宋体" w:hAnsi="Times New Roman"/>
          <w:color w:val="000000"/>
          <w:sz w:val="20"/>
          <w:szCs w:val="20"/>
        </w:rPr>
        <w:t>such investments; statements under the caption "</w:t>
      </w:r>
      <w:hyperlink r:id="rId87" w:anchor="ia92fe4e1fa654d85928fb72942eadb02_79" w:history="1">
        <w:r>
          <w:rPr>
            <w:rStyle w:val="a5"/>
            <w:rFonts w:ascii="Times New Roman" w:eastAsia="宋体" w:hAnsi="Times New Roman"/>
            <w:sz w:val="20"/>
            <w:szCs w:val="20"/>
          </w:rPr>
          <w:t>Company Performance Metrics – Strategic Capital Allocation</w:t>
        </w:r>
      </w:hyperlink>
      <w:r>
        <w:rPr>
          <w:rFonts w:ascii="Times New Roman" w:eastAsia="宋体" w:hAnsi="Times New Roman"/>
          <w:color w:val="000000"/>
          <w:sz w:val="20"/>
          <w:szCs w:val="20"/>
        </w:rPr>
        <w:t>" regarding our strategy and discipline for capital allocation; statements under the</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caption "</w:t>
      </w:r>
      <w:hyperlink r:id="rId88" w:anchor="ia92fe4e1fa654d85928fb72942eadb02_70" w:history="1">
        <w:r>
          <w:rPr>
            <w:rStyle w:val="a5"/>
            <w:rFonts w:ascii="Times New Roman" w:eastAsia="宋体" w:hAnsi="Times New Roman"/>
            <w:sz w:val="20"/>
            <w:szCs w:val="20"/>
          </w:rPr>
          <w:t>Company P</w:t>
        </w:r>
        <w:r>
          <w:rPr>
            <w:rStyle w:val="a5"/>
            <w:rFonts w:ascii="Times New Roman" w:eastAsia="宋体" w:hAnsi="Times New Roman"/>
            <w:sz w:val="20"/>
            <w:szCs w:val="20"/>
          </w:rPr>
          <w:t>erformance Metrics</w:t>
        </w:r>
      </w:hyperlink>
      <w:r>
        <w:rPr>
          <w:rFonts w:ascii="Times New Roman" w:eastAsia="宋体" w:hAnsi="Times New Roman"/>
          <w:color w:val="000000"/>
          <w:sz w:val="20"/>
          <w:szCs w:val="20"/>
        </w:rPr>
        <w:t xml:space="preserve"> - </w:t>
      </w:r>
      <w:hyperlink r:id="rId89" w:anchor="ia92fe4e1fa654d85928fb72942eadb02_82" w:history="1">
        <w:r>
          <w:rPr>
            <w:rStyle w:val="a5"/>
            <w:rFonts w:ascii="Times New Roman" w:eastAsia="宋体" w:hAnsi="Times New Roman"/>
            <w:sz w:val="20"/>
            <w:szCs w:val="20"/>
          </w:rPr>
          <w:t>Returns</w:t>
        </w:r>
      </w:hyperlink>
      <w:r>
        <w:rPr>
          <w:rFonts w:ascii="Times New Roman" w:eastAsia="宋体" w:hAnsi="Times New Roman"/>
          <w:color w:val="000000"/>
          <w:sz w:val="20"/>
          <w:szCs w:val="20"/>
        </w:rPr>
        <w:t>" regarding our belief that returns on capital will improve as we execut</w:t>
      </w:r>
      <w:r>
        <w:rPr>
          <w:rFonts w:ascii="Times New Roman" w:eastAsia="宋体" w:hAnsi="Times New Roman"/>
          <w:color w:val="000000"/>
          <w:sz w:val="20"/>
          <w:szCs w:val="20"/>
        </w:rPr>
        <w:t>e on our financial framework; statements under the caption "</w:t>
      </w:r>
      <w:hyperlink r:id="rId90" w:anchor="ia92fe4e1fa654d85928fb72942eadb02_88" w:history="1">
        <w:r>
          <w:rPr>
            <w:rStyle w:val="a5"/>
            <w:rFonts w:ascii="Times New Roman" w:eastAsia="宋体" w:hAnsi="Times New Roman"/>
            <w:sz w:val="20"/>
            <w:szCs w:val="20"/>
          </w:rPr>
          <w:t>Results of Operations - Consolidated Results o</w:t>
        </w:r>
        <w:r>
          <w:rPr>
            <w:rStyle w:val="a5"/>
            <w:rFonts w:ascii="Times New Roman" w:eastAsia="宋体" w:hAnsi="Times New Roman"/>
            <w:sz w:val="20"/>
            <w:szCs w:val="20"/>
          </w:rPr>
          <w:t>f Operations</w:t>
        </w:r>
      </w:hyperlink>
      <w:r>
        <w:rPr>
          <w:rFonts w:ascii="Times New Roman" w:eastAsia="宋体" w:hAnsi="Times New Roman"/>
          <w:color w:val="000000"/>
          <w:sz w:val="20"/>
          <w:szCs w:val="20"/>
        </w:rPr>
        <w:t xml:space="preserve">" regarding the possibility of </w:t>
      </w:r>
    </w:p>
    <w:p w14:paraId="5DEC6DAA" w14:textId="77777777" w:rsidR="00B1578D" w:rsidRDefault="004D2C04">
      <w:pPr>
        <w:jc w:val="center"/>
      </w:pPr>
      <w:r>
        <w:rPr>
          <w:rFonts w:ascii="Times New Roman" w:eastAsia="宋体" w:hAnsi="Times New Roman"/>
          <w:color w:val="000000"/>
          <w:sz w:val="20"/>
          <w:szCs w:val="20"/>
        </w:rPr>
        <w:t>28</w:t>
      </w:r>
    </w:p>
    <w:p w14:paraId="5DEC6DAB" w14:textId="77777777" w:rsidR="00B1578D" w:rsidRDefault="004D2C04">
      <w:r>
        <w:pict w14:anchorId="5DEC6F41">
          <v:rect id="_x0000_i1052" style="width:415.3pt;height:1.5pt" o:hralign="center" o:hrstd="t" o:hr="t" fillcolor="#a0a0a0" stroked="f"/>
        </w:pict>
      </w:r>
    </w:p>
    <w:p w14:paraId="5DEC6DAC" w14:textId="77777777" w:rsidR="00B1578D" w:rsidRDefault="004D2C04">
      <w:hyperlink r:id="rId91" w:anchor="ia92fe4e1fa654d85928fb72942eadb02_7" w:history="1">
        <w:r>
          <w:rPr>
            <w:rStyle w:val="a5"/>
            <w:rFonts w:ascii="Times New Roman" w:eastAsia="宋体" w:hAnsi="Times New Roman"/>
            <w:sz w:val="20"/>
            <w:szCs w:val="20"/>
          </w:rPr>
          <w:t>Table of Contents</w:t>
        </w:r>
      </w:hyperlink>
    </w:p>
    <w:p w14:paraId="5DEC6DAD" w14:textId="77777777" w:rsidR="00B1578D" w:rsidRDefault="004D2C04">
      <w:pPr>
        <w:spacing w:before="100"/>
      </w:pPr>
      <w:r>
        <w:rPr>
          <w:rFonts w:ascii="Times New Roman" w:eastAsia="宋体" w:hAnsi="Times New Roman"/>
          <w:color w:val="000000"/>
          <w:sz w:val="20"/>
          <w:szCs w:val="20"/>
        </w:rPr>
        <w:t>fluctuations in Walmart's effective income tax rate from quarter to quarter and the fa</w:t>
      </w:r>
      <w:r>
        <w:rPr>
          <w:rFonts w:ascii="Times New Roman" w:eastAsia="宋体" w:hAnsi="Times New Roman"/>
          <w:color w:val="000000"/>
          <w:sz w:val="20"/>
          <w:szCs w:val="20"/>
        </w:rPr>
        <w:t>ctors that may cause those fluctuations; a statement under the caption "</w:t>
      </w:r>
      <w:hyperlink r:id="rId92" w:anchor="ia92fe4e1fa654d85928fb72942eadb02_97" w:history="1">
        <w:r>
          <w:rPr>
            <w:rStyle w:val="a5"/>
            <w:rFonts w:ascii="Times New Roman" w:eastAsia="宋体" w:hAnsi="Times New Roman"/>
            <w:sz w:val="20"/>
            <w:szCs w:val="20"/>
          </w:rPr>
          <w:t>Results of Operations - Sam's Club</w:t>
        </w:r>
        <w:r>
          <w:rPr>
            <w:rStyle w:val="a5"/>
            <w:rFonts w:ascii="Times New Roman" w:eastAsia="宋体" w:hAnsi="Times New Roman"/>
            <w:sz w:val="20"/>
            <w:szCs w:val="20"/>
          </w:rPr>
          <w:t xml:space="preserve"> Segment</w:t>
        </w:r>
      </w:hyperlink>
      <w:r>
        <w:rPr>
          <w:rFonts w:ascii="Times New Roman" w:eastAsia="宋体" w:hAnsi="Times New Roman"/>
          <w:color w:val="000000"/>
          <w:sz w:val="20"/>
          <w:szCs w:val="20"/>
        </w:rPr>
        <w:t>" relating to the possible continuing impact of volatility in fuel prices on the future operating results of the Sam's Club segment; a statement under the caption "</w:t>
      </w:r>
      <w:hyperlink r:id="rId93" w:anchor="ia92fe4e1fa654d85928fb72942eadb02_100" w:history="1">
        <w:r>
          <w:rPr>
            <w:rStyle w:val="a5"/>
            <w:rFonts w:ascii="Times New Roman" w:eastAsia="宋体" w:hAnsi="Times New Roman"/>
            <w:sz w:val="20"/>
            <w:szCs w:val="20"/>
          </w:rPr>
          <w:t>Liquidity and Capital Resources - Liquidity</w:t>
        </w:r>
      </w:hyperlink>
      <w:r>
        <w:rPr>
          <w:rFonts w:ascii="Times New Roman" w:eastAsia="宋体" w:hAnsi="Times New Roman"/>
          <w:color w:val="000000"/>
          <w:sz w:val="20"/>
          <w:szCs w:val="20"/>
        </w:rPr>
        <w:t>" that Walmart's sources of liquidity will be adequate to fund its operations, finance its global investment and expansion activities, pay d</w:t>
      </w:r>
      <w:r>
        <w:rPr>
          <w:rFonts w:ascii="Times New Roman" w:eastAsia="宋体" w:hAnsi="Times New Roman"/>
          <w:color w:val="000000"/>
          <w:sz w:val="20"/>
          <w:szCs w:val="20"/>
        </w:rPr>
        <w:t>ividends and fund share repurchases; statements under the caption "</w:t>
      </w:r>
      <w:hyperlink r:id="rId94" w:anchor="ia92fe4e1fa654d85928fb72942eadb02_100" w:history="1">
        <w:r>
          <w:rPr>
            <w:rStyle w:val="a5"/>
            <w:rFonts w:ascii="Times New Roman" w:eastAsia="宋体" w:hAnsi="Times New Roman"/>
            <w:sz w:val="20"/>
            <w:szCs w:val="20"/>
          </w:rPr>
          <w:t xml:space="preserve">Liquidity and Capital </w:t>
        </w:r>
        <w:r>
          <w:rPr>
            <w:rStyle w:val="a5"/>
            <w:rFonts w:ascii="Times New Roman" w:eastAsia="宋体" w:hAnsi="Times New Roman"/>
            <w:sz w:val="20"/>
            <w:szCs w:val="20"/>
          </w:rPr>
          <w:t>Resources - Liquidity - Net Cash Provided by Operating Activities - Cash Equivalents and Working Capital Deficit</w:t>
        </w:r>
      </w:hyperlink>
      <w:r>
        <w:rPr>
          <w:rFonts w:ascii="Times New Roman" w:eastAsia="宋体" w:hAnsi="Times New Roman"/>
          <w:color w:val="000000"/>
          <w:sz w:val="20"/>
          <w:szCs w:val="20"/>
        </w:rPr>
        <w:t>" regarding management's expectation that cash in market will be utilized to fund Flipkart's operations; a statement under the caption "</w:t>
      </w:r>
      <w:hyperlink r:id="rId95" w:anchor="ia92fe4e1fa654d85928fb72942eadb02_100" w:history="1">
        <w:r>
          <w:rPr>
            <w:rStyle w:val="a5"/>
            <w:rFonts w:ascii="Times New Roman" w:eastAsia="宋体" w:hAnsi="Times New Roman"/>
            <w:sz w:val="20"/>
            <w:szCs w:val="20"/>
          </w:rPr>
          <w:t>Liquidity and Capital Resources Liquidity - Net Cash Used in Financing Activities - Dividends</w:t>
        </w:r>
      </w:hyperlink>
      <w:r>
        <w:rPr>
          <w:rFonts w:ascii="Times New Roman" w:eastAsia="宋体" w:hAnsi="Times New Roman"/>
          <w:color w:val="000000"/>
          <w:sz w:val="20"/>
          <w:szCs w:val="20"/>
        </w:rPr>
        <w:t>" regarding th</w:t>
      </w:r>
      <w:r>
        <w:rPr>
          <w:rFonts w:ascii="Times New Roman" w:eastAsia="宋体" w:hAnsi="Times New Roman"/>
          <w:color w:val="000000"/>
          <w:sz w:val="20"/>
          <w:szCs w:val="20"/>
        </w:rPr>
        <w:t>e payment of dividends in fiscal 2022; a statement under the caption "</w:t>
      </w:r>
      <w:hyperlink r:id="rId96" w:anchor="ia92fe4e1fa654d85928fb72942eadb02_100" w:history="1">
        <w:r>
          <w:rPr>
            <w:rStyle w:val="a5"/>
            <w:rFonts w:ascii="Times New Roman" w:eastAsia="宋体" w:hAnsi="Times New Roman"/>
            <w:sz w:val="20"/>
            <w:szCs w:val="20"/>
          </w:rPr>
          <w:t>Liquidity and Capital Resources Liq</w:t>
        </w:r>
        <w:r>
          <w:rPr>
            <w:rStyle w:val="a5"/>
            <w:rFonts w:ascii="Times New Roman" w:eastAsia="宋体" w:hAnsi="Times New Roman"/>
            <w:sz w:val="20"/>
            <w:szCs w:val="20"/>
          </w:rPr>
          <w:t>uidity - Net Cash Used in Financing Activities - Company Share Repurchase Program</w:t>
        </w:r>
      </w:hyperlink>
      <w:r>
        <w:rPr>
          <w:rFonts w:ascii="Times New Roman" w:eastAsia="宋体" w:hAnsi="Times New Roman"/>
          <w:color w:val="000000"/>
          <w:sz w:val="20"/>
          <w:szCs w:val="20"/>
        </w:rPr>
        <w:t>" regarding funding of our share repurchase program; statements under the caption "</w:t>
      </w:r>
      <w:hyperlink r:id="rId97" w:anchor="ia92fe4e1fa654d85928fb72942eadb02_100" w:history="1">
        <w:r>
          <w:rPr>
            <w:rStyle w:val="a5"/>
            <w:rFonts w:ascii="Times New Roman" w:eastAsia="宋体" w:hAnsi="Times New Roman"/>
            <w:sz w:val="20"/>
            <w:szCs w:val="20"/>
          </w:rPr>
          <w:t>Liquidity and Capital Resources - Capital Resources</w:t>
        </w:r>
      </w:hyperlink>
      <w:r>
        <w:rPr>
          <w:rFonts w:ascii="Times New Roman" w:eastAsia="宋体" w:hAnsi="Times New Roman"/>
          <w:color w:val="000000"/>
          <w:sz w:val="20"/>
          <w:szCs w:val="20"/>
        </w:rPr>
        <w:t>" regarding management's expectations regarding the Company's cash flows from operations, current cash position and access to capital market</w:t>
      </w:r>
      <w:r>
        <w:rPr>
          <w:rFonts w:ascii="Times New Roman" w:eastAsia="宋体" w:hAnsi="Times New Roman"/>
          <w:color w:val="000000"/>
          <w:sz w:val="20"/>
          <w:szCs w:val="20"/>
        </w:rPr>
        <w:t>s continuing to be sufficient to meet its anticipated operating cash needs, the Company's commercial paper and long-term debt ratings continuing to enable it to refinance its debts at favorable rates, factors that could affect its credit ratings, and the e</w:t>
      </w:r>
      <w:r>
        <w:rPr>
          <w:rFonts w:ascii="Times New Roman" w:eastAsia="宋体" w:hAnsi="Times New Roman"/>
          <w:color w:val="000000"/>
          <w:sz w:val="20"/>
          <w:szCs w:val="20"/>
        </w:rPr>
        <w:t>ffect that lower credit ratings would have on its access to capital and credit markets and borrowing costs; and statements under the caption "</w:t>
      </w:r>
      <w:hyperlink r:id="rId98" w:anchor="ia92fe4e1fa654d85928fb72942eadb02_103" w:history="1">
        <w:r>
          <w:rPr>
            <w:rStyle w:val="a5"/>
            <w:rFonts w:ascii="Times New Roman" w:eastAsia="宋体" w:hAnsi="Times New Roman"/>
            <w:sz w:val="20"/>
            <w:szCs w:val="20"/>
          </w:rPr>
          <w:t>Other Matters</w:t>
        </w:r>
      </w:hyperlink>
      <w:r>
        <w:rPr>
          <w:rFonts w:ascii="Times New Roman" w:eastAsia="宋体" w:hAnsi="Times New Roman"/>
          <w:color w:val="000000"/>
          <w:sz w:val="20"/>
          <w:szCs w:val="20"/>
        </w:rPr>
        <w:t>"</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regarding the contingent liabilities of the Company that may or may not result in the incurrence of a material liability by the Company;</w:t>
      </w:r>
    </w:p>
    <w:p w14:paraId="5DEC6DAE" w14:textId="77777777" w:rsidR="00B1578D" w:rsidRDefault="004D2C04">
      <w:pPr>
        <w:spacing w:before="100"/>
        <w:ind w:hanging="360"/>
      </w:pPr>
      <w:r>
        <w:rPr>
          <w:rFonts w:ascii="Times New Roman" w:eastAsia="宋体" w:hAnsi="Times New Roman"/>
          <w:color w:val="000000"/>
          <w:sz w:val="20"/>
          <w:szCs w:val="20"/>
        </w:rPr>
        <w:t>•in Part I, Item 4 "</w:t>
      </w:r>
      <w:hyperlink r:id="rId99" w:anchor="ia92fe4e1fa654d85928fb72942eadb02_109" w:history="1">
        <w:r>
          <w:rPr>
            <w:rStyle w:val="a5"/>
            <w:rFonts w:ascii="Times New Roman" w:eastAsia="宋体" w:hAnsi="Times New Roman"/>
            <w:sz w:val="20"/>
            <w:szCs w:val="20"/>
          </w:rPr>
          <w:t>Controls and Procedures</w:t>
        </w:r>
      </w:hyperlink>
      <w:r>
        <w:rPr>
          <w:rFonts w:ascii="Times New Roman" w:eastAsia="宋体" w:hAnsi="Times New Roman"/>
          <w:color w:val="000000"/>
          <w:sz w:val="20"/>
          <w:szCs w:val="20"/>
        </w:rPr>
        <w:t>": statements regarding the effect of changes to systems and processes on our internal control over financial reporting; an</w:t>
      </w:r>
      <w:r>
        <w:rPr>
          <w:rFonts w:ascii="Times New Roman" w:eastAsia="宋体" w:hAnsi="Times New Roman"/>
          <w:color w:val="000000"/>
          <w:sz w:val="20"/>
          <w:szCs w:val="20"/>
        </w:rPr>
        <w:t>d</w:t>
      </w:r>
    </w:p>
    <w:p w14:paraId="5DEC6DAF" w14:textId="77777777" w:rsidR="00B1578D" w:rsidRDefault="004D2C04">
      <w:pPr>
        <w:spacing w:before="100"/>
        <w:ind w:hanging="360"/>
      </w:pPr>
      <w:r>
        <w:rPr>
          <w:rFonts w:ascii="Times New Roman" w:eastAsia="宋体" w:hAnsi="Times New Roman"/>
          <w:color w:val="000000"/>
          <w:sz w:val="20"/>
          <w:szCs w:val="20"/>
        </w:rPr>
        <w:t>•in Part II, Item 1 "</w:t>
      </w:r>
      <w:hyperlink r:id="rId100" w:anchor="ia92fe4e1fa654d85928fb72942eadb02_115" w:history="1">
        <w:r>
          <w:rPr>
            <w:rStyle w:val="a5"/>
            <w:rFonts w:ascii="Times New Roman" w:eastAsia="宋体" w:hAnsi="Times New Roman"/>
            <w:sz w:val="20"/>
            <w:szCs w:val="20"/>
          </w:rPr>
          <w:t>Legal Proceedings</w:t>
        </w:r>
      </w:hyperlink>
      <w:r>
        <w:rPr>
          <w:rFonts w:ascii="Times New Roman" w:eastAsia="宋体" w:hAnsi="Times New Roman"/>
          <w:color w:val="000000"/>
          <w:sz w:val="20"/>
          <w:szCs w:val="20"/>
        </w:rPr>
        <w:t>": statements regarding the effect that possible losses or the</w:t>
      </w:r>
      <w:r>
        <w:rPr>
          <w:rFonts w:ascii="Times New Roman" w:eastAsia="宋体" w:hAnsi="Times New Roman"/>
          <w:color w:val="000000"/>
          <w:sz w:val="20"/>
          <w:szCs w:val="20"/>
        </w:rPr>
        <w:t xml:space="preserve"> range of possible losses that might be incurred in connection with the legal proceedings and other matters discussed therein may have on our financial condition or results of operations.</w:t>
      </w:r>
    </w:p>
    <w:p w14:paraId="5DEC6DB0" w14:textId="77777777" w:rsidR="00B1578D" w:rsidRDefault="00B1578D">
      <w:pPr>
        <w:spacing w:before="100"/>
      </w:pPr>
    </w:p>
    <w:p w14:paraId="5DEC6DB1" w14:textId="77777777" w:rsidR="00B1578D" w:rsidRDefault="004D2C04">
      <w:pPr>
        <w:jc w:val="center"/>
      </w:pPr>
      <w:r>
        <w:rPr>
          <w:rFonts w:ascii="Times New Roman" w:eastAsia="宋体" w:hAnsi="Times New Roman"/>
          <w:color w:val="000000"/>
          <w:sz w:val="20"/>
          <w:szCs w:val="20"/>
        </w:rPr>
        <w:t>29</w:t>
      </w:r>
    </w:p>
    <w:p w14:paraId="5DEC6DB2" w14:textId="77777777" w:rsidR="00B1578D" w:rsidRDefault="004D2C04">
      <w:r>
        <w:pict w14:anchorId="5DEC6F42">
          <v:rect id="_x0000_i1053" style="width:415.3pt;height:1.5pt" o:hralign="center" o:hrstd="t" o:hr="t" fillcolor="#a0a0a0" stroked="f"/>
        </w:pict>
      </w:r>
    </w:p>
    <w:p w14:paraId="5DEC6DB3" w14:textId="77777777" w:rsidR="00B1578D" w:rsidRDefault="004D2C04">
      <w:hyperlink r:id="rId101" w:anchor="ia92fe4e1fa654d85928fb72942eadb02_7" w:history="1">
        <w:r>
          <w:rPr>
            <w:rStyle w:val="a5"/>
            <w:rFonts w:ascii="Times New Roman" w:eastAsia="宋体" w:hAnsi="Times New Roman"/>
            <w:sz w:val="20"/>
            <w:szCs w:val="20"/>
          </w:rPr>
          <w:t>Table of Contents</w:t>
        </w:r>
      </w:hyperlink>
    </w:p>
    <w:p w14:paraId="5DEC6DB4" w14:textId="77777777" w:rsidR="00B1578D" w:rsidRDefault="004D2C04">
      <w:pPr>
        <w:spacing w:before="180"/>
      </w:pPr>
      <w:r>
        <w:rPr>
          <w:rFonts w:ascii="Times New Roman" w:eastAsia="宋体" w:hAnsi="Times New Roman"/>
          <w:b/>
          <w:bCs/>
          <w:i/>
          <w:iCs/>
          <w:color w:val="000000"/>
          <w:sz w:val="20"/>
          <w:szCs w:val="20"/>
        </w:rPr>
        <w:t>Risks, Factors and Uncertainties Regarding Our Business</w:t>
      </w:r>
    </w:p>
    <w:p w14:paraId="5DEC6DB5" w14:textId="77777777" w:rsidR="00B1578D" w:rsidRDefault="004D2C04">
      <w:pPr>
        <w:spacing w:before="100"/>
      </w:pPr>
      <w:r>
        <w:rPr>
          <w:rFonts w:ascii="Times New Roman" w:eastAsia="宋体" w:hAnsi="Times New Roman"/>
          <w:color w:val="000000"/>
          <w:sz w:val="20"/>
          <w:szCs w:val="20"/>
        </w:rPr>
        <w:t xml:space="preserve">These forward-looking statements are subject to risks, uncertainties and other </w:t>
      </w:r>
      <w:r>
        <w:rPr>
          <w:rFonts w:ascii="Times New Roman" w:eastAsia="宋体" w:hAnsi="Times New Roman"/>
          <w:color w:val="000000"/>
          <w:sz w:val="20"/>
          <w:szCs w:val="20"/>
        </w:rPr>
        <w:t>factors, domestically and internationally, including:</w:t>
      </w:r>
    </w:p>
    <w:p w14:paraId="5DEC6DB6" w14:textId="77777777" w:rsidR="00B1578D" w:rsidRDefault="004D2C04">
      <w:pPr>
        <w:spacing w:before="100" w:after="120"/>
        <w:ind w:firstLine="360"/>
        <w:jc w:val="both"/>
      </w:pPr>
      <w:r>
        <w:rPr>
          <w:rFonts w:ascii="Times New Roman" w:eastAsia="宋体" w:hAnsi="Times New Roman"/>
          <w:b/>
          <w:bCs/>
          <w:color w:val="000000"/>
          <w:sz w:val="20"/>
          <w:szCs w:val="20"/>
        </w:rPr>
        <w:t>Economic Factors</w:t>
      </w:r>
    </w:p>
    <w:p w14:paraId="5DEC6DB7" w14:textId="77777777" w:rsidR="00B1578D" w:rsidRDefault="004D2C04">
      <w:pPr>
        <w:ind w:hanging="360"/>
      </w:pPr>
      <w:r>
        <w:rPr>
          <w:rFonts w:ascii="Times New Roman" w:eastAsia="宋体" w:hAnsi="Times New Roman"/>
          <w:color w:val="000000"/>
          <w:sz w:val="20"/>
          <w:szCs w:val="20"/>
        </w:rPr>
        <w:t>•economic, geo-political, capital markets and business conditions, trends and events around the world and in the markets in which Walmart operates;</w:t>
      </w:r>
    </w:p>
    <w:p w14:paraId="5DEC6DB8" w14:textId="77777777" w:rsidR="00B1578D" w:rsidRDefault="004D2C04">
      <w:pPr>
        <w:ind w:hanging="360"/>
      </w:pPr>
      <w:r>
        <w:rPr>
          <w:rFonts w:ascii="Times New Roman" w:eastAsia="宋体" w:hAnsi="Times New Roman"/>
          <w:color w:val="000000"/>
          <w:sz w:val="20"/>
          <w:szCs w:val="20"/>
        </w:rPr>
        <w:t>•currency exchange rate fluctuations;</w:t>
      </w:r>
    </w:p>
    <w:p w14:paraId="5DEC6DB9" w14:textId="77777777" w:rsidR="00B1578D" w:rsidRDefault="004D2C04">
      <w:pPr>
        <w:ind w:hanging="360"/>
      </w:pPr>
      <w:r>
        <w:rPr>
          <w:rFonts w:ascii="Times New Roman" w:eastAsia="宋体" w:hAnsi="Times New Roman"/>
          <w:color w:val="000000"/>
          <w:sz w:val="20"/>
          <w:szCs w:val="20"/>
        </w:rPr>
        <w:t>•changes in market rates of interest;</w:t>
      </w:r>
    </w:p>
    <w:p w14:paraId="5DEC6DBA" w14:textId="77777777" w:rsidR="00B1578D" w:rsidRDefault="004D2C04">
      <w:pPr>
        <w:ind w:hanging="360"/>
      </w:pPr>
      <w:r>
        <w:rPr>
          <w:rFonts w:ascii="Times New Roman" w:eastAsia="宋体" w:hAnsi="Times New Roman"/>
          <w:color w:val="000000"/>
          <w:sz w:val="20"/>
          <w:szCs w:val="20"/>
        </w:rPr>
        <w:t>•changes in market levels of wages;</w:t>
      </w:r>
    </w:p>
    <w:p w14:paraId="5DEC6DBB" w14:textId="77777777" w:rsidR="00B1578D" w:rsidRDefault="004D2C04">
      <w:pPr>
        <w:ind w:hanging="360"/>
      </w:pPr>
      <w:r>
        <w:rPr>
          <w:rFonts w:ascii="Times New Roman" w:eastAsia="宋体" w:hAnsi="Times New Roman"/>
          <w:color w:val="000000"/>
          <w:sz w:val="20"/>
          <w:szCs w:val="20"/>
        </w:rPr>
        <w:t>•changes in the size of various markets, including eCommerce markets;</w:t>
      </w:r>
    </w:p>
    <w:p w14:paraId="5DEC6DBC" w14:textId="77777777" w:rsidR="00B1578D" w:rsidRDefault="004D2C04">
      <w:pPr>
        <w:ind w:hanging="360"/>
      </w:pPr>
      <w:r>
        <w:rPr>
          <w:rFonts w:ascii="Times New Roman" w:eastAsia="宋体" w:hAnsi="Times New Roman"/>
          <w:color w:val="000000"/>
          <w:sz w:val="20"/>
          <w:szCs w:val="20"/>
        </w:rPr>
        <w:t>•unemployment levels;</w:t>
      </w:r>
    </w:p>
    <w:p w14:paraId="5DEC6DBD" w14:textId="77777777" w:rsidR="00B1578D" w:rsidRDefault="004D2C04">
      <w:pPr>
        <w:ind w:hanging="360"/>
      </w:pPr>
      <w:r>
        <w:rPr>
          <w:rFonts w:ascii="Times New Roman" w:eastAsia="宋体" w:hAnsi="Times New Roman"/>
          <w:color w:val="000000"/>
          <w:sz w:val="20"/>
          <w:szCs w:val="20"/>
        </w:rPr>
        <w:t>•inflation or deflation, generally and in certain product categories;</w:t>
      </w:r>
    </w:p>
    <w:p w14:paraId="5DEC6DBE" w14:textId="77777777" w:rsidR="00B1578D" w:rsidRDefault="004D2C04">
      <w:pPr>
        <w:ind w:hanging="360"/>
      </w:pPr>
      <w:r>
        <w:rPr>
          <w:rFonts w:ascii="Times New Roman" w:eastAsia="宋体" w:hAnsi="Times New Roman"/>
          <w:color w:val="000000"/>
          <w:sz w:val="20"/>
          <w:szCs w:val="20"/>
        </w:rPr>
        <w:t>•transportation, en</w:t>
      </w:r>
      <w:r>
        <w:rPr>
          <w:rFonts w:ascii="Times New Roman" w:eastAsia="宋体" w:hAnsi="Times New Roman"/>
          <w:color w:val="000000"/>
          <w:sz w:val="20"/>
          <w:szCs w:val="20"/>
        </w:rPr>
        <w:t>ergy and utility costs;</w:t>
      </w:r>
    </w:p>
    <w:p w14:paraId="5DEC6DBF" w14:textId="77777777" w:rsidR="00B1578D" w:rsidRDefault="004D2C04">
      <w:pPr>
        <w:ind w:hanging="360"/>
      </w:pPr>
      <w:r>
        <w:rPr>
          <w:rFonts w:ascii="Times New Roman" w:eastAsia="宋体" w:hAnsi="Times New Roman"/>
          <w:color w:val="000000"/>
          <w:sz w:val="20"/>
          <w:szCs w:val="20"/>
        </w:rPr>
        <w:t>•commodity prices, including the prices of oil and natural gas;</w:t>
      </w:r>
    </w:p>
    <w:p w14:paraId="5DEC6DC0" w14:textId="77777777" w:rsidR="00B1578D" w:rsidRDefault="004D2C04">
      <w:pPr>
        <w:ind w:hanging="360"/>
        <w:jc w:val="both"/>
      </w:pPr>
      <w:r>
        <w:rPr>
          <w:rFonts w:ascii="Times New Roman" w:eastAsia="宋体" w:hAnsi="Times New Roman"/>
          <w:color w:val="000000"/>
          <w:sz w:val="20"/>
          <w:szCs w:val="20"/>
        </w:rPr>
        <w:t>•consumer confidence, disposable income, credit availability, spending levels, shopping patterns, debt levels, and demand for certain merchandise;</w:t>
      </w:r>
    </w:p>
    <w:p w14:paraId="5DEC6DC1" w14:textId="77777777" w:rsidR="00B1578D" w:rsidRDefault="004D2C04">
      <w:pPr>
        <w:ind w:hanging="360"/>
        <w:jc w:val="both"/>
      </w:pPr>
      <w:r>
        <w:rPr>
          <w:rFonts w:ascii="Times New Roman" w:eastAsia="宋体" w:hAnsi="Times New Roman"/>
          <w:color w:val="000000"/>
          <w:sz w:val="20"/>
          <w:szCs w:val="20"/>
        </w:rPr>
        <w:t>•trends in consumer s</w:t>
      </w:r>
      <w:r>
        <w:rPr>
          <w:rFonts w:ascii="Times New Roman" w:eastAsia="宋体" w:hAnsi="Times New Roman"/>
          <w:color w:val="000000"/>
          <w:sz w:val="20"/>
          <w:szCs w:val="20"/>
        </w:rPr>
        <w:t>hopping habits around the world and in the markets in which Walmart operates;</w:t>
      </w:r>
    </w:p>
    <w:p w14:paraId="5DEC6DC2" w14:textId="77777777" w:rsidR="00B1578D" w:rsidRDefault="004D2C04">
      <w:pPr>
        <w:ind w:hanging="360"/>
        <w:jc w:val="both"/>
      </w:pPr>
      <w:r>
        <w:rPr>
          <w:rFonts w:ascii="Times New Roman" w:eastAsia="宋体" w:hAnsi="Times New Roman"/>
          <w:color w:val="000000"/>
          <w:sz w:val="20"/>
          <w:szCs w:val="20"/>
        </w:rPr>
        <w:t>•consumer enrollment in health and drug insurance programs and such programs' reimbursement rates and drug formularies; and</w:t>
      </w:r>
    </w:p>
    <w:p w14:paraId="5DEC6DC3" w14:textId="77777777" w:rsidR="00B1578D" w:rsidRDefault="004D2C04">
      <w:pPr>
        <w:ind w:hanging="360"/>
        <w:jc w:val="both"/>
      </w:pPr>
      <w:r>
        <w:rPr>
          <w:rFonts w:ascii="Times New Roman" w:eastAsia="宋体" w:hAnsi="Times New Roman"/>
          <w:color w:val="000000"/>
          <w:sz w:val="20"/>
          <w:szCs w:val="20"/>
        </w:rPr>
        <w:t xml:space="preserve">•initiatives of competitors, competitors' entry </w:t>
      </w:r>
      <w:r>
        <w:rPr>
          <w:rFonts w:ascii="Times New Roman" w:eastAsia="宋体" w:hAnsi="Times New Roman"/>
          <w:color w:val="000000"/>
          <w:sz w:val="20"/>
          <w:szCs w:val="20"/>
        </w:rPr>
        <w:t>into and expansion in Walmart's markets or lines of business, and competitive pressures.</w:t>
      </w:r>
    </w:p>
    <w:p w14:paraId="5DEC6DC4" w14:textId="77777777" w:rsidR="00B1578D" w:rsidRDefault="004D2C04">
      <w:pPr>
        <w:spacing w:before="100" w:after="120"/>
        <w:ind w:firstLine="360"/>
        <w:jc w:val="both"/>
      </w:pPr>
      <w:r>
        <w:rPr>
          <w:rFonts w:ascii="Times New Roman" w:eastAsia="宋体" w:hAnsi="Times New Roman"/>
          <w:b/>
          <w:bCs/>
          <w:color w:val="000000"/>
          <w:sz w:val="20"/>
          <w:szCs w:val="20"/>
        </w:rPr>
        <w:t>Operating Factors</w:t>
      </w:r>
    </w:p>
    <w:p w14:paraId="5DEC6DC5" w14:textId="77777777" w:rsidR="00B1578D" w:rsidRDefault="004D2C04">
      <w:pPr>
        <w:ind w:hanging="360"/>
      </w:pPr>
      <w:r>
        <w:rPr>
          <w:rFonts w:ascii="Times New Roman" w:eastAsia="宋体" w:hAnsi="Times New Roman"/>
          <w:color w:val="000000"/>
          <w:sz w:val="20"/>
          <w:szCs w:val="20"/>
        </w:rPr>
        <w:t>•the amount of Walmart's net sales and operating expenses denominated in U.S. dollar and various foreign currencies;</w:t>
      </w:r>
    </w:p>
    <w:p w14:paraId="5DEC6DC6" w14:textId="77777777" w:rsidR="00B1578D" w:rsidRDefault="004D2C04">
      <w:pPr>
        <w:ind w:hanging="360"/>
      </w:pPr>
      <w:r>
        <w:rPr>
          <w:rFonts w:ascii="Times New Roman" w:eastAsia="宋体" w:hAnsi="Times New Roman"/>
          <w:color w:val="000000"/>
          <w:sz w:val="20"/>
          <w:szCs w:val="20"/>
        </w:rPr>
        <w:t>•the financial performance of Wa</w:t>
      </w:r>
      <w:r>
        <w:rPr>
          <w:rFonts w:ascii="Times New Roman" w:eastAsia="宋体" w:hAnsi="Times New Roman"/>
          <w:color w:val="000000"/>
          <w:sz w:val="20"/>
          <w:szCs w:val="20"/>
        </w:rPr>
        <w:t>lmart and each of its segments, including the amount of Walmart's cash flow during various periods;</w:t>
      </w:r>
    </w:p>
    <w:p w14:paraId="5DEC6DC7" w14:textId="77777777" w:rsidR="00B1578D" w:rsidRDefault="004D2C04">
      <w:pPr>
        <w:ind w:hanging="360"/>
      </w:pPr>
      <w:r>
        <w:rPr>
          <w:rFonts w:ascii="Times New Roman" w:eastAsia="宋体" w:hAnsi="Times New Roman"/>
          <w:color w:val="000000"/>
          <w:sz w:val="20"/>
          <w:szCs w:val="20"/>
        </w:rPr>
        <w:t>•customer transaction and average ticket in Walmart's stores and clubs and on its eCommerce platforms;</w:t>
      </w:r>
    </w:p>
    <w:p w14:paraId="5DEC6DC8" w14:textId="77777777" w:rsidR="00B1578D" w:rsidRDefault="004D2C04">
      <w:pPr>
        <w:ind w:hanging="360"/>
      </w:pPr>
      <w:r>
        <w:rPr>
          <w:rFonts w:ascii="Times New Roman" w:eastAsia="宋体" w:hAnsi="Times New Roman"/>
          <w:color w:val="000000"/>
          <w:sz w:val="20"/>
          <w:szCs w:val="20"/>
        </w:rPr>
        <w:t>•the mix of merchandise Walmart sells and its custome</w:t>
      </w:r>
      <w:r>
        <w:rPr>
          <w:rFonts w:ascii="Times New Roman" w:eastAsia="宋体" w:hAnsi="Times New Roman"/>
          <w:color w:val="000000"/>
          <w:sz w:val="20"/>
          <w:szCs w:val="20"/>
        </w:rPr>
        <w:t>rs purchase;</w:t>
      </w:r>
    </w:p>
    <w:p w14:paraId="5DEC6DC9" w14:textId="77777777" w:rsidR="00B1578D" w:rsidRDefault="004D2C04">
      <w:pPr>
        <w:ind w:hanging="360"/>
      </w:pPr>
      <w:r>
        <w:rPr>
          <w:rFonts w:ascii="Times New Roman" w:eastAsia="宋体" w:hAnsi="Times New Roman"/>
          <w:color w:val="000000"/>
          <w:sz w:val="20"/>
          <w:szCs w:val="20"/>
        </w:rPr>
        <w:t>•the availability of goods from suppliers and the cost of goods acquired from suppliers;</w:t>
      </w:r>
    </w:p>
    <w:p w14:paraId="5DEC6DCA" w14:textId="77777777" w:rsidR="00B1578D" w:rsidRDefault="004D2C04">
      <w:pPr>
        <w:ind w:hanging="360"/>
      </w:pPr>
      <w:r>
        <w:rPr>
          <w:rFonts w:ascii="Times New Roman" w:eastAsia="宋体" w:hAnsi="Times New Roman"/>
          <w:color w:val="000000"/>
          <w:sz w:val="20"/>
          <w:szCs w:val="20"/>
        </w:rPr>
        <w:t>•the effectiveness of the implementation and operation of Walmart's strategies, plans, programs and initiatives;</w:t>
      </w:r>
    </w:p>
    <w:p w14:paraId="5DEC6DCB" w14:textId="77777777" w:rsidR="00B1578D" w:rsidRDefault="004D2C04">
      <w:pPr>
        <w:ind w:hanging="360"/>
      </w:pPr>
      <w:r>
        <w:rPr>
          <w:rFonts w:ascii="Times New Roman" w:eastAsia="宋体" w:hAnsi="Times New Roman"/>
          <w:color w:val="000000"/>
          <w:sz w:val="20"/>
          <w:szCs w:val="20"/>
        </w:rPr>
        <w:t>•COVID-19 related challenges, including r</w:t>
      </w:r>
      <w:r>
        <w:rPr>
          <w:rFonts w:ascii="Times New Roman" w:eastAsia="宋体" w:hAnsi="Times New Roman"/>
          <w:color w:val="000000"/>
          <w:sz w:val="20"/>
          <w:szCs w:val="20"/>
        </w:rPr>
        <w:t>educed customer transactions and tickets, reduced store hours, shifts in demand from discretionary products, supply chain disruption and production, labor shortages and increases in labor costs, and dissemination of global vaccines, as well as potential im</w:t>
      </w:r>
      <w:r>
        <w:rPr>
          <w:rFonts w:ascii="Times New Roman" w:eastAsia="宋体" w:hAnsi="Times New Roman"/>
          <w:color w:val="000000"/>
          <w:sz w:val="20"/>
          <w:szCs w:val="20"/>
        </w:rPr>
        <w:t>pacts of any related vaccine mandates on our workforce;</w:t>
      </w:r>
    </w:p>
    <w:p w14:paraId="5DEC6DCC" w14:textId="77777777" w:rsidR="00B1578D" w:rsidRDefault="004D2C04">
      <w:pPr>
        <w:ind w:hanging="360"/>
      </w:pPr>
      <w:r>
        <w:rPr>
          <w:rFonts w:ascii="Times New Roman" w:eastAsia="宋体" w:hAnsi="Times New Roman"/>
          <w:color w:val="000000"/>
        </w:rPr>
        <w:t>•</w:t>
      </w:r>
      <w:r>
        <w:rPr>
          <w:rFonts w:ascii="Times New Roman" w:eastAsia="宋体" w:hAnsi="Times New Roman"/>
          <w:color w:val="000000"/>
          <w:sz w:val="20"/>
          <w:szCs w:val="20"/>
        </w:rPr>
        <w:t>the impact of acquisitions, divestitures, store or club closures, and other strategic decisions;</w:t>
      </w:r>
    </w:p>
    <w:p w14:paraId="5DEC6DCD" w14:textId="77777777" w:rsidR="00B1578D" w:rsidRDefault="004D2C04">
      <w:pPr>
        <w:ind w:hanging="360"/>
      </w:pPr>
      <w:r>
        <w:rPr>
          <w:rFonts w:ascii="Times New Roman" w:eastAsia="宋体" w:hAnsi="Times New Roman"/>
          <w:color w:val="000000"/>
          <w:sz w:val="20"/>
          <w:szCs w:val="20"/>
        </w:rPr>
        <w:t>•Walmart's ability to successfully integrate acquired businesses;</w:t>
      </w:r>
    </w:p>
    <w:p w14:paraId="5DEC6DCE" w14:textId="77777777" w:rsidR="00B1578D" w:rsidRDefault="004D2C04">
      <w:pPr>
        <w:ind w:hanging="360"/>
      </w:pPr>
      <w:r>
        <w:rPr>
          <w:rFonts w:ascii="Times New Roman" w:eastAsia="宋体" w:hAnsi="Times New Roman"/>
          <w:color w:val="000000"/>
          <w:sz w:val="20"/>
          <w:szCs w:val="20"/>
        </w:rPr>
        <w:t>•unexpected changes in Walmart's obj</w:t>
      </w:r>
      <w:r>
        <w:rPr>
          <w:rFonts w:ascii="Times New Roman" w:eastAsia="宋体" w:hAnsi="Times New Roman"/>
          <w:color w:val="000000"/>
          <w:sz w:val="20"/>
          <w:szCs w:val="20"/>
        </w:rPr>
        <w:t>ectives and plans;</w:t>
      </w:r>
    </w:p>
    <w:p w14:paraId="5DEC6DCF" w14:textId="77777777" w:rsidR="00B1578D" w:rsidRDefault="004D2C04">
      <w:pPr>
        <w:ind w:hanging="360"/>
      </w:pPr>
      <w:r>
        <w:rPr>
          <w:rFonts w:ascii="Times New Roman" w:eastAsia="宋体" w:hAnsi="Times New Roman"/>
          <w:color w:val="000000"/>
          <w:sz w:val="20"/>
          <w:szCs w:val="20"/>
        </w:rPr>
        <w:t>•the amount of shrinkage Walmart experiences;</w:t>
      </w:r>
    </w:p>
    <w:p w14:paraId="5DEC6DD0" w14:textId="77777777" w:rsidR="00B1578D" w:rsidRDefault="004D2C04">
      <w:pPr>
        <w:ind w:hanging="360"/>
      </w:pPr>
      <w:r>
        <w:rPr>
          <w:rFonts w:ascii="Times New Roman" w:eastAsia="宋体" w:hAnsi="Times New Roman"/>
          <w:color w:val="000000"/>
          <w:sz w:val="20"/>
          <w:szCs w:val="20"/>
        </w:rPr>
        <w:t>•consumer acceptance of and response to Walmart's stores and clubs, eCommerce platforms, programs, merchandise offerings and delivery methods;</w:t>
      </w:r>
    </w:p>
    <w:p w14:paraId="5DEC6DD1" w14:textId="77777777" w:rsidR="00B1578D" w:rsidRDefault="004D2C04">
      <w:pPr>
        <w:ind w:hanging="360"/>
      </w:pPr>
      <w:r>
        <w:rPr>
          <w:rFonts w:ascii="Times New Roman" w:eastAsia="宋体" w:hAnsi="Times New Roman"/>
          <w:color w:val="000000"/>
          <w:sz w:val="20"/>
          <w:szCs w:val="20"/>
        </w:rPr>
        <w:t>•Walmart's gross profit margins, including pharm</w:t>
      </w:r>
      <w:r>
        <w:rPr>
          <w:rFonts w:ascii="Times New Roman" w:eastAsia="宋体" w:hAnsi="Times New Roman"/>
          <w:color w:val="000000"/>
          <w:sz w:val="20"/>
          <w:szCs w:val="20"/>
        </w:rPr>
        <w:t>acy margins and margins of other product categories;</w:t>
      </w:r>
    </w:p>
    <w:p w14:paraId="5DEC6DD2" w14:textId="77777777" w:rsidR="00B1578D" w:rsidRDefault="004D2C04">
      <w:pPr>
        <w:ind w:hanging="360"/>
      </w:pPr>
      <w:r>
        <w:rPr>
          <w:rFonts w:ascii="Times New Roman" w:eastAsia="宋体" w:hAnsi="Times New Roman"/>
          <w:color w:val="000000"/>
          <w:sz w:val="20"/>
          <w:szCs w:val="20"/>
        </w:rPr>
        <w:t>•the selling prices of gasoline and diesel fuel;</w:t>
      </w:r>
    </w:p>
    <w:p w14:paraId="5DEC6DD3" w14:textId="77777777" w:rsidR="00B1578D" w:rsidRDefault="004D2C04">
      <w:pPr>
        <w:ind w:hanging="360"/>
      </w:pPr>
      <w:r>
        <w:rPr>
          <w:rFonts w:ascii="Times New Roman" w:eastAsia="宋体" w:hAnsi="Times New Roman"/>
          <w:color w:val="000000"/>
          <w:sz w:val="20"/>
          <w:szCs w:val="20"/>
        </w:rPr>
        <w:t>•disruption of seasonal buying patterns in Walmart's markets;</w:t>
      </w:r>
    </w:p>
    <w:p w14:paraId="5DEC6DD4" w14:textId="77777777" w:rsidR="00B1578D" w:rsidRDefault="004D2C04">
      <w:pPr>
        <w:ind w:hanging="360"/>
      </w:pPr>
      <w:r>
        <w:rPr>
          <w:rFonts w:ascii="Times New Roman" w:eastAsia="宋体" w:hAnsi="Times New Roman"/>
          <w:color w:val="000000"/>
          <w:sz w:val="20"/>
          <w:szCs w:val="20"/>
        </w:rPr>
        <w:t>•disruptions in Walmart's supply chain and inventory management;</w:t>
      </w:r>
    </w:p>
    <w:p w14:paraId="5DEC6DD5" w14:textId="77777777" w:rsidR="00B1578D" w:rsidRDefault="004D2C04">
      <w:pPr>
        <w:ind w:hanging="360"/>
      </w:pPr>
      <w:r>
        <w:rPr>
          <w:rFonts w:ascii="Times New Roman" w:eastAsia="宋体" w:hAnsi="Times New Roman"/>
          <w:color w:val="000000"/>
          <w:sz w:val="20"/>
          <w:szCs w:val="20"/>
        </w:rPr>
        <w:t xml:space="preserve">•cybersecurity events </w:t>
      </w:r>
      <w:r>
        <w:rPr>
          <w:rFonts w:ascii="Times New Roman" w:eastAsia="宋体" w:hAnsi="Times New Roman"/>
          <w:color w:val="000000"/>
          <w:sz w:val="20"/>
          <w:szCs w:val="20"/>
        </w:rPr>
        <w:t>affecting Walmart and related costs and impact of any disruption in business;</w:t>
      </w:r>
    </w:p>
    <w:p w14:paraId="5DEC6DD6" w14:textId="77777777" w:rsidR="00B1578D" w:rsidRDefault="004D2C04">
      <w:pPr>
        <w:ind w:hanging="360"/>
      </w:pPr>
      <w:r>
        <w:rPr>
          <w:rFonts w:ascii="Times New Roman" w:eastAsia="宋体" w:hAnsi="Times New Roman"/>
          <w:color w:val="000000"/>
          <w:sz w:val="20"/>
          <w:szCs w:val="20"/>
        </w:rPr>
        <w:t>•Walmart's labor costs, including healthcare and other benefit costs;</w:t>
      </w:r>
    </w:p>
    <w:p w14:paraId="5DEC6DD7" w14:textId="77777777" w:rsidR="00B1578D" w:rsidRDefault="004D2C04">
      <w:pPr>
        <w:ind w:hanging="360"/>
      </w:pPr>
      <w:r>
        <w:rPr>
          <w:rFonts w:ascii="Times New Roman" w:eastAsia="宋体" w:hAnsi="Times New Roman"/>
          <w:color w:val="000000"/>
          <w:sz w:val="20"/>
          <w:szCs w:val="20"/>
        </w:rPr>
        <w:t>•Walmart's casualty and accident-related costs and insurance costs;</w:t>
      </w:r>
    </w:p>
    <w:p w14:paraId="5DEC6DD8" w14:textId="77777777" w:rsidR="00B1578D" w:rsidRDefault="004D2C04">
      <w:pPr>
        <w:ind w:hanging="360"/>
      </w:pPr>
      <w:r>
        <w:rPr>
          <w:rFonts w:ascii="Times New Roman" w:eastAsia="宋体" w:hAnsi="Times New Roman"/>
          <w:color w:val="000000"/>
          <w:sz w:val="20"/>
          <w:szCs w:val="20"/>
        </w:rPr>
        <w:t>•the size of and turnover in Walmart's w</w:t>
      </w:r>
      <w:r>
        <w:rPr>
          <w:rFonts w:ascii="Times New Roman" w:eastAsia="宋体" w:hAnsi="Times New Roman"/>
          <w:color w:val="000000"/>
          <w:sz w:val="20"/>
          <w:szCs w:val="20"/>
        </w:rPr>
        <w:t>orkforce and the number of associates at various pay levels within that workforce;</w:t>
      </w:r>
    </w:p>
    <w:p w14:paraId="5DEC6DD9" w14:textId="77777777" w:rsidR="00B1578D" w:rsidRDefault="004D2C04">
      <w:pPr>
        <w:ind w:hanging="360"/>
      </w:pPr>
      <w:r>
        <w:rPr>
          <w:rFonts w:ascii="Times New Roman" w:eastAsia="宋体" w:hAnsi="Times New Roman"/>
          <w:color w:val="000000"/>
          <w:sz w:val="20"/>
          <w:szCs w:val="20"/>
        </w:rPr>
        <w:t>•the availability of necessary personnel to staff Walmart's stores, clubs and other facilities;</w:t>
      </w:r>
    </w:p>
    <w:p w14:paraId="5DEC6DDA" w14:textId="77777777" w:rsidR="00B1578D" w:rsidRDefault="004D2C04">
      <w:pPr>
        <w:ind w:hanging="360"/>
      </w:pPr>
      <w:r>
        <w:rPr>
          <w:rFonts w:ascii="Times New Roman" w:eastAsia="宋体" w:hAnsi="Times New Roman"/>
          <w:color w:val="000000"/>
          <w:sz w:val="20"/>
          <w:szCs w:val="20"/>
        </w:rPr>
        <w:t>•delays in the opening of new, expanded, relocated or remodeled units;</w:t>
      </w:r>
    </w:p>
    <w:p w14:paraId="5DEC6DDB" w14:textId="77777777" w:rsidR="00B1578D" w:rsidRDefault="004D2C04">
      <w:pPr>
        <w:ind w:hanging="360"/>
      </w:pPr>
      <w:r>
        <w:rPr>
          <w:rFonts w:ascii="Times New Roman" w:eastAsia="宋体" w:hAnsi="Times New Roman"/>
          <w:color w:val="000000"/>
          <w:sz w:val="20"/>
          <w:szCs w:val="20"/>
        </w:rPr>
        <w:t>•devel</w:t>
      </w:r>
      <w:r>
        <w:rPr>
          <w:rFonts w:ascii="Times New Roman" w:eastAsia="宋体" w:hAnsi="Times New Roman"/>
          <w:color w:val="000000"/>
          <w:sz w:val="20"/>
          <w:szCs w:val="20"/>
        </w:rPr>
        <w:t>opments in, and the outcome of, legal and regulatory proceedings and investigations to which Walmart is a party or is subject, and the liabilities, obligations and expenses, if any, that Walmart may incur in connection therewith;</w:t>
      </w:r>
    </w:p>
    <w:p w14:paraId="5DEC6DDC" w14:textId="77777777" w:rsidR="00B1578D" w:rsidRDefault="004D2C04">
      <w:pPr>
        <w:ind w:hanging="360"/>
      </w:pPr>
      <w:r>
        <w:rPr>
          <w:rFonts w:ascii="Times New Roman" w:eastAsia="宋体" w:hAnsi="Times New Roman"/>
          <w:color w:val="000000"/>
          <w:sz w:val="20"/>
          <w:szCs w:val="20"/>
        </w:rPr>
        <w:t>•changes in the credit rat</w:t>
      </w:r>
      <w:r>
        <w:rPr>
          <w:rFonts w:ascii="Times New Roman" w:eastAsia="宋体" w:hAnsi="Times New Roman"/>
          <w:color w:val="000000"/>
          <w:sz w:val="20"/>
          <w:szCs w:val="20"/>
        </w:rPr>
        <w:t>ings assigned to the Company's commercial paper and debt securities by credit rating agencies;</w:t>
      </w:r>
    </w:p>
    <w:p w14:paraId="5DEC6DDD" w14:textId="77777777" w:rsidR="00B1578D" w:rsidRDefault="004D2C04">
      <w:pPr>
        <w:ind w:hanging="360"/>
      </w:pPr>
      <w:r>
        <w:rPr>
          <w:rFonts w:ascii="Times New Roman" w:eastAsia="宋体" w:hAnsi="Times New Roman"/>
          <w:color w:val="000000"/>
          <w:sz w:val="20"/>
          <w:szCs w:val="20"/>
        </w:rPr>
        <w:t>•Walmart's effective tax rate; and</w:t>
      </w:r>
    </w:p>
    <w:p w14:paraId="5DEC6DDE" w14:textId="77777777" w:rsidR="00B1578D" w:rsidRDefault="004D2C04">
      <w:pPr>
        <w:ind w:hanging="360"/>
      </w:pPr>
      <w:r>
        <w:rPr>
          <w:rFonts w:ascii="Times New Roman" w:eastAsia="宋体" w:hAnsi="Times New Roman"/>
          <w:color w:val="000000"/>
          <w:sz w:val="20"/>
          <w:szCs w:val="20"/>
        </w:rPr>
        <w:t>•unanticipated changes in accounting judgments and estimates.</w:t>
      </w:r>
    </w:p>
    <w:p w14:paraId="5DEC6DDF" w14:textId="77777777" w:rsidR="00B1578D" w:rsidRDefault="004D2C04">
      <w:pPr>
        <w:jc w:val="center"/>
      </w:pPr>
      <w:r>
        <w:rPr>
          <w:rFonts w:ascii="Times New Roman" w:eastAsia="宋体" w:hAnsi="Times New Roman"/>
          <w:color w:val="000000"/>
          <w:sz w:val="20"/>
          <w:szCs w:val="20"/>
        </w:rPr>
        <w:t>30</w:t>
      </w:r>
    </w:p>
    <w:p w14:paraId="5DEC6DE0" w14:textId="77777777" w:rsidR="00B1578D" w:rsidRDefault="004D2C04">
      <w:r>
        <w:pict w14:anchorId="5DEC6F43">
          <v:rect id="_x0000_i1054" style="width:415.3pt;height:1.5pt" o:hralign="center" o:hrstd="t" o:hr="t" fillcolor="#a0a0a0" stroked="f"/>
        </w:pict>
      </w:r>
    </w:p>
    <w:p w14:paraId="5DEC6DE1" w14:textId="77777777" w:rsidR="00B1578D" w:rsidRDefault="004D2C04">
      <w:hyperlink r:id="rId102" w:anchor="ia92fe4e1fa654d85928fb72942eadb02_7" w:history="1">
        <w:r>
          <w:rPr>
            <w:rStyle w:val="a5"/>
            <w:rFonts w:ascii="Times New Roman" w:eastAsia="宋体" w:hAnsi="Times New Roman"/>
            <w:sz w:val="20"/>
            <w:szCs w:val="20"/>
          </w:rPr>
          <w:t>Table of Contents</w:t>
        </w:r>
      </w:hyperlink>
    </w:p>
    <w:p w14:paraId="5DEC6DE2" w14:textId="77777777" w:rsidR="00B1578D" w:rsidRDefault="004D2C04">
      <w:pPr>
        <w:spacing w:before="100" w:after="120"/>
        <w:ind w:firstLine="360"/>
      </w:pPr>
      <w:r>
        <w:rPr>
          <w:rFonts w:ascii="Times New Roman" w:eastAsia="宋体" w:hAnsi="Times New Roman"/>
          <w:b/>
          <w:bCs/>
          <w:color w:val="000000"/>
          <w:sz w:val="20"/>
          <w:szCs w:val="20"/>
        </w:rPr>
        <w:t>Regulatory and Other Factors</w:t>
      </w:r>
    </w:p>
    <w:p w14:paraId="5DEC6DE3" w14:textId="77777777" w:rsidR="00B1578D" w:rsidRDefault="004D2C04">
      <w:pPr>
        <w:ind w:hanging="360"/>
      </w:pPr>
      <w:r>
        <w:rPr>
          <w:rFonts w:ascii="Times New Roman" w:eastAsia="宋体" w:hAnsi="Times New Roman"/>
          <w:color w:val="000000"/>
          <w:sz w:val="20"/>
          <w:szCs w:val="20"/>
        </w:rPr>
        <w:t>•changes in existing, tax, labor and other laws and chang</w:t>
      </w:r>
      <w:r>
        <w:rPr>
          <w:rFonts w:ascii="Times New Roman" w:eastAsia="宋体" w:hAnsi="Times New Roman"/>
          <w:color w:val="000000"/>
          <w:sz w:val="20"/>
          <w:szCs w:val="20"/>
        </w:rPr>
        <w:t>es in tax rates, including the enactment of laws and the adoption and interpretation of administrative rules and regulations;</w:t>
      </w:r>
    </w:p>
    <w:p w14:paraId="5DEC6DE4" w14:textId="77777777" w:rsidR="00B1578D" w:rsidRDefault="004D2C04">
      <w:pPr>
        <w:ind w:hanging="360"/>
      </w:pPr>
      <w:r>
        <w:rPr>
          <w:rFonts w:ascii="Times New Roman" w:eastAsia="宋体" w:hAnsi="Times New Roman"/>
          <w:color w:val="000000"/>
          <w:sz w:val="20"/>
          <w:szCs w:val="20"/>
        </w:rPr>
        <w:t xml:space="preserve">•the imposition of new taxes on imports, new tariffs and changes in existing tariff rates; </w:t>
      </w:r>
    </w:p>
    <w:p w14:paraId="5DEC6DE5" w14:textId="77777777" w:rsidR="00B1578D" w:rsidRDefault="004D2C04">
      <w:pPr>
        <w:ind w:hanging="360"/>
      </w:pPr>
      <w:r>
        <w:rPr>
          <w:rFonts w:ascii="Times New Roman" w:eastAsia="宋体" w:hAnsi="Times New Roman"/>
          <w:color w:val="000000"/>
          <w:sz w:val="20"/>
          <w:szCs w:val="20"/>
        </w:rPr>
        <w:t>•the imposition of new trade restricti</w:t>
      </w:r>
      <w:r>
        <w:rPr>
          <w:rFonts w:ascii="Times New Roman" w:eastAsia="宋体" w:hAnsi="Times New Roman"/>
          <w:color w:val="000000"/>
          <w:sz w:val="20"/>
          <w:szCs w:val="20"/>
        </w:rPr>
        <w:t>ons and changes in existing trade restrictions;</w:t>
      </w:r>
    </w:p>
    <w:p w14:paraId="5DEC6DE6" w14:textId="77777777" w:rsidR="00B1578D" w:rsidRDefault="004D2C04">
      <w:pPr>
        <w:ind w:hanging="360"/>
      </w:pPr>
      <w:r>
        <w:rPr>
          <w:rFonts w:ascii="Times New Roman" w:eastAsia="宋体" w:hAnsi="Times New Roman"/>
          <w:color w:val="000000"/>
          <w:sz w:val="20"/>
          <w:szCs w:val="20"/>
        </w:rPr>
        <w:t>•adoption or creation of new, and modification of existing, governmental policies, programs, initiatives and actions in the markets in which Walmart operates and elsewhere and actions with respect to such pol</w:t>
      </w:r>
      <w:r>
        <w:rPr>
          <w:rFonts w:ascii="Times New Roman" w:eastAsia="宋体" w:hAnsi="Times New Roman"/>
          <w:color w:val="000000"/>
          <w:sz w:val="20"/>
          <w:szCs w:val="20"/>
        </w:rPr>
        <w:t>icies, programs and initiatives;</w:t>
      </w:r>
    </w:p>
    <w:p w14:paraId="5DEC6DE7" w14:textId="77777777" w:rsidR="00B1578D" w:rsidRDefault="004D2C04">
      <w:pPr>
        <w:ind w:hanging="360"/>
      </w:pPr>
      <w:r>
        <w:rPr>
          <w:rFonts w:ascii="Times New Roman" w:eastAsia="宋体" w:hAnsi="Times New Roman"/>
          <w:color w:val="000000"/>
          <w:sz w:val="20"/>
          <w:szCs w:val="20"/>
        </w:rPr>
        <w:t>•changes in government-funded benefit programs and the extent and effectiveness of any further COVID-19 related stimulus packages;</w:t>
      </w:r>
    </w:p>
    <w:p w14:paraId="5DEC6DE8" w14:textId="77777777" w:rsidR="00B1578D" w:rsidRDefault="004D2C04">
      <w:pPr>
        <w:ind w:hanging="360"/>
      </w:pPr>
      <w:r>
        <w:rPr>
          <w:rFonts w:ascii="Times New Roman" w:eastAsia="宋体" w:hAnsi="Times New Roman"/>
          <w:color w:val="000000"/>
          <w:sz w:val="20"/>
          <w:szCs w:val="20"/>
        </w:rPr>
        <w:t>•changes in currency control laws;</w:t>
      </w:r>
    </w:p>
    <w:p w14:paraId="5DEC6DE9" w14:textId="77777777" w:rsidR="00B1578D" w:rsidRDefault="004D2C04">
      <w:pPr>
        <w:ind w:hanging="360"/>
      </w:pPr>
      <w:r>
        <w:rPr>
          <w:rFonts w:ascii="Times New Roman" w:eastAsia="宋体" w:hAnsi="Times New Roman"/>
          <w:color w:val="000000"/>
          <w:sz w:val="20"/>
          <w:szCs w:val="20"/>
        </w:rPr>
        <w:t>•changes in the level of public assistance payments;</w:t>
      </w:r>
    </w:p>
    <w:p w14:paraId="5DEC6DEA" w14:textId="77777777" w:rsidR="00B1578D" w:rsidRDefault="004D2C04">
      <w:pPr>
        <w:ind w:hanging="360"/>
      </w:pPr>
      <w:r>
        <w:rPr>
          <w:rFonts w:ascii="Times New Roman" w:eastAsia="宋体" w:hAnsi="Times New Roman"/>
          <w:color w:val="000000"/>
          <w:sz w:val="20"/>
          <w:szCs w:val="20"/>
        </w:rPr>
        <w:t>•one</w:t>
      </w:r>
      <w:r>
        <w:rPr>
          <w:rFonts w:ascii="Times New Roman" w:eastAsia="宋体" w:hAnsi="Times New Roman"/>
          <w:color w:val="000000"/>
          <w:sz w:val="20"/>
          <w:szCs w:val="20"/>
        </w:rPr>
        <w:t xml:space="preserve"> or more prolonged federal government shutdowns;</w:t>
      </w:r>
    </w:p>
    <w:p w14:paraId="5DEC6DEB" w14:textId="77777777" w:rsidR="00B1578D" w:rsidRDefault="004D2C04">
      <w:pPr>
        <w:ind w:hanging="360"/>
      </w:pPr>
      <w:r>
        <w:rPr>
          <w:rFonts w:ascii="Times New Roman" w:eastAsia="宋体" w:hAnsi="Times New Roman"/>
          <w:color w:val="000000"/>
          <w:sz w:val="20"/>
          <w:szCs w:val="20"/>
        </w:rPr>
        <w:t>•the timing of federal income tax refunds;</w:t>
      </w:r>
    </w:p>
    <w:p w14:paraId="5DEC6DEC" w14:textId="77777777" w:rsidR="00B1578D" w:rsidRDefault="004D2C04">
      <w:pPr>
        <w:ind w:hanging="360"/>
      </w:pPr>
      <w:r>
        <w:rPr>
          <w:rFonts w:ascii="Times New Roman" w:eastAsia="宋体" w:hAnsi="Times New Roman"/>
          <w:color w:val="000000"/>
          <w:sz w:val="20"/>
          <w:szCs w:val="20"/>
        </w:rPr>
        <w:t>•natural disasters, changes in climate, catastrophic events and global health epidemics or pandemics, including COVID-19; and</w:t>
      </w:r>
    </w:p>
    <w:p w14:paraId="5DEC6DED" w14:textId="77777777" w:rsidR="00B1578D" w:rsidRDefault="004D2C04">
      <w:pPr>
        <w:ind w:hanging="360"/>
      </w:pPr>
      <w:r>
        <w:rPr>
          <w:rFonts w:ascii="Times New Roman" w:eastAsia="宋体" w:hAnsi="Times New Roman"/>
          <w:color w:val="000000"/>
          <w:sz w:val="20"/>
          <w:szCs w:val="20"/>
        </w:rPr>
        <w:t>•changes in generally accepted account</w:t>
      </w:r>
      <w:r>
        <w:rPr>
          <w:rFonts w:ascii="Times New Roman" w:eastAsia="宋体" w:hAnsi="Times New Roman"/>
          <w:color w:val="000000"/>
          <w:sz w:val="20"/>
          <w:szCs w:val="20"/>
        </w:rPr>
        <w:t>ing principles in the United States.</w:t>
      </w:r>
    </w:p>
    <w:p w14:paraId="5DEC6DEE" w14:textId="77777777" w:rsidR="00B1578D" w:rsidRDefault="004D2C04">
      <w:pPr>
        <w:spacing w:before="180"/>
      </w:pPr>
      <w:r>
        <w:rPr>
          <w:rFonts w:ascii="Times New Roman" w:eastAsia="宋体" w:hAnsi="Times New Roman"/>
          <w:b/>
          <w:bCs/>
          <w:i/>
          <w:iCs/>
          <w:color w:val="000000"/>
          <w:sz w:val="20"/>
          <w:szCs w:val="20"/>
        </w:rPr>
        <w:t>Other Risk Factors; No Duty to Update</w:t>
      </w:r>
    </w:p>
    <w:p w14:paraId="5DEC6DEF" w14:textId="77777777" w:rsidR="00B1578D" w:rsidRDefault="004D2C04">
      <w:pPr>
        <w:spacing w:before="100"/>
      </w:pPr>
      <w:r>
        <w:rPr>
          <w:rFonts w:ascii="Times New Roman" w:eastAsia="宋体" w:hAnsi="Times New Roman"/>
          <w:color w:val="000000"/>
          <w:sz w:val="20"/>
          <w:szCs w:val="20"/>
        </w:rPr>
        <w:t xml:space="preserve">This Quarterly Report on Form 10-Q should be read in conjunction with Walmart's Annual Report on Form 10-K for the fiscal year ended January 31, 2022 and all of Walmart's </w:t>
      </w:r>
      <w:r>
        <w:rPr>
          <w:rFonts w:ascii="Times New Roman" w:eastAsia="宋体" w:hAnsi="Times New Roman"/>
          <w:color w:val="000000"/>
          <w:sz w:val="20"/>
          <w:szCs w:val="20"/>
        </w:rPr>
        <w:t xml:space="preserve">subsequent other filings with the Securities and Exchange Commission. Walmart urges investors to consider all of the risks, uncertainties and other factors disclosed in these filings carefully in evaluating the forward-looking statements contained in this </w:t>
      </w:r>
      <w:r>
        <w:rPr>
          <w:rFonts w:ascii="Times New Roman" w:eastAsia="宋体" w:hAnsi="Times New Roman"/>
          <w:color w:val="000000"/>
          <w:sz w:val="20"/>
          <w:szCs w:val="20"/>
        </w:rPr>
        <w:t xml:space="preserve">Quarterly Report on Form 10-Q. The Company cannot assure you that the results or developments anticipated by the Company and reflected or implied by any forward-looking statement contained in this Quarterly Report on Form 10-Q will be realized or, even if </w:t>
      </w:r>
      <w:r>
        <w:rPr>
          <w:rFonts w:ascii="Times New Roman" w:eastAsia="宋体" w:hAnsi="Times New Roman"/>
          <w:color w:val="000000"/>
          <w:sz w:val="20"/>
          <w:szCs w:val="20"/>
        </w:rPr>
        <w:t>substantially realized, that those results or developments will result in the forecasted or expected consequences for the Company or affect the Company, its operations or its financial performance as the Company has forecasted or expected. As a result of t</w:t>
      </w:r>
      <w:r>
        <w:rPr>
          <w:rFonts w:ascii="Times New Roman" w:eastAsia="宋体" w:hAnsi="Times New Roman"/>
          <w:color w:val="000000"/>
          <w:sz w:val="20"/>
          <w:szCs w:val="20"/>
        </w:rPr>
        <w:t>he matters discussed above and other matters, including changes in facts, assumptions not being realized or other factors, the actual results relating to the subject matter of any forward-looking statement in this Quarterly Report on Form 10-Q may differ m</w:t>
      </w:r>
      <w:r>
        <w:rPr>
          <w:rFonts w:ascii="Times New Roman" w:eastAsia="宋体" w:hAnsi="Times New Roman"/>
          <w:color w:val="000000"/>
          <w:sz w:val="20"/>
          <w:szCs w:val="20"/>
        </w:rPr>
        <w:t>aterially from the anticipated results expressed or implied in that forward-looking statement. The forward-looking statements included in this Quarterly Report on Form 10-Q are made only as of the date of this report, and Walmart undertakes no obligation t</w:t>
      </w:r>
      <w:r>
        <w:rPr>
          <w:rFonts w:ascii="Times New Roman" w:eastAsia="宋体" w:hAnsi="Times New Roman"/>
          <w:color w:val="000000"/>
          <w:sz w:val="20"/>
          <w:szCs w:val="20"/>
        </w:rPr>
        <w:t>o update any such statements to reflect subsequent events or circumstances.</w:t>
      </w:r>
    </w:p>
    <w:p w14:paraId="5DEC6DF0" w14:textId="77777777" w:rsidR="00B1578D" w:rsidRDefault="004D2C04">
      <w:pPr>
        <w:jc w:val="center"/>
      </w:pPr>
      <w:r>
        <w:rPr>
          <w:rFonts w:ascii="Times New Roman" w:eastAsia="宋体" w:hAnsi="Times New Roman"/>
          <w:color w:val="000000"/>
          <w:sz w:val="20"/>
          <w:szCs w:val="20"/>
        </w:rPr>
        <w:t>31</w:t>
      </w:r>
    </w:p>
    <w:p w14:paraId="5DEC6DF1" w14:textId="77777777" w:rsidR="00B1578D" w:rsidRDefault="004D2C04">
      <w:r>
        <w:pict w14:anchorId="5DEC6F44">
          <v:rect id="_x0000_i1055" style="width:415.3pt;height:1.5pt" o:hralign="center" o:hrstd="t" o:hr="t" fillcolor="#a0a0a0" stroked="f"/>
        </w:pict>
      </w:r>
    </w:p>
    <w:p w14:paraId="5DEC6DF2" w14:textId="77777777" w:rsidR="00B1578D" w:rsidRDefault="004D2C04">
      <w:hyperlink r:id="rId103" w:anchor="ia92fe4e1fa654d85928fb72942eadb02_7" w:history="1">
        <w:r>
          <w:rPr>
            <w:rStyle w:val="a5"/>
            <w:rFonts w:ascii="Times New Roman" w:eastAsia="宋体" w:hAnsi="Times New Roman"/>
            <w:sz w:val="20"/>
            <w:szCs w:val="20"/>
          </w:rPr>
          <w:t>Table of Contents</w:t>
        </w:r>
      </w:hyperlink>
    </w:p>
    <w:p w14:paraId="5DEC6DF3" w14:textId="77777777" w:rsidR="00B1578D" w:rsidRDefault="004D2C04">
      <w:pPr>
        <w:spacing w:before="180"/>
      </w:pPr>
      <w:r>
        <w:rPr>
          <w:rFonts w:ascii="Times New Roman" w:eastAsia="宋体" w:hAnsi="Times New Roman"/>
          <w:b/>
          <w:bCs/>
          <w:color w:val="000000"/>
          <w:sz w:val="20"/>
          <w:szCs w:val="20"/>
        </w:rPr>
        <w:t xml:space="preserve">Item </w:t>
      </w:r>
      <w:r>
        <w:rPr>
          <w:rFonts w:ascii="Times New Roman" w:eastAsia="宋体" w:hAnsi="Times New Roman"/>
          <w:b/>
          <w:bCs/>
          <w:color w:val="000000"/>
          <w:sz w:val="20"/>
          <w:szCs w:val="20"/>
        </w:rPr>
        <w:t>6. Exhibits</w:t>
      </w:r>
    </w:p>
    <w:p w14:paraId="5DEC6DF4" w14:textId="77777777" w:rsidR="00B1578D" w:rsidRDefault="004D2C04">
      <w:pPr>
        <w:spacing w:before="120"/>
      </w:pPr>
      <w:r>
        <w:rPr>
          <w:rFonts w:ascii="Times New Roman" w:eastAsia="宋体" w:hAnsi="Times New Roman"/>
          <w:color w:val="000000"/>
          <w:sz w:val="20"/>
          <w:szCs w:val="20"/>
        </w:rPr>
        <w:t>The following documents are filed as an exhibit to this Quarterly Report on Form 10-Q:</w:t>
      </w:r>
    </w:p>
    <w:tbl>
      <w:tblPr>
        <w:tblW w:w="5000" w:type="pct"/>
        <w:tblCellMar>
          <w:top w:w="15" w:type="dxa"/>
          <w:left w:w="15" w:type="dxa"/>
          <w:bottom w:w="15" w:type="dxa"/>
          <w:right w:w="15" w:type="dxa"/>
        </w:tblCellMar>
        <w:tblLook w:val="04A0" w:firstRow="1" w:lastRow="0" w:firstColumn="1" w:lastColumn="0" w:noHBand="0" w:noVBand="1"/>
      </w:tblPr>
      <w:tblGrid>
        <w:gridCol w:w="93"/>
        <w:gridCol w:w="1343"/>
        <w:gridCol w:w="36"/>
        <w:gridCol w:w="36"/>
        <w:gridCol w:w="36"/>
        <w:gridCol w:w="36"/>
        <w:gridCol w:w="38"/>
        <w:gridCol w:w="6681"/>
        <w:gridCol w:w="37"/>
      </w:tblGrid>
      <w:tr w:rsidR="00B1578D" w14:paraId="5DEC6DFE" w14:textId="77777777">
        <w:tc>
          <w:tcPr>
            <w:tcW w:w="50" w:type="pct"/>
            <w:shd w:val="clear" w:color="auto" w:fill="auto"/>
            <w:vAlign w:val="bottom"/>
          </w:tcPr>
          <w:p w14:paraId="5DEC6DF5" w14:textId="77777777" w:rsidR="00B1578D" w:rsidRDefault="00B1578D">
            <w:pPr>
              <w:rPr>
                <w:rFonts w:ascii="宋体"/>
              </w:rPr>
            </w:pPr>
          </w:p>
        </w:tc>
        <w:tc>
          <w:tcPr>
            <w:tcW w:w="727" w:type="pct"/>
            <w:shd w:val="clear" w:color="auto" w:fill="auto"/>
            <w:vAlign w:val="bottom"/>
          </w:tcPr>
          <w:p w14:paraId="5DEC6DF6" w14:textId="77777777" w:rsidR="00B1578D" w:rsidRDefault="00B1578D">
            <w:pPr>
              <w:rPr>
                <w:rFonts w:ascii="宋体"/>
              </w:rPr>
            </w:pPr>
          </w:p>
        </w:tc>
        <w:tc>
          <w:tcPr>
            <w:tcW w:w="5" w:type="pct"/>
            <w:shd w:val="clear" w:color="auto" w:fill="auto"/>
            <w:vAlign w:val="bottom"/>
          </w:tcPr>
          <w:p w14:paraId="5DEC6DF7" w14:textId="77777777" w:rsidR="00B1578D" w:rsidRDefault="00B1578D">
            <w:pPr>
              <w:rPr>
                <w:rFonts w:ascii="宋体"/>
              </w:rPr>
            </w:pPr>
          </w:p>
        </w:tc>
        <w:tc>
          <w:tcPr>
            <w:tcW w:w="5" w:type="pct"/>
            <w:shd w:val="clear" w:color="auto" w:fill="auto"/>
            <w:vAlign w:val="bottom"/>
          </w:tcPr>
          <w:p w14:paraId="5DEC6DF8" w14:textId="77777777" w:rsidR="00B1578D" w:rsidRDefault="00B1578D">
            <w:pPr>
              <w:rPr>
                <w:rFonts w:ascii="宋体"/>
              </w:rPr>
            </w:pPr>
          </w:p>
        </w:tc>
        <w:tc>
          <w:tcPr>
            <w:tcW w:w="26" w:type="pct"/>
            <w:shd w:val="clear" w:color="auto" w:fill="auto"/>
            <w:vAlign w:val="bottom"/>
          </w:tcPr>
          <w:p w14:paraId="5DEC6DF9" w14:textId="77777777" w:rsidR="00B1578D" w:rsidRDefault="00B1578D">
            <w:pPr>
              <w:rPr>
                <w:rFonts w:ascii="宋体"/>
              </w:rPr>
            </w:pPr>
          </w:p>
        </w:tc>
        <w:tc>
          <w:tcPr>
            <w:tcW w:w="5" w:type="pct"/>
            <w:shd w:val="clear" w:color="auto" w:fill="auto"/>
            <w:vAlign w:val="bottom"/>
          </w:tcPr>
          <w:p w14:paraId="5DEC6DFA" w14:textId="77777777" w:rsidR="00B1578D" w:rsidRDefault="00B1578D">
            <w:pPr>
              <w:rPr>
                <w:rFonts w:ascii="宋体"/>
              </w:rPr>
            </w:pPr>
          </w:p>
        </w:tc>
        <w:tc>
          <w:tcPr>
            <w:tcW w:w="50" w:type="pct"/>
            <w:shd w:val="clear" w:color="auto" w:fill="auto"/>
            <w:vAlign w:val="bottom"/>
          </w:tcPr>
          <w:p w14:paraId="5DEC6DFB" w14:textId="77777777" w:rsidR="00B1578D" w:rsidRDefault="00B1578D">
            <w:pPr>
              <w:rPr>
                <w:rFonts w:ascii="宋体"/>
              </w:rPr>
            </w:pPr>
          </w:p>
        </w:tc>
        <w:tc>
          <w:tcPr>
            <w:tcW w:w="4126" w:type="pct"/>
            <w:shd w:val="clear" w:color="auto" w:fill="auto"/>
            <w:vAlign w:val="bottom"/>
          </w:tcPr>
          <w:p w14:paraId="5DEC6DFC" w14:textId="77777777" w:rsidR="00B1578D" w:rsidRDefault="00B1578D">
            <w:pPr>
              <w:rPr>
                <w:rFonts w:ascii="宋体"/>
              </w:rPr>
            </w:pPr>
          </w:p>
        </w:tc>
        <w:tc>
          <w:tcPr>
            <w:tcW w:w="5" w:type="pct"/>
            <w:shd w:val="clear" w:color="auto" w:fill="auto"/>
            <w:vAlign w:val="bottom"/>
          </w:tcPr>
          <w:p w14:paraId="5DEC6DFD" w14:textId="77777777" w:rsidR="00B1578D" w:rsidRDefault="00B1578D">
            <w:pPr>
              <w:rPr>
                <w:rFonts w:ascii="宋体"/>
              </w:rPr>
            </w:pPr>
          </w:p>
        </w:tc>
      </w:tr>
      <w:tr w:rsidR="00B1578D" w14:paraId="5DEC6E02" w14:textId="77777777">
        <w:tc>
          <w:tcPr>
            <w:tcW w:w="0" w:type="auto"/>
            <w:gridSpan w:val="3"/>
            <w:shd w:val="clear" w:color="auto" w:fill="auto"/>
            <w:tcMar>
              <w:top w:w="40" w:type="dxa"/>
              <w:left w:w="20" w:type="dxa"/>
              <w:bottom w:w="40" w:type="dxa"/>
              <w:right w:w="20" w:type="dxa"/>
            </w:tcMar>
          </w:tcPr>
          <w:p w14:paraId="5DEC6DFF" w14:textId="77777777" w:rsidR="00B1578D" w:rsidRDefault="004D2C04">
            <w:pPr>
              <w:textAlignment w:val="top"/>
            </w:pPr>
            <w:r>
              <w:rPr>
                <w:rFonts w:ascii="Times New Roman" w:eastAsia="宋体" w:hAnsi="Times New Roman"/>
                <w:color w:val="000000"/>
                <w:sz w:val="19"/>
                <w:szCs w:val="19"/>
              </w:rPr>
              <w:t>Exhibit 3.1</w:t>
            </w:r>
          </w:p>
        </w:tc>
        <w:tc>
          <w:tcPr>
            <w:tcW w:w="0" w:type="auto"/>
            <w:gridSpan w:val="3"/>
            <w:shd w:val="clear" w:color="auto" w:fill="auto"/>
            <w:tcMar>
              <w:top w:w="0" w:type="dxa"/>
              <w:left w:w="20" w:type="dxa"/>
              <w:bottom w:w="0" w:type="dxa"/>
              <w:right w:w="20" w:type="dxa"/>
            </w:tcMar>
            <w:vAlign w:val="bottom"/>
          </w:tcPr>
          <w:p w14:paraId="5DEC6E0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01" w14:textId="77777777" w:rsidR="00B1578D" w:rsidRDefault="004D2C04">
            <w:pPr>
              <w:textAlignment w:val="top"/>
            </w:pPr>
            <w:hyperlink r:id="rId104" w:history="1">
              <w:r>
                <w:rPr>
                  <w:rStyle w:val="a5"/>
                  <w:rFonts w:ascii="Times New Roman" w:eastAsia="宋体" w:hAnsi="Times New Roman"/>
                  <w:sz w:val="19"/>
                  <w:szCs w:val="19"/>
                </w:rPr>
                <w:t xml:space="preserve">Restated Certificate of Incorporation of the Company dated February 1, 2018 is incorporated herein by reference to Exhibit 3.1 to the Current Report on Form </w:t>
              </w:r>
              <w:r>
                <w:rPr>
                  <w:rStyle w:val="a5"/>
                  <w:rFonts w:ascii="Times New Roman" w:eastAsia="宋体" w:hAnsi="Times New Roman"/>
                  <w:sz w:val="19"/>
                  <w:szCs w:val="19"/>
                </w:rPr>
                <w:t>8-K that the Company filed on February 1, 2018</w:t>
              </w:r>
            </w:hyperlink>
          </w:p>
        </w:tc>
      </w:tr>
      <w:tr w:rsidR="00B1578D" w14:paraId="5DEC6E06" w14:textId="77777777">
        <w:trPr>
          <w:trHeight w:val="60"/>
        </w:trPr>
        <w:tc>
          <w:tcPr>
            <w:tcW w:w="0" w:type="auto"/>
            <w:gridSpan w:val="3"/>
            <w:shd w:val="clear" w:color="auto" w:fill="auto"/>
            <w:tcMar>
              <w:top w:w="0" w:type="dxa"/>
              <w:left w:w="20" w:type="dxa"/>
              <w:bottom w:w="0" w:type="dxa"/>
              <w:right w:w="20" w:type="dxa"/>
            </w:tcMar>
            <w:vAlign w:val="bottom"/>
          </w:tcPr>
          <w:p w14:paraId="5DEC6E03"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0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05" w14:textId="77777777" w:rsidR="00B1578D" w:rsidRDefault="00B1578D">
            <w:pPr>
              <w:rPr>
                <w:rFonts w:ascii="宋体"/>
              </w:rPr>
            </w:pPr>
          </w:p>
        </w:tc>
      </w:tr>
      <w:tr w:rsidR="00B1578D" w14:paraId="5DEC6E0A" w14:textId="77777777">
        <w:tc>
          <w:tcPr>
            <w:tcW w:w="0" w:type="auto"/>
            <w:gridSpan w:val="3"/>
            <w:shd w:val="clear" w:color="auto" w:fill="auto"/>
            <w:tcMar>
              <w:top w:w="40" w:type="dxa"/>
              <w:left w:w="20" w:type="dxa"/>
              <w:bottom w:w="40" w:type="dxa"/>
              <w:right w:w="20" w:type="dxa"/>
            </w:tcMar>
          </w:tcPr>
          <w:p w14:paraId="5DEC6E07" w14:textId="77777777" w:rsidR="00B1578D" w:rsidRDefault="004D2C04">
            <w:pPr>
              <w:textAlignment w:val="top"/>
            </w:pPr>
            <w:r>
              <w:rPr>
                <w:rFonts w:ascii="Times New Roman" w:eastAsia="宋体" w:hAnsi="Times New Roman"/>
                <w:color w:val="000000"/>
                <w:sz w:val="19"/>
                <w:szCs w:val="19"/>
              </w:rPr>
              <w:t>Exhibit 3.2</w:t>
            </w:r>
          </w:p>
        </w:tc>
        <w:tc>
          <w:tcPr>
            <w:tcW w:w="0" w:type="auto"/>
            <w:gridSpan w:val="3"/>
            <w:shd w:val="clear" w:color="auto" w:fill="auto"/>
            <w:tcMar>
              <w:top w:w="0" w:type="dxa"/>
              <w:left w:w="20" w:type="dxa"/>
              <w:bottom w:w="0" w:type="dxa"/>
              <w:right w:w="20" w:type="dxa"/>
            </w:tcMar>
            <w:vAlign w:val="bottom"/>
          </w:tcPr>
          <w:p w14:paraId="5DEC6E0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E09" w14:textId="77777777" w:rsidR="00B1578D" w:rsidRDefault="004D2C04">
            <w:pPr>
              <w:textAlignment w:val="bottom"/>
            </w:pPr>
            <w:hyperlink r:id="rId105" w:history="1">
              <w:r>
                <w:rPr>
                  <w:rStyle w:val="a5"/>
                  <w:rFonts w:ascii="Times New Roman" w:eastAsia="宋体" w:hAnsi="Times New Roman"/>
                  <w:sz w:val="19"/>
                  <w:szCs w:val="19"/>
                </w:rPr>
                <w:t>Amended and Restated Bylaws of the Company dated July 23, 2019 are incorporated herein by reference to Exhibit 3.1 to the Current Report on Form 8-K tha</w:t>
              </w:r>
              <w:r>
                <w:rPr>
                  <w:rStyle w:val="a5"/>
                  <w:rFonts w:ascii="Times New Roman" w:eastAsia="宋体" w:hAnsi="Times New Roman"/>
                  <w:sz w:val="19"/>
                  <w:szCs w:val="19"/>
                </w:rPr>
                <w:t>t the Company filed on July 26, 2019</w:t>
              </w:r>
            </w:hyperlink>
          </w:p>
        </w:tc>
      </w:tr>
      <w:tr w:rsidR="00B1578D" w14:paraId="5DEC6E0E" w14:textId="77777777">
        <w:trPr>
          <w:trHeight w:val="60"/>
        </w:trPr>
        <w:tc>
          <w:tcPr>
            <w:tcW w:w="0" w:type="auto"/>
            <w:gridSpan w:val="3"/>
            <w:shd w:val="clear" w:color="auto" w:fill="auto"/>
            <w:tcMar>
              <w:top w:w="0" w:type="dxa"/>
              <w:left w:w="20" w:type="dxa"/>
              <w:bottom w:w="0" w:type="dxa"/>
              <w:right w:w="20" w:type="dxa"/>
            </w:tcMar>
            <w:vAlign w:val="bottom"/>
          </w:tcPr>
          <w:p w14:paraId="5DEC6E0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0C"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0D" w14:textId="77777777" w:rsidR="00B1578D" w:rsidRDefault="00B1578D">
            <w:pPr>
              <w:rPr>
                <w:rFonts w:ascii="宋体"/>
              </w:rPr>
            </w:pPr>
          </w:p>
        </w:tc>
      </w:tr>
      <w:tr w:rsidR="00B1578D" w14:paraId="5DEC6E12" w14:textId="77777777">
        <w:tc>
          <w:tcPr>
            <w:tcW w:w="0" w:type="auto"/>
            <w:gridSpan w:val="3"/>
            <w:shd w:val="clear" w:color="auto" w:fill="auto"/>
            <w:tcMar>
              <w:top w:w="40" w:type="dxa"/>
              <w:left w:w="20" w:type="dxa"/>
              <w:bottom w:w="40" w:type="dxa"/>
              <w:right w:w="20" w:type="dxa"/>
            </w:tcMar>
          </w:tcPr>
          <w:p w14:paraId="5DEC6E0F" w14:textId="77777777" w:rsidR="00B1578D" w:rsidRDefault="004D2C04">
            <w:pPr>
              <w:textAlignment w:val="top"/>
            </w:pPr>
            <w:r>
              <w:rPr>
                <w:rFonts w:ascii="Times New Roman" w:eastAsia="宋体" w:hAnsi="Times New Roman"/>
                <w:color w:val="000000"/>
                <w:sz w:val="19"/>
                <w:szCs w:val="19"/>
              </w:rPr>
              <w:t>Exhibit 10.1*</w:t>
            </w:r>
          </w:p>
        </w:tc>
        <w:tc>
          <w:tcPr>
            <w:tcW w:w="0" w:type="auto"/>
            <w:gridSpan w:val="3"/>
            <w:shd w:val="clear" w:color="auto" w:fill="auto"/>
            <w:tcMar>
              <w:top w:w="0" w:type="dxa"/>
              <w:left w:w="20" w:type="dxa"/>
              <w:bottom w:w="0" w:type="dxa"/>
              <w:right w:w="20" w:type="dxa"/>
            </w:tcMar>
            <w:vAlign w:val="bottom"/>
          </w:tcPr>
          <w:p w14:paraId="5DEC6E10"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11" w14:textId="77777777" w:rsidR="00B1578D" w:rsidRDefault="004D2C04">
            <w:pPr>
              <w:textAlignment w:val="top"/>
            </w:pPr>
            <w:hyperlink r:id="rId106" w:history="1">
              <w:r>
                <w:rPr>
                  <w:rStyle w:val="a5"/>
                  <w:rFonts w:ascii="Times New Roman" w:eastAsia="宋体" w:hAnsi="Times New Roman"/>
                  <w:sz w:val="19"/>
                  <w:szCs w:val="19"/>
                </w:rPr>
                <w:t>Post-Termination Agreement and Covenant Not to Compete between the Company and John David Rainey dated May 23, 2022</w:t>
              </w:r>
            </w:hyperlink>
          </w:p>
        </w:tc>
      </w:tr>
      <w:tr w:rsidR="00B1578D" w14:paraId="5DEC6E16" w14:textId="77777777">
        <w:trPr>
          <w:trHeight w:val="60"/>
        </w:trPr>
        <w:tc>
          <w:tcPr>
            <w:tcW w:w="0" w:type="auto"/>
            <w:gridSpan w:val="3"/>
            <w:shd w:val="clear" w:color="auto" w:fill="auto"/>
            <w:tcMar>
              <w:top w:w="0" w:type="dxa"/>
              <w:left w:w="20" w:type="dxa"/>
              <w:bottom w:w="0" w:type="dxa"/>
              <w:right w:w="20" w:type="dxa"/>
            </w:tcMar>
            <w:vAlign w:val="bottom"/>
          </w:tcPr>
          <w:p w14:paraId="5DEC6E13"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14"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15" w14:textId="77777777" w:rsidR="00B1578D" w:rsidRDefault="00B1578D">
            <w:pPr>
              <w:rPr>
                <w:rFonts w:ascii="宋体"/>
              </w:rPr>
            </w:pPr>
          </w:p>
        </w:tc>
      </w:tr>
      <w:tr w:rsidR="00B1578D" w14:paraId="5DEC6E1A" w14:textId="77777777">
        <w:tc>
          <w:tcPr>
            <w:tcW w:w="0" w:type="auto"/>
            <w:gridSpan w:val="3"/>
            <w:shd w:val="clear" w:color="auto" w:fill="auto"/>
            <w:tcMar>
              <w:top w:w="40" w:type="dxa"/>
              <w:left w:w="20" w:type="dxa"/>
              <w:bottom w:w="40" w:type="dxa"/>
              <w:right w:w="20" w:type="dxa"/>
            </w:tcMar>
          </w:tcPr>
          <w:p w14:paraId="5DEC6E17" w14:textId="77777777" w:rsidR="00B1578D" w:rsidRDefault="004D2C04">
            <w:pPr>
              <w:textAlignment w:val="top"/>
            </w:pPr>
            <w:r>
              <w:rPr>
                <w:rFonts w:ascii="Times New Roman" w:eastAsia="宋体" w:hAnsi="Times New Roman"/>
                <w:color w:val="000000"/>
                <w:sz w:val="19"/>
                <w:szCs w:val="19"/>
              </w:rPr>
              <w:t>Exhibit 31.1*</w:t>
            </w:r>
          </w:p>
        </w:tc>
        <w:tc>
          <w:tcPr>
            <w:tcW w:w="0" w:type="auto"/>
            <w:gridSpan w:val="3"/>
            <w:shd w:val="clear" w:color="auto" w:fill="auto"/>
            <w:tcMar>
              <w:top w:w="0" w:type="dxa"/>
              <w:left w:w="20" w:type="dxa"/>
              <w:bottom w:w="0" w:type="dxa"/>
              <w:right w:w="20" w:type="dxa"/>
            </w:tcMar>
            <w:vAlign w:val="bottom"/>
          </w:tcPr>
          <w:p w14:paraId="5DEC6E1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19" w14:textId="77777777" w:rsidR="00B1578D" w:rsidRDefault="004D2C04">
            <w:pPr>
              <w:textAlignment w:val="top"/>
            </w:pPr>
            <w:hyperlink r:id="rId107" w:history="1">
              <w:r>
                <w:rPr>
                  <w:rStyle w:val="a5"/>
                  <w:rFonts w:ascii="Times New Roman" w:eastAsia="宋体" w:hAnsi="Times New Roman"/>
                  <w:sz w:val="19"/>
                  <w:szCs w:val="19"/>
                </w:rPr>
                <w:t>Chief Executive Officer Section 302 Certification</w:t>
              </w:r>
            </w:hyperlink>
          </w:p>
        </w:tc>
      </w:tr>
      <w:tr w:rsidR="00B1578D" w14:paraId="5DEC6E1D" w14:textId="77777777">
        <w:trPr>
          <w:trHeight w:val="60"/>
        </w:trPr>
        <w:tc>
          <w:tcPr>
            <w:tcW w:w="0" w:type="auto"/>
            <w:gridSpan w:val="3"/>
            <w:shd w:val="clear" w:color="auto" w:fill="auto"/>
            <w:tcMar>
              <w:top w:w="0" w:type="dxa"/>
              <w:left w:w="20" w:type="dxa"/>
              <w:bottom w:w="0" w:type="dxa"/>
              <w:right w:w="20" w:type="dxa"/>
            </w:tcMar>
            <w:vAlign w:val="bottom"/>
          </w:tcPr>
          <w:p w14:paraId="5DEC6E1B"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1C" w14:textId="77777777" w:rsidR="00B1578D" w:rsidRDefault="00B1578D">
            <w:pPr>
              <w:rPr>
                <w:rFonts w:ascii="宋体"/>
              </w:rPr>
            </w:pPr>
          </w:p>
        </w:tc>
      </w:tr>
      <w:tr w:rsidR="00B1578D" w14:paraId="5DEC6E21" w14:textId="77777777">
        <w:tc>
          <w:tcPr>
            <w:tcW w:w="0" w:type="auto"/>
            <w:gridSpan w:val="3"/>
            <w:shd w:val="clear" w:color="auto" w:fill="auto"/>
            <w:tcMar>
              <w:top w:w="40" w:type="dxa"/>
              <w:left w:w="20" w:type="dxa"/>
              <w:bottom w:w="40" w:type="dxa"/>
              <w:right w:w="20" w:type="dxa"/>
            </w:tcMar>
          </w:tcPr>
          <w:p w14:paraId="5DEC6E1E" w14:textId="77777777" w:rsidR="00B1578D" w:rsidRDefault="004D2C04">
            <w:pPr>
              <w:textAlignment w:val="top"/>
            </w:pPr>
            <w:r>
              <w:rPr>
                <w:rFonts w:ascii="Times New Roman" w:eastAsia="宋体" w:hAnsi="Times New Roman"/>
                <w:color w:val="000000"/>
                <w:sz w:val="19"/>
                <w:szCs w:val="19"/>
              </w:rPr>
              <w:t>Exhibit 31.2*</w:t>
            </w:r>
          </w:p>
        </w:tc>
        <w:tc>
          <w:tcPr>
            <w:tcW w:w="0" w:type="auto"/>
            <w:gridSpan w:val="3"/>
            <w:shd w:val="clear" w:color="auto" w:fill="auto"/>
            <w:tcMar>
              <w:top w:w="0" w:type="dxa"/>
              <w:left w:w="20" w:type="dxa"/>
              <w:bottom w:w="0" w:type="dxa"/>
              <w:right w:w="20" w:type="dxa"/>
            </w:tcMar>
            <w:vAlign w:val="bottom"/>
          </w:tcPr>
          <w:p w14:paraId="5DEC6E1F"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20" w14:textId="77777777" w:rsidR="00B1578D" w:rsidRDefault="004D2C04">
            <w:pPr>
              <w:textAlignment w:val="top"/>
            </w:pPr>
            <w:hyperlink r:id="rId108" w:history="1">
              <w:r>
                <w:rPr>
                  <w:rStyle w:val="a5"/>
                  <w:rFonts w:ascii="Times New Roman" w:eastAsia="宋体" w:hAnsi="Times New Roman"/>
                  <w:sz w:val="19"/>
                  <w:szCs w:val="19"/>
                </w:rPr>
                <w:t>Chief Financial Officer Section 302 Certification</w:t>
              </w:r>
            </w:hyperlink>
          </w:p>
        </w:tc>
      </w:tr>
      <w:tr w:rsidR="00B1578D" w14:paraId="5DEC6E24" w14:textId="77777777">
        <w:trPr>
          <w:trHeight w:val="60"/>
        </w:trPr>
        <w:tc>
          <w:tcPr>
            <w:tcW w:w="0" w:type="auto"/>
            <w:gridSpan w:val="3"/>
            <w:shd w:val="clear" w:color="auto" w:fill="auto"/>
            <w:tcMar>
              <w:top w:w="0" w:type="dxa"/>
              <w:left w:w="20" w:type="dxa"/>
              <w:bottom w:w="0" w:type="dxa"/>
              <w:right w:w="20" w:type="dxa"/>
            </w:tcMar>
            <w:vAlign w:val="bottom"/>
          </w:tcPr>
          <w:p w14:paraId="5DEC6E22"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23" w14:textId="77777777" w:rsidR="00B1578D" w:rsidRDefault="00B1578D">
            <w:pPr>
              <w:rPr>
                <w:rFonts w:ascii="宋体"/>
              </w:rPr>
            </w:pPr>
          </w:p>
        </w:tc>
      </w:tr>
      <w:tr w:rsidR="00B1578D" w14:paraId="5DEC6E28" w14:textId="77777777">
        <w:tc>
          <w:tcPr>
            <w:tcW w:w="0" w:type="auto"/>
            <w:gridSpan w:val="3"/>
            <w:shd w:val="clear" w:color="auto" w:fill="auto"/>
            <w:tcMar>
              <w:top w:w="40" w:type="dxa"/>
              <w:left w:w="20" w:type="dxa"/>
              <w:bottom w:w="40" w:type="dxa"/>
              <w:right w:w="20" w:type="dxa"/>
            </w:tcMar>
          </w:tcPr>
          <w:p w14:paraId="5DEC6E25" w14:textId="77777777" w:rsidR="00B1578D" w:rsidRDefault="004D2C04">
            <w:pPr>
              <w:textAlignment w:val="top"/>
            </w:pPr>
            <w:r>
              <w:rPr>
                <w:rFonts w:ascii="Times New Roman" w:eastAsia="宋体" w:hAnsi="Times New Roman"/>
                <w:color w:val="000000"/>
                <w:sz w:val="19"/>
                <w:szCs w:val="19"/>
              </w:rPr>
              <w:t>Exhibit 32.1**</w:t>
            </w:r>
          </w:p>
        </w:tc>
        <w:tc>
          <w:tcPr>
            <w:tcW w:w="0" w:type="auto"/>
            <w:gridSpan w:val="3"/>
            <w:shd w:val="clear" w:color="auto" w:fill="auto"/>
            <w:tcMar>
              <w:top w:w="0" w:type="dxa"/>
              <w:left w:w="20" w:type="dxa"/>
              <w:bottom w:w="0" w:type="dxa"/>
              <w:right w:w="20" w:type="dxa"/>
            </w:tcMar>
            <w:vAlign w:val="bottom"/>
          </w:tcPr>
          <w:p w14:paraId="5DEC6E2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27" w14:textId="77777777" w:rsidR="00B1578D" w:rsidRDefault="004D2C04">
            <w:pPr>
              <w:textAlignment w:val="top"/>
            </w:pPr>
            <w:hyperlink r:id="rId109" w:history="1">
              <w:r>
                <w:rPr>
                  <w:rStyle w:val="a5"/>
                  <w:rFonts w:ascii="Times New Roman" w:eastAsia="宋体" w:hAnsi="Times New Roman"/>
                  <w:sz w:val="19"/>
                  <w:szCs w:val="19"/>
                </w:rPr>
                <w:t>Chief Executive Officer Section 906 Certification</w:t>
              </w:r>
            </w:hyperlink>
          </w:p>
        </w:tc>
      </w:tr>
      <w:tr w:rsidR="00B1578D" w14:paraId="5DEC6E2B" w14:textId="77777777">
        <w:trPr>
          <w:trHeight w:val="60"/>
        </w:trPr>
        <w:tc>
          <w:tcPr>
            <w:tcW w:w="0" w:type="auto"/>
            <w:gridSpan w:val="3"/>
            <w:shd w:val="clear" w:color="auto" w:fill="auto"/>
            <w:tcMar>
              <w:top w:w="0" w:type="dxa"/>
              <w:left w:w="20" w:type="dxa"/>
              <w:bottom w:w="0" w:type="dxa"/>
              <w:right w:w="20" w:type="dxa"/>
            </w:tcMar>
            <w:vAlign w:val="bottom"/>
          </w:tcPr>
          <w:p w14:paraId="5DEC6E29"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2A" w14:textId="77777777" w:rsidR="00B1578D" w:rsidRDefault="00B1578D">
            <w:pPr>
              <w:rPr>
                <w:rFonts w:ascii="宋体"/>
              </w:rPr>
            </w:pPr>
          </w:p>
        </w:tc>
      </w:tr>
      <w:tr w:rsidR="00B1578D" w14:paraId="5DEC6E2F" w14:textId="77777777">
        <w:tc>
          <w:tcPr>
            <w:tcW w:w="0" w:type="auto"/>
            <w:gridSpan w:val="3"/>
            <w:shd w:val="clear" w:color="auto" w:fill="auto"/>
            <w:tcMar>
              <w:top w:w="40" w:type="dxa"/>
              <w:left w:w="20" w:type="dxa"/>
              <w:bottom w:w="40" w:type="dxa"/>
              <w:right w:w="20" w:type="dxa"/>
            </w:tcMar>
          </w:tcPr>
          <w:p w14:paraId="5DEC6E2C" w14:textId="77777777" w:rsidR="00B1578D" w:rsidRDefault="004D2C04">
            <w:pPr>
              <w:textAlignment w:val="top"/>
            </w:pPr>
            <w:r>
              <w:rPr>
                <w:rFonts w:ascii="Times New Roman" w:eastAsia="宋体" w:hAnsi="Times New Roman"/>
                <w:color w:val="000000"/>
                <w:sz w:val="19"/>
                <w:szCs w:val="19"/>
              </w:rPr>
              <w:t>Exhibit 32.2**</w:t>
            </w:r>
          </w:p>
        </w:tc>
        <w:tc>
          <w:tcPr>
            <w:tcW w:w="0" w:type="auto"/>
            <w:gridSpan w:val="3"/>
            <w:shd w:val="clear" w:color="auto" w:fill="auto"/>
            <w:tcMar>
              <w:top w:w="0" w:type="dxa"/>
              <w:left w:w="20" w:type="dxa"/>
              <w:bottom w:w="0" w:type="dxa"/>
              <w:right w:w="20" w:type="dxa"/>
            </w:tcMar>
            <w:vAlign w:val="bottom"/>
          </w:tcPr>
          <w:p w14:paraId="5DEC6E2D"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2E" w14:textId="77777777" w:rsidR="00B1578D" w:rsidRDefault="004D2C04">
            <w:pPr>
              <w:textAlignment w:val="top"/>
            </w:pPr>
            <w:hyperlink r:id="rId110" w:history="1">
              <w:r>
                <w:rPr>
                  <w:rStyle w:val="a5"/>
                  <w:rFonts w:ascii="Times New Roman" w:eastAsia="宋体" w:hAnsi="Times New Roman"/>
                  <w:sz w:val="19"/>
                  <w:szCs w:val="19"/>
                </w:rPr>
                <w:t>Chief Financial Officer Section 906 Certification</w:t>
              </w:r>
            </w:hyperlink>
          </w:p>
        </w:tc>
      </w:tr>
      <w:tr w:rsidR="00B1578D" w14:paraId="5DEC6E35" w14:textId="77777777">
        <w:trPr>
          <w:hidden/>
        </w:trPr>
        <w:tc>
          <w:tcPr>
            <w:tcW w:w="0" w:type="auto"/>
            <w:gridSpan w:val="3"/>
            <w:shd w:val="clear" w:color="auto" w:fill="auto"/>
            <w:vAlign w:val="bottom"/>
          </w:tcPr>
          <w:p w14:paraId="5DEC6E30" w14:textId="77777777" w:rsidR="00B1578D" w:rsidRDefault="00B1578D">
            <w:pPr>
              <w:rPr>
                <w:rFonts w:ascii="宋体"/>
                <w:vanish/>
              </w:rPr>
            </w:pPr>
          </w:p>
        </w:tc>
        <w:tc>
          <w:tcPr>
            <w:tcW w:w="0" w:type="auto"/>
            <w:gridSpan w:val="3"/>
            <w:shd w:val="clear" w:color="auto" w:fill="auto"/>
            <w:vAlign w:val="bottom"/>
          </w:tcPr>
          <w:p w14:paraId="5DEC6E31" w14:textId="77777777" w:rsidR="00B1578D" w:rsidRDefault="00B1578D">
            <w:pPr>
              <w:rPr>
                <w:rFonts w:ascii="宋体"/>
                <w:vanish/>
              </w:rPr>
            </w:pPr>
          </w:p>
        </w:tc>
        <w:tc>
          <w:tcPr>
            <w:tcW w:w="0" w:type="auto"/>
            <w:shd w:val="clear" w:color="auto" w:fill="auto"/>
            <w:vAlign w:val="bottom"/>
          </w:tcPr>
          <w:p w14:paraId="5DEC6E32" w14:textId="77777777" w:rsidR="00B1578D" w:rsidRDefault="00B1578D">
            <w:pPr>
              <w:rPr>
                <w:rFonts w:ascii="宋体"/>
              </w:rPr>
            </w:pPr>
          </w:p>
        </w:tc>
        <w:tc>
          <w:tcPr>
            <w:tcW w:w="0" w:type="auto"/>
            <w:shd w:val="clear" w:color="auto" w:fill="auto"/>
            <w:vAlign w:val="bottom"/>
          </w:tcPr>
          <w:p w14:paraId="5DEC6E33" w14:textId="77777777" w:rsidR="00B1578D" w:rsidRDefault="00B1578D">
            <w:pPr>
              <w:rPr>
                <w:rFonts w:ascii="宋体"/>
              </w:rPr>
            </w:pPr>
          </w:p>
        </w:tc>
        <w:tc>
          <w:tcPr>
            <w:tcW w:w="0" w:type="auto"/>
            <w:shd w:val="clear" w:color="auto" w:fill="auto"/>
            <w:vAlign w:val="bottom"/>
          </w:tcPr>
          <w:p w14:paraId="5DEC6E34" w14:textId="77777777" w:rsidR="00B1578D" w:rsidRDefault="00B1578D">
            <w:pPr>
              <w:rPr>
                <w:rFonts w:ascii="宋体"/>
              </w:rPr>
            </w:pPr>
          </w:p>
        </w:tc>
      </w:tr>
      <w:tr w:rsidR="00B1578D" w14:paraId="5DEC6E39" w14:textId="77777777">
        <w:trPr>
          <w:hidden/>
        </w:trPr>
        <w:tc>
          <w:tcPr>
            <w:tcW w:w="0" w:type="auto"/>
            <w:gridSpan w:val="3"/>
            <w:shd w:val="clear" w:color="auto" w:fill="auto"/>
            <w:vAlign w:val="bottom"/>
          </w:tcPr>
          <w:p w14:paraId="5DEC6E36" w14:textId="77777777" w:rsidR="00B1578D" w:rsidRDefault="00B1578D">
            <w:pPr>
              <w:rPr>
                <w:rFonts w:ascii="宋体"/>
                <w:vanish/>
              </w:rPr>
            </w:pPr>
          </w:p>
        </w:tc>
        <w:tc>
          <w:tcPr>
            <w:tcW w:w="0" w:type="auto"/>
            <w:gridSpan w:val="3"/>
            <w:shd w:val="clear" w:color="auto" w:fill="auto"/>
            <w:vAlign w:val="bottom"/>
          </w:tcPr>
          <w:p w14:paraId="5DEC6E37" w14:textId="77777777" w:rsidR="00B1578D" w:rsidRDefault="00B1578D">
            <w:pPr>
              <w:rPr>
                <w:rFonts w:ascii="宋体"/>
                <w:vanish/>
              </w:rPr>
            </w:pPr>
          </w:p>
        </w:tc>
        <w:tc>
          <w:tcPr>
            <w:tcW w:w="0" w:type="auto"/>
            <w:gridSpan w:val="3"/>
            <w:shd w:val="clear" w:color="auto" w:fill="auto"/>
            <w:vAlign w:val="bottom"/>
          </w:tcPr>
          <w:p w14:paraId="5DEC6E38" w14:textId="77777777" w:rsidR="00B1578D" w:rsidRDefault="00B1578D">
            <w:pPr>
              <w:rPr>
                <w:rFonts w:ascii="宋体"/>
                <w:vanish/>
              </w:rPr>
            </w:pPr>
          </w:p>
        </w:tc>
      </w:tr>
      <w:tr w:rsidR="00B1578D" w14:paraId="5DEC6E3D" w14:textId="77777777">
        <w:trPr>
          <w:trHeight w:val="60"/>
        </w:trPr>
        <w:tc>
          <w:tcPr>
            <w:tcW w:w="0" w:type="auto"/>
            <w:gridSpan w:val="3"/>
            <w:shd w:val="clear" w:color="auto" w:fill="auto"/>
            <w:tcMar>
              <w:top w:w="0" w:type="dxa"/>
              <w:left w:w="20" w:type="dxa"/>
              <w:bottom w:w="0" w:type="dxa"/>
              <w:right w:w="20" w:type="dxa"/>
            </w:tcMar>
            <w:vAlign w:val="bottom"/>
          </w:tcPr>
          <w:p w14:paraId="5DEC6E3A"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3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3C" w14:textId="77777777" w:rsidR="00B1578D" w:rsidRDefault="00B1578D">
            <w:pPr>
              <w:rPr>
                <w:rFonts w:ascii="宋体"/>
              </w:rPr>
            </w:pPr>
          </w:p>
        </w:tc>
      </w:tr>
      <w:tr w:rsidR="00B1578D" w14:paraId="5DEC6E41" w14:textId="77777777">
        <w:tc>
          <w:tcPr>
            <w:tcW w:w="0" w:type="auto"/>
            <w:gridSpan w:val="3"/>
            <w:shd w:val="clear" w:color="auto" w:fill="auto"/>
            <w:tcMar>
              <w:top w:w="40" w:type="dxa"/>
              <w:left w:w="20" w:type="dxa"/>
              <w:bottom w:w="40" w:type="dxa"/>
              <w:right w:w="20" w:type="dxa"/>
            </w:tcMar>
            <w:vAlign w:val="bottom"/>
          </w:tcPr>
          <w:p w14:paraId="5DEC6E3E" w14:textId="77777777" w:rsidR="00B1578D" w:rsidRDefault="004D2C04">
            <w:pPr>
              <w:textAlignment w:val="bottom"/>
            </w:pPr>
            <w:r>
              <w:rPr>
                <w:rFonts w:ascii="Times New Roman" w:eastAsia="宋体" w:hAnsi="Times New Roman"/>
                <w:color w:val="000000"/>
                <w:sz w:val="19"/>
                <w:szCs w:val="19"/>
              </w:rPr>
              <w:t>Exhibit 99.1*</w:t>
            </w:r>
          </w:p>
        </w:tc>
        <w:tc>
          <w:tcPr>
            <w:tcW w:w="0" w:type="auto"/>
            <w:gridSpan w:val="3"/>
            <w:shd w:val="clear" w:color="auto" w:fill="auto"/>
            <w:tcMar>
              <w:top w:w="0" w:type="dxa"/>
              <w:left w:w="20" w:type="dxa"/>
              <w:bottom w:w="0" w:type="dxa"/>
              <w:right w:w="20" w:type="dxa"/>
            </w:tcMar>
            <w:vAlign w:val="bottom"/>
          </w:tcPr>
          <w:p w14:paraId="5DEC6E3F"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E40" w14:textId="77777777" w:rsidR="00B1578D" w:rsidRDefault="004D2C04">
            <w:pPr>
              <w:textAlignment w:val="bottom"/>
            </w:pPr>
            <w:hyperlink r:id="rId111" w:history="1">
              <w:r>
                <w:rPr>
                  <w:rStyle w:val="a5"/>
                  <w:rFonts w:ascii="Times New Roman" w:eastAsia="宋体" w:hAnsi="Times New Roman"/>
                  <w:sz w:val="19"/>
                  <w:szCs w:val="19"/>
                </w:rPr>
                <w:t>State Court Opioids Litigation Case Citations and Currently Scheduled Trial Dates</w:t>
              </w:r>
            </w:hyperlink>
          </w:p>
        </w:tc>
      </w:tr>
      <w:tr w:rsidR="00B1578D" w14:paraId="5DEC6E44" w14:textId="77777777">
        <w:trPr>
          <w:trHeight w:val="60"/>
        </w:trPr>
        <w:tc>
          <w:tcPr>
            <w:tcW w:w="0" w:type="auto"/>
            <w:gridSpan w:val="3"/>
            <w:shd w:val="clear" w:color="auto" w:fill="auto"/>
            <w:tcMar>
              <w:top w:w="0" w:type="dxa"/>
              <w:left w:w="20" w:type="dxa"/>
              <w:bottom w:w="0" w:type="dxa"/>
              <w:right w:w="20" w:type="dxa"/>
            </w:tcMar>
            <w:vAlign w:val="bottom"/>
          </w:tcPr>
          <w:p w14:paraId="5DEC6E42"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43" w14:textId="77777777" w:rsidR="00B1578D" w:rsidRDefault="00B1578D">
            <w:pPr>
              <w:rPr>
                <w:rFonts w:ascii="宋体"/>
              </w:rPr>
            </w:pPr>
          </w:p>
        </w:tc>
      </w:tr>
      <w:tr w:rsidR="00B1578D" w14:paraId="5DEC6E48" w14:textId="77777777">
        <w:trPr>
          <w:hidden/>
        </w:trPr>
        <w:tc>
          <w:tcPr>
            <w:tcW w:w="0" w:type="auto"/>
            <w:gridSpan w:val="3"/>
            <w:shd w:val="clear" w:color="auto" w:fill="auto"/>
            <w:vAlign w:val="bottom"/>
          </w:tcPr>
          <w:p w14:paraId="5DEC6E45" w14:textId="77777777" w:rsidR="00B1578D" w:rsidRDefault="00B1578D">
            <w:pPr>
              <w:rPr>
                <w:rFonts w:ascii="宋体"/>
                <w:vanish/>
              </w:rPr>
            </w:pPr>
          </w:p>
        </w:tc>
        <w:tc>
          <w:tcPr>
            <w:tcW w:w="0" w:type="auto"/>
            <w:gridSpan w:val="3"/>
            <w:shd w:val="clear" w:color="auto" w:fill="auto"/>
            <w:vAlign w:val="bottom"/>
          </w:tcPr>
          <w:p w14:paraId="5DEC6E46" w14:textId="77777777" w:rsidR="00B1578D" w:rsidRDefault="00B1578D">
            <w:pPr>
              <w:rPr>
                <w:rFonts w:ascii="宋体"/>
                <w:vanish/>
              </w:rPr>
            </w:pPr>
          </w:p>
        </w:tc>
        <w:tc>
          <w:tcPr>
            <w:tcW w:w="0" w:type="auto"/>
            <w:gridSpan w:val="3"/>
            <w:shd w:val="clear" w:color="auto" w:fill="auto"/>
            <w:vAlign w:val="bottom"/>
          </w:tcPr>
          <w:p w14:paraId="5DEC6E47" w14:textId="77777777" w:rsidR="00B1578D" w:rsidRDefault="00B1578D">
            <w:pPr>
              <w:rPr>
                <w:rFonts w:ascii="宋体"/>
                <w:vanish/>
              </w:rPr>
            </w:pPr>
          </w:p>
        </w:tc>
      </w:tr>
      <w:tr w:rsidR="00B1578D" w14:paraId="5DEC6E4C" w14:textId="77777777">
        <w:trPr>
          <w:hidden/>
        </w:trPr>
        <w:tc>
          <w:tcPr>
            <w:tcW w:w="0" w:type="auto"/>
            <w:gridSpan w:val="3"/>
            <w:shd w:val="clear" w:color="auto" w:fill="auto"/>
            <w:vAlign w:val="bottom"/>
          </w:tcPr>
          <w:p w14:paraId="5DEC6E49" w14:textId="77777777" w:rsidR="00B1578D" w:rsidRDefault="00B1578D">
            <w:pPr>
              <w:rPr>
                <w:rFonts w:ascii="宋体"/>
                <w:vanish/>
              </w:rPr>
            </w:pPr>
          </w:p>
        </w:tc>
        <w:tc>
          <w:tcPr>
            <w:tcW w:w="0" w:type="auto"/>
            <w:gridSpan w:val="3"/>
            <w:shd w:val="clear" w:color="auto" w:fill="auto"/>
            <w:vAlign w:val="bottom"/>
          </w:tcPr>
          <w:p w14:paraId="5DEC6E4A" w14:textId="77777777" w:rsidR="00B1578D" w:rsidRDefault="00B1578D">
            <w:pPr>
              <w:rPr>
                <w:rFonts w:ascii="宋体"/>
                <w:vanish/>
              </w:rPr>
            </w:pPr>
          </w:p>
        </w:tc>
        <w:tc>
          <w:tcPr>
            <w:tcW w:w="0" w:type="auto"/>
            <w:gridSpan w:val="3"/>
            <w:shd w:val="clear" w:color="auto" w:fill="auto"/>
            <w:vAlign w:val="bottom"/>
          </w:tcPr>
          <w:p w14:paraId="5DEC6E4B" w14:textId="77777777" w:rsidR="00B1578D" w:rsidRDefault="00B1578D">
            <w:pPr>
              <w:rPr>
                <w:rFonts w:ascii="宋体"/>
                <w:vanish/>
              </w:rPr>
            </w:pPr>
          </w:p>
        </w:tc>
      </w:tr>
      <w:tr w:rsidR="00B1578D" w14:paraId="5DEC6E50" w14:textId="77777777">
        <w:trPr>
          <w:hidden/>
        </w:trPr>
        <w:tc>
          <w:tcPr>
            <w:tcW w:w="0" w:type="auto"/>
            <w:gridSpan w:val="3"/>
            <w:shd w:val="clear" w:color="auto" w:fill="auto"/>
            <w:vAlign w:val="bottom"/>
          </w:tcPr>
          <w:p w14:paraId="5DEC6E4D" w14:textId="77777777" w:rsidR="00B1578D" w:rsidRDefault="00B1578D">
            <w:pPr>
              <w:rPr>
                <w:rFonts w:ascii="宋体"/>
                <w:vanish/>
              </w:rPr>
            </w:pPr>
          </w:p>
        </w:tc>
        <w:tc>
          <w:tcPr>
            <w:tcW w:w="0" w:type="auto"/>
            <w:gridSpan w:val="3"/>
            <w:shd w:val="clear" w:color="auto" w:fill="auto"/>
            <w:vAlign w:val="bottom"/>
          </w:tcPr>
          <w:p w14:paraId="5DEC6E4E" w14:textId="77777777" w:rsidR="00B1578D" w:rsidRDefault="00B1578D">
            <w:pPr>
              <w:rPr>
                <w:rFonts w:ascii="宋体"/>
                <w:vanish/>
              </w:rPr>
            </w:pPr>
          </w:p>
        </w:tc>
        <w:tc>
          <w:tcPr>
            <w:tcW w:w="0" w:type="auto"/>
            <w:gridSpan w:val="3"/>
            <w:shd w:val="clear" w:color="auto" w:fill="auto"/>
            <w:vAlign w:val="bottom"/>
          </w:tcPr>
          <w:p w14:paraId="5DEC6E4F" w14:textId="77777777" w:rsidR="00B1578D" w:rsidRDefault="00B1578D">
            <w:pPr>
              <w:rPr>
                <w:rFonts w:ascii="宋体"/>
                <w:vanish/>
              </w:rPr>
            </w:pPr>
          </w:p>
        </w:tc>
      </w:tr>
      <w:tr w:rsidR="00B1578D" w14:paraId="5DEC6E54" w14:textId="77777777">
        <w:trPr>
          <w:hidden/>
        </w:trPr>
        <w:tc>
          <w:tcPr>
            <w:tcW w:w="0" w:type="auto"/>
            <w:gridSpan w:val="3"/>
            <w:shd w:val="clear" w:color="auto" w:fill="auto"/>
            <w:vAlign w:val="bottom"/>
          </w:tcPr>
          <w:p w14:paraId="5DEC6E51" w14:textId="77777777" w:rsidR="00B1578D" w:rsidRDefault="00B1578D">
            <w:pPr>
              <w:rPr>
                <w:rFonts w:ascii="宋体"/>
                <w:vanish/>
              </w:rPr>
            </w:pPr>
          </w:p>
        </w:tc>
        <w:tc>
          <w:tcPr>
            <w:tcW w:w="0" w:type="auto"/>
            <w:gridSpan w:val="3"/>
            <w:shd w:val="clear" w:color="auto" w:fill="auto"/>
            <w:vAlign w:val="bottom"/>
          </w:tcPr>
          <w:p w14:paraId="5DEC6E52" w14:textId="77777777" w:rsidR="00B1578D" w:rsidRDefault="00B1578D">
            <w:pPr>
              <w:rPr>
                <w:rFonts w:ascii="宋体"/>
                <w:vanish/>
              </w:rPr>
            </w:pPr>
          </w:p>
        </w:tc>
        <w:tc>
          <w:tcPr>
            <w:tcW w:w="0" w:type="auto"/>
            <w:gridSpan w:val="3"/>
            <w:shd w:val="clear" w:color="auto" w:fill="auto"/>
            <w:vAlign w:val="bottom"/>
          </w:tcPr>
          <w:p w14:paraId="5DEC6E53" w14:textId="77777777" w:rsidR="00B1578D" w:rsidRDefault="00B1578D">
            <w:pPr>
              <w:rPr>
                <w:rFonts w:ascii="宋体"/>
                <w:vanish/>
              </w:rPr>
            </w:pPr>
          </w:p>
        </w:tc>
      </w:tr>
      <w:tr w:rsidR="00B1578D" w14:paraId="5DEC6E58" w14:textId="77777777">
        <w:trPr>
          <w:hidden/>
        </w:trPr>
        <w:tc>
          <w:tcPr>
            <w:tcW w:w="0" w:type="auto"/>
            <w:gridSpan w:val="3"/>
            <w:shd w:val="clear" w:color="auto" w:fill="auto"/>
            <w:vAlign w:val="bottom"/>
          </w:tcPr>
          <w:p w14:paraId="5DEC6E55" w14:textId="77777777" w:rsidR="00B1578D" w:rsidRDefault="00B1578D">
            <w:pPr>
              <w:rPr>
                <w:rFonts w:ascii="宋体"/>
                <w:vanish/>
              </w:rPr>
            </w:pPr>
          </w:p>
        </w:tc>
        <w:tc>
          <w:tcPr>
            <w:tcW w:w="0" w:type="auto"/>
            <w:gridSpan w:val="3"/>
            <w:shd w:val="clear" w:color="auto" w:fill="auto"/>
            <w:vAlign w:val="bottom"/>
          </w:tcPr>
          <w:p w14:paraId="5DEC6E56" w14:textId="77777777" w:rsidR="00B1578D" w:rsidRDefault="00B1578D">
            <w:pPr>
              <w:rPr>
                <w:rFonts w:ascii="宋体"/>
                <w:vanish/>
              </w:rPr>
            </w:pPr>
          </w:p>
        </w:tc>
        <w:tc>
          <w:tcPr>
            <w:tcW w:w="0" w:type="auto"/>
            <w:gridSpan w:val="3"/>
            <w:shd w:val="clear" w:color="auto" w:fill="auto"/>
            <w:vAlign w:val="bottom"/>
          </w:tcPr>
          <w:p w14:paraId="5DEC6E57" w14:textId="77777777" w:rsidR="00B1578D" w:rsidRDefault="00B1578D">
            <w:pPr>
              <w:rPr>
                <w:rFonts w:ascii="宋体"/>
                <w:vanish/>
              </w:rPr>
            </w:pPr>
          </w:p>
        </w:tc>
      </w:tr>
      <w:tr w:rsidR="00B1578D" w14:paraId="5DEC6E5C" w14:textId="77777777">
        <w:trPr>
          <w:hidden/>
        </w:trPr>
        <w:tc>
          <w:tcPr>
            <w:tcW w:w="0" w:type="auto"/>
            <w:gridSpan w:val="3"/>
            <w:shd w:val="clear" w:color="auto" w:fill="auto"/>
            <w:vAlign w:val="bottom"/>
          </w:tcPr>
          <w:p w14:paraId="5DEC6E59" w14:textId="77777777" w:rsidR="00B1578D" w:rsidRDefault="00B1578D">
            <w:pPr>
              <w:rPr>
                <w:rFonts w:ascii="宋体"/>
                <w:vanish/>
              </w:rPr>
            </w:pPr>
          </w:p>
        </w:tc>
        <w:tc>
          <w:tcPr>
            <w:tcW w:w="0" w:type="auto"/>
            <w:gridSpan w:val="3"/>
            <w:shd w:val="clear" w:color="auto" w:fill="auto"/>
            <w:vAlign w:val="bottom"/>
          </w:tcPr>
          <w:p w14:paraId="5DEC6E5A" w14:textId="77777777" w:rsidR="00B1578D" w:rsidRDefault="00B1578D">
            <w:pPr>
              <w:rPr>
                <w:rFonts w:ascii="宋体"/>
                <w:vanish/>
              </w:rPr>
            </w:pPr>
          </w:p>
        </w:tc>
        <w:tc>
          <w:tcPr>
            <w:tcW w:w="0" w:type="auto"/>
            <w:gridSpan w:val="3"/>
            <w:shd w:val="clear" w:color="auto" w:fill="auto"/>
            <w:vAlign w:val="bottom"/>
          </w:tcPr>
          <w:p w14:paraId="5DEC6E5B" w14:textId="77777777" w:rsidR="00B1578D" w:rsidRDefault="00B1578D">
            <w:pPr>
              <w:rPr>
                <w:rFonts w:ascii="宋体"/>
                <w:vanish/>
              </w:rPr>
            </w:pPr>
          </w:p>
        </w:tc>
      </w:tr>
      <w:tr w:rsidR="00B1578D" w14:paraId="5DEC6E60" w14:textId="77777777">
        <w:trPr>
          <w:hidden/>
        </w:trPr>
        <w:tc>
          <w:tcPr>
            <w:tcW w:w="0" w:type="auto"/>
            <w:gridSpan w:val="3"/>
            <w:shd w:val="clear" w:color="auto" w:fill="auto"/>
            <w:vAlign w:val="bottom"/>
          </w:tcPr>
          <w:p w14:paraId="5DEC6E5D" w14:textId="77777777" w:rsidR="00B1578D" w:rsidRDefault="00B1578D">
            <w:pPr>
              <w:rPr>
                <w:rFonts w:ascii="宋体"/>
                <w:vanish/>
              </w:rPr>
            </w:pPr>
          </w:p>
        </w:tc>
        <w:tc>
          <w:tcPr>
            <w:tcW w:w="0" w:type="auto"/>
            <w:gridSpan w:val="3"/>
            <w:shd w:val="clear" w:color="auto" w:fill="auto"/>
            <w:vAlign w:val="bottom"/>
          </w:tcPr>
          <w:p w14:paraId="5DEC6E5E" w14:textId="77777777" w:rsidR="00B1578D" w:rsidRDefault="00B1578D">
            <w:pPr>
              <w:rPr>
                <w:rFonts w:ascii="宋体"/>
                <w:vanish/>
              </w:rPr>
            </w:pPr>
          </w:p>
        </w:tc>
        <w:tc>
          <w:tcPr>
            <w:tcW w:w="0" w:type="auto"/>
            <w:gridSpan w:val="3"/>
            <w:shd w:val="clear" w:color="auto" w:fill="auto"/>
            <w:vAlign w:val="bottom"/>
          </w:tcPr>
          <w:p w14:paraId="5DEC6E5F" w14:textId="77777777" w:rsidR="00B1578D" w:rsidRDefault="00B1578D">
            <w:pPr>
              <w:rPr>
                <w:rFonts w:ascii="宋体"/>
                <w:vanish/>
              </w:rPr>
            </w:pPr>
          </w:p>
        </w:tc>
      </w:tr>
      <w:tr w:rsidR="00B1578D" w14:paraId="5DEC6E64" w14:textId="77777777">
        <w:trPr>
          <w:hidden/>
        </w:trPr>
        <w:tc>
          <w:tcPr>
            <w:tcW w:w="0" w:type="auto"/>
            <w:gridSpan w:val="3"/>
            <w:shd w:val="clear" w:color="auto" w:fill="auto"/>
            <w:vAlign w:val="bottom"/>
          </w:tcPr>
          <w:p w14:paraId="5DEC6E61" w14:textId="77777777" w:rsidR="00B1578D" w:rsidRDefault="00B1578D">
            <w:pPr>
              <w:rPr>
                <w:rFonts w:ascii="宋体"/>
                <w:vanish/>
              </w:rPr>
            </w:pPr>
          </w:p>
        </w:tc>
        <w:tc>
          <w:tcPr>
            <w:tcW w:w="0" w:type="auto"/>
            <w:gridSpan w:val="3"/>
            <w:shd w:val="clear" w:color="auto" w:fill="auto"/>
            <w:vAlign w:val="bottom"/>
          </w:tcPr>
          <w:p w14:paraId="5DEC6E62" w14:textId="77777777" w:rsidR="00B1578D" w:rsidRDefault="00B1578D">
            <w:pPr>
              <w:rPr>
                <w:rFonts w:ascii="宋体"/>
                <w:vanish/>
              </w:rPr>
            </w:pPr>
          </w:p>
        </w:tc>
        <w:tc>
          <w:tcPr>
            <w:tcW w:w="0" w:type="auto"/>
            <w:gridSpan w:val="3"/>
            <w:shd w:val="clear" w:color="auto" w:fill="auto"/>
            <w:vAlign w:val="bottom"/>
          </w:tcPr>
          <w:p w14:paraId="5DEC6E63" w14:textId="77777777" w:rsidR="00B1578D" w:rsidRDefault="00B1578D">
            <w:pPr>
              <w:rPr>
                <w:rFonts w:ascii="宋体"/>
                <w:vanish/>
              </w:rPr>
            </w:pPr>
          </w:p>
        </w:tc>
      </w:tr>
      <w:tr w:rsidR="00B1578D" w14:paraId="5DEC6E68" w14:textId="77777777">
        <w:tc>
          <w:tcPr>
            <w:tcW w:w="0" w:type="auto"/>
            <w:gridSpan w:val="3"/>
            <w:shd w:val="clear" w:color="auto" w:fill="auto"/>
            <w:tcMar>
              <w:top w:w="40" w:type="dxa"/>
              <w:left w:w="20" w:type="dxa"/>
              <w:bottom w:w="40" w:type="dxa"/>
              <w:right w:w="20" w:type="dxa"/>
            </w:tcMar>
          </w:tcPr>
          <w:p w14:paraId="5DEC6E65" w14:textId="77777777" w:rsidR="00B1578D" w:rsidRDefault="004D2C04">
            <w:pPr>
              <w:textAlignment w:val="top"/>
            </w:pPr>
            <w:r>
              <w:rPr>
                <w:rFonts w:ascii="Times New Roman" w:eastAsia="宋体" w:hAnsi="Times New Roman"/>
                <w:color w:val="000000"/>
                <w:sz w:val="19"/>
                <w:szCs w:val="19"/>
              </w:rPr>
              <w:t>Exhibit 101.INS*</w:t>
            </w:r>
          </w:p>
        </w:tc>
        <w:tc>
          <w:tcPr>
            <w:tcW w:w="0" w:type="auto"/>
            <w:gridSpan w:val="3"/>
            <w:shd w:val="clear" w:color="auto" w:fill="auto"/>
            <w:tcMar>
              <w:top w:w="0" w:type="dxa"/>
              <w:left w:w="20" w:type="dxa"/>
              <w:bottom w:w="0" w:type="dxa"/>
              <w:right w:w="20" w:type="dxa"/>
            </w:tcMar>
            <w:vAlign w:val="bottom"/>
          </w:tcPr>
          <w:p w14:paraId="5DEC6E66"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67" w14:textId="77777777" w:rsidR="00B1578D" w:rsidRDefault="004D2C04">
            <w:pPr>
              <w:textAlignment w:val="top"/>
            </w:pPr>
            <w:r>
              <w:rPr>
                <w:rFonts w:ascii="Times New Roman" w:eastAsia="宋体" w:hAnsi="Times New Roman"/>
                <w:color w:val="000000"/>
                <w:sz w:val="19"/>
                <w:szCs w:val="19"/>
              </w:rPr>
              <w:t>Inline XBRL Instance Document</w:t>
            </w:r>
          </w:p>
        </w:tc>
      </w:tr>
      <w:tr w:rsidR="00B1578D" w14:paraId="5DEC6E6B" w14:textId="77777777">
        <w:trPr>
          <w:trHeight w:val="60"/>
        </w:trPr>
        <w:tc>
          <w:tcPr>
            <w:tcW w:w="0" w:type="auto"/>
            <w:gridSpan w:val="3"/>
            <w:shd w:val="clear" w:color="auto" w:fill="auto"/>
            <w:tcMar>
              <w:top w:w="0" w:type="dxa"/>
              <w:left w:w="20" w:type="dxa"/>
              <w:bottom w:w="0" w:type="dxa"/>
              <w:right w:w="20" w:type="dxa"/>
            </w:tcMar>
            <w:vAlign w:val="bottom"/>
          </w:tcPr>
          <w:p w14:paraId="5DEC6E69"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6A" w14:textId="77777777" w:rsidR="00B1578D" w:rsidRDefault="00B1578D">
            <w:pPr>
              <w:rPr>
                <w:rFonts w:ascii="宋体"/>
              </w:rPr>
            </w:pPr>
          </w:p>
        </w:tc>
      </w:tr>
      <w:tr w:rsidR="00B1578D" w14:paraId="5DEC6E6F" w14:textId="77777777">
        <w:tc>
          <w:tcPr>
            <w:tcW w:w="0" w:type="auto"/>
            <w:gridSpan w:val="3"/>
            <w:shd w:val="clear" w:color="auto" w:fill="auto"/>
            <w:tcMar>
              <w:top w:w="40" w:type="dxa"/>
              <w:left w:w="20" w:type="dxa"/>
              <w:bottom w:w="40" w:type="dxa"/>
              <w:right w:w="20" w:type="dxa"/>
            </w:tcMar>
          </w:tcPr>
          <w:p w14:paraId="5DEC6E6C" w14:textId="77777777" w:rsidR="00B1578D" w:rsidRDefault="004D2C04">
            <w:pPr>
              <w:textAlignment w:val="top"/>
            </w:pPr>
            <w:r>
              <w:rPr>
                <w:rFonts w:ascii="Times New Roman" w:eastAsia="宋体" w:hAnsi="Times New Roman"/>
                <w:color w:val="000000"/>
                <w:sz w:val="19"/>
                <w:szCs w:val="19"/>
              </w:rPr>
              <w:t>Exhibit 101.SCH*</w:t>
            </w:r>
          </w:p>
        </w:tc>
        <w:tc>
          <w:tcPr>
            <w:tcW w:w="0" w:type="auto"/>
            <w:gridSpan w:val="3"/>
            <w:shd w:val="clear" w:color="auto" w:fill="auto"/>
            <w:tcMar>
              <w:top w:w="0" w:type="dxa"/>
              <w:left w:w="20" w:type="dxa"/>
              <w:bottom w:w="0" w:type="dxa"/>
              <w:right w:w="20" w:type="dxa"/>
            </w:tcMar>
            <w:vAlign w:val="bottom"/>
          </w:tcPr>
          <w:p w14:paraId="5DEC6E6D"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6E" w14:textId="77777777" w:rsidR="00B1578D" w:rsidRDefault="004D2C04">
            <w:pPr>
              <w:textAlignment w:val="top"/>
            </w:pPr>
            <w:r>
              <w:rPr>
                <w:rFonts w:ascii="Times New Roman" w:eastAsia="宋体" w:hAnsi="Times New Roman"/>
                <w:color w:val="000000"/>
                <w:sz w:val="19"/>
                <w:szCs w:val="19"/>
              </w:rPr>
              <w:t>Inline XBRL Taxonomy Extension Schema Document</w:t>
            </w:r>
          </w:p>
        </w:tc>
      </w:tr>
      <w:tr w:rsidR="00B1578D" w14:paraId="5DEC6E72" w14:textId="77777777">
        <w:trPr>
          <w:trHeight w:val="60"/>
        </w:trPr>
        <w:tc>
          <w:tcPr>
            <w:tcW w:w="0" w:type="auto"/>
            <w:gridSpan w:val="3"/>
            <w:shd w:val="clear" w:color="auto" w:fill="auto"/>
            <w:tcMar>
              <w:top w:w="0" w:type="dxa"/>
              <w:left w:w="20" w:type="dxa"/>
              <w:bottom w:w="0" w:type="dxa"/>
              <w:right w:w="20" w:type="dxa"/>
            </w:tcMar>
            <w:vAlign w:val="bottom"/>
          </w:tcPr>
          <w:p w14:paraId="5DEC6E70"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71" w14:textId="77777777" w:rsidR="00B1578D" w:rsidRDefault="00B1578D">
            <w:pPr>
              <w:rPr>
                <w:rFonts w:ascii="宋体"/>
              </w:rPr>
            </w:pPr>
          </w:p>
        </w:tc>
      </w:tr>
      <w:tr w:rsidR="00B1578D" w14:paraId="5DEC6E76" w14:textId="77777777">
        <w:tc>
          <w:tcPr>
            <w:tcW w:w="0" w:type="auto"/>
            <w:gridSpan w:val="3"/>
            <w:shd w:val="clear" w:color="auto" w:fill="auto"/>
            <w:tcMar>
              <w:top w:w="40" w:type="dxa"/>
              <w:left w:w="20" w:type="dxa"/>
              <w:bottom w:w="40" w:type="dxa"/>
              <w:right w:w="20" w:type="dxa"/>
            </w:tcMar>
          </w:tcPr>
          <w:p w14:paraId="5DEC6E73" w14:textId="77777777" w:rsidR="00B1578D" w:rsidRDefault="004D2C04">
            <w:pPr>
              <w:textAlignment w:val="top"/>
            </w:pPr>
            <w:r>
              <w:rPr>
                <w:rFonts w:ascii="Times New Roman" w:eastAsia="宋体" w:hAnsi="Times New Roman"/>
                <w:color w:val="000000"/>
                <w:sz w:val="19"/>
                <w:szCs w:val="19"/>
              </w:rPr>
              <w:t>Exhibit 101.CAL*</w:t>
            </w:r>
          </w:p>
        </w:tc>
        <w:tc>
          <w:tcPr>
            <w:tcW w:w="0" w:type="auto"/>
            <w:gridSpan w:val="3"/>
            <w:shd w:val="clear" w:color="auto" w:fill="auto"/>
            <w:tcMar>
              <w:top w:w="0" w:type="dxa"/>
              <w:left w:w="20" w:type="dxa"/>
              <w:bottom w:w="0" w:type="dxa"/>
              <w:right w:w="20" w:type="dxa"/>
            </w:tcMar>
            <w:vAlign w:val="bottom"/>
          </w:tcPr>
          <w:p w14:paraId="5DEC6E74"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75" w14:textId="77777777" w:rsidR="00B1578D" w:rsidRDefault="004D2C04">
            <w:pPr>
              <w:textAlignment w:val="top"/>
            </w:pPr>
            <w:r>
              <w:rPr>
                <w:rFonts w:ascii="Times New Roman" w:eastAsia="宋体" w:hAnsi="Times New Roman"/>
                <w:color w:val="000000"/>
                <w:sz w:val="19"/>
                <w:szCs w:val="19"/>
              </w:rPr>
              <w:t>Inline XBRL Taxonomy Extension Calculation Linkbase Document</w:t>
            </w:r>
          </w:p>
        </w:tc>
      </w:tr>
      <w:tr w:rsidR="00B1578D" w14:paraId="5DEC6E79" w14:textId="77777777">
        <w:trPr>
          <w:trHeight w:val="60"/>
        </w:trPr>
        <w:tc>
          <w:tcPr>
            <w:tcW w:w="0" w:type="auto"/>
            <w:gridSpan w:val="3"/>
            <w:shd w:val="clear" w:color="auto" w:fill="auto"/>
            <w:tcMar>
              <w:top w:w="0" w:type="dxa"/>
              <w:left w:w="20" w:type="dxa"/>
              <w:bottom w:w="0" w:type="dxa"/>
              <w:right w:w="20" w:type="dxa"/>
            </w:tcMar>
            <w:vAlign w:val="bottom"/>
          </w:tcPr>
          <w:p w14:paraId="5DEC6E77"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78" w14:textId="77777777" w:rsidR="00B1578D" w:rsidRDefault="00B1578D">
            <w:pPr>
              <w:rPr>
                <w:rFonts w:ascii="宋体"/>
              </w:rPr>
            </w:pPr>
          </w:p>
        </w:tc>
      </w:tr>
      <w:tr w:rsidR="00B1578D" w14:paraId="5DEC6E7D" w14:textId="77777777">
        <w:tc>
          <w:tcPr>
            <w:tcW w:w="0" w:type="auto"/>
            <w:gridSpan w:val="3"/>
            <w:shd w:val="clear" w:color="auto" w:fill="auto"/>
            <w:tcMar>
              <w:top w:w="40" w:type="dxa"/>
              <w:left w:w="20" w:type="dxa"/>
              <w:bottom w:w="40" w:type="dxa"/>
              <w:right w:w="20" w:type="dxa"/>
            </w:tcMar>
          </w:tcPr>
          <w:p w14:paraId="5DEC6E7A" w14:textId="77777777" w:rsidR="00B1578D" w:rsidRDefault="004D2C04">
            <w:pPr>
              <w:textAlignment w:val="top"/>
            </w:pPr>
            <w:r>
              <w:rPr>
                <w:rFonts w:ascii="Times New Roman" w:eastAsia="宋体" w:hAnsi="Times New Roman"/>
                <w:color w:val="000000"/>
                <w:sz w:val="19"/>
                <w:szCs w:val="19"/>
              </w:rPr>
              <w:t>Exhibit 101.DEF*</w:t>
            </w:r>
          </w:p>
        </w:tc>
        <w:tc>
          <w:tcPr>
            <w:tcW w:w="0" w:type="auto"/>
            <w:gridSpan w:val="3"/>
            <w:shd w:val="clear" w:color="auto" w:fill="auto"/>
            <w:tcMar>
              <w:top w:w="0" w:type="dxa"/>
              <w:left w:w="20" w:type="dxa"/>
              <w:bottom w:w="0" w:type="dxa"/>
              <w:right w:w="20" w:type="dxa"/>
            </w:tcMar>
            <w:vAlign w:val="bottom"/>
          </w:tcPr>
          <w:p w14:paraId="5DEC6E7B"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7C" w14:textId="77777777" w:rsidR="00B1578D" w:rsidRDefault="004D2C04">
            <w:pPr>
              <w:textAlignment w:val="top"/>
            </w:pPr>
            <w:r>
              <w:rPr>
                <w:rFonts w:ascii="Times New Roman" w:eastAsia="宋体" w:hAnsi="Times New Roman"/>
                <w:color w:val="000000"/>
                <w:sz w:val="19"/>
                <w:szCs w:val="19"/>
              </w:rPr>
              <w:t xml:space="preserve">Inline XBRL Taxonomy </w:t>
            </w:r>
            <w:r>
              <w:rPr>
                <w:rFonts w:ascii="Times New Roman" w:eastAsia="宋体" w:hAnsi="Times New Roman"/>
                <w:color w:val="000000"/>
                <w:sz w:val="19"/>
                <w:szCs w:val="19"/>
              </w:rPr>
              <w:t>Extension Definition Linkbase Document</w:t>
            </w:r>
          </w:p>
        </w:tc>
      </w:tr>
      <w:tr w:rsidR="00B1578D" w14:paraId="5DEC6E80" w14:textId="77777777">
        <w:trPr>
          <w:trHeight w:val="60"/>
        </w:trPr>
        <w:tc>
          <w:tcPr>
            <w:tcW w:w="0" w:type="auto"/>
            <w:gridSpan w:val="3"/>
            <w:shd w:val="clear" w:color="auto" w:fill="auto"/>
            <w:tcMar>
              <w:top w:w="0" w:type="dxa"/>
              <w:left w:w="20" w:type="dxa"/>
              <w:bottom w:w="0" w:type="dxa"/>
              <w:right w:w="20" w:type="dxa"/>
            </w:tcMar>
            <w:vAlign w:val="bottom"/>
          </w:tcPr>
          <w:p w14:paraId="5DEC6E7E"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7F" w14:textId="77777777" w:rsidR="00B1578D" w:rsidRDefault="00B1578D">
            <w:pPr>
              <w:rPr>
                <w:rFonts w:ascii="宋体"/>
              </w:rPr>
            </w:pPr>
          </w:p>
        </w:tc>
      </w:tr>
      <w:tr w:rsidR="00B1578D" w14:paraId="5DEC6E84" w14:textId="77777777">
        <w:tc>
          <w:tcPr>
            <w:tcW w:w="0" w:type="auto"/>
            <w:gridSpan w:val="3"/>
            <w:shd w:val="clear" w:color="auto" w:fill="auto"/>
            <w:tcMar>
              <w:top w:w="40" w:type="dxa"/>
              <w:left w:w="20" w:type="dxa"/>
              <w:bottom w:w="40" w:type="dxa"/>
              <w:right w:w="20" w:type="dxa"/>
            </w:tcMar>
          </w:tcPr>
          <w:p w14:paraId="5DEC6E81" w14:textId="77777777" w:rsidR="00B1578D" w:rsidRDefault="004D2C04">
            <w:pPr>
              <w:textAlignment w:val="top"/>
            </w:pPr>
            <w:r>
              <w:rPr>
                <w:rFonts w:ascii="Times New Roman" w:eastAsia="宋体" w:hAnsi="Times New Roman"/>
                <w:color w:val="000000"/>
                <w:sz w:val="19"/>
                <w:szCs w:val="19"/>
              </w:rPr>
              <w:t>Exhibit 101.LAB*</w:t>
            </w:r>
          </w:p>
        </w:tc>
        <w:tc>
          <w:tcPr>
            <w:tcW w:w="0" w:type="auto"/>
            <w:gridSpan w:val="3"/>
            <w:shd w:val="clear" w:color="auto" w:fill="auto"/>
            <w:tcMar>
              <w:top w:w="0" w:type="dxa"/>
              <w:left w:w="20" w:type="dxa"/>
              <w:bottom w:w="0" w:type="dxa"/>
              <w:right w:w="20" w:type="dxa"/>
            </w:tcMar>
            <w:vAlign w:val="bottom"/>
          </w:tcPr>
          <w:p w14:paraId="5DEC6E82"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83" w14:textId="77777777" w:rsidR="00B1578D" w:rsidRDefault="004D2C04">
            <w:pPr>
              <w:textAlignment w:val="top"/>
            </w:pPr>
            <w:r>
              <w:rPr>
                <w:rFonts w:ascii="Times New Roman" w:eastAsia="宋体" w:hAnsi="Times New Roman"/>
                <w:color w:val="000000"/>
                <w:sz w:val="19"/>
                <w:szCs w:val="19"/>
              </w:rPr>
              <w:t>Inline XBRL Taxonomy Extension Label Linkbase Document</w:t>
            </w:r>
          </w:p>
        </w:tc>
      </w:tr>
      <w:tr w:rsidR="00B1578D" w14:paraId="5DEC6E87" w14:textId="77777777">
        <w:trPr>
          <w:trHeight w:val="60"/>
        </w:trPr>
        <w:tc>
          <w:tcPr>
            <w:tcW w:w="0" w:type="auto"/>
            <w:gridSpan w:val="3"/>
            <w:shd w:val="clear" w:color="auto" w:fill="auto"/>
            <w:tcMar>
              <w:top w:w="0" w:type="dxa"/>
              <w:left w:w="20" w:type="dxa"/>
              <w:bottom w:w="0" w:type="dxa"/>
              <w:right w:w="20" w:type="dxa"/>
            </w:tcMar>
            <w:vAlign w:val="bottom"/>
          </w:tcPr>
          <w:p w14:paraId="5DEC6E85" w14:textId="77777777" w:rsidR="00B1578D" w:rsidRDefault="00B1578D">
            <w:pPr>
              <w:rPr>
                <w:rFonts w:ascii="宋体"/>
              </w:rPr>
            </w:pPr>
          </w:p>
        </w:tc>
        <w:tc>
          <w:tcPr>
            <w:tcW w:w="0" w:type="auto"/>
            <w:gridSpan w:val="6"/>
            <w:shd w:val="clear" w:color="auto" w:fill="auto"/>
            <w:tcMar>
              <w:top w:w="0" w:type="dxa"/>
              <w:left w:w="20" w:type="dxa"/>
              <w:bottom w:w="0" w:type="dxa"/>
              <w:right w:w="20" w:type="dxa"/>
            </w:tcMar>
            <w:vAlign w:val="bottom"/>
          </w:tcPr>
          <w:p w14:paraId="5DEC6E86" w14:textId="77777777" w:rsidR="00B1578D" w:rsidRDefault="00B1578D">
            <w:pPr>
              <w:rPr>
                <w:rFonts w:ascii="宋体"/>
              </w:rPr>
            </w:pPr>
          </w:p>
        </w:tc>
      </w:tr>
      <w:tr w:rsidR="00B1578D" w14:paraId="5DEC6E8B" w14:textId="77777777">
        <w:tc>
          <w:tcPr>
            <w:tcW w:w="0" w:type="auto"/>
            <w:gridSpan w:val="3"/>
            <w:shd w:val="clear" w:color="auto" w:fill="auto"/>
            <w:tcMar>
              <w:top w:w="40" w:type="dxa"/>
              <w:left w:w="20" w:type="dxa"/>
              <w:bottom w:w="40" w:type="dxa"/>
              <w:right w:w="20" w:type="dxa"/>
            </w:tcMar>
          </w:tcPr>
          <w:p w14:paraId="5DEC6E88" w14:textId="77777777" w:rsidR="00B1578D" w:rsidRDefault="004D2C04">
            <w:pPr>
              <w:textAlignment w:val="top"/>
            </w:pPr>
            <w:r>
              <w:rPr>
                <w:rFonts w:ascii="Times New Roman" w:eastAsia="宋体" w:hAnsi="Times New Roman"/>
                <w:color w:val="000000"/>
                <w:sz w:val="19"/>
                <w:szCs w:val="19"/>
              </w:rPr>
              <w:t>Exhibit 101.PRE*</w:t>
            </w:r>
          </w:p>
        </w:tc>
        <w:tc>
          <w:tcPr>
            <w:tcW w:w="0" w:type="auto"/>
            <w:gridSpan w:val="3"/>
            <w:shd w:val="clear" w:color="auto" w:fill="auto"/>
            <w:tcMar>
              <w:top w:w="0" w:type="dxa"/>
              <w:left w:w="20" w:type="dxa"/>
              <w:bottom w:w="0" w:type="dxa"/>
              <w:right w:w="20" w:type="dxa"/>
            </w:tcMar>
            <w:vAlign w:val="bottom"/>
          </w:tcPr>
          <w:p w14:paraId="5DEC6E89"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tcPr>
          <w:p w14:paraId="5DEC6E8A" w14:textId="77777777" w:rsidR="00B1578D" w:rsidRDefault="004D2C04">
            <w:pPr>
              <w:textAlignment w:val="top"/>
            </w:pPr>
            <w:r>
              <w:rPr>
                <w:rFonts w:ascii="Times New Roman" w:eastAsia="宋体" w:hAnsi="Times New Roman"/>
                <w:color w:val="000000"/>
                <w:sz w:val="19"/>
                <w:szCs w:val="19"/>
              </w:rPr>
              <w:t>Inline XBRL Taxonomy Extension Presentation Linkbase Document</w:t>
            </w:r>
          </w:p>
        </w:tc>
      </w:tr>
      <w:tr w:rsidR="00B1578D" w14:paraId="5DEC6E8F" w14:textId="77777777">
        <w:trPr>
          <w:trHeight w:val="60"/>
        </w:trPr>
        <w:tc>
          <w:tcPr>
            <w:tcW w:w="0" w:type="auto"/>
            <w:gridSpan w:val="3"/>
            <w:shd w:val="clear" w:color="auto" w:fill="auto"/>
            <w:tcMar>
              <w:top w:w="0" w:type="dxa"/>
              <w:left w:w="20" w:type="dxa"/>
              <w:bottom w:w="0" w:type="dxa"/>
              <w:right w:w="20" w:type="dxa"/>
            </w:tcMar>
            <w:vAlign w:val="bottom"/>
          </w:tcPr>
          <w:p w14:paraId="5DEC6E8C"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8D"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8E" w14:textId="77777777" w:rsidR="00B1578D" w:rsidRDefault="00B1578D">
            <w:pPr>
              <w:rPr>
                <w:rFonts w:ascii="宋体"/>
              </w:rPr>
            </w:pPr>
          </w:p>
        </w:tc>
      </w:tr>
      <w:tr w:rsidR="00B1578D" w14:paraId="5DEC6E93" w14:textId="77777777">
        <w:tc>
          <w:tcPr>
            <w:tcW w:w="0" w:type="auto"/>
            <w:gridSpan w:val="3"/>
            <w:shd w:val="clear" w:color="auto" w:fill="auto"/>
            <w:tcMar>
              <w:top w:w="40" w:type="dxa"/>
              <w:left w:w="20" w:type="dxa"/>
              <w:bottom w:w="40" w:type="dxa"/>
              <w:right w:w="20" w:type="dxa"/>
            </w:tcMar>
            <w:vAlign w:val="center"/>
          </w:tcPr>
          <w:p w14:paraId="5DEC6E90" w14:textId="77777777" w:rsidR="00B1578D" w:rsidRDefault="004D2C04">
            <w:pPr>
              <w:textAlignment w:val="center"/>
            </w:pPr>
            <w:r>
              <w:rPr>
                <w:rFonts w:ascii="Times New Roman" w:eastAsia="宋体" w:hAnsi="Times New Roman"/>
                <w:color w:val="000000"/>
                <w:sz w:val="19"/>
                <w:szCs w:val="19"/>
              </w:rPr>
              <w:t>Exhibit 104</w:t>
            </w:r>
          </w:p>
        </w:tc>
        <w:tc>
          <w:tcPr>
            <w:tcW w:w="0" w:type="auto"/>
            <w:gridSpan w:val="3"/>
            <w:shd w:val="clear" w:color="auto" w:fill="auto"/>
            <w:tcMar>
              <w:top w:w="0" w:type="dxa"/>
              <w:left w:w="20" w:type="dxa"/>
              <w:bottom w:w="0" w:type="dxa"/>
              <w:right w:w="20" w:type="dxa"/>
            </w:tcMar>
            <w:vAlign w:val="bottom"/>
          </w:tcPr>
          <w:p w14:paraId="5DEC6E91"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E92" w14:textId="77777777" w:rsidR="00B1578D" w:rsidRDefault="004D2C04">
            <w:pPr>
              <w:textAlignment w:val="bottom"/>
            </w:pPr>
            <w:r>
              <w:rPr>
                <w:rFonts w:ascii="Times New Roman" w:eastAsia="宋体" w:hAnsi="Times New Roman"/>
                <w:color w:val="000000"/>
                <w:sz w:val="19"/>
                <w:szCs w:val="19"/>
              </w:rPr>
              <w:t xml:space="preserve">The cover page from the </w:t>
            </w:r>
            <w:r>
              <w:rPr>
                <w:rFonts w:ascii="Times New Roman" w:eastAsia="宋体" w:hAnsi="Times New Roman"/>
                <w:color w:val="000000"/>
                <w:sz w:val="19"/>
                <w:szCs w:val="19"/>
              </w:rPr>
              <w:t>Company's Quarterly Report on Form 10-Q for the quarter ended April 30, 2022, formatted in Inline XBRL (included in Exhibit 101)</w:t>
            </w:r>
          </w:p>
        </w:tc>
      </w:tr>
    </w:tbl>
    <w:p w14:paraId="5DEC6E94" w14:textId="77777777" w:rsidR="00B1578D" w:rsidRDefault="00B1578D"/>
    <w:tbl>
      <w:tblPr>
        <w:tblW w:w="3984" w:type="pct"/>
        <w:tblCellMar>
          <w:top w:w="15" w:type="dxa"/>
          <w:left w:w="15" w:type="dxa"/>
          <w:bottom w:w="15" w:type="dxa"/>
          <w:right w:w="15" w:type="dxa"/>
        </w:tblCellMar>
        <w:tblLook w:val="04A0" w:firstRow="1" w:lastRow="0" w:firstColumn="1" w:lastColumn="0" w:noHBand="0" w:noVBand="1"/>
      </w:tblPr>
      <w:tblGrid>
        <w:gridCol w:w="51"/>
        <w:gridCol w:w="398"/>
        <w:gridCol w:w="36"/>
        <w:gridCol w:w="51"/>
        <w:gridCol w:w="6069"/>
        <w:gridCol w:w="37"/>
      </w:tblGrid>
      <w:tr w:rsidR="00B1578D" w14:paraId="5DEC6E9B" w14:textId="77777777">
        <w:tc>
          <w:tcPr>
            <w:tcW w:w="50" w:type="pct"/>
            <w:shd w:val="clear" w:color="auto" w:fill="auto"/>
            <w:vAlign w:val="bottom"/>
          </w:tcPr>
          <w:p w14:paraId="5DEC6E95" w14:textId="77777777" w:rsidR="00B1578D" w:rsidRDefault="00B1578D">
            <w:pPr>
              <w:rPr>
                <w:rFonts w:ascii="宋体"/>
              </w:rPr>
            </w:pPr>
          </w:p>
        </w:tc>
        <w:tc>
          <w:tcPr>
            <w:tcW w:w="311" w:type="pct"/>
            <w:shd w:val="clear" w:color="auto" w:fill="auto"/>
            <w:vAlign w:val="bottom"/>
          </w:tcPr>
          <w:p w14:paraId="5DEC6E96" w14:textId="77777777" w:rsidR="00B1578D" w:rsidRDefault="00B1578D">
            <w:pPr>
              <w:rPr>
                <w:rFonts w:ascii="宋体"/>
              </w:rPr>
            </w:pPr>
          </w:p>
        </w:tc>
        <w:tc>
          <w:tcPr>
            <w:tcW w:w="5" w:type="pct"/>
            <w:shd w:val="clear" w:color="auto" w:fill="auto"/>
            <w:vAlign w:val="bottom"/>
          </w:tcPr>
          <w:p w14:paraId="5DEC6E97" w14:textId="77777777" w:rsidR="00B1578D" w:rsidRDefault="00B1578D">
            <w:pPr>
              <w:rPr>
                <w:rFonts w:ascii="宋体"/>
              </w:rPr>
            </w:pPr>
          </w:p>
        </w:tc>
        <w:tc>
          <w:tcPr>
            <w:tcW w:w="50" w:type="pct"/>
            <w:shd w:val="clear" w:color="auto" w:fill="auto"/>
            <w:vAlign w:val="bottom"/>
          </w:tcPr>
          <w:p w14:paraId="5DEC6E98" w14:textId="77777777" w:rsidR="00B1578D" w:rsidRDefault="00B1578D">
            <w:pPr>
              <w:rPr>
                <w:rFonts w:ascii="宋体"/>
              </w:rPr>
            </w:pPr>
          </w:p>
        </w:tc>
        <w:tc>
          <w:tcPr>
            <w:tcW w:w="4578" w:type="pct"/>
            <w:shd w:val="clear" w:color="auto" w:fill="auto"/>
            <w:vAlign w:val="bottom"/>
          </w:tcPr>
          <w:p w14:paraId="5DEC6E99" w14:textId="77777777" w:rsidR="00B1578D" w:rsidRDefault="00B1578D">
            <w:pPr>
              <w:rPr>
                <w:rFonts w:ascii="宋体"/>
              </w:rPr>
            </w:pPr>
          </w:p>
        </w:tc>
        <w:tc>
          <w:tcPr>
            <w:tcW w:w="5" w:type="pct"/>
            <w:shd w:val="clear" w:color="auto" w:fill="auto"/>
            <w:vAlign w:val="bottom"/>
          </w:tcPr>
          <w:p w14:paraId="5DEC6E9A" w14:textId="77777777" w:rsidR="00B1578D" w:rsidRDefault="00B1578D">
            <w:pPr>
              <w:rPr>
                <w:rFonts w:ascii="宋体"/>
              </w:rPr>
            </w:pPr>
          </w:p>
        </w:tc>
      </w:tr>
      <w:tr w:rsidR="00B1578D" w14:paraId="5DEC6E9E" w14:textId="77777777">
        <w:tc>
          <w:tcPr>
            <w:tcW w:w="0" w:type="auto"/>
            <w:gridSpan w:val="3"/>
            <w:shd w:val="clear" w:color="auto" w:fill="auto"/>
            <w:tcMar>
              <w:top w:w="40" w:type="dxa"/>
              <w:left w:w="20" w:type="dxa"/>
              <w:bottom w:w="40" w:type="dxa"/>
              <w:right w:w="20" w:type="dxa"/>
            </w:tcMar>
          </w:tcPr>
          <w:p w14:paraId="5DEC6E9C" w14:textId="77777777" w:rsidR="00B1578D" w:rsidRDefault="004D2C04">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5DEC6E9D" w14:textId="77777777" w:rsidR="00B1578D" w:rsidRDefault="004D2C04">
            <w:pPr>
              <w:textAlignment w:val="top"/>
            </w:pPr>
            <w:r>
              <w:rPr>
                <w:rFonts w:ascii="Times New Roman" w:eastAsia="宋体" w:hAnsi="Times New Roman"/>
                <w:color w:val="000000"/>
                <w:sz w:val="20"/>
                <w:szCs w:val="20"/>
              </w:rPr>
              <w:t>Filed herewith as an Exhibit.</w:t>
            </w:r>
          </w:p>
        </w:tc>
      </w:tr>
      <w:tr w:rsidR="00B1578D" w14:paraId="5DEC6EA1" w14:textId="77777777">
        <w:tc>
          <w:tcPr>
            <w:tcW w:w="0" w:type="auto"/>
            <w:gridSpan w:val="3"/>
            <w:shd w:val="clear" w:color="auto" w:fill="auto"/>
            <w:tcMar>
              <w:top w:w="40" w:type="dxa"/>
              <w:left w:w="20" w:type="dxa"/>
              <w:bottom w:w="40" w:type="dxa"/>
              <w:right w:w="20" w:type="dxa"/>
            </w:tcMar>
          </w:tcPr>
          <w:p w14:paraId="5DEC6E9F" w14:textId="77777777" w:rsidR="00B1578D" w:rsidRDefault="004D2C04">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5DEC6EA0" w14:textId="77777777" w:rsidR="00B1578D" w:rsidRDefault="004D2C04">
            <w:pPr>
              <w:textAlignment w:val="top"/>
            </w:pPr>
            <w:r>
              <w:rPr>
                <w:rFonts w:ascii="Times New Roman" w:eastAsia="宋体" w:hAnsi="Times New Roman"/>
                <w:color w:val="000000"/>
                <w:sz w:val="20"/>
                <w:szCs w:val="20"/>
              </w:rPr>
              <w:t>Furnished herewith as an Exhibit.</w:t>
            </w:r>
          </w:p>
        </w:tc>
      </w:tr>
    </w:tbl>
    <w:p w14:paraId="5DEC6EA2" w14:textId="77777777" w:rsidR="00B1578D" w:rsidRDefault="00B1578D"/>
    <w:p w14:paraId="5DEC6EA3" w14:textId="77777777" w:rsidR="00B1578D" w:rsidRDefault="004D2C04">
      <w:pPr>
        <w:jc w:val="center"/>
      </w:pPr>
      <w:r>
        <w:rPr>
          <w:rFonts w:ascii="Times New Roman" w:eastAsia="宋体" w:hAnsi="Times New Roman"/>
          <w:color w:val="000000"/>
          <w:sz w:val="20"/>
          <w:szCs w:val="20"/>
        </w:rPr>
        <w:t>32</w:t>
      </w:r>
    </w:p>
    <w:p w14:paraId="5DEC6EA4" w14:textId="77777777" w:rsidR="00B1578D" w:rsidRDefault="004D2C04">
      <w:r>
        <w:pict w14:anchorId="5DEC6F45">
          <v:rect id="_x0000_i1056" style="width:415.3pt;height:1.5pt" o:hralign="center" o:hrstd="t" o:hr="t" fillcolor="#a0a0a0" stroked="f"/>
        </w:pict>
      </w:r>
    </w:p>
    <w:p w14:paraId="5DEC6EA5" w14:textId="77777777" w:rsidR="00B1578D" w:rsidRDefault="004D2C04">
      <w:hyperlink r:id="rId112" w:anchor="ia92fe4e1fa654d85928fb72942eadb02_7" w:history="1">
        <w:r>
          <w:rPr>
            <w:rStyle w:val="a5"/>
            <w:rFonts w:ascii="Times New Roman" w:eastAsia="宋体" w:hAnsi="Times New Roman"/>
            <w:sz w:val="20"/>
            <w:szCs w:val="20"/>
          </w:rPr>
          <w:t>Table of Contents</w:t>
        </w:r>
      </w:hyperlink>
    </w:p>
    <w:p w14:paraId="5DEC6EA6" w14:textId="77777777" w:rsidR="00B1578D" w:rsidRDefault="004D2C04">
      <w:pPr>
        <w:spacing w:before="100"/>
        <w:jc w:val="center"/>
      </w:pPr>
      <w:r>
        <w:rPr>
          <w:rFonts w:ascii="Times New Roman" w:eastAsia="宋体" w:hAnsi="Times New Roman"/>
          <w:b/>
          <w:bCs/>
          <w:color w:val="000000"/>
          <w:sz w:val="20"/>
          <w:szCs w:val="20"/>
        </w:rPr>
        <w:t>SIGNATURES</w:t>
      </w:r>
    </w:p>
    <w:p w14:paraId="5DEC6EA7" w14:textId="77777777" w:rsidR="00B1578D" w:rsidRDefault="004D2C04">
      <w:pPr>
        <w:spacing w:before="180"/>
      </w:pPr>
      <w:r>
        <w:rPr>
          <w:rFonts w:ascii="Times New Roman" w:eastAsia="宋体" w:hAnsi="Times New Roman"/>
          <w:color w:val="000000"/>
          <w:sz w:val="20"/>
          <w:szCs w:val="20"/>
        </w:rPr>
        <w:t xml:space="preserve">Pursuant to the requirements of the Securities Exchange Act of 1934, the </w:t>
      </w:r>
      <w:r>
        <w:rPr>
          <w:rFonts w:ascii="Times New Roman" w:eastAsia="宋体" w:hAnsi="Times New Roman"/>
          <w:color w:val="000000"/>
          <w:sz w:val="20"/>
          <w:szCs w:val="20"/>
        </w:rPr>
        <w:t>registrant has duly caused this report to be signed on its behalf by the undersigned thereunto duly authorized.</w:t>
      </w:r>
    </w:p>
    <w:p w14:paraId="5DEC6EA8" w14:textId="77777777" w:rsidR="00B1578D" w:rsidRDefault="004D2C04">
      <w:pPr>
        <w:jc w:val="center"/>
      </w:pPr>
      <w:r>
        <w:rPr>
          <w:rFonts w:ascii="Times New Roman" w:eastAsia="宋体" w:hAnsi="Times New Roman"/>
          <w:color w:val="000000"/>
          <w:sz w:val="18"/>
          <w:szCs w:val="18"/>
        </w:rPr>
        <w:t> </w:t>
      </w:r>
    </w:p>
    <w:p w14:paraId="5DEC6EA9" w14:textId="77777777" w:rsidR="00B1578D" w:rsidRDefault="004D2C04">
      <w:pPr>
        <w:jc w:val="center"/>
      </w:pPr>
      <w:r>
        <w:rPr>
          <w:rFonts w:ascii="Times New Roman" w:eastAsia="宋体" w:hAnsi="Times New Roman"/>
          <w:b/>
          <w:bCs/>
          <w:color w:val="000000"/>
          <w:sz w:val="20"/>
          <w:szCs w:val="20"/>
        </w:rPr>
        <w:t>WALMART INC.</w:t>
      </w:r>
    </w:p>
    <w:tbl>
      <w:tblPr>
        <w:tblW w:w="4912" w:type="pct"/>
        <w:jc w:val="center"/>
        <w:tblCellMar>
          <w:top w:w="15" w:type="dxa"/>
          <w:left w:w="15" w:type="dxa"/>
          <w:bottom w:w="15" w:type="dxa"/>
          <w:right w:w="15" w:type="dxa"/>
        </w:tblCellMar>
        <w:tblLook w:val="04A0" w:firstRow="1" w:lastRow="0" w:firstColumn="1" w:lastColumn="0" w:noHBand="0" w:noVBand="1"/>
      </w:tblPr>
      <w:tblGrid>
        <w:gridCol w:w="62"/>
        <w:gridCol w:w="1937"/>
        <w:gridCol w:w="36"/>
        <w:gridCol w:w="62"/>
        <w:gridCol w:w="475"/>
        <w:gridCol w:w="36"/>
        <w:gridCol w:w="36"/>
        <w:gridCol w:w="36"/>
        <w:gridCol w:w="36"/>
        <w:gridCol w:w="50"/>
        <w:gridCol w:w="5386"/>
        <w:gridCol w:w="37"/>
      </w:tblGrid>
      <w:tr w:rsidR="00B1578D" w14:paraId="5DEC6EB6" w14:textId="77777777">
        <w:trPr>
          <w:jc w:val="center"/>
        </w:trPr>
        <w:tc>
          <w:tcPr>
            <w:tcW w:w="50" w:type="pct"/>
            <w:shd w:val="clear" w:color="auto" w:fill="auto"/>
            <w:vAlign w:val="bottom"/>
          </w:tcPr>
          <w:p w14:paraId="5DEC6EAA" w14:textId="77777777" w:rsidR="00B1578D" w:rsidRDefault="00B1578D">
            <w:pPr>
              <w:rPr>
                <w:rFonts w:ascii="宋体"/>
              </w:rPr>
            </w:pPr>
          </w:p>
        </w:tc>
        <w:tc>
          <w:tcPr>
            <w:tcW w:w="1195" w:type="pct"/>
            <w:shd w:val="clear" w:color="auto" w:fill="auto"/>
            <w:vAlign w:val="bottom"/>
          </w:tcPr>
          <w:p w14:paraId="5DEC6EAB" w14:textId="77777777" w:rsidR="00B1578D" w:rsidRDefault="00B1578D">
            <w:pPr>
              <w:rPr>
                <w:rFonts w:ascii="宋体"/>
              </w:rPr>
            </w:pPr>
          </w:p>
        </w:tc>
        <w:tc>
          <w:tcPr>
            <w:tcW w:w="5" w:type="pct"/>
            <w:shd w:val="clear" w:color="auto" w:fill="auto"/>
            <w:vAlign w:val="bottom"/>
          </w:tcPr>
          <w:p w14:paraId="5DEC6EAC" w14:textId="77777777" w:rsidR="00B1578D" w:rsidRDefault="00B1578D">
            <w:pPr>
              <w:rPr>
                <w:rFonts w:ascii="宋体"/>
              </w:rPr>
            </w:pPr>
          </w:p>
        </w:tc>
        <w:tc>
          <w:tcPr>
            <w:tcW w:w="50" w:type="pct"/>
            <w:shd w:val="clear" w:color="auto" w:fill="auto"/>
            <w:vAlign w:val="bottom"/>
          </w:tcPr>
          <w:p w14:paraId="5DEC6EAD" w14:textId="77777777" w:rsidR="00B1578D" w:rsidRDefault="00B1578D">
            <w:pPr>
              <w:rPr>
                <w:rFonts w:ascii="宋体"/>
              </w:rPr>
            </w:pPr>
          </w:p>
        </w:tc>
        <w:tc>
          <w:tcPr>
            <w:tcW w:w="302" w:type="pct"/>
            <w:shd w:val="clear" w:color="auto" w:fill="auto"/>
            <w:vAlign w:val="bottom"/>
          </w:tcPr>
          <w:p w14:paraId="5DEC6EAE" w14:textId="77777777" w:rsidR="00B1578D" w:rsidRDefault="00B1578D">
            <w:pPr>
              <w:rPr>
                <w:rFonts w:ascii="宋体"/>
              </w:rPr>
            </w:pPr>
          </w:p>
        </w:tc>
        <w:tc>
          <w:tcPr>
            <w:tcW w:w="5" w:type="pct"/>
            <w:shd w:val="clear" w:color="auto" w:fill="auto"/>
            <w:vAlign w:val="bottom"/>
          </w:tcPr>
          <w:p w14:paraId="5DEC6EAF" w14:textId="77777777" w:rsidR="00B1578D" w:rsidRDefault="00B1578D">
            <w:pPr>
              <w:rPr>
                <w:rFonts w:ascii="宋体"/>
              </w:rPr>
            </w:pPr>
          </w:p>
        </w:tc>
        <w:tc>
          <w:tcPr>
            <w:tcW w:w="5" w:type="pct"/>
            <w:shd w:val="clear" w:color="auto" w:fill="auto"/>
            <w:vAlign w:val="bottom"/>
          </w:tcPr>
          <w:p w14:paraId="5DEC6EB0" w14:textId="77777777" w:rsidR="00B1578D" w:rsidRDefault="00B1578D">
            <w:pPr>
              <w:rPr>
                <w:rFonts w:ascii="宋体"/>
              </w:rPr>
            </w:pPr>
          </w:p>
        </w:tc>
        <w:tc>
          <w:tcPr>
            <w:tcW w:w="27" w:type="pct"/>
            <w:shd w:val="clear" w:color="auto" w:fill="auto"/>
            <w:vAlign w:val="bottom"/>
          </w:tcPr>
          <w:p w14:paraId="5DEC6EB1" w14:textId="77777777" w:rsidR="00B1578D" w:rsidRDefault="00B1578D">
            <w:pPr>
              <w:rPr>
                <w:rFonts w:ascii="宋体"/>
              </w:rPr>
            </w:pPr>
          </w:p>
        </w:tc>
        <w:tc>
          <w:tcPr>
            <w:tcW w:w="5" w:type="pct"/>
            <w:shd w:val="clear" w:color="auto" w:fill="auto"/>
            <w:vAlign w:val="bottom"/>
          </w:tcPr>
          <w:p w14:paraId="5DEC6EB2" w14:textId="77777777" w:rsidR="00B1578D" w:rsidRDefault="00B1578D">
            <w:pPr>
              <w:rPr>
                <w:rFonts w:ascii="宋体"/>
              </w:rPr>
            </w:pPr>
          </w:p>
        </w:tc>
        <w:tc>
          <w:tcPr>
            <w:tcW w:w="50" w:type="pct"/>
            <w:shd w:val="clear" w:color="auto" w:fill="auto"/>
            <w:vAlign w:val="bottom"/>
          </w:tcPr>
          <w:p w14:paraId="5DEC6EB3" w14:textId="77777777" w:rsidR="00B1578D" w:rsidRDefault="00B1578D">
            <w:pPr>
              <w:rPr>
                <w:rFonts w:ascii="宋体"/>
              </w:rPr>
            </w:pPr>
          </w:p>
        </w:tc>
        <w:tc>
          <w:tcPr>
            <w:tcW w:w="3300" w:type="pct"/>
            <w:shd w:val="clear" w:color="auto" w:fill="auto"/>
            <w:vAlign w:val="bottom"/>
          </w:tcPr>
          <w:p w14:paraId="5DEC6EB4" w14:textId="77777777" w:rsidR="00B1578D" w:rsidRDefault="00B1578D">
            <w:pPr>
              <w:rPr>
                <w:rFonts w:ascii="宋体"/>
              </w:rPr>
            </w:pPr>
          </w:p>
        </w:tc>
        <w:tc>
          <w:tcPr>
            <w:tcW w:w="5" w:type="pct"/>
            <w:shd w:val="clear" w:color="auto" w:fill="auto"/>
            <w:vAlign w:val="bottom"/>
          </w:tcPr>
          <w:p w14:paraId="5DEC6EB5" w14:textId="77777777" w:rsidR="00B1578D" w:rsidRDefault="00B1578D">
            <w:pPr>
              <w:rPr>
                <w:rFonts w:ascii="宋体"/>
              </w:rPr>
            </w:pPr>
          </w:p>
        </w:tc>
      </w:tr>
      <w:tr w:rsidR="00B1578D" w14:paraId="5DEC6EBB" w14:textId="77777777">
        <w:trPr>
          <w:jc w:val="center"/>
        </w:trPr>
        <w:tc>
          <w:tcPr>
            <w:tcW w:w="0" w:type="auto"/>
            <w:gridSpan w:val="3"/>
            <w:shd w:val="clear" w:color="auto" w:fill="auto"/>
            <w:tcMar>
              <w:top w:w="40" w:type="dxa"/>
              <w:left w:w="20" w:type="dxa"/>
              <w:bottom w:w="40" w:type="dxa"/>
              <w:right w:w="20" w:type="dxa"/>
            </w:tcMar>
            <w:vAlign w:val="bottom"/>
          </w:tcPr>
          <w:p w14:paraId="5DEC6EB7" w14:textId="77777777" w:rsidR="00B1578D" w:rsidRDefault="004D2C04">
            <w:pPr>
              <w:textAlignment w:val="bottom"/>
            </w:pPr>
            <w:r>
              <w:rPr>
                <w:rFonts w:ascii="Times New Roman" w:eastAsia="宋体" w:hAnsi="Times New Roman"/>
                <w:color w:val="000000"/>
                <w:sz w:val="18"/>
                <w:szCs w:val="18"/>
              </w:rPr>
              <w:t>Date: June 3, 2022</w:t>
            </w:r>
          </w:p>
        </w:tc>
        <w:tc>
          <w:tcPr>
            <w:tcW w:w="0" w:type="auto"/>
            <w:gridSpan w:val="3"/>
            <w:shd w:val="clear" w:color="auto" w:fill="auto"/>
            <w:tcMar>
              <w:top w:w="40" w:type="dxa"/>
              <w:left w:w="20" w:type="dxa"/>
              <w:bottom w:w="40" w:type="dxa"/>
              <w:right w:w="20" w:type="dxa"/>
            </w:tcMar>
            <w:vAlign w:val="bottom"/>
          </w:tcPr>
          <w:p w14:paraId="5DEC6EB8" w14:textId="77777777" w:rsidR="00B1578D" w:rsidRDefault="004D2C04">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5DEC6EB9"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EBA" w14:textId="77777777" w:rsidR="00B1578D" w:rsidRDefault="004D2C04">
            <w:pPr>
              <w:jc w:val="center"/>
              <w:textAlignment w:val="bottom"/>
            </w:pPr>
            <w:r>
              <w:rPr>
                <w:rFonts w:ascii="Times New Roman" w:eastAsia="宋体" w:hAnsi="Times New Roman"/>
                <w:color w:val="000000"/>
                <w:sz w:val="18"/>
                <w:szCs w:val="18"/>
              </w:rPr>
              <w:t>/s/ C. Douglas McMillon</w:t>
            </w:r>
          </w:p>
        </w:tc>
      </w:tr>
      <w:tr w:rsidR="00B1578D" w14:paraId="5DEC6EC0" w14:textId="77777777">
        <w:trPr>
          <w:jc w:val="center"/>
        </w:trPr>
        <w:tc>
          <w:tcPr>
            <w:tcW w:w="0" w:type="auto"/>
            <w:gridSpan w:val="3"/>
            <w:shd w:val="clear" w:color="auto" w:fill="auto"/>
            <w:tcMar>
              <w:top w:w="0" w:type="dxa"/>
              <w:left w:w="20" w:type="dxa"/>
              <w:bottom w:w="0" w:type="dxa"/>
              <w:right w:w="20" w:type="dxa"/>
            </w:tcMar>
            <w:vAlign w:val="bottom"/>
          </w:tcPr>
          <w:p w14:paraId="5DEC6EBC"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BD"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BE"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EBF" w14:textId="77777777" w:rsidR="00B1578D" w:rsidRDefault="004D2C04">
            <w:pPr>
              <w:jc w:val="center"/>
              <w:textAlignment w:val="bottom"/>
            </w:pPr>
            <w:r>
              <w:rPr>
                <w:rFonts w:ascii="Times New Roman" w:eastAsia="宋体" w:hAnsi="Times New Roman"/>
                <w:b/>
                <w:bCs/>
                <w:color w:val="000000"/>
                <w:sz w:val="16"/>
                <w:szCs w:val="16"/>
              </w:rPr>
              <w:t>C. Douglas McMillon</w:t>
            </w:r>
            <w:r>
              <w:rPr>
                <w:rFonts w:ascii="Times New Roman" w:eastAsia="宋体" w:hAnsi="Times New Roman"/>
                <w:b/>
                <w:bCs/>
                <w:color w:val="000000"/>
                <w:sz w:val="16"/>
                <w:szCs w:val="16"/>
              </w:rPr>
              <w:br/>
              <w:t>President and Chief Executive Officer</w:t>
            </w:r>
            <w:r>
              <w:rPr>
                <w:rFonts w:ascii="Times New Roman" w:eastAsia="宋体" w:hAnsi="Times New Roman"/>
                <w:b/>
                <w:bCs/>
                <w:color w:val="000000"/>
                <w:sz w:val="16"/>
                <w:szCs w:val="16"/>
              </w:rPr>
              <w:br/>
            </w:r>
            <w:r>
              <w:rPr>
                <w:rFonts w:ascii="Times New Roman" w:eastAsia="宋体" w:hAnsi="Times New Roman"/>
                <w:b/>
                <w:bCs/>
                <w:color w:val="000000"/>
                <w:sz w:val="16"/>
                <w:szCs w:val="16"/>
              </w:rPr>
              <w:t>(Principal Executive Officer)</w:t>
            </w:r>
          </w:p>
        </w:tc>
      </w:tr>
      <w:tr w:rsidR="00B1578D" w14:paraId="5DEC6EC5" w14:textId="77777777">
        <w:trPr>
          <w:trHeight w:val="640"/>
          <w:jc w:val="center"/>
        </w:trPr>
        <w:tc>
          <w:tcPr>
            <w:tcW w:w="0" w:type="auto"/>
            <w:gridSpan w:val="3"/>
            <w:shd w:val="clear" w:color="auto" w:fill="auto"/>
            <w:tcMar>
              <w:top w:w="0" w:type="dxa"/>
              <w:left w:w="20" w:type="dxa"/>
              <w:bottom w:w="0" w:type="dxa"/>
              <w:right w:w="20" w:type="dxa"/>
            </w:tcMar>
            <w:vAlign w:val="bottom"/>
          </w:tcPr>
          <w:p w14:paraId="5DEC6EC1"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C2"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C3"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C4" w14:textId="77777777" w:rsidR="00B1578D" w:rsidRDefault="00B1578D">
            <w:pPr>
              <w:rPr>
                <w:rFonts w:ascii="宋体"/>
              </w:rPr>
            </w:pPr>
          </w:p>
        </w:tc>
      </w:tr>
      <w:tr w:rsidR="00B1578D" w14:paraId="5DEC6ECA" w14:textId="77777777">
        <w:trPr>
          <w:jc w:val="center"/>
        </w:trPr>
        <w:tc>
          <w:tcPr>
            <w:tcW w:w="0" w:type="auto"/>
            <w:gridSpan w:val="3"/>
            <w:shd w:val="clear" w:color="auto" w:fill="auto"/>
            <w:tcMar>
              <w:top w:w="40" w:type="dxa"/>
              <w:left w:w="20" w:type="dxa"/>
              <w:bottom w:w="40" w:type="dxa"/>
              <w:right w:w="20" w:type="dxa"/>
            </w:tcMar>
            <w:vAlign w:val="bottom"/>
          </w:tcPr>
          <w:p w14:paraId="5DEC6EC6" w14:textId="77777777" w:rsidR="00B1578D" w:rsidRDefault="004D2C04">
            <w:pPr>
              <w:textAlignment w:val="bottom"/>
            </w:pPr>
            <w:r>
              <w:rPr>
                <w:rFonts w:ascii="Times New Roman" w:eastAsia="宋体" w:hAnsi="Times New Roman"/>
                <w:color w:val="000000"/>
                <w:sz w:val="18"/>
                <w:szCs w:val="18"/>
              </w:rPr>
              <w:t>Date: June 3, 2022</w:t>
            </w:r>
          </w:p>
        </w:tc>
        <w:tc>
          <w:tcPr>
            <w:tcW w:w="0" w:type="auto"/>
            <w:gridSpan w:val="3"/>
            <w:shd w:val="clear" w:color="auto" w:fill="auto"/>
            <w:tcMar>
              <w:top w:w="40" w:type="dxa"/>
              <w:left w:w="20" w:type="dxa"/>
              <w:bottom w:w="40" w:type="dxa"/>
              <w:right w:w="20" w:type="dxa"/>
            </w:tcMar>
            <w:vAlign w:val="bottom"/>
          </w:tcPr>
          <w:p w14:paraId="5DEC6EC7" w14:textId="77777777" w:rsidR="00B1578D" w:rsidRDefault="004D2C04">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5DEC6EC8"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EC9" w14:textId="77777777" w:rsidR="00B1578D" w:rsidRDefault="004D2C04">
            <w:pPr>
              <w:jc w:val="center"/>
              <w:textAlignment w:val="bottom"/>
            </w:pPr>
            <w:r>
              <w:rPr>
                <w:rFonts w:ascii="Times New Roman" w:eastAsia="宋体" w:hAnsi="Times New Roman"/>
                <w:color w:val="000000"/>
                <w:sz w:val="18"/>
                <w:szCs w:val="18"/>
              </w:rPr>
              <w:t>/s/ M. Brett Biggs</w:t>
            </w:r>
          </w:p>
        </w:tc>
      </w:tr>
      <w:tr w:rsidR="00B1578D" w14:paraId="5DEC6ECF" w14:textId="77777777">
        <w:trPr>
          <w:jc w:val="center"/>
        </w:trPr>
        <w:tc>
          <w:tcPr>
            <w:tcW w:w="0" w:type="auto"/>
            <w:gridSpan w:val="3"/>
            <w:shd w:val="clear" w:color="auto" w:fill="auto"/>
            <w:tcMar>
              <w:top w:w="0" w:type="dxa"/>
              <w:left w:w="20" w:type="dxa"/>
              <w:bottom w:w="0" w:type="dxa"/>
              <w:right w:w="20" w:type="dxa"/>
            </w:tcMar>
            <w:vAlign w:val="bottom"/>
          </w:tcPr>
          <w:p w14:paraId="5DEC6EC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CC"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CD"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ECE" w14:textId="77777777" w:rsidR="00B1578D" w:rsidRDefault="004D2C04">
            <w:pPr>
              <w:jc w:val="center"/>
              <w:textAlignment w:val="bottom"/>
            </w:pPr>
            <w:r>
              <w:rPr>
                <w:rFonts w:ascii="Times New Roman" w:eastAsia="宋体" w:hAnsi="Times New Roman"/>
                <w:b/>
                <w:bCs/>
                <w:color w:val="000000"/>
                <w:sz w:val="16"/>
                <w:szCs w:val="16"/>
              </w:rPr>
              <w:t>M. Brett Biggs</w:t>
            </w:r>
            <w:r>
              <w:rPr>
                <w:rFonts w:ascii="Times New Roman" w:eastAsia="宋体" w:hAnsi="Times New Roman"/>
                <w:b/>
                <w:bCs/>
                <w:color w:val="000000"/>
                <w:sz w:val="16"/>
                <w:szCs w:val="16"/>
              </w:rPr>
              <w:br/>
              <w:t>Executive Vice President and Chief Financial Officer</w:t>
            </w:r>
            <w:r>
              <w:rPr>
                <w:rFonts w:ascii="Times New Roman" w:eastAsia="宋体" w:hAnsi="Times New Roman"/>
                <w:b/>
                <w:bCs/>
                <w:color w:val="000000"/>
                <w:sz w:val="16"/>
                <w:szCs w:val="16"/>
              </w:rPr>
              <w:br/>
              <w:t>(Principal Financial Officer)</w:t>
            </w:r>
          </w:p>
        </w:tc>
      </w:tr>
      <w:tr w:rsidR="00B1578D" w14:paraId="5DEC6ED4" w14:textId="77777777">
        <w:trPr>
          <w:trHeight w:val="640"/>
          <w:jc w:val="center"/>
        </w:trPr>
        <w:tc>
          <w:tcPr>
            <w:tcW w:w="0" w:type="auto"/>
            <w:gridSpan w:val="3"/>
            <w:shd w:val="clear" w:color="auto" w:fill="auto"/>
            <w:tcMar>
              <w:top w:w="0" w:type="dxa"/>
              <w:left w:w="20" w:type="dxa"/>
              <w:bottom w:w="0" w:type="dxa"/>
              <w:right w:w="20" w:type="dxa"/>
            </w:tcMar>
            <w:vAlign w:val="bottom"/>
          </w:tcPr>
          <w:p w14:paraId="5DEC6ED0"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D1"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D2"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D3" w14:textId="77777777" w:rsidR="00B1578D" w:rsidRDefault="00B1578D">
            <w:pPr>
              <w:rPr>
                <w:rFonts w:ascii="宋体"/>
              </w:rPr>
            </w:pPr>
          </w:p>
        </w:tc>
      </w:tr>
      <w:tr w:rsidR="00B1578D" w14:paraId="5DEC6ED9" w14:textId="77777777">
        <w:trPr>
          <w:jc w:val="center"/>
        </w:trPr>
        <w:tc>
          <w:tcPr>
            <w:tcW w:w="0" w:type="auto"/>
            <w:gridSpan w:val="3"/>
            <w:shd w:val="clear" w:color="auto" w:fill="auto"/>
            <w:tcMar>
              <w:top w:w="40" w:type="dxa"/>
              <w:left w:w="20" w:type="dxa"/>
              <w:bottom w:w="40" w:type="dxa"/>
              <w:right w:w="20" w:type="dxa"/>
            </w:tcMar>
            <w:vAlign w:val="bottom"/>
          </w:tcPr>
          <w:p w14:paraId="5DEC6ED5" w14:textId="77777777" w:rsidR="00B1578D" w:rsidRDefault="004D2C04">
            <w:pPr>
              <w:textAlignment w:val="bottom"/>
            </w:pPr>
            <w:r>
              <w:rPr>
                <w:rFonts w:ascii="Times New Roman" w:eastAsia="宋体" w:hAnsi="Times New Roman"/>
                <w:color w:val="000000"/>
                <w:sz w:val="18"/>
                <w:szCs w:val="18"/>
              </w:rPr>
              <w:t>Date: June 3, 2022</w:t>
            </w:r>
          </w:p>
        </w:tc>
        <w:tc>
          <w:tcPr>
            <w:tcW w:w="0" w:type="auto"/>
            <w:gridSpan w:val="3"/>
            <w:shd w:val="clear" w:color="auto" w:fill="auto"/>
            <w:tcMar>
              <w:top w:w="40" w:type="dxa"/>
              <w:left w:w="20" w:type="dxa"/>
              <w:bottom w:w="40" w:type="dxa"/>
              <w:right w:w="20" w:type="dxa"/>
            </w:tcMar>
            <w:vAlign w:val="bottom"/>
          </w:tcPr>
          <w:p w14:paraId="5DEC6ED6" w14:textId="77777777" w:rsidR="00B1578D" w:rsidRDefault="004D2C04">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5DEC6ED7" w14:textId="77777777" w:rsidR="00B1578D" w:rsidRDefault="00B1578D">
            <w:pPr>
              <w:rPr>
                <w:rFonts w:ascii="宋体"/>
              </w:rPr>
            </w:pPr>
          </w:p>
        </w:tc>
        <w:tc>
          <w:tcPr>
            <w:tcW w:w="0" w:type="auto"/>
            <w:gridSpan w:val="3"/>
            <w:shd w:val="clear" w:color="auto" w:fill="auto"/>
            <w:tcMar>
              <w:top w:w="40" w:type="dxa"/>
              <w:left w:w="20" w:type="dxa"/>
              <w:bottom w:w="40" w:type="dxa"/>
              <w:right w:w="20" w:type="dxa"/>
            </w:tcMar>
            <w:vAlign w:val="bottom"/>
          </w:tcPr>
          <w:p w14:paraId="5DEC6ED8" w14:textId="77777777" w:rsidR="00B1578D" w:rsidRDefault="004D2C04">
            <w:pPr>
              <w:jc w:val="center"/>
              <w:textAlignment w:val="bottom"/>
            </w:pPr>
            <w:r>
              <w:rPr>
                <w:rFonts w:ascii="Times New Roman" w:eastAsia="宋体" w:hAnsi="Times New Roman"/>
                <w:color w:val="000000"/>
                <w:sz w:val="18"/>
                <w:szCs w:val="18"/>
              </w:rPr>
              <w:t>/s/ David M. Chojnowski</w:t>
            </w:r>
          </w:p>
        </w:tc>
      </w:tr>
      <w:tr w:rsidR="00B1578D" w14:paraId="5DEC6EDE" w14:textId="77777777">
        <w:trPr>
          <w:jc w:val="center"/>
        </w:trPr>
        <w:tc>
          <w:tcPr>
            <w:tcW w:w="0" w:type="auto"/>
            <w:gridSpan w:val="3"/>
            <w:shd w:val="clear" w:color="auto" w:fill="auto"/>
            <w:tcMar>
              <w:top w:w="0" w:type="dxa"/>
              <w:left w:w="20" w:type="dxa"/>
              <w:bottom w:w="0" w:type="dxa"/>
              <w:right w:w="20" w:type="dxa"/>
            </w:tcMar>
            <w:vAlign w:val="bottom"/>
          </w:tcPr>
          <w:p w14:paraId="5DEC6EDA"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DB" w14:textId="77777777" w:rsidR="00B1578D" w:rsidRDefault="00B1578D">
            <w:pPr>
              <w:rPr>
                <w:rFonts w:ascii="宋体"/>
              </w:rPr>
            </w:pPr>
          </w:p>
        </w:tc>
        <w:tc>
          <w:tcPr>
            <w:tcW w:w="0" w:type="auto"/>
            <w:gridSpan w:val="3"/>
            <w:shd w:val="clear" w:color="auto" w:fill="auto"/>
            <w:tcMar>
              <w:top w:w="0" w:type="dxa"/>
              <w:left w:w="20" w:type="dxa"/>
              <w:bottom w:w="0" w:type="dxa"/>
              <w:right w:w="20" w:type="dxa"/>
            </w:tcMar>
            <w:vAlign w:val="bottom"/>
          </w:tcPr>
          <w:p w14:paraId="5DEC6EDC" w14:textId="77777777" w:rsidR="00B1578D" w:rsidRDefault="00B1578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DEC6EDD" w14:textId="77777777" w:rsidR="00B1578D" w:rsidRDefault="004D2C04">
            <w:pPr>
              <w:jc w:val="center"/>
              <w:textAlignment w:val="bottom"/>
            </w:pPr>
            <w:r>
              <w:rPr>
                <w:rFonts w:ascii="Times New Roman" w:eastAsia="宋体" w:hAnsi="Times New Roman"/>
                <w:b/>
                <w:bCs/>
                <w:color w:val="000000"/>
                <w:sz w:val="16"/>
                <w:szCs w:val="16"/>
              </w:rPr>
              <w:t xml:space="preserve">David M. </w:t>
            </w:r>
            <w:r>
              <w:rPr>
                <w:rFonts w:ascii="Times New Roman" w:eastAsia="宋体" w:hAnsi="Times New Roman"/>
                <w:b/>
                <w:bCs/>
                <w:color w:val="000000"/>
                <w:sz w:val="16"/>
                <w:szCs w:val="16"/>
              </w:rPr>
              <w:t>Chojnowski</w:t>
            </w:r>
            <w:r>
              <w:rPr>
                <w:rFonts w:ascii="Times New Roman" w:eastAsia="宋体" w:hAnsi="Times New Roman"/>
                <w:b/>
                <w:bCs/>
                <w:color w:val="000000"/>
                <w:sz w:val="16"/>
                <w:szCs w:val="16"/>
              </w:rPr>
              <w:br/>
              <w:t>Senior Vice President and Controller</w:t>
            </w:r>
            <w:r>
              <w:rPr>
                <w:rFonts w:ascii="Times New Roman" w:eastAsia="宋体" w:hAnsi="Times New Roman"/>
                <w:b/>
                <w:bCs/>
                <w:color w:val="000000"/>
                <w:sz w:val="16"/>
                <w:szCs w:val="16"/>
              </w:rPr>
              <w:br/>
              <w:t>(Principal Accounting Officer)</w:t>
            </w:r>
          </w:p>
        </w:tc>
      </w:tr>
    </w:tbl>
    <w:p w14:paraId="5DEC6EDF" w14:textId="77777777" w:rsidR="00B1578D" w:rsidRDefault="00B1578D"/>
    <w:p w14:paraId="5DEC6EE0" w14:textId="77777777" w:rsidR="00B1578D" w:rsidRDefault="004D2C04">
      <w:pPr>
        <w:jc w:val="center"/>
      </w:pPr>
      <w:r>
        <w:rPr>
          <w:rFonts w:ascii="Times New Roman" w:eastAsia="宋体" w:hAnsi="Times New Roman"/>
          <w:color w:val="000000"/>
          <w:sz w:val="20"/>
          <w:szCs w:val="20"/>
        </w:rPr>
        <w:t>33</w:t>
      </w:r>
    </w:p>
    <w:p w14:paraId="5DEC6EE1" w14:textId="77777777" w:rsidR="00B1578D" w:rsidRDefault="004D2C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DEC6F46" wp14:editId="5DEC6F47">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EE3" w14:textId="77777777">
        <w:trPr>
          <w:tblCellSpacing w:w="15" w:type="dxa"/>
        </w:trPr>
        <w:tc>
          <w:tcPr>
            <w:tcW w:w="0" w:type="auto"/>
            <w:shd w:val="clear" w:color="auto" w:fill="auto"/>
            <w:vAlign w:val="center"/>
          </w:tcPr>
          <w:p w14:paraId="5DEC6EE2" w14:textId="77777777" w:rsidR="00B1578D" w:rsidRDefault="00B1578D">
            <w:pPr>
              <w:rPr>
                <w:rFonts w:ascii="宋体"/>
              </w:rPr>
            </w:pPr>
          </w:p>
        </w:tc>
      </w:tr>
    </w:tbl>
    <w:p w14:paraId="5DEC6EE4"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EE6" w14:textId="77777777">
        <w:trPr>
          <w:tblCellSpacing w:w="15" w:type="dxa"/>
        </w:trPr>
        <w:tc>
          <w:tcPr>
            <w:tcW w:w="0" w:type="auto"/>
            <w:shd w:val="clear" w:color="auto" w:fill="auto"/>
            <w:vAlign w:val="center"/>
          </w:tcPr>
          <w:p w14:paraId="5DEC6EE5" w14:textId="77777777" w:rsidR="00B1578D" w:rsidRDefault="00B1578D">
            <w:pPr>
              <w:rPr>
                <w:rFonts w:ascii="宋体"/>
              </w:rPr>
            </w:pPr>
          </w:p>
        </w:tc>
      </w:tr>
    </w:tbl>
    <w:p w14:paraId="5DEC6EE7"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EE9" w14:textId="77777777">
        <w:trPr>
          <w:tblCellSpacing w:w="15" w:type="dxa"/>
        </w:trPr>
        <w:tc>
          <w:tcPr>
            <w:tcW w:w="0" w:type="auto"/>
            <w:shd w:val="clear" w:color="auto" w:fill="auto"/>
            <w:vAlign w:val="center"/>
          </w:tcPr>
          <w:p w14:paraId="5DEC6EE8" w14:textId="77777777" w:rsidR="00B1578D" w:rsidRDefault="00B1578D">
            <w:pPr>
              <w:rPr>
                <w:rFonts w:ascii="宋体"/>
              </w:rPr>
            </w:pPr>
          </w:p>
        </w:tc>
      </w:tr>
    </w:tbl>
    <w:p w14:paraId="5DEC6EEA"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EEC" w14:textId="77777777">
        <w:trPr>
          <w:tblCellSpacing w:w="15" w:type="dxa"/>
        </w:trPr>
        <w:tc>
          <w:tcPr>
            <w:tcW w:w="0" w:type="auto"/>
            <w:shd w:val="clear" w:color="auto" w:fill="auto"/>
            <w:vAlign w:val="center"/>
          </w:tcPr>
          <w:p w14:paraId="5DEC6EEB" w14:textId="77777777" w:rsidR="00B1578D" w:rsidRDefault="00B1578D">
            <w:pPr>
              <w:rPr>
                <w:rFonts w:ascii="宋体"/>
              </w:rPr>
            </w:pPr>
          </w:p>
        </w:tc>
      </w:tr>
    </w:tbl>
    <w:p w14:paraId="5DEC6EED" w14:textId="77777777" w:rsidR="00B1578D" w:rsidRDefault="004D2C04">
      <w:r>
        <w:rPr>
          <w:rFonts w:ascii="宋体" w:eastAsia="宋体" w:hAnsi="宋体" w:cs="宋体"/>
        </w:rPr>
        <w:t xml:space="preserve">Previous Next </w:t>
      </w:r>
    </w:p>
    <w:p w14:paraId="5DEC6EEE" w14:textId="77777777" w:rsidR="00B1578D" w:rsidRDefault="004D2C04">
      <w:pPr>
        <w:pStyle w:val="a3"/>
      </w:pPr>
      <w:r>
        <w:t>Settings</w:t>
      </w:r>
    </w:p>
    <w:p w14:paraId="5DEC6EEF" w14:textId="77777777" w:rsidR="00B1578D" w:rsidRDefault="004D2C04">
      <w:pPr>
        <w:pStyle w:val="Style4"/>
      </w:pPr>
      <w:r>
        <w:t>窗体顶端</w:t>
      </w:r>
    </w:p>
    <w:p w14:paraId="5DEC6EF0" w14:textId="77777777" w:rsidR="00B1578D" w:rsidRDefault="004D2C0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DEC6F48" wp14:editId="5DEC6F49">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DEC6EF1" w14:textId="77777777" w:rsidR="00B1578D" w:rsidRDefault="004D2C0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DEC6F4A" wp14:editId="5DEC6F4B">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DEC6EF2" w14:textId="77777777" w:rsidR="00B1578D" w:rsidRDefault="004D2C04">
      <w:r>
        <w:pict w14:anchorId="5DEC6F4C">
          <v:rect id="_x0000_i1057" style="width:415.3pt;height:1.5pt" o:hralign="center" o:hrstd="t" o:hr="t" fillcolor="#a0a0a0" stroked="f"/>
        </w:pict>
      </w:r>
    </w:p>
    <w:p w14:paraId="5DEC6EF3" w14:textId="77777777" w:rsidR="00B1578D" w:rsidRDefault="004D2C04">
      <w:r>
        <w:rPr>
          <w:rFonts w:ascii="宋体" w:eastAsia="宋体" w:hAnsi="宋体" w:cs="宋体"/>
        </w:rPr>
        <w:t xml:space="preserve">Tagged Data </w:t>
      </w:r>
    </w:p>
    <w:p w14:paraId="5DEC6EF4" w14:textId="77777777" w:rsidR="00B1578D" w:rsidRDefault="004D2C04">
      <w:r>
        <w:rPr>
          <w:rFonts w:ascii="monospace" w:eastAsia="monospace" w:hAnsi="monospace" w:cs="monospace"/>
          <w:noProof/>
        </w:rPr>
        <mc:AlternateContent>
          <mc:Choice Requires="wps">
            <w:drawing>
              <wp:inline distT="0" distB="0" distL="114300" distR="114300" wp14:anchorId="5DEC6F4D" wp14:editId="5DEC6F4E">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DEC6EF5" w14:textId="77777777" w:rsidR="00B1578D" w:rsidRDefault="004D2C04">
      <w:r>
        <w:rPr>
          <w:rFonts w:ascii="宋体" w:eastAsia="宋体" w:hAnsi="宋体" w:cs="宋体"/>
        </w:rPr>
        <w:t>Save</w:t>
      </w:r>
    </w:p>
    <w:p w14:paraId="5DEC6EF6" w14:textId="77777777" w:rsidR="00B1578D" w:rsidRDefault="004D2C04">
      <w:r>
        <w:rPr>
          <w:rFonts w:ascii="宋体" w:eastAsia="宋体" w:hAnsi="宋体" w:cs="宋体"/>
        </w:rPr>
        <w:t>Reset</w:t>
      </w:r>
    </w:p>
    <w:p w14:paraId="5DEC6EF7" w14:textId="77777777" w:rsidR="00B1578D" w:rsidRDefault="004D2C04">
      <w:r>
        <w:pict w14:anchorId="5DEC6F4F">
          <v:rect id="_x0000_i1058" style="width:415.3pt;height:1.5pt" o:hralign="center" o:hrstd="t" o:hr="t" fillcolor="#a0a0a0" stroked="f"/>
        </w:pict>
      </w:r>
    </w:p>
    <w:p w14:paraId="5DEC6EF8" w14:textId="77777777" w:rsidR="00B1578D" w:rsidRDefault="004D2C04">
      <w:r>
        <w:rPr>
          <w:rFonts w:ascii="宋体" w:eastAsia="宋体" w:hAnsi="宋体" w:cs="宋体"/>
        </w:rPr>
        <w:t xml:space="preserve">Search Results </w:t>
      </w:r>
    </w:p>
    <w:p w14:paraId="5DEC6EF9" w14:textId="77777777" w:rsidR="00B1578D" w:rsidRDefault="004D2C04">
      <w:r>
        <w:rPr>
          <w:rFonts w:ascii="monospace" w:eastAsia="monospace" w:hAnsi="monospace" w:cs="monospace"/>
          <w:noProof/>
        </w:rPr>
        <mc:AlternateContent>
          <mc:Choice Requires="wps">
            <w:drawing>
              <wp:inline distT="0" distB="0" distL="114300" distR="114300" wp14:anchorId="5DEC6F50" wp14:editId="5DEC6F51">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5DEC6EFA" w14:textId="77777777" w:rsidR="00B1578D" w:rsidRDefault="004D2C04">
      <w:r>
        <w:rPr>
          <w:rFonts w:ascii="宋体" w:eastAsia="宋体" w:hAnsi="宋体" w:cs="宋体"/>
        </w:rPr>
        <w:t>Save</w:t>
      </w:r>
    </w:p>
    <w:p w14:paraId="5DEC6EFB" w14:textId="77777777" w:rsidR="00B1578D" w:rsidRDefault="004D2C04">
      <w:r>
        <w:rPr>
          <w:rFonts w:ascii="宋体" w:eastAsia="宋体" w:hAnsi="宋体" w:cs="宋体"/>
        </w:rPr>
        <w:t>Reset</w:t>
      </w:r>
    </w:p>
    <w:p w14:paraId="5DEC6EFC" w14:textId="77777777" w:rsidR="00B1578D" w:rsidRDefault="004D2C04">
      <w:r>
        <w:pict w14:anchorId="5DEC6F52">
          <v:rect id="_x0000_i1059" style="width:415.3pt;height:1.5pt" o:hralign="center" o:hrstd="t" o:hr="t" fillcolor="#a0a0a0" stroked="f"/>
        </w:pict>
      </w:r>
    </w:p>
    <w:p w14:paraId="5DEC6EFD" w14:textId="77777777" w:rsidR="00B1578D" w:rsidRDefault="004D2C04">
      <w:r>
        <w:rPr>
          <w:rFonts w:ascii="宋体" w:eastAsia="宋体" w:hAnsi="宋体" w:cs="宋体"/>
        </w:rPr>
        <w:t xml:space="preserve">Selected Fact </w:t>
      </w:r>
    </w:p>
    <w:p w14:paraId="5DEC6EFE" w14:textId="77777777" w:rsidR="00B1578D" w:rsidRDefault="004D2C04">
      <w:r>
        <w:rPr>
          <w:rFonts w:ascii="monospace" w:eastAsia="monospace" w:hAnsi="monospace" w:cs="monospace"/>
          <w:noProof/>
        </w:rPr>
        <mc:AlternateContent>
          <mc:Choice Requires="wps">
            <w:drawing>
              <wp:inline distT="0" distB="0" distL="114300" distR="114300" wp14:anchorId="5DEC6F53" wp14:editId="5DEC6F54">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DEC6EFF" w14:textId="77777777" w:rsidR="00B1578D" w:rsidRDefault="004D2C04">
      <w:r>
        <w:rPr>
          <w:rFonts w:ascii="宋体" w:eastAsia="宋体" w:hAnsi="宋体" w:cs="宋体"/>
        </w:rPr>
        <w:t>Save</w:t>
      </w:r>
    </w:p>
    <w:p w14:paraId="5DEC6F00" w14:textId="77777777" w:rsidR="00B1578D" w:rsidRDefault="004D2C04">
      <w:r>
        <w:rPr>
          <w:rFonts w:ascii="宋体" w:eastAsia="宋体" w:hAnsi="宋体" w:cs="宋体"/>
        </w:rPr>
        <w:t>Reset</w:t>
      </w:r>
    </w:p>
    <w:p w14:paraId="5DEC6F01" w14:textId="77777777" w:rsidR="00B1578D" w:rsidRDefault="004D2C04">
      <w:r>
        <w:pict w14:anchorId="5DEC6F55">
          <v:rect id="_x0000_i1060" style="width:415.3pt;height:1.5pt" o:hralign="center" o:hrstd="t" o:hr="t" fillcolor="#a0a0a0" stroked="f"/>
        </w:pict>
      </w:r>
    </w:p>
    <w:p w14:paraId="5DEC6F02" w14:textId="77777777" w:rsidR="00B1578D" w:rsidRDefault="004D2C04">
      <w:r>
        <w:rPr>
          <w:rFonts w:ascii="宋体" w:eastAsia="宋体" w:hAnsi="宋体" w:cs="宋体"/>
        </w:rPr>
        <w:t xml:space="preserve">Tag Shading (hover) </w:t>
      </w:r>
    </w:p>
    <w:p w14:paraId="5DEC6F03" w14:textId="77777777" w:rsidR="00B1578D" w:rsidRDefault="004D2C04">
      <w:r>
        <w:rPr>
          <w:rFonts w:ascii="monospace" w:eastAsia="monospace" w:hAnsi="monospace" w:cs="monospace"/>
          <w:noProof/>
        </w:rPr>
        <mc:AlternateContent>
          <mc:Choice Requires="wps">
            <w:drawing>
              <wp:inline distT="0" distB="0" distL="114300" distR="114300" wp14:anchorId="5DEC6F56" wp14:editId="5DEC6F57">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DEC6F04" w14:textId="77777777" w:rsidR="00B1578D" w:rsidRDefault="004D2C04">
      <w:r>
        <w:rPr>
          <w:rFonts w:ascii="宋体" w:eastAsia="宋体" w:hAnsi="宋体" w:cs="宋体"/>
        </w:rPr>
        <w:t>Save</w:t>
      </w:r>
    </w:p>
    <w:p w14:paraId="5DEC6F05" w14:textId="77777777" w:rsidR="00B1578D" w:rsidRDefault="004D2C04">
      <w:r>
        <w:rPr>
          <w:rFonts w:ascii="宋体" w:eastAsia="宋体" w:hAnsi="宋体" w:cs="宋体"/>
        </w:rPr>
        <w:t>Reset</w:t>
      </w:r>
    </w:p>
    <w:p w14:paraId="5DEC6F06" w14:textId="77777777" w:rsidR="00B1578D" w:rsidRDefault="004D2C04">
      <w:pPr>
        <w:pStyle w:val="Style5"/>
      </w:pPr>
      <w:r>
        <w:t>窗体底端</w:t>
      </w:r>
    </w:p>
    <w:p w14:paraId="5DEC6F07" w14:textId="77777777" w:rsidR="00B1578D" w:rsidRDefault="004D2C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DEC6F58" wp14:editId="5DEC6F59">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09" w14:textId="77777777">
        <w:trPr>
          <w:tblCellSpacing w:w="15" w:type="dxa"/>
        </w:trPr>
        <w:tc>
          <w:tcPr>
            <w:tcW w:w="0" w:type="auto"/>
            <w:shd w:val="clear" w:color="auto" w:fill="auto"/>
            <w:vAlign w:val="center"/>
          </w:tcPr>
          <w:p w14:paraId="5DEC6F08" w14:textId="77777777" w:rsidR="00B1578D" w:rsidRDefault="00B1578D">
            <w:pPr>
              <w:rPr>
                <w:rFonts w:ascii="宋体"/>
              </w:rPr>
            </w:pPr>
          </w:p>
        </w:tc>
      </w:tr>
    </w:tbl>
    <w:p w14:paraId="5DEC6F0A"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0C" w14:textId="77777777">
        <w:trPr>
          <w:tblCellSpacing w:w="15" w:type="dxa"/>
        </w:trPr>
        <w:tc>
          <w:tcPr>
            <w:tcW w:w="0" w:type="auto"/>
            <w:shd w:val="clear" w:color="auto" w:fill="auto"/>
            <w:vAlign w:val="center"/>
          </w:tcPr>
          <w:p w14:paraId="5DEC6F0B" w14:textId="77777777" w:rsidR="00B1578D" w:rsidRDefault="00B1578D">
            <w:pPr>
              <w:rPr>
                <w:rFonts w:ascii="宋体"/>
              </w:rPr>
            </w:pPr>
          </w:p>
        </w:tc>
      </w:tr>
    </w:tbl>
    <w:p w14:paraId="5DEC6F0D"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0F" w14:textId="77777777">
        <w:trPr>
          <w:tblCellSpacing w:w="15" w:type="dxa"/>
        </w:trPr>
        <w:tc>
          <w:tcPr>
            <w:tcW w:w="0" w:type="auto"/>
            <w:shd w:val="clear" w:color="auto" w:fill="auto"/>
            <w:vAlign w:val="center"/>
          </w:tcPr>
          <w:p w14:paraId="5DEC6F0E" w14:textId="77777777" w:rsidR="00B1578D" w:rsidRDefault="00B1578D">
            <w:pPr>
              <w:rPr>
                <w:rFonts w:ascii="宋体"/>
              </w:rPr>
            </w:pPr>
          </w:p>
        </w:tc>
      </w:tr>
    </w:tbl>
    <w:p w14:paraId="5DEC6F10"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12" w14:textId="77777777">
        <w:trPr>
          <w:tblCellSpacing w:w="15" w:type="dxa"/>
        </w:trPr>
        <w:tc>
          <w:tcPr>
            <w:tcW w:w="0" w:type="auto"/>
            <w:shd w:val="clear" w:color="auto" w:fill="auto"/>
            <w:vAlign w:val="center"/>
          </w:tcPr>
          <w:p w14:paraId="5DEC6F11" w14:textId="77777777" w:rsidR="00B1578D" w:rsidRDefault="00B1578D">
            <w:pPr>
              <w:rPr>
                <w:rFonts w:ascii="宋体"/>
              </w:rPr>
            </w:pPr>
          </w:p>
        </w:tc>
      </w:tr>
    </w:tbl>
    <w:p w14:paraId="5DEC6F13" w14:textId="77777777" w:rsidR="00B1578D" w:rsidRDefault="004D2C04">
      <w:r>
        <w:rPr>
          <w:rFonts w:ascii="宋体" w:eastAsia="宋体" w:hAnsi="宋体" w:cs="宋体"/>
        </w:rPr>
        <w:t xml:space="preserve">Previous Next </w:t>
      </w:r>
    </w:p>
    <w:p w14:paraId="5DEC6F14" w14:textId="77777777" w:rsidR="00B1578D" w:rsidRDefault="004D2C04">
      <w:pPr>
        <w:pStyle w:val="a3"/>
      </w:pPr>
      <w:r>
        <w:t xml:space="preserve">Nested Facts / </w:t>
      </w:r>
    </w:p>
    <w:p w14:paraId="5DEC6F15" w14:textId="77777777" w:rsidR="00B1578D" w:rsidRDefault="004D2C04">
      <w:r>
        <w:rPr>
          <w:rFonts w:ascii="宋体" w:eastAsia="宋体" w:hAnsi="宋体" w:cs="宋体"/>
        </w:rPr>
        <w:t xml:space="preserve">Previous Next </w:t>
      </w:r>
    </w:p>
    <w:p w14:paraId="5DEC6F16" w14:textId="77777777" w:rsidR="00B1578D" w:rsidRDefault="004D2C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DEC6F5A" wp14:editId="5DEC6F5B">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18" w14:textId="77777777">
        <w:trPr>
          <w:tblCellSpacing w:w="15" w:type="dxa"/>
        </w:trPr>
        <w:tc>
          <w:tcPr>
            <w:tcW w:w="0" w:type="auto"/>
            <w:shd w:val="clear" w:color="auto" w:fill="auto"/>
            <w:vAlign w:val="center"/>
          </w:tcPr>
          <w:p w14:paraId="5DEC6F17" w14:textId="77777777" w:rsidR="00B1578D" w:rsidRDefault="00B1578D">
            <w:pPr>
              <w:rPr>
                <w:rFonts w:ascii="宋体"/>
              </w:rPr>
            </w:pPr>
          </w:p>
        </w:tc>
      </w:tr>
    </w:tbl>
    <w:p w14:paraId="5DEC6F19"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1B" w14:textId="77777777">
        <w:trPr>
          <w:tblCellSpacing w:w="15" w:type="dxa"/>
        </w:trPr>
        <w:tc>
          <w:tcPr>
            <w:tcW w:w="0" w:type="auto"/>
            <w:shd w:val="clear" w:color="auto" w:fill="auto"/>
            <w:vAlign w:val="center"/>
          </w:tcPr>
          <w:p w14:paraId="5DEC6F1A" w14:textId="77777777" w:rsidR="00B1578D" w:rsidRDefault="00B1578D">
            <w:pPr>
              <w:rPr>
                <w:rFonts w:ascii="宋体"/>
              </w:rPr>
            </w:pPr>
          </w:p>
        </w:tc>
      </w:tr>
    </w:tbl>
    <w:p w14:paraId="5DEC6F1C"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1E" w14:textId="77777777">
        <w:trPr>
          <w:tblCellSpacing w:w="15" w:type="dxa"/>
        </w:trPr>
        <w:tc>
          <w:tcPr>
            <w:tcW w:w="0" w:type="auto"/>
            <w:shd w:val="clear" w:color="auto" w:fill="auto"/>
            <w:vAlign w:val="center"/>
          </w:tcPr>
          <w:p w14:paraId="5DEC6F1D" w14:textId="77777777" w:rsidR="00B1578D" w:rsidRDefault="00B1578D">
            <w:pPr>
              <w:rPr>
                <w:rFonts w:ascii="宋体"/>
              </w:rPr>
            </w:pPr>
          </w:p>
        </w:tc>
      </w:tr>
    </w:tbl>
    <w:p w14:paraId="5DEC6F1F" w14:textId="77777777" w:rsidR="00B1578D" w:rsidRDefault="00B157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578D" w14:paraId="5DEC6F21" w14:textId="77777777">
        <w:trPr>
          <w:tblCellSpacing w:w="15" w:type="dxa"/>
        </w:trPr>
        <w:tc>
          <w:tcPr>
            <w:tcW w:w="0" w:type="auto"/>
            <w:shd w:val="clear" w:color="auto" w:fill="auto"/>
            <w:vAlign w:val="center"/>
          </w:tcPr>
          <w:p w14:paraId="5DEC6F20" w14:textId="77777777" w:rsidR="00B1578D" w:rsidRDefault="00B1578D">
            <w:pPr>
              <w:rPr>
                <w:rFonts w:ascii="宋体"/>
              </w:rPr>
            </w:pPr>
          </w:p>
        </w:tc>
      </w:tr>
    </w:tbl>
    <w:p w14:paraId="5DEC6F22" w14:textId="77777777" w:rsidR="00B1578D" w:rsidRDefault="004D2C04">
      <w:r>
        <w:rPr>
          <w:rFonts w:ascii="宋体" w:eastAsia="宋体" w:hAnsi="宋体" w:cs="宋体"/>
        </w:rPr>
        <w:t xml:space="preserve">Previous Next </w:t>
      </w:r>
    </w:p>
    <w:p w14:paraId="5DEC6F23" w14:textId="77777777" w:rsidR="00B1578D" w:rsidRDefault="00B1578D"/>
    <w:sectPr w:rsidR="00B1578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8732" w14:textId="77777777" w:rsidR="004D2C04" w:rsidRDefault="004D2C04" w:rsidP="004D2C04">
      <w:r>
        <w:separator/>
      </w:r>
    </w:p>
  </w:endnote>
  <w:endnote w:type="continuationSeparator" w:id="0">
    <w:p w14:paraId="1BE6814C" w14:textId="77777777" w:rsidR="004D2C04" w:rsidRDefault="004D2C04" w:rsidP="004D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03D6" w14:textId="77777777" w:rsidR="004D2C04" w:rsidRDefault="004D2C04" w:rsidP="004D2C04">
      <w:r>
        <w:separator/>
      </w:r>
    </w:p>
  </w:footnote>
  <w:footnote w:type="continuationSeparator" w:id="0">
    <w:p w14:paraId="316CB404" w14:textId="77777777" w:rsidR="004D2C04" w:rsidRDefault="004D2C04" w:rsidP="004D2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DF208DF"/>
    <w:rsid w:val="FDF208DF"/>
    <w:rsid w:val="004D2C04"/>
    <w:rsid w:val="00B1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C4F7F"/>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4D2C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D2C04"/>
    <w:rPr>
      <w:rFonts w:asciiTheme="minorEastAsia" w:hAnsiTheme="minorEastAsia" w:cs="Times New Roman"/>
      <w:sz w:val="18"/>
      <w:szCs w:val="18"/>
    </w:rPr>
  </w:style>
  <w:style w:type="paragraph" w:styleId="a8">
    <w:name w:val="footer"/>
    <w:basedOn w:val="a"/>
    <w:link w:val="a9"/>
    <w:rsid w:val="004D2C04"/>
    <w:pPr>
      <w:tabs>
        <w:tab w:val="center" w:pos="4153"/>
        <w:tab w:val="right" w:pos="8306"/>
      </w:tabs>
      <w:snapToGrid w:val="0"/>
    </w:pPr>
    <w:rPr>
      <w:sz w:val="18"/>
      <w:szCs w:val="18"/>
    </w:rPr>
  </w:style>
  <w:style w:type="character" w:customStyle="1" w:styleId="a9">
    <w:name w:val="页脚 字符"/>
    <w:basedOn w:val="a0"/>
    <w:link w:val="a8"/>
    <w:rsid w:val="004D2C0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104169/000010416922000029/wmt-20220430.htm" TargetMode="External"/><Relationship Id="rId21" Type="http://schemas.openxmlformats.org/officeDocument/2006/relationships/hyperlink" Target="https://www.sec.gov/ix?doc=/Archives/edgar/data/0000104169/000010416922000029/wmt-20220430.htm" TargetMode="External"/><Relationship Id="rId42" Type="http://schemas.openxmlformats.org/officeDocument/2006/relationships/hyperlink" Target="https://www.sec.gov/ix?doc=/Archives/edgar/data/0000104169/000010416922000029/wmt-20220430.htm" TargetMode="External"/><Relationship Id="rId47" Type="http://schemas.openxmlformats.org/officeDocument/2006/relationships/hyperlink" Target="https://www.sec.gov/ix?doc=/Archives/edgar/data/0000104169/000010416922000029/wmt-20220430.htm" TargetMode="External"/><Relationship Id="rId63" Type="http://schemas.openxmlformats.org/officeDocument/2006/relationships/hyperlink" Target="https://www.sec.gov/ix?doc=/Archives/edgar/data/0000104169/000010416922000029/wmt-20220430.htm" TargetMode="External"/><Relationship Id="rId68" Type="http://schemas.openxmlformats.org/officeDocument/2006/relationships/hyperlink" Target="https://www.sec.gov/ix?doc=/Archives/edgar/data/0000104169/000010416922000029/wmt-20220430.htm" TargetMode="External"/><Relationship Id="rId84" Type="http://schemas.openxmlformats.org/officeDocument/2006/relationships/hyperlink" Target="https://www.sec.gov/ix?doc=/Archives/edgar/data/0000104169/000010416922000029/wmt-20220430.htm" TargetMode="External"/><Relationship Id="rId89" Type="http://schemas.openxmlformats.org/officeDocument/2006/relationships/hyperlink" Target="https://www.sec.gov/ix?doc=/Archives/edgar/data/0000104169/000010416922000029/wmt-20220430.htm" TargetMode="External"/><Relationship Id="rId112" Type="http://schemas.openxmlformats.org/officeDocument/2006/relationships/hyperlink" Target="https://www.sec.gov/ix?doc=/Archives/edgar/data/0000104169/000010416922000029/wmt-20220430.htm" TargetMode="External"/><Relationship Id="rId16" Type="http://schemas.openxmlformats.org/officeDocument/2006/relationships/hyperlink" Target="https://www.sec.gov/ix?doc=/Archives/edgar/data/0000104169/000010416922000029/wmt-20220430.htm" TargetMode="External"/><Relationship Id="rId107" Type="http://schemas.openxmlformats.org/officeDocument/2006/relationships/hyperlink" Target="https://www.sec.gov/Archives/edgar/data/0000104169/000010416922000029/wmtexhibit311fy23q1.htm" TargetMode="External"/><Relationship Id="rId11" Type="http://schemas.openxmlformats.org/officeDocument/2006/relationships/hyperlink" Target="https://www.sec.gov/ix?doc=/Archives/edgar/data/0000104169/000010416922000029/wmt-20220430.htm" TargetMode="External"/><Relationship Id="rId32" Type="http://schemas.openxmlformats.org/officeDocument/2006/relationships/hyperlink" Target="https://www.sec.gov/ix?doc=/Archives/edgar/data/0000104169/000010416922000029/wmt-20220430.htm" TargetMode="External"/><Relationship Id="rId37" Type="http://schemas.openxmlformats.org/officeDocument/2006/relationships/hyperlink" Target="https://www.sec.gov/ix?doc=/Archives/edgar/data/0000104169/000010416922000029/wmt-20220430.htm" TargetMode="External"/><Relationship Id="rId53" Type="http://schemas.openxmlformats.org/officeDocument/2006/relationships/hyperlink" Target="https://www.sec.gov/ix?doc=/Archives/edgar/data/0000104169/000010416922000029/wmt-20220430.htm" TargetMode="External"/><Relationship Id="rId58" Type="http://schemas.openxmlformats.org/officeDocument/2006/relationships/hyperlink" Target="https://www.sec.gov/ix?doc=/Archives/edgar/data/0000104169/000010416922000029/wmt-20220430.htm" TargetMode="External"/><Relationship Id="rId74" Type="http://schemas.openxmlformats.org/officeDocument/2006/relationships/hyperlink" Target="https://www.sec.gov/ix?doc=/Archives/edgar/data/0000104169/000010416922000029/wmt-20220430.htm" TargetMode="External"/><Relationship Id="rId79" Type="http://schemas.openxmlformats.org/officeDocument/2006/relationships/hyperlink" Target="https://www.sec.gov/ix?doc=/Archives/edgar/data/0000104169/000010416922000029/wmt-20220430.htm" TargetMode="External"/><Relationship Id="rId102" Type="http://schemas.openxmlformats.org/officeDocument/2006/relationships/hyperlink" Target="https://www.sec.gov/ix?doc=/Archives/edgar/data/0000104169/000010416922000029/wmt-20220430.htm" TargetMode="External"/><Relationship Id="rId5" Type="http://schemas.openxmlformats.org/officeDocument/2006/relationships/endnotes" Target="endnotes.xml"/><Relationship Id="rId90" Type="http://schemas.openxmlformats.org/officeDocument/2006/relationships/hyperlink" Target="https://www.sec.gov/ix?doc=/Archives/edgar/data/0000104169/000010416922000029/wmt-20220430.htm" TargetMode="External"/><Relationship Id="rId95" Type="http://schemas.openxmlformats.org/officeDocument/2006/relationships/hyperlink" Target="https://www.sec.gov/ix?doc=/Archives/edgar/data/0000104169/000010416922000029/wmt-20220430.htm" TargetMode="External"/><Relationship Id="rId22" Type="http://schemas.openxmlformats.org/officeDocument/2006/relationships/hyperlink" Target="https://www.sec.gov/ix?doc=/Archives/edgar/data/0000104169/000010416922000029/wmt-20220430.htm" TargetMode="External"/><Relationship Id="rId27" Type="http://schemas.openxmlformats.org/officeDocument/2006/relationships/hyperlink" Target="https://www.sec.gov/ix?doc=/Archives/edgar/data/0000104169/000010416922000029/wmt-20220430.htm" TargetMode="External"/><Relationship Id="rId43" Type="http://schemas.openxmlformats.org/officeDocument/2006/relationships/hyperlink" Target="https://www.sec.gov/ix?doc=/Archives/edgar/data/0000104169/000010416922000029/wmt-20220430.htm" TargetMode="External"/><Relationship Id="rId48" Type="http://schemas.openxmlformats.org/officeDocument/2006/relationships/hyperlink" Target="https://www.sec.gov/ix?doc=/Archives/edgar/data/0000104169/000010416922000029/wmt-20220430.htm" TargetMode="External"/><Relationship Id="rId64" Type="http://schemas.openxmlformats.org/officeDocument/2006/relationships/hyperlink" Target="https://www.sec.gov/ix?doc=/Archives/edgar/data/0000104169/000010416922000029/wmt-20220430.htm" TargetMode="External"/><Relationship Id="rId69" Type="http://schemas.openxmlformats.org/officeDocument/2006/relationships/hyperlink" Target="https://www.sec.gov/ix?doc=/Archives/edgar/data/0000104169/000010416922000029/wmt-20220430.htm" TargetMode="External"/><Relationship Id="rId113" Type="http://schemas.openxmlformats.org/officeDocument/2006/relationships/fontTable" Target="fontTable.xml"/><Relationship Id="rId80" Type="http://schemas.openxmlformats.org/officeDocument/2006/relationships/hyperlink" Target="https://www.sec.gov/ix?doc=/Archives/edgar/data/0000104169/000010416922000029/wmt-20220430.htm" TargetMode="External"/><Relationship Id="rId85" Type="http://schemas.openxmlformats.org/officeDocument/2006/relationships/hyperlink" Target="https://www.sec.gov/ix?doc=/Archives/edgar/data/0000104169/000010416922000029/wmt-20220430.htm" TargetMode="External"/><Relationship Id="rId12" Type="http://schemas.openxmlformats.org/officeDocument/2006/relationships/hyperlink" Target="https://www.sec.gov/ix?doc=/Archives/edgar/data/0000104169/000010416922000029/wmt-20220430.htm" TargetMode="External"/><Relationship Id="rId17" Type="http://schemas.openxmlformats.org/officeDocument/2006/relationships/hyperlink" Target="https://www.sec.gov/ix?doc=/Archives/edgar/data/0000104169/000010416922000029/wmt-20220430.htm" TargetMode="External"/><Relationship Id="rId33" Type="http://schemas.openxmlformats.org/officeDocument/2006/relationships/hyperlink" Target="https://www.sec.gov/ix?doc=/Archives/edgar/data/0000104169/000010416922000029/wmt-20220430.htm" TargetMode="External"/><Relationship Id="rId38" Type="http://schemas.openxmlformats.org/officeDocument/2006/relationships/hyperlink" Target="https://www.sec.gov/ix?doc=/Archives/edgar/data/0000104169/000010416922000029/wmt-20220430.htm" TargetMode="External"/><Relationship Id="rId59" Type="http://schemas.openxmlformats.org/officeDocument/2006/relationships/hyperlink" Target="https://www.sec.gov/ix?doc=/Archives/edgar/data/0000104169/000010416922000029/wmt-20220430.htm" TargetMode="External"/><Relationship Id="rId103" Type="http://schemas.openxmlformats.org/officeDocument/2006/relationships/hyperlink" Target="https://www.sec.gov/ix?doc=/Archives/edgar/data/0000104169/000010416922000029/wmt-20220430.htm" TargetMode="External"/><Relationship Id="rId108" Type="http://schemas.openxmlformats.org/officeDocument/2006/relationships/hyperlink" Target="https://www.sec.gov/Archives/edgar/data/0000104169/000010416922000029/wmtexhibit312fy23q1.htm" TargetMode="External"/><Relationship Id="rId54" Type="http://schemas.openxmlformats.org/officeDocument/2006/relationships/hyperlink" Target="https://www.sec.gov/ix?doc=/Archives/edgar/data/0000104169/000010416922000029/wmt-20220430.htm" TargetMode="External"/><Relationship Id="rId70" Type="http://schemas.openxmlformats.org/officeDocument/2006/relationships/hyperlink" Target="https://www.sec.gov/ix?doc=/Archives/edgar/data/0000104169/000010416922000029/wmt-20220430.htm" TargetMode="External"/><Relationship Id="rId75" Type="http://schemas.openxmlformats.org/officeDocument/2006/relationships/hyperlink" Target="https://www.sec.gov/ix?doc=/Archives/edgar/data/0000104169/000010416922000029/wmt-20220430.htm" TargetMode="External"/><Relationship Id="rId91" Type="http://schemas.openxmlformats.org/officeDocument/2006/relationships/hyperlink" Target="https://www.sec.gov/ix?doc=/Archives/edgar/data/0000104169/000010416922000029/wmt-20220430.htm" TargetMode="External"/><Relationship Id="rId96" Type="http://schemas.openxmlformats.org/officeDocument/2006/relationships/hyperlink" Target="https://www.sec.gov/ix?doc=/Archives/edgar/data/0000104169/000010416922000029/wmt-20220430.htm" TargetMode="External"/><Relationship Id="rId1" Type="http://schemas.openxmlformats.org/officeDocument/2006/relationships/styles" Target="styles.xml"/><Relationship Id="rId15" Type="http://schemas.openxmlformats.org/officeDocument/2006/relationships/hyperlink" Target="https://www.sec.gov/ix?doc=/Archives/edgar/data/0000104169/000010416922000029/wmt-20220430.htm" TargetMode="External"/><Relationship Id="rId23" Type="http://schemas.openxmlformats.org/officeDocument/2006/relationships/hyperlink" Target="https://www.sec.gov/ix?doc=/Archives/edgar/data/0000104169/000010416922000029/wmt-20220430.htm" TargetMode="External"/><Relationship Id="rId28" Type="http://schemas.openxmlformats.org/officeDocument/2006/relationships/hyperlink" Target="https://www.sec.gov/ix?doc=/Archives/edgar/data/0000104169/000010416922000029/wmt-20220430.htm" TargetMode="External"/><Relationship Id="rId36" Type="http://schemas.openxmlformats.org/officeDocument/2006/relationships/hyperlink" Target="https://www.sec.gov/ix?doc=/Archives/edgar/data/0000104169/000010416922000029/wmt-20220430.htm" TargetMode="External"/><Relationship Id="rId49" Type="http://schemas.openxmlformats.org/officeDocument/2006/relationships/hyperlink" Target="https://www.sec.gov/ix?doc=/Archives/edgar/data/0000104169/000010416922000029/wmt-20220430.htm" TargetMode="External"/><Relationship Id="rId57" Type="http://schemas.openxmlformats.org/officeDocument/2006/relationships/hyperlink" Target="https://www.sec.gov/ix?doc=/Archives/edgar/data/0000104169/000010416922000029/wmt-20220430.htm" TargetMode="External"/><Relationship Id="rId106" Type="http://schemas.openxmlformats.org/officeDocument/2006/relationships/hyperlink" Target="https://www.sec.gov/Archives/edgar/data/0000104169/000010416922000029/exhibit101-q1fy23_jdrxnonc.htm" TargetMode="External"/><Relationship Id="rId114" Type="http://schemas.openxmlformats.org/officeDocument/2006/relationships/theme" Target="theme/theme1.xml"/><Relationship Id="rId10" Type="http://schemas.openxmlformats.org/officeDocument/2006/relationships/hyperlink" Target="https://www.sec.gov/ix?doc=/Archives/edgar/data/0000104169/000010416922000029/wmt-20220430.htm" TargetMode="External"/><Relationship Id="rId31" Type="http://schemas.openxmlformats.org/officeDocument/2006/relationships/hyperlink" Target="https://www.sec.gov/ix?doc=/Archives/edgar/data/0000104169/000010416922000029/wmt-20220430.htm" TargetMode="External"/><Relationship Id="rId44" Type="http://schemas.openxmlformats.org/officeDocument/2006/relationships/hyperlink" Target="https://www.sec.gov/ix?doc=/Archives/edgar/data/0000104169/000010416922000029/wmt-20220430.htm" TargetMode="External"/><Relationship Id="rId52" Type="http://schemas.openxmlformats.org/officeDocument/2006/relationships/hyperlink" Target="https://www.sec.gov/ix?doc=/Archives/edgar/data/0000104169/000010416922000029/wmt-20220430.htm" TargetMode="External"/><Relationship Id="rId60" Type="http://schemas.openxmlformats.org/officeDocument/2006/relationships/hyperlink" Target="https://www.sec.gov/ix?doc=/Archives/edgar/data/0000104169/000010416922000029/wmt-20220430.htm" TargetMode="External"/><Relationship Id="rId65" Type="http://schemas.openxmlformats.org/officeDocument/2006/relationships/hyperlink" Target="https://www.sec.gov/ix?doc=/Archives/edgar/data/0000104169/000010416922000029/wmt-20220430.htm" TargetMode="External"/><Relationship Id="rId73" Type="http://schemas.openxmlformats.org/officeDocument/2006/relationships/hyperlink" Target="https://www.sec.gov/ix?doc=/Archives/edgar/data/0000104169/000010416922000029/wmt-20220430.htm" TargetMode="External"/><Relationship Id="rId78" Type="http://schemas.openxmlformats.org/officeDocument/2006/relationships/hyperlink" Target="https://www.sec.gov/ix?doc=/Archives/edgar/data/0000104169/000010416922000029/wmt-20220430.htm" TargetMode="External"/><Relationship Id="rId81" Type="http://schemas.openxmlformats.org/officeDocument/2006/relationships/hyperlink" Target="https://www.sec.gov/ix?doc=/Archives/edgar/data/0000104169/000010416922000029/wmt-20220430.htm" TargetMode="External"/><Relationship Id="rId86" Type="http://schemas.openxmlformats.org/officeDocument/2006/relationships/hyperlink" Target="https://www.sec.gov/ix?doc=/Archives/edgar/data/0000104169/000010416922000029/wmt-20220430.htm" TargetMode="External"/><Relationship Id="rId94" Type="http://schemas.openxmlformats.org/officeDocument/2006/relationships/hyperlink" Target="https://www.sec.gov/ix?doc=/Archives/edgar/data/0000104169/000010416922000029/wmt-20220430.htm" TargetMode="External"/><Relationship Id="rId99" Type="http://schemas.openxmlformats.org/officeDocument/2006/relationships/hyperlink" Target="https://www.sec.gov/ix?doc=/Archives/edgar/data/0000104169/000010416922000029/wmt-20220430.htm" TargetMode="External"/><Relationship Id="rId101" Type="http://schemas.openxmlformats.org/officeDocument/2006/relationships/hyperlink" Target="https://www.sec.gov/ix?doc=/Archives/edgar/data/0000104169/000010416922000029/wmt-20220430.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2000029/wmt-20220430.htm" TargetMode="External"/><Relationship Id="rId13" Type="http://schemas.openxmlformats.org/officeDocument/2006/relationships/hyperlink" Target="https://www.sec.gov/ix?doc=/Archives/edgar/data/0000104169/000010416922000029/wmt-20220430.htm" TargetMode="External"/><Relationship Id="rId18" Type="http://schemas.openxmlformats.org/officeDocument/2006/relationships/hyperlink" Target="https://www.sec.gov/ix?doc=/Archives/edgar/data/0000104169/000010416922000029/wmt-20220430.htm" TargetMode="External"/><Relationship Id="rId39" Type="http://schemas.openxmlformats.org/officeDocument/2006/relationships/hyperlink" Target="https://www.sec.gov/ix?doc=/Archives/edgar/data/0000104169/000010416922000029/wmt-20220430.htm" TargetMode="External"/><Relationship Id="rId109" Type="http://schemas.openxmlformats.org/officeDocument/2006/relationships/hyperlink" Target="https://www.sec.gov/Archives/edgar/data/0000104169/000010416922000029/wmtexhibit321fy23q1.htm" TargetMode="External"/><Relationship Id="rId34" Type="http://schemas.openxmlformats.org/officeDocument/2006/relationships/hyperlink" Target="https://www.sec.gov/ix?doc=/Archives/edgar/data/0000104169/000010416922000029/wmt-20220430.htm" TargetMode="External"/><Relationship Id="rId50" Type="http://schemas.openxmlformats.org/officeDocument/2006/relationships/hyperlink" Target="https://www.sec.gov/ix?doc=/Archives/edgar/data/0000104169/000010416922000029/wmt-20220430.htm" TargetMode="External"/><Relationship Id="rId55" Type="http://schemas.openxmlformats.org/officeDocument/2006/relationships/hyperlink" Target="https://www.sec.gov/ix?doc=/Archives/edgar/data/0000104169/000010416922000029/wmt-20220430.htm" TargetMode="External"/><Relationship Id="rId76" Type="http://schemas.openxmlformats.org/officeDocument/2006/relationships/hyperlink" Target="https://www.sec.gov/ix?doc=/Archives/edgar/data/0000104169/000010416922000029/wmt-20220430.htm" TargetMode="External"/><Relationship Id="rId97" Type="http://schemas.openxmlformats.org/officeDocument/2006/relationships/hyperlink" Target="https://www.sec.gov/ix?doc=/Archives/edgar/data/0000104169/000010416922000029/wmt-20220430.htm" TargetMode="External"/><Relationship Id="rId104" Type="http://schemas.openxmlformats.org/officeDocument/2006/relationships/hyperlink" Target="http://www.sec.gov/Archives/edgar/data/104169/000010416918000013/exhibit31-212018.htm" TargetMode="External"/><Relationship Id="rId7" Type="http://schemas.openxmlformats.org/officeDocument/2006/relationships/hyperlink" Target="https://www.sec.gov/ix?doc=/Archives/edgar/data/0000104169/000010416922000029/wmt-20220430.htm" TargetMode="External"/><Relationship Id="rId71" Type="http://schemas.openxmlformats.org/officeDocument/2006/relationships/hyperlink" Target="https://www.sec.gov/ix?doc=/Archives/edgar/data/0000104169/000010416922000029/wmt-20220430.htm" TargetMode="External"/><Relationship Id="rId92" Type="http://schemas.openxmlformats.org/officeDocument/2006/relationships/hyperlink" Target="https://www.sec.gov/ix?doc=/Archives/edgar/data/0000104169/000010416922000029/wmt-20220430.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2000029/wmt-20220430.htm" TargetMode="External"/><Relationship Id="rId24" Type="http://schemas.openxmlformats.org/officeDocument/2006/relationships/hyperlink" Target="https://www.sec.gov/ix?doc=/Archives/edgar/data/0000104169/000010416922000029/wmt-20220430.htm" TargetMode="External"/><Relationship Id="rId40" Type="http://schemas.openxmlformats.org/officeDocument/2006/relationships/hyperlink" Target="https://www.sec.gov/ix?doc=/Archives/edgar/data/0000104169/000010416922000029/wmt-20220430.htm" TargetMode="External"/><Relationship Id="rId45" Type="http://schemas.openxmlformats.org/officeDocument/2006/relationships/hyperlink" Target="https://www.sec.gov/ix?doc=/Archives/edgar/data/0000104169/000010416922000029/wmt-20220430.htm" TargetMode="External"/><Relationship Id="rId66" Type="http://schemas.openxmlformats.org/officeDocument/2006/relationships/hyperlink" Target="https://www.sec.gov/ix?doc=/Archives/edgar/data/0000104169/000010416922000029/wmt-20220430.htm" TargetMode="External"/><Relationship Id="rId87" Type="http://schemas.openxmlformats.org/officeDocument/2006/relationships/hyperlink" Target="https://www.sec.gov/ix?doc=/Archives/edgar/data/0000104169/000010416922000029/wmt-20220430.htm" TargetMode="External"/><Relationship Id="rId110" Type="http://schemas.openxmlformats.org/officeDocument/2006/relationships/hyperlink" Target="https://www.sec.gov/Archives/edgar/data/0000104169/000010416922000029/wmtexhibit322fy23q1.htm" TargetMode="External"/><Relationship Id="rId61" Type="http://schemas.openxmlformats.org/officeDocument/2006/relationships/hyperlink" Target="https://www.sec.gov/ix?doc=/Archives/edgar/data/0000104169/000010416922000029/wmt-20220430.htm" TargetMode="External"/><Relationship Id="rId82" Type="http://schemas.openxmlformats.org/officeDocument/2006/relationships/hyperlink" Target="https://www.sec.gov/ix?doc=/Archives/edgar/data/0000104169/000010416922000029/wmt-20220430.htm" TargetMode="External"/><Relationship Id="rId19" Type="http://schemas.openxmlformats.org/officeDocument/2006/relationships/hyperlink" Target="https://www.sec.gov/ix?doc=/Archives/edgar/data/0000104169/000010416922000029/wmt-20220430.htm" TargetMode="External"/><Relationship Id="rId14" Type="http://schemas.openxmlformats.org/officeDocument/2006/relationships/hyperlink" Target="https://www.sec.gov/ix?doc=/Archives/edgar/data/0000104169/000010416922000029/wmt-20220430.htm" TargetMode="External"/><Relationship Id="rId30" Type="http://schemas.openxmlformats.org/officeDocument/2006/relationships/hyperlink" Target="https://www.sec.gov/ix?doc=/Archives/edgar/data/0000104169/000010416922000029/wmt-20220430.htm" TargetMode="External"/><Relationship Id="rId35" Type="http://schemas.openxmlformats.org/officeDocument/2006/relationships/hyperlink" Target="https://www.sec.gov/ix?doc=/Archives/edgar/data/0000104169/000010416922000029/wmt-20220430.htm" TargetMode="External"/><Relationship Id="rId56" Type="http://schemas.openxmlformats.org/officeDocument/2006/relationships/hyperlink" Target="https://www.sec.gov/ix?doc=/Archives/edgar/data/0000104169/000010416922000029/wmt-20220430.htm" TargetMode="External"/><Relationship Id="rId77" Type="http://schemas.openxmlformats.org/officeDocument/2006/relationships/hyperlink" Target="https://www.sec.gov/ix?doc=/Archives/edgar/data/104169/000010416922000012/wmt-20220131.htm" TargetMode="External"/><Relationship Id="rId100" Type="http://schemas.openxmlformats.org/officeDocument/2006/relationships/hyperlink" Target="https://www.sec.gov/ix?doc=/Archives/edgar/data/0000104169/000010416922000029/wmt-20220430.htm" TargetMode="External"/><Relationship Id="rId105" Type="http://schemas.openxmlformats.org/officeDocument/2006/relationships/hyperlink" Target="http://www.sec.gov/Archives/edgar/data/104169/000010416919000054/exhibit31dated7262019.htm" TargetMode="External"/><Relationship Id="rId8" Type="http://schemas.openxmlformats.org/officeDocument/2006/relationships/hyperlink" Target="https://www.sec.gov/ix?doc=/Archives/edgar/data/0000104169/000010416922000029/wmt-20220430.htm" TargetMode="External"/><Relationship Id="rId51" Type="http://schemas.openxmlformats.org/officeDocument/2006/relationships/hyperlink" Target="https://www.sec.gov/ix?doc=/Archives/edgar/data/0000104169/000010416922000029/wmt-20220430.htm" TargetMode="External"/><Relationship Id="rId72" Type="http://schemas.openxmlformats.org/officeDocument/2006/relationships/hyperlink" Target="https://www.sec.gov/ix?doc=/Archives/edgar/data/0000104169/000010416922000029/wmt-20220430.htm" TargetMode="External"/><Relationship Id="rId93" Type="http://schemas.openxmlformats.org/officeDocument/2006/relationships/hyperlink" Target="https://www.sec.gov/ix?doc=/Archives/edgar/data/0000104169/000010416922000029/wmt-20220430.htm" TargetMode="External"/><Relationship Id="rId98" Type="http://schemas.openxmlformats.org/officeDocument/2006/relationships/hyperlink" Target="https://www.sec.gov/ix?doc=/Archives/edgar/data/0000104169/000010416922000029/wmt-20220430.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2000029/wmt-20220430.htm" TargetMode="External"/><Relationship Id="rId46" Type="http://schemas.openxmlformats.org/officeDocument/2006/relationships/hyperlink" Target="https://www.sec.gov/ix?doc=/Archives/edgar/data/0000104169/000010416922000029/wmt-20220430.htm" TargetMode="External"/><Relationship Id="rId67" Type="http://schemas.openxmlformats.org/officeDocument/2006/relationships/hyperlink" Target="https://www.sec.gov/ix?doc=/Archives/edgar/data/0000104169/000010416922000029/wmt-20220430.htm" TargetMode="External"/><Relationship Id="rId20" Type="http://schemas.openxmlformats.org/officeDocument/2006/relationships/hyperlink" Target="https://www.sec.gov/ix?doc=/Archives/edgar/data/0000104169/000010416922000029/wmt-20220430.htm" TargetMode="External"/><Relationship Id="rId41" Type="http://schemas.openxmlformats.org/officeDocument/2006/relationships/hyperlink" Target="https://www.sec.gov/ix?doc=/Archives/edgar/data/0000104169/000010416922000029/wmt-20220430.htm" TargetMode="External"/><Relationship Id="rId62" Type="http://schemas.openxmlformats.org/officeDocument/2006/relationships/hyperlink" Target="https://www.sec.gov/ix?doc=/Archives/edgar/data/0000104169/000010416922000029/wmt-20220430.htm" TargetMode="External"/><Relationship Id="rId83" Type="http://schemas.openxmlformats.org/officeDocument/2006/relationships/hyperlink" Target="https://www.sec.gov/ix?doc=/Archives/edgar/data/0000104169/000010416922000029/wmt-20220430.htm" TargetMode="External"/><Relationship Id="rId88" Type="http://schemas.openxmlformats.org/officeDocument/2006/relationships/hyperlink" Target="https://www.sec.gov/ix?doc=/Archives/edgar/data/0000104169/000010416922000029/wmt-20220430.htm" TargetMode="External"/><Relationship Id="rId111" Type="http://schemas.openxmlformats.org/officeDocument/2006/relationships/hyperlink" Target="https://www.sec.gov/Archives/edgar/data/0000104169/000010416922000029/wmtexhibit991fy23q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20986</Words>
  <Characters>119623</Characters>
  <Application>Microsoft Office Word</Application>
  <DocSecurity>0</DocSecurity>
  <Lines>996</Lines>
  <Paragraphs>280</Paragraphs>
  <ScaleCrop>false</ScaleCrop>
  <Company/>
  <LinksUpToDate>false</LinksUpToDate>
  <CharactersWithSpaces>140329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F03BD1422E7262276EBBE7635129258E</vt:lpwstr>
  </property>
</Properties>
</file>